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04" w:lineRule="exact"/>
        <w:rPr>
          <w:sz w:val="24"/>
          <w:szCs w:val="24"/>
          <w:color w:val="auto"/>
        </w:rPr>
      </w:pPr>
    </w:p>
    <w:p>
      <w:pPr>
        <w:ind w:left="480" w:right="120" w:hanging="337"/>
        <w:spacing w:after="0" w:line="262"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1"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8" w:lineRule="exact"/>
        <w:rPr>
          <w:sz w:val="24"/>
          <w:szCs w:val="24"/>
          <w:color w:val="auto"/>
        </w:rPr>
      </w:pPr>
    </w:p>
    <w:p>
      <w:pPr>
        <w:ind w:left="480" w:right="100" w:hanging="337"/>
        <w:spacing w:after="0" w:line="262" w:lineRule="auto"/>
        <w:tabs>
          <w:tab w:leader="none" w:pos="4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480"/>
        <w:spacing w:after="0"/>
        <w:tabs>
          <w:tab w:leader="none" w:pos="34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1-12154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80" w:type="dxa"/>
            <w:vAlign w:val="bottom"/>
            <w:gridSpan w:val="3"/>
          </w:tcPr>
          <w:p>
            <w:pPr>
              <w:jc w:val="center"/>
              <w:ind w:left="135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jc w:val="center"/>
              <w:ind w:right="1777"/>
              <w:spacing w:after="0"/>
              <w:rPr>
                <w:sz w:val="20"/>
                <w:szCs w:val="20"/>
                <w:color w:val="auto"/>
              </w:rPr>
            </w:pPr>
            <w:r>
              <w:rPr>
                <w:rFonts w:ascii="Times New Roman" w:cs="Times New Roman" w:eastAsia="Times New Roman" w:hAnsi="Times New Roman"/>
                <w:sz w:val="18"/>
                <w:szCs w:val="18"/>
                <w:b w:val="1"/>
                <w:bCs w:val="1"/>
                <w:color w:val="auto"/>
                <w:w w:val="98"/>
              </w:rPr>
              <w:t>73-1309529</w:t>
            </w:r>
          </w:p>
        </w:tc>
      </w:tr>
      <w:tr>
        <w:trPr>
          <w:trHeight w:val="189"/>
        </w:trPr>
        <w:tc>
          <w:tcPr>
            <w:tcW w:w="20" w:type="dxa"/>
            <w:vAlign w:val="bottom"/>
          </w:tcPr>
          <w:p>
            <w:pPr>
              <w:spacing w:after="0"/>
              <w:rPr>
                <w:sz w:val="16"/>
                <w:szCs w:val="16"/>
                <w:color w:val="auto"/>
              </w:rPr>
            </w:pPr>
          </w:p>
        </w:tc>
        <w:tc>
          <w:tcPr>
            <w:tcW w:w="3680" w:type="dxa"/>
            <w:vAlign w:val="bottom"/>
            <w:gridSpan w:val="3"/>
          </w:tcPr>
          <w:p>
            <w:pPr>
              <w:jc w:val="center"/>
              <w:ind w:left="1356"/>
              <w:spacing w:after="0" w:line="189" w:lineRule="exact"/>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2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tcPr>
          <w:p>
            <w:pPr>
              <w:jc w:val="center"/>
              <w:ind w:right="1797"/>
              <w:spacing w:after="0" w:line="189"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0" w:type="dxa"/>
            <w:vAlign w:val="bottom"/>
          </w:tcPr>
          <w:p>
            <w:pPr>
              <w:spacing w:after="0"/>
              <w:rPr>
                <w:sz w:val="20"/>
                <w:szCs w:val="20"/>
                <w:color w:val="auto"/>
              </w:rPr>
            </w:pPr>
          </w:p>
        </w:tc>
        <w:tc>
          <w:tcPr>
            <w:tcW w:w="3680" w:type="dxa"/>
            <w:vAlign w:val="bottom"/>
            <w:gridSpan w:val="3"/>
          </w:tcPr>
          <w:p>
            <w:pPr>
              <w:jc w:val="center"/>
              <w:ind w:left="1356"/>
              <w:spacing w:after="0"/>
              <w:rPr>
                <w:sz w:val="20"/>
                <w:szCs w:val="20"/>
                <w:color w:val="auto"/>
              </w:rPr>
            </w:pPr>
            <w:r>
              <w:rPr>
                <w:rFonts w:ascii="Times New Roman" w:cs="Times New Roman" w:eastAsia="Times New Roman" w:hAnsi="Times New Roman"/>
                <w:sz w:val="18"/>
                <w:szCs w:val="18"/>
                <w:i w:val="1"/>
                <w:iCs w:val="1"/>
                <w:color w:val="auto"/>
              </w:rPr>
              <w:t>incorporation or organization)</w:t>
            </w: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jc w:val="center"/>
              <w:ind w:right="1777"/>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302"/>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1001 Fannin Street</w:t>
            </w:r>
          </w:p>
        </w:tc>
        <w:tc>
          <w:tcPr>
            <w:tcW w:w="32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Houston, Texas 77002</w:t>
            </w:r>
          </w:p>
        </w:tc>
        <w:tc>
          <w:tcPr>
            <w:tcW w:w="320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200" w:type="dxa"/>
            <w:vAlign w:val="bottom"/>
          </w:tcPr>
          <w:p>
            <w:pPr>
              <w:spacing w:after="0"/>
              <w:rPr>
                <w:sz w:val="20"/>
                <w:szCs w:val="20"/>
                <w:color w:val="auto"/>
              </w:rPr>
            </w:pPr>
          </w:p>
        </w:tc>
      </w:tr>
      <w:tr>
        <w:trPr>
          <w:trHeight w:val="317"/>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Pr>
          <w:p>
            <w:pPr>
              <w:jc w:val="center"/>
              <w:ind w:right="56"/>
              <w:spacing w:after="0"/>
              <w:rPr>
                <w:sz w:val="20"/>
                <w:szCs w:val="20"/>
                <w:color w:val="auto"/>
              </w:rPr>
            </w:pPr>
            <w:r>
              <w:rPr>
                <w:rFonts w:ascii="Times New Roman" w:cs="Times New Roman" w:eastAsia="Times New Roman" w:hAnsi="Times New Roman"/>
                <w:sz w:val="18"/>
                <w:szCs w:val="18"/>
                <w:b w:val="1"/>
                <w:bCs w:val="1"/>
                <w:color w:val="auto"/>
                <w:w w:val="99"/>
              </w:rPr>
              <w:t>(713) 512-6200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7000" w:type="dxa"/>
            <w:vAlign w:val="bottom"/>
            <w:gridSpan w:val="6"/>
          </w:tcPr>
          <w:p>
            <w:pPr>
              <w:jc w:val="center"/>
              <w:ind w:left="3096"/>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3200" w:type="dxa"/>
            <w:vAlign w:val="bottom"/>
          </w:tcPr>
          <w:p>
            <w:pPr>
              <w:spacing w:after="0"/>
              <w:rPr>
                <w:sz w:val="20"/>
                <w:szCs w:val="20"/>
                <w:color w:val="auto"/>
              </w:rPr>
            </w:pPr>
          </w:p>
        </w:tc>
      </w:tr>
      <w:tr>
        <w:trPr>
          <w:trHeight w:val="338"/>
        </w:trPr>
        <w:tc>
          <w:tcPr>
            <w:tcW w:w="7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36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2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0" w:type="dxa"/>
            <w:vAlign w:val="bottom"/>
          </w:tcPr>
          <w:p>
            <w:pPr>
              <w:spacing w:after="0"/>
              <w:rPr>
                <w:sz w:val="15"/>
                <w:szCs w:val="15"/>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color w:val="auto"/>
              </w:rPr>
              <w:t>WM</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15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894" w:right="839" w:bottom="1440" w:gutter="0" w:footer="0" w:header="0"/>
        </w:sectPr>
      </w:pPr>
    </w:p>
    <w:p>
      <w:pPr>
        <w:spacing w:after="0" w:line="95" w:lineRule="exact"/>
        <w:rPr>
          <w:sz w:val="24"/>
          <w:szCs w:val="24"/>
          <w:color w:val="auto"/>
        </w:rPr>
      </w:pPr>
    </w:p>
    <w:p>
      <w:pPr>
        <w:ind w:right="640"/>
        <w:spacing w:after="0" w:line="312" w:lineRule="auto"/>
        <w:rPr>
          <w:sz w:val="20"/>
          <w:szCs w:val="20"/>
          <w:color w:val="auto"/>
        </w:rPr>
      </w:pPr>
      <w:r>
        <w:rPr>
          <w:rFonts w:ascii="Times New Roman" w:cs="Times New Roman" w:eastAsia="Times New Roman" w:hAnsi="Times New Roman"/>
          <w:sz w:val="17"/>
          <w:szCs w:val="17"/>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ind w:left="76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6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2" w:lineRule="exact"/>
        <w:rPr>
          <w:sz w:val="24"/>
          <w:szCs w:val="24"/>
          <w:color w:val="auto"/>
        </w:rPr>
      </w:pPr>
    </w:p>
    <w:p>
      <w:pPr>
        <w:sectPr>
          <w:pgSz w:w="11900" w:h="16838" w:orient="portrait"/>
          <w:cols w:equalWidth="0" w:num="3">
            <w:col w:w="2240" w:space="720"/>
            <w:col w:w="4360" w:space="720"/>
            <w:col w:w="2180"/>
          </w:cols>
          <w:pgMar w:left="840" w:top="894" w:right="839" w:bottom="1440" w:gutter="0" w:footer="0" w:header="0"/>
          <w:type w:val="continuous"/>
        </w:sect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207" w:lineRule="exact"/>
        <w:tabs>
          <w:tab w:leader="none" w:pos="75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$0.01 par value, of the registrant outstanding at October 28, 2020 was 422,606,194 (excluding treasury shares of 207,676,267).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465455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53975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88265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894" w:right="8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Par Value Amounts)</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100" w:type="dxa"/>
            <w:vAlign w:val="bottom"/>
            <w:gridSpan w:val="3"/>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0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3,561</w:t>
            </w: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receivable, net of allowance for doubtful accounts of $34 and $28, respectively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1,949</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receivables, net of allowance for doubtful accounts of $6 and $1, respectively</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Parts and supplies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0" w:type="dxa"/>
            <w:vAlign w:val="bottom"/>
          </w:tcPr>
          <w:p>
            <w:pPr>
              <w:spacing w:after="0"/>
              <w:rPr>
                <w:sz w:val="1"/>
                <w:szCs w:val="1"/>
                <w:color w:val="auto"/>
              </w:rPr>
            </w:pPr>
          </w:p>
        </w:tc>
      </w:tr>
      <w:tr>
        <w:trPr>
          <w:trHeight w:val="196"/>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6,209</w:t>
            </w: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Property and equipment, net of accumulated depreciation and amortization of $19,266 and</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$18,657, respectively</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12,846</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12,893</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6,532</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Restricted trust and escrow accounts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821</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24,772</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27,743</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26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1,065</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Accrued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w:t>
            </w: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Deferred revenues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196"/>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3,144</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13,280</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1,407</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Landfill and environmental remediation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1,930</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1,049</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912</w:t>
            </w: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17,615</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20,673</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Waste Management, Inc. stockholders’ equity: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$0.01 par value; 1,500,000,000 shares authorized; 630,282,461 shares issued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3"/>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5,049</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10,592</w:t>
            </w:r>
          </w:p>
        </w:tc>
        <w:tc>
          <w:tcPr>
            <w:tcW w:w="0" w:type="dxa"/>
            <w:vAlign w:val="bottom"/>
          </w:tcPr>
          <w:p>
            <w:pPr>
              <w:spacing w:after="0"/>
              <w:rPr>
                <w:sz w:val="1"/>
                <w:szCs w:val="1"/>
                <w:color w:val="auto"/>
              </w:rPr>
            </w:pPr>
          </w:p>
        </w:tc>
      </w:tr>
      <w:tr>
        <w:trPr>
          <w:trHeight w:val="203"/>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Treasury stock at cost, 207,695,158 and 205,956,366 shares, respectively</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(8,891)</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(8,571)</w:t>
            </w:r>
          </w:p>
        </w:tc>
        <w:tc>
          <w:tcPr>
            <w:tcW w:w="0" w:type="dxa"/>
            <w:vAlign w:val="bottom"/>
          </w:tcPr>
          <w:p>
            <w:pPr>
              <w:spacing w:after="0"/>
              <w:rPr>
                <w:sz w:val="1"/>
                <w:szCs w:val="1"/>
                <w:color w:val="auto"/>
              </w:rPr>
            </w:pPr>
          </w:p>
        </w:tc>
      </w:tr>
      <w:tr>
        <w:trPr>
          <w:trHeight w:val="196"/>
        </w:trPr>
        <w:tc>
          <w:tcPr>
            <w:tcW w:w="6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Waste Management, Inc. stockholders’ equity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7,068</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equity</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7,157</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7,070</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24,772</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27,743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left="60" w:right="59"/>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(In Millions, Except per Share Amounts) (Unaudited)</w:t>
      </w:r>
    </w:p>
    <w:p>
      <w:pPr>
        <w:spacing w:after="0" w:line="38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6"/>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5"/>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6"/>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0" w:type="dxa"/>
            <w:vAlign w:val="bottom"/>
          </w:tcPr>
          <w:p>
            <w:pPr>
              <w:spacing w:after="0"/>
              <w:rPr>
                <w:sz w:val="1"/>
                <w:szCs w:val="1"/>
                <w:color w:val="auto"/>
              </w:rPr>
            </w:pPr>
          </w:p>
        </w:tc>
      </w:tr>
      <w:tr>
        <w:trPr>
          <w:trHeight w:val="216"/>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16"/>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loss from divestitures, asset impairments and unusual items, net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54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net losses of unconsolidated entities</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1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0.92</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0.92</w:t>
            </w:r>
          </w:p>
        </w:tc>
        <w:tc>
          <w:tcPr>
            <w:tcW w:w="20" w:type="dxa"/>
            <w:vAlign w:val="bottom"/>
            <w:tcBorders>
              <w:bottom w:val="single" w:sz="8" w:color="auto"/>
            </w:tcBorders>
          </w:tcPr>
          <w:p>
            <w:pPr>
              <w:spacing w:after="0"/>
              <w:rPr>
                <w:sz w:val="17"/>
                <w:szCs w:val="17"/>
                <w:color w:val="auto"/>
              </w:rPr>
            </w:pPr>
          </w:p>
        </w:tc>
        <w:tc>
          <w:tcPr>
            <w:tcW w:w="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1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2.49</w:t>
            </w:r>
          </w:p>
        </w:tc>
        <w:tc>
          <w:tcPr>
            <w:tcW w:w="160" w:type="dxa"/>
            <w:vAlign w:val="bottom"/>
            <w:vMerge w:val="continue"/>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0"/>
        </w:trPr>
        <w:tc>
          <w:tcPr>
            <w:tcW w:w="5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8040" w:type="dxa"/>
            <w:vAlign w:val="bottom"/>
            <w:gridSpan w:val="1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40" w:type="dxa"/>
            <w:vAlign w:val="bottom"/>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5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6"/>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5"/>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6"/>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8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instruments, net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 securities, net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Post-retirement benefit obligations, net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Waste Management, Inc.</w:t>
            </w:r>
          </w:p>
        </w:tc>
        <w:tc>
          <w:tcPr>
            <w:tcW w:w="160" w:type="dxa"/>
            <w:vAlign w:val="bottom"/>
          </w:tcPr>
          <w:p>
            <w:pPr>
              <w:spacing w:after="0"/>
              <w:rPr>
                <w:sz w:val="18"/>
                <w:szCs w:val="18"/>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8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2"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75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net income</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80" w:type="dxa"/>
            <w:vAlign w:val="bottom"/>
          </w:tcPr>
          <w:p>
            <w:pPr>
              <w:spacing w:after="0"/>
              <w:rPr>
                <w:sz w:val="17"/>
                <w:szCs w:val="17"/>
                <w:color w:val="auto"/>
              </w:rPr>
            </w:pP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consolidated net income to net cash provided by operating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accretion on landfill liabilities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Provision for bad debts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gain on disposal of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loss from divestitures, asset impairments and other, net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Equity in net losses of unconsolidated entities, net of dividends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 in operating assets and liabilities, net of effects of acquisitions and divestitures: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Receivables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Deferred revenues and other liabilities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divestitures of businesses and other assets (net of cash divested)</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New borrowings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Debt repayments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Premiums paid on early extinguishment of debt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commercial paper borrowings (repayments)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Common stock repurchase program</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dividends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Tax payments associated with equity-based compensation transactions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(4,244)</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 and cash equivalents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(Decrease) increase in cash, cash equivalents and restricted cash and cash equivalents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beginning of period</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3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end of period</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6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 and cash equivalents at end of period: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and cash equivalents included in other current assets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and cash equivalents included in restricted trust and escrow accounts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19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end of period</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326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1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Waste Management, Inc. Stockholders’ Equity</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320" w:type="dxa"/>
            <w:vAlign w:val="bottom"/>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62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5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Amounts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6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98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68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128"/>
        </w:trPr>
        <w:tc>
          <w:tcPr>
            <w:tcW w:w="2540" w:type="dxa"/>
            <w:vAlign w:val="bottom"/>
            <w:tcBorders>
              <w:top w:val="single" w:sz="8" w:color="CCEEFF"/>
            </w:tcBorders>
            <w:gridSpan w:val="4"/>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2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40" w:type="dxa"/>
            <w:vAlign w:val="bottom"/>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2020</w:t>
            </w: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6,893</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5,040</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$ 10,795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(41)</w:t>
            </w:r>
          </w:p>
        </w:tc>
        <w:tc>
          <w:tcPr>
            <w:tcW w:w="68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(208,118)</w:t>
            </w:r>
          </w:p>
        </w:tc>
        <w:tc>
          <w:tcPr>
            <w:tcW w:w="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(8,909)</w:t>
            </w: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5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54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1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w:t>
            </w:r>
          </w:p>
        </w:tc>
        <w:tc>
          <w:tcPr>
            <w:tcW w:w="10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$0.545 per</w:t>
            </w:r>
          </w:p>
        </w:tc>
        <w:tc>
          <w:tcPr>
            <w:tcW w:w="100" w:type="dxa"/>
            <w:vAlign w:val="bottom"/>
          </w:tcPr>
          <w:p>
            <w:pPr>
              <w:spacing w:after="0"/>
              <w:rPr>
                <w:sz w:val="10"/>
                <w:szCs w:val="10"/>
                <w:color w:val="auto"/>
              </w:rPr>
            </w:pP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(230)</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(230)</w:t>
            </w:r>
          </w:p>
        </w:tc>
        <w:tc>
          <w:tcPr>
            <w:tcW w:w="6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common share</w:t>
            </w: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w:t>
            </w:r>
          </w:p>
        </w:tc>
        <w:tc>
          <w:tcPr>
            <w:tcW w:w="1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w:t>
            </w:r>
          </w:p>
        </w:tc>
        <w:tc>
          <w:tcPr>
            <w:tcW w:w="10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10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4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540" w:type="dxa"/>
            <w:vAlign w:val="bottom"/>
            <w:tcBorders>
              <w:bottom w:val="single" w:sz="8" w:color="CCEEFF"/>
            </w:tcBorders>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September 30, 2020</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7,157</w:t>
            </w:r>
          </w:p>
        </w:tc>
        <w:tc>
          <w:tcPr>
            <w:tcW w:w="8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5,104</w:t>
            </w:r>
          </w:p>
        </w:tc>
        <w:tc>
          <w:tcPr>
            <w:tcW w:w="6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$ 10,952</w:t>
            </w:r>
          </w:p>
        </w:tc>
        <w:tc>
          <w:tcPr>
            <w:tcW w:w="8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6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(207,695)</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(8,891)</w:t>
            </w:r>
          </w:p>
        </w:tc>
        <w:tc>
          <w:tcPr>
            <w:tcW w:w="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40" w:type="dxa"/>
            <w:vAlign w:val="bottom"/>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2019</w:t>
            </w: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6,467</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4,962</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$ 10,088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w:t>
            </w:r>
          </w:p>
        </w:tc>
        <w:tc>
          <w:tcPr>
            <w:tcW w:w="68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(206,482)</w:t>
            </w:r>
          </w:p>
        </w:tc>
        <w:tc>
          <w:tcPr>
            <w:tcW w:w="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(8,568)</w:t>
            </w: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5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495</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54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w:t>
            </w:r>
          </w:p>
        </w:tc>
        <w:tc>
          <w:tcPr>
            <w:tcW w:w="10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$0.5125 per</w:t>
            </w:r>
          </w:p>
        </w:tc>
        <w:tc>
          <w:tcPr>
            <w:tcW w:w="100" w:type="dxa"/>
            <w:vAlign w:val="bottom"/>
          </w:tcPr>
          <w:p>
            <w:pPr>
              <w:spacing w:after="0"/>
              <w:rPr>
                <w:sz w:val="10"/>
                <w:szCs w:val="10"/>
                <w:color w:val="auto"/>
              </w:rPr>
            </w:pP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(218)</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(218)</w:t>
            </w:r>
          </w:p>
        </w:tc>
        <w:tc>
          <w:tcPr>
            <w:tcW w:w="6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common share</w:t>
            </w: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w:t>
            </w:r>
          </w:p>
        </w:tc>
        <w:tc>
          <w:tcPr>
            <w:tcW w:w="1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w:t>
            </w:r>
          </w:p>
        </w:tc>
        <w:tc>
          <w:tcPr>
            <w:tcW w:w="10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10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12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4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2"/>
        </w:trPr>
        <w:tc>
          <w:tcPr>
            <w:tcW w:w="254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September 30, 2019</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6,787</w:t>
            </w: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tcPr>
          <w:p>
            <w:pPr>
              <w:spacing w:after="0"/>
              <w:rPr>
                <w:sz w:val="12"/>
                <w:szCs w:val="12"/>
                <w:color w:val="auto"/>
              </w:rPr>
            </w:pPr>
          </w:p>
        </w:tc>
        <w:tc>
          <w:tcPr>
            <w:tcW w:w="2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5,026</w:t>
            </w:r>
          </w:p>
        </w:tc>
        <w:tc>
          <w:tcPr>
            <w:tcW w:w="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$ 10,364</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w:t>
            </w:r>
          </w:p>
        </w:tc>
        <w:tc>
          <w:tcPr>
            <w:tcW w:w="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(206,122)</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(8,578)</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ind w:left="326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EQUITY ─ (Continued)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Shares 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1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Waste Management, Inc. Stockholders’ Equity</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340" w:type="dxa"/>
            <w:vAlign w:val="bottom"/>
            <w:gridSpan w:val="5"/>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62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5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Amounts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64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98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68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128"/>
        </w:trPr>
        <w:tc>
          <w:tcPr>
            <w:tcW w:w="2620" w:type="dxa"/>
            <w:vAlign w:val="bottom"/>
            <w:tcBorders>
              <w:top w:val="single" w:sz="8" w:color="CCEEFF"/>
            </w:tcBorders>
            <w:gridSpan w:val="4"/>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16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20" w:type="dxa"/>
            <w:vAlign w:val="bottom"/>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December 31, 2019</w:t>
            </w: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7,070</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5,049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10,592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w:t>
            </w:r>
          </w:p>
        </w:tc>
        <w:tc>
          <w:tcPr>
            <w:tcW w:w="6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(205,956)</w:t>
            </w: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(8,571)</w:t>
            </w:r>
          </w:p>
        </w:tc>
        <w:tc>
          <w:tcPr>
            <w:tcW w:w="1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6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Adoption of new accounting standard</w:t>
            </w:r>
          </w:p>
        </w:tc>
        <w:tc>
          <w:tcPr>
            <w:tcW w:w="1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2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1,058</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62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100" w:type="dxa"/>
            <w:vAlign w:val="bottom"/>
          </w:tcPr>
          <w:p>
            <w:pPr>
              <w:spacing w:after="0"/>
              <w:rPr>
                <w:sz w:val="10"/>
                <w:szCs w:val="10"/>
                <w:color w:val="auto"/>
              </w:rPr>
            </w:pP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w:t>
            </w: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tax</w:t>
            </w: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2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$1.635 per</w:t>
            </w: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(696)</w:t>
            </w: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(696)</w:t>
            </w:r>
          </w:p>
        </w:tc>
        <w:tc>
          <w:tcPr>
            <w:tcW w:w="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share</w:t>
            </w:r>
          </w:p>
        </w:tc>
        <w:tc>
          <w:tcPr>
            <w:tcW w:w="10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Equity-based compensation transactions, net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2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(402)</w:t>
            </w: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(3,687)</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(402)</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620" w:type="dxa"/>
            <w:vAlign w:val="bottom"/>
            <w:tcBorders>
              <w:top w:val="single" w:sz="8" w:color="CCEEFF"/>
              <w:bottom w:val="single" w:sz="8" w:color="CCEEFF"/>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September 30, 2020</w:t>
            </w: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7,157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5,104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10,952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(207,695)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(8,891)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2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December 31, 2018</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6,276</w:t>
            </w: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tcPr>
          <w:p>
            <w:pPr>
              <w:spacing w:after="0"/>
              <w:rPr>
                <w:sz w:val="12"/>
                <w:szCs w:val="12"/>
                <w:color w:val="auto"/>
              </w:rPr>
            </w:pPr>
          </w:p>
        </w:tc>
        <w:tc>
          <w:tcPr>
            <w:tcW w:w="2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4,993</w:t>
            </w:r>
          </w:p>
        </w:tc>
        <w:tc>
          <w:tcPr>
            <w:tcW w:w="6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9,797</w:t>
            </w:r>
          </w:p>
        </w:tc>
        <w:tc>
          <w:tcPr>
            <w:tcW w:w="80" w:type="dxa"/>
            <w:vAlign w:val="bottom"/>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(87)</w:t>
            </w:r>
          </w:p>
        </w:tc>
        <w:tc>
          <w:tcPr>
            <w:tcW w:w="6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(206,299)</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(8,434)</w:t>
            </w:r>
          </w:p>
        </w:tc>
        <w:tc>
          <w:tcPr>
            <w:tcW w:w="1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62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262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6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tax</w:t>
            </w:r>
          </w:p>
        </w:tc>
        <w:tc>
          <w:tcPr>
            <w:tcW w:w="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2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$1.5375 per</w:t>
            </w: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(658)</w:t>
            </w: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(658)</w:t>
            </w:r>
          </w:p>
        </w:tc>
        <w:tc>
          <w:tcPr>
            <w:tcW w:w="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share</w:t>
            </w:r>
          </w:p>
        </w:tc>
        <w:tc>
          <w:tcPr>
            <w:tcW w:w="10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Equity-based compensation transactions, net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2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(2,247)</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0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620" w:type="dxa"/>
            <w:vAlign w:val="bottom"/>
            <w:tcBorders>
              <w:top w:val="single" w:sz="8" w:color="CCEEFF"/>
              <w:bottom w:val="single" w:sz="8" w:color="CCEEFF"/>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September 30, 2019</w:t>
            </w: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6,787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5,026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10,364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(206,122)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(8,578)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117" w:right="14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w:t>
        <w:tab/>
        <w:t>Basis of Presentation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13. 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we are also a leading developer, operator and owner of landfill gas-to-energy facilities in the United States (“U.S.”).</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evaluate, oversee and manage the financial performance of our Solid Waste business subsidiaries through our 17 Areas. We also provide additional services that are not managed through our Solid Waste business, which are presented in this report as “Other.” Additional information related to our segments is included in Note 7.</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as of September 30, 2020 and for the three and nine months ended September 30, 2020 and 2019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10-K for the year ended December 31, 2019.</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Actual results could differ materially from the estimates and assumptions that we use in the preparation of our financial statements.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generally recognize revenue as services are performed or products are delivered. For example, revenue typically is recognized as waste is collected, tons are received at our landfills or transfer stations, or recycling commodities are collected or delivered as product. We bill for certain services prior to performance. Such services include, among others, certain commercial and residential contracts and equipment rentals. These advance billings are included in deferred revenues and recognized as revenue in the period service is provided. Substantially all our deferred revenues during the reported periods are realized as revenues within one to three months when the related services are performed.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Contract Acquisition Costs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incremental direct costs of obtaining a contract, which consist primarily of sales incentives, are generally deferred and amortized to selling, general and administrative expense over the estimated life of the relevant customer relationship, ranging from 5 to 13 years. Our contract acquisition costs are classified as current or noncurrent based on the timing of when we expect to recognize amortization and are included in other assets in our Condensed Consolidated Balance Sheet.</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2020 and December 31, 2019, we had $160 million and $153 million, respectively, of deferred contract costs, of which $117 million at each date was related to deferred sales incentives. During the three and nine months ended September 30, 2020, we amortized $6 million and $17 million of sales incentives to selling, general and administrative expense, respectively. During the three and nine months ended September 30, 2019, we amortized $6 million and $17 million of sales incentives to selling, general and administrative expense, respectively.</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Amounts for our operating lease right-of-use assets are recorded in long-term other assets in our Condensed Consolidated Balance Sheets. The current and long-term portion of our operating lease liabilities are reflected in accrued liabilities and other long-term liabilities, respectively, in our Condensed Consolidated Balance Sheets. Right-of-use assets obtained in exchange for lease obligations for our operating leases for the nine months ended September 30, 2020 and 2019 were $80 million and $146 million, respectively. Amounts for our financing leases are recorded in property and equipment, net of accumulated depreciation, and current or long-term debt in our Condensed Consolidated Balance Sheets, as appropriate.</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and cash equivalents, investments held within our restricted trust and escrow accounts,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227" w:lineRule="exact"/>
        <w:rPr>
          <w:sz w:val="20"/>
          <w:szCs w:val="20"/>
          <w:color w:val="auto"/>
        </w:rPr>
      </w:pPr>
    </w:p>
    <w:p>
      <w:pPr>
        <w:jc w:val="both"/>
        <w:ind w:left="60" w:right="59" w:firstLine="247"/>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Financial Instruments-Credit Losses </w:t>
      </w:r>
      <w:r>
        <w:rPr>
          <w:rFonts w:ascii="Times New Roman" w:cs="Times New Roman" w:eastAsia="Times New Roman" w:hAnsi="Times New Roman"/>
          <w:sz w:val="18"/>
          <w:szCs w:val="18"/>
          <w:color w:val="auto"/>
        </w:rPr>
        <w:t>— In June 2016, the Financial Accounting Standards Board (“FASB”)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Update (“ASU”) 2016-13 associated with the measurement of credit losses on financial instruments. On January 1, 2020, we adopted this ASU using the modified retrospective transition method. The amended guidance replaced the previous incurred loss impairment methodology of recognizing credit losses when a loss is probable, with a methodology that reflects expected credit losses and requires consideration of a broader range of reasonable and supportable information to assess credit loss estimates. This expected loss model generally results in earlier recognition of an allowance for losses. We recognized a net $2 million after tax decrease to retained earnings as of January 1, 2020 for the cumulative impact of adopting the amended guidance.</w:t>
      </w:r>
    </w:p>
    <w:p>
      <w:pPr>
        <w:spacing w:after="0" w:line="187" w:lineRule="exact"/>
        <w:rPr>
          <w:sz w:val="20"/>
          <w:szCs w:val="20"/>
          <w:color w:val="auto"/>
        </w:rPr>
      </w:pPr>
    </w:p>
    <w:p>
      <w:pPr>
        <w:jc w:val="both"/>
        <w:ind w:left="60" w:right="59" w:firstLine="247"/>
        <w:spacing w:after="0" w:line="261" w:lineRule="auto"/>
        <w:rPr>
          <w:sz w:val="20"/>
          <w:szCs w:val="20"/>
          <w:color w:val="auto"/>
        </w:rPr>
      </w:pPr>
      <w:r>
        <w:rPr>
          <w:rFonts w:ascii="Times New Roman" w:cs="Times New Roman" w:eastAsia="Times New Roman" w:hAnsi="Times New Roman"/>
          <w:sz w:val="18"/>
          <w:szCs w:val="18"/>
          <w:color w:val="auto"/>
        </w:rPr>
        <w:t>Our receivables, which are recorded when billed, when services are performed or when cash is advanced, are claims against third parties that will generally be settled in cash. The carrying value of our receivables, net of the allowance for doubtful accounts, represents the estimated net realizable value. Past-due receivable balances are written off when our internal collection efforts have been unsuccessful. Also, we recognize interest income on long-term interest-bearing notes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receivable as the interest accrues under the terms of the notes. We no longer accrue interest once the notes are deemed uncollectible.</w:t>
      </w:r>
    </w:p>
    <w:p>
      <w:pPr>
        <w:spacing w:after="0" w:line="162" w:lineRule="exact"/>
        <w:rPr>
          <w:sz w:val="20"/>
          <w:szCs w:val="20"/>
          <w:color w:val="auto"/>
        </w:rPr>
      </w:pPr>
    </w:p>
    <w:p>
      <w:pPr>
        <w:jc w:val="both"/>
        <w:ind w:left="60" w:right="59" w:firstLine="247"/>
        <w:spacing w:after="0" w:line="261" w:lineRule="auto"/>
        <w:rPr>
          <w:sz w:val="20"/>
          <w:szCs w:val="20"/>
          <w:color w:val="auto"/>
        </w:rPr>
      </w:pPr>
      <w:r>
        <w:rPr>
          <w:rFonts w:ascii="Times New Roman" w:cs="Times New Roman" w:eastAsia="Times New Roman" w:hAnsi="Times New Roman"/>
          <w:sz w:val="18"/>
          <w:szCs w:val="18"/>
          <w:color w:val="auto"/>
        </w:rPr>
        <w:t>The following table reflects the activity in our allowance for doubtful accounts of trade receivables for the nine months ended September 30 (in millions):</w:t>
      </w:r>
    </w:p>
    <w:tbl>
      <w:tblPr>
        <w:tblLayout w:type="fixed"/>
        <w:tblInd w:w="40" w:type="dxa"/>
        <w:tblCellMar>
          <w:top w:w="0" w:type="dxa"/>
          <w:left w:w="0" w:type="dxa"/>
          <w:bottom w:w="0" w:type="dxa"/>
          <w:right w:w="0" w:type="dxa"/>
        </w:tblCellMar>
      </w:tblPr>
      <w:tr>
        <w:trPr>
          <w:trHeight w:val="162"/>
        </w:trPr>
        <w:tc>
          <w:tcPr>
            <w:tcW w:w="7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Adoption of new accounting standard</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written-off, net of recoveries</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Acquisitions, divestitures and other, net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247"/>
        <w:spacing w:after="0" w:line="258" w:lineRule="auto"/>
        <w:rPr>
          <w:sz w:val="20"/>
          <w:szCs w:val="20"/>
          <w:color w:val="auto"/>
        </w:rPr>
      </w:pPr>
      <w:r>
        <w:rPr>
          <w:rFonts w:ascii="Times New Roman" w:cs="Times New Roman" w:eastAsia="Times New Roman" w:hAnsi="Times New Roman"/>
          <w:sz w:val="18"/>
          <w:szCs w:val="18"/>
          <w:color w:val="auto"/>
        </w:rPr>
        <w:t>For trade receivables the Company relies upon, among other factors, historical loss trends, the age of outstanding receivables, and existing as well as expected economic conditions. Due to the adoption of ASU 2016-13, we recognized a $1 million pre-tax decrease to our allowance for doubtful accounts on trade receivables. We determined that all of our trade receivables share similar risk characteristics. We monitor our credit exposure on an ongoing basis and assess whether assets in the pool continue to display similar risk characteristics.</w:t>
      </w:r>
    </w:p>
    <w:p>
      <w:pPr>
        <w:spacing w:after="0" w:line="183" w:lineRule="exact"/>
        <w:rPr>
          <w:sz w:val="20"/>
          <w:szCs w:val="20"/>
          <w:color w:val="auto"/>
        </w:rPr>
      </w:pPr>
    </w:p>
    <w:p>
      <w:pPr>
        <w:jc w:val="both"/>
        <w:ind w:left="60" w:right="59" w:firstLine="247"/>
        <w:spacing w:after="0" w:line="254" w:lineRule="auto"/>
        <w:rPr>
          <w:sz w:val="20"/>
          <w:szCs w:val="20"/>
          <w:color w:val="auto"/>
        </w:rPr>
      </w:pPr>
      <w:r>
        <w:rPr>
          <w:rFonts w:ascii="Times New Roman" w:cs="Times New Roman" w:eastAsia="Times New Roman" w:hAnsi="Times New Roman"/>
          <w:sz w:val="18"/>
          <w:szCs w:val="18"/>
          <w:color w:val="auto"/>
        </w:rPr>
        <w:t>In January 2020, a novel strain of coronavirus (“COVID-19”) was declared a Public Health Emergency of International Concern and subsequently declared a global pandemic in March 2020. Throughout the COVID-19 pandemic, the Company has proactively taken steps to put our employees’ and customers’ needs first and we continue to work with the appropriate regulatory agencies to ensure we can provide our essential waste services safely and efficiently. With this in mind, during the first half of 2020 we extended payment terms and postponed collections and discontinuing of service for customers who were negatively impacted by the COVID-19 pandemic which contributed to an increase in the aging of outstanding balances. During the third quarter, improved economic conditions allowed us to return to more regular business practices, in accordance with our contractual terms.</w:t>
      </w:r>
    </w:p>
    <w:p>
      <w:pPr>
        <w:spacing w:after="0" w:line="192" w:lineRule="exact"/>
        <w:rPr>
          <w:sz w:val="20"/>
          <w:szCs w:val="20"/>
          <w:color w:val="auto"/>
        </w:rPr>
      </w:pPr>
    </w:p>
    <w:p>
      <w:pPr>
        <w:jc w:val="both"/>
        <w:ind w:left="60" w:right="59" w:firstLine="247"/>
        <w:spacing w:after="0" w:line="266" w:lineRule="auto"/>
        <w:rPr>
          <w:sz w:val="20"/>
          <w:szCs w:val="20"/>
          <w:color w:val="auto"/>
        </w:rPr>
      </w:pPr>
      <w:r>
        <w:rPr>
          <w:rFonts w:ascii="Times New Roman" w:cs="Times New Roman" w:eastAsia="Times New Roman" w:hAnsi="Times New Roman"/>
          <w:sz w:val="18"/>
          <w:szCs w:val="18"/>
          <w:color w:val="auto"/>
        </w:rPr>
        <w:t>As of September 30, 2020, we had $1,927 million of trade receivables, net of allowance of $34 million. The allowance for doubtful accounts has increased by $6 million during 2020, largely due to the COVID-19 pandemic. Based on an aging analysis as of September 30, 2020, approximately 90% of our trade receivables were outstanding less than 60 days.</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For other receivables as well as loans and other instruments, the Company relies primarily on credit ratings and associated default rates based on the maturity of the instrument. All receivables, as well as other instruments, are adjusted for our expectation of future market conditions and trends. Due to the adoption of ASU 2016-13, we recognized a $4 million pre-tax increase to our allowance for doubtful accounts on notes and other receivables. As of September 30, 2020, we had $453 million of notes and other receivables, net of allowance of $8 million. Based on an aging analysis as of September 30, 2020, approximately 65% of our other receivables were due within 12 months or less.</w:t>
      </w:r>
    </w:p>
    <w:p>
      <w:pPr>
        <w:spacing w:after="0" w:line="18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Implementation Costs Incurred in a Cloud Computing Arrangement </w:t>
      </w:r>
      <w:r>
        <w:rPr>
          <w:rFonts w:ascii="Times New Roman" w:cs="Times New Roman" w:eastAsia="Times New Roman" w:hAnsi="Times New Roman"/>
          <w:sz w:val="18"/>
          <w:szCs w:val="18"/>
          <w:color w:val="auto"/>
        </w:rPr>
        <w:t>— In August 2018, the FASB issued ASU 2018-15 associated with a customer’s accounting for implementation costs incurred in a cloud computing arrangement that is a service contract. The amendments align the requirements for capitalizing implementation costs incurred in a hosting arrangement that is a service contract with the requirements for capitalizing implementation costs incurred to develop or obtain internal-use software. Costs for implementation activities in the application development stage are capitalized as prepayments depending on the nature of the costs, while costs incurred during the preliminary project and post-implementation stages are expensed as the activities are performed. The Company adopted this amended guidance on January 1, 2020 prospectively, and it did not have a material impact on our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Guarantor Financial Information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March 2020, the Securities and Exchange Commission (“SEC”) adopted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rules that simplify the disclosure requirements related to certain registered securities under SEC Regulation S-X, Rules 3-10 and 3-16, permitting registrants to provide certain alternative financial disclosures and non-financial disclosures in lieu of separate consolidating financial statements for subsidiary issuers and guarantors of registered debt securities (which we previously included within the notes to our financial statements included in our Annual Reports on Form 10-K and Quarterly Reports on Form 10-Q) if certain conditions are met. The disclosure requirements, as amended, are now located in newly-created Rules 13-01 and 13-02 of Regulation S-X and are generally effective for filings on or after January 4, 2021, with early adoption permitted. We early adopted the new disclosure requirements effective as of April 1, 2020 and are providing the summarized financial information and related disclosures in Item 2.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of Financial Condition and Results of Operations </w:t>
      </w:r>
      <w:r>
        <w:rPr>
          <w:rFonts w:ascii="Times New Roman" w:cs="Times New Roman" w:eastAsia="Times New Roman" w:hAnsi="Times New Roman"/>
          <w:sz w:val="18"/>
          <w:szCs w:val="18"/>
          <w:color w:val="auto"/>
        </w:rPr>
        <w:t>in this Form 10-Q.</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When necessary, reclassifications have been made to our prior period financial information to conform to the current year presentation and are not material to our consolidated financial statements.</w:t>
      </w:r>
    </w:p>
    <w:p>
      <w:pPr>
        <w:spacing w:after="0" w:line="158" w:lineRule="exact"/>
        <w:rPr>
          <w:sz w:val="20"/>
          <w:szCs w:val="20"/>
          <w:color w:val="auto"/>
        </w:rPr>
      </w:pPr>
    </w:p>
    <w:p>
      <w:pPr>
        <w:ind w:left="360" w:hanging="310"/>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Landfill and Environmental Remediation Liabilities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Liabilities for landfill and environmental remediation costs are presented in the table below (in millions):</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Landfill</w:t>
            </w:r>
          </w:p>
        </w:tc>
        <w:tc>
          <w:tcPr>
            <w:tcW w:w="1220" w:type="dxa"/>
            <w:vAlign w:val="bottom"/>
            <w:gridSpan w:val="4"/>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14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Landfill</w:t>
            </w:r>
          </w:p>
        </w:tc>
        <w:tc>
          <w:tcPr>
            <w:tcW w:w="140" w:type="dxa"/>
            <w:vAlign w:val="bottom"/>
          </w:tcPr>
          <w:p>
            <w:pPr>
              <w:spacing w:after="0"/>
              <w:rPr>
                <w:sz w:val="10"/>
                <w:szCs w:val="10"/>
                <w:color w:val="auto"/>
              </w:rPr>
            </w:pPr>
          </w:p>
        </w:tc>
        <w:tc>
          <w:tcPr>
            <w:tcW w:w="110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140" w:type="dxa"/>
            <w:vAlign w:val="bottom"/>
          </w:tcPr>
          <w:p>
            <w:pPr>
              <w:spacing w:after="0"/>
              <w:rPr>
                <w:sz w:val="10"/>
                <w:szCs w:val="10"/>
                <w:color w:val="auto"/>
              </w:rPr>
            </w:pPr>
          </w:p>
        </w:tc>
        <w:tc>
          <w:tcPr>
            <w:tcW w:w="5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 accrued liabilities)</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w:t>
            </w: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09"/>
        </w:trPr>
        <w:tc>
          <w:tcPr>
            <w:tcW w:w="28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changes to landfill and environmental remediation liabilities for the nine months ended September 30, 2020 are reflected in the table below (in millions):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20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46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Obligations incurred and capitalized</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Obligations settled</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accretion</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Revisions in estimates and interest rate assumptions (a) (b)</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Acquisitions, divestitures and other adjustments (c)</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80" w:right="79" w:hanging="330"/>
        <w:spacing w:after="0" w:line="26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for our landfill liabilities includes (i) a $10 million increase in estimated construction costs for capping at certain landfills and (ii) an increase of $8 million due to a business decision to close one of our landfills, which resulted in the acceleration of the expected timing of capping, closure and post-closure activities. This business decision also resulted in an impairment that is discussed in Note 9.</w:t>
      </w:r>
    </w:p>
    <w:p>
      <w:pPr>
        <w:spacing w:after="0" w:line="71"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for our environmental remediation liabilities includes an increase of $12 million due to a decrease in the risk-free discount rate used to measure our liabilities from 1.75% at December 31, 2019 to 0.75% at September 30, 2020.</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for landfill liabilities includes the reclassification of $17 million to accrued liabilities in our Condensed Consolidated Balance Sheet related to certain landfills classified as held for sale as of September 30, 2020 in connection with the sale of the landfills to GFL Environmental Inc. The divestiture is directly related to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ind w:left="380" w:right="79"/>
        <w:spacing w:after="0" w:line="282" w:lineRule="auto"/>
        <w:rPr>
          <w:sz w:val="20"/>
          <w:szCs w:val="20"/>
          <w:color w:val="auto"/>
        </w:rPr>
      </w:pPr>
      <w:r>
        <w:rPr>
          <w:rFonts w:ascii="Times New Roman" w:cs="Times New Roman" w:eastAsia="Times New Roman" w:hAnsi="Times New Roman"/>
          <w:sz w:val="18"/>
          <w:szCs w:val="18"/>
          <w:color w:val="auto"/>
        </w:rPr>
        <w:t>Advanced Disposal, Inc. (“Advanced Disposal”) acquisition. These transactions are discussed further in Notes 8 and 14.</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 13 for additional information related to these trusts.</w:t>
      </w:r>
    </w:p>
    <w:p>
      <w:pPr>
        <w:spacing w:after="0" w:line="176" w:lineRule="exact"/>
        <w:rPr>
          <w:sz w:val="20"/>
          <w:szCs w:val="20"/>
          <w:color w:val="auto"/>
        </w:rPr>
      </w:pPr>
    </w:p>
    <w:p>
      <w:pPr>
        <w:ind w:left="360" w:hanging="310"/>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and Interest Rate Derivatives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debt as of each balance sheet date (in millions) and provides the maturities and interest rate ranges of each major category as of September 30, 2020:</w:t>
      </w:r>
    </w:p>
    <w:p>
      <w:pPr>
        <w:spacing w:after="0" w:line="4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78"/>
        </w:trPr>
        <w:tc>
          <w:tcPr>
            <w:tcW w:w="68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Commercial paper program (weighted average interest rate of 0.5% as of</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4"/>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September 30, 2020)</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Senior notes, maturing through 2049, interest rates ranging from 2.4% to 7.75% (weighted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4"/>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average interest rate of 4.1% as of September 30, 2020 and 3.9% as of December 31, 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9,965</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senior notes, C$500 million maturing September 2026, interest rate of 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198"/>
        </w:trPr>
        <w:tc>
          <w:tcPr>
            <w:tcW w:w="6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Tax-exempt bonds, maturing through 2048, fixed and variable interest rates ranging from</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0.17% to 4.3% (weighted average interest rate of 1.9% as of September 30, 2020 and 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 of December 31, 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leases and other, maturing through 2071, weighted average interest rate of 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Debt issuance costs, discounts and other</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0"/>
        </w:trPr>
        <w:tc>
          <w:tcPr>
            <w:tcW w:w="6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13,498</w:t>
            </w:r>
          </w:p>
        </w:tc>
      </w:tr>
      <w:tr>
        <w:trPr>
          <w:trHeight w:val="216"/>
        </w:trPr>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10"/>
        </w:trPr>
        <w:tc>
          <w:tcPr>
            <w:tcW w:w="6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13,280</w:t>
            </w:r>
          </w:p>
        </w:tc>
      </w:tr>
      <w:tr>
        <w:trPr>
          <w:trHeight w:val="20"/>
        </w:trPr>
        <w:tc>
          <w:tcPr>
            <w:tcW w:w="6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Classification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2020, we had $2.2 billion of debt maturing within the next 12 months, including (i) $600 million of short-term borrowings under our commercial paper program; (ii) $400 million of 4.60% senior notes that mature in March 2021; (iii) $952 million of tax-exempt bonds with term interest rate periods that expire within the next 12 months, which is prior to their scheduled maturities, and (iv) $167 million of other debt with scheduled maturities within the next 12 months, including $63 million of tax-exempt bonds. As of September 30, 2020, we have classified $2.0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$167 million is classified as current obligations.</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As of September 30, 2020, we also had $54 million of variable-rate tax-exempt bonds with long-term scheduled maturities supported by letters of credit under our $3.5 billion revolving credit facility.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availability under our $3.5 billion revolving credit facility to fund these bonds until they are remarketed successfully. Accordingly, we have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classified the $54 million of variable-rate tax-exempt bonds with maturities of more than one year as long-term in our Condensed Consolidated Balance Sheet as of September 30, 2020.</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Access to and Utilization of Credit Facilities and Commercial Paper Program</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$3.0 Billion Revolving Credit Facility — </w:t>
      </w:r>
      <w:r>
        <w:rPr>
          <w:rFonts w:ascii="Times New Roman" w:cs="Times New Roman" w:eastAsia="Times New Roman" w:hAnsi="Times New Roman"/>
          <w:sz w:val="18"/>
          <w:szCs w:val="18"/>
          <w:color w:val="auto"/>
        </w:rPr>
        <w:t>On July 28, 2020, we entered into a supplemental $3.0 billion, 364-day,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revolving credit facility (“$3.0 billion revolving credit facility”) maturing July 27, 2021, to be used for general corporate purposes, including funding a portion of the Advanced Disposal acquisition as discussed further in Note 14, and refinancing of indebtedness. The facility provides the Company the option to convert outstanding balances into a term loan maturing no later than the first anniversary of the maturity date, subject to the payment of a fee and notifying the administrative agent at least 15 days prior to the original maturity date. The rates we pay for outstanding loans are generally based on LIBOR, plus a spread depending on the Company’s debt rating assigned by Moody’s Investors Service and Standard and Poor’s. The spread above LIBOR ranges from 1.0% to 1.3%. Based on our current ratings, the rate which we expect to pay will be LIBOR plus 1.225%. As of September 30, 2020, we had no outstanding borrowings under this facility. WM Holdings, a wholly-owned subsidiary of WM, guarantees all the obligations under the $3.0 billion revolving credit facility.</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$3.5 Billion Revolving Credit Facility — </w:t>
      </w:r>
      <w:r>
        <w:rPr>
          <w:rFonts w:ascii="Times New Roman" w:cs="Times New Roman" w:eastAsia="Times New Roman" w:hAnsi="Times New Roman"/>
          <w:sz w:val="18"/>
          <w:szCs w:val="18"/>
          <w:color w:val="auto"/>
        </w:rPr>
        <w:t>Our $3.5 billion revolving credit facility, maturing November 2024,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with credit capacity to be used for cash borrowings, to support letters of credit and to support our commercial paper program. The rates we pay for outstanding U.S. or Canadian loans are generally based on LIBOR or CDOR, respectively, plus a spread depending on the Company’s debt rating assigned by Moody’s Investors Service and Standard and Poor’s. As of September 30, 2020, we had no outstanding borrowings under this facility. We had $269 million of letters of credit issued and $600 million of outstanding borrowings under our commercial paper program, both supported by this facility, leaving unused and available credit capacity of $2.6 billion as of September 30, 2020. WM Holdings, a wholly-owned subsidiary of WM, guarantees all of the obligations under the $3.5 billion revolving credit facility.</w:t>
      </w:r>
    </w:p>
    <w:p>
      <w:pPr>
        <w:spacing w:after="0" w:line="18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We have a commercial paper program that enables us to borrow funds for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397 days at competitive interest rates. The rates we pay for outstanding borrowings are based on the term of the notes. The commercial paper program is fully supported by our $3.5 billion revolving credit facility. As of September 30, 2020, we had $600 million of outstanding borrowings under our commercial paper program.</w:t>
      </w:r>
    </w:p>
    <w:p>
      <w:pPr>
        <w:spacing w:after="0" w:line="180"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Letter of Credit Facilities — </w:t>
      </w:r>
      <w:r>
        <w:rPr>
          <w:rFonts w:ascii="Times New Roman" w:cs="Times New Roman" w:eastAsia="Times New Roman" w:hAnsi="Times New Roman"/>
          <w:sz w:val="18"/>
          <w:szCs w:val="18"/>
          <w:color w:val="auto"/>
        </w:rPr>
        <w:t>As of September 30, 2020, we utilized $528 million of other letter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which are both committed and uncommitted, with terms maturing through September 2021.</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Borrowings and Repayments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During the three months ended September 30, 2020, we had net cash borrowings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$597 million (net of related discount on issuance), the proceeds of which were primarily used for the redemption of senior notes discussed further below. We did not have any borrowing or repayment activity under our commercial paper program during the first six months of 2020.</w:t>
      </w:r>
    </w:p>
    <w:p>
      <w:pPr>
        <w:spacing w:after="0" w:line="180"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 In June 2020, we repaid $600 million of 4.75% senior notes with available cash at their scheduled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w:t>
      </w:r>
    </w:p>
    <w:p>
      <w:pPr>
        <w:spacing w:after="0" w:line="16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May 2019, we issued $4.0 billion of senior notes, $3.0 billion of which were due 2024, 2026, 2029 and 2039 and included a special mandatory redemption feature (the “SMR Notes”). The SMR Notes were issued with the intention of paying a portion of the consideration related to our acquisition of Advanced Disposal, which is discussed further in Notes 8 and 14. Pursuant to the terms of the SMR Notes, we were required to redeem all of such outstanding notes paying debt holders 101% of the aggregate principal amounts of such notes, plus accrued but unpaid interest, as a result of the acquisition not being completed by July 14, 2020. Accordingly, the redemption was completed on July 20, 2020 using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available cash on hand and, to a lesser extent, commercial paper borrowings. The cash paid included the $3.0 billion principal amount of debt redeemed, $30 million of related premiums and $8 million of accrued interest. We recognized a $52 million loss on early extinguishment of debt in our Consolidated Statement of Operations related to the redemption during the three months ended September 30, 2020, including $30 million of premiums paid and $22 million of unamortized discounts and debt issuance costs.</w:t>
      </w:r>
    </w:p>
    <w:p>
      <w:pPr>
        <w:spacing w:after="0" w:line="181"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Tax-Exempt Bonds </w:t>
      </w:r>
      <w:r>
        <w:rPr>
          <w:rFonts w:ascii="Times New Roman" w:cs="Times New Roman" w:eastAsia="Times New Roman" w:hAnsi="Times New Roman"/>
          <w:sz w:val="18"/>
          <w:szCs w:val="18"/>
          <w:color w:val="auto"/>
        </w:rPr>
        <w:t>— We issued $51 million of new tax-exempt bonds in 2020. The proceeds from the issuance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bonds were deposited directly into a restricted trust fund and may only be used for the specific purpose for which the money was raised, which is generally to finance expenditures for landfill and solid waste disposal facility construction and development. In the third quarter of 2020, we elected to refund and reissue $130 million of tax-exempt bonds. Additionally, during the nine months ended September 30, 2020, we repaid $82 million of our tax-exempt bonds with available cash at their scheduled maturities.</w:t>
      </w:r>
    </w:p>
    <w:p>
      <w:pPr>
        <w:spacing w:after="0" w:line="18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Leases and Other </w:t>
      </w:r>
      <w:r>
        <w:rPr>
          <w:rFonts w:ascii="Times New Roman" w:cs="Times New Roman" w:eastAsia="Times New Roman" w:hAnsi="Times New Roman"/>
          <w:sz w:val="18"/>
          <w:szCs w:val="18"/>
          <w:color w:val="auto"/>
        </w:rPr>
        <w:t>— The decrease during the nine months ended September 30, 2020 is due to $80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cash repayments primarily related to our federal low-income housing investments, financing leases and other obligations, partially offset by an increase of $21 million primarily associated with financing leases and, to a lesser extent, non-cash financing arrangements.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Derivatives</w:t>
      </w:r>
    </w:p>
    <w:p>
      <w:pPr>
        <w:spacing w:after="0" w:line="220" w:lineRule="exact"/>
        <w:rPr>
          <w:sz w:val="20"/>
          <w:szCs w:val="20"/>
          <w:color w:val="auto"/>
        </w:rPr>
      </w:pPr>
    </w:p>
    <w:p>
      <w:pPr>
        <w:jc w:val="both"/>
        <w:ind w:left="60" w:right="59" w:firstLine="2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Active Hedges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third quarter of 2020, we entered into treasury rate locks with a notional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$500 million to secure an underlying interest rate of a debt issuance which is currently being evaluated for the fourth quarter of 2020, subject to market conditions and other considerations. We designated our treasury locks as cash flow hedges. As of September 30, 2020, the fair value of these active interest rate derivatives was an asset of $4 million, classified as current assets.</w:t>
      </w:r>
    </w:p>
    <w:p>
      <w:pPr>
        <w:spacing w:after="0" w:line="173" w:lineRule="exact"/>
        <w:rPr>
          <w:sz w:val="20"/>
          <w:szCs w:val="20"/>
          <w:color w:val="auto"/>
        </w:rPr>
      </w:pPr>
    </w:p>
    <w:p>
      <w:pPr>
        <w:jc w:val="both"/>
        <w:ind w:left="60" w:right="59" w:firstLine="2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Terminated Hedges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first half of 2020, we entered into treasury rate locks with a total notional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$400 million to secure an underlying interest rate in anticipation of a debt issuance previously anticipated in the second quarter of 2020. We designated our treasury locks as cash flow hedges. In June 2020, we terminated these treasury rate locks and upon termination received $1 million in cash. As noted above, we are evaluating a debt issuance in the fourth quarter of 2020, subject to market conditions and other considerations, which we believe is still probable to occur. As such, the gain associated with these treasury rate locks has been deferred as a component of “Accumulated other comprehensive income” and will be amortized to interest expense over the debt term once the issuance occurs.</w:t>
      </w:r>
    </w:p>
    <w:p>
      <w:pPr>
        <w:spacing w:after="0" w:line="188" w:lineRule="exact"/>
        <w:rPr>
          <w:sz w:val="20"/>
          <w:szCs w:val="20"/>
          <w:color w:val="auto"/>
        </w:rPr>
      </w:pPr>
    </w:p>
    <w:p>
      <w:pPr>
        <w:jc w:val="both"/>
        <w:ind w:left="60" w:right="59" w:firstLine="259"/>
        <w:spacing w:after="0" w:line="261" w:lineRule="auto"/>
        <w:rPr>
          <w:sz w:val="20"/>
          <w:szCs w:val="20"/>
          <w:color w:val="auto"/>
        </w:rPr>
      </w:pPr>
      <w:r>
        <w:rPr>
          <w:rFonts w:ascii="Times New Roman" w:cs="Times New Roman" w:eastAsia="Times New Roman" w:hAnsi="Times New Roman"/>
          <w:sz w:val="18"/>
          <w:szCs w:val="18"/>
          <w:color w:val="auto"/>
        </w:rPr>
        <w:t>All financial statement impacts associated with these financial hedges were immaterial as of and for the three and nine months ended September 30, 2020. There was no significant ineffectiveness associated with our cash flow hedges during the three or nine months ended September 30, 2020. Refer to Note 10 for information regarding the impacts of our cash flow derivatives on our comprehensive income and results of operations.</w:t>
      </w:r>
    </w:p>
    <w:p>
      <w:pPr>
        <w:spacing w:after="0" w:line="176" w:lineRule="exact"/>
        <w:rPr>
          <w:sz w:val="20"/>
          <w:szCs w:val="20"/>
          <w:color w:val="auto"/>
        </w:rPr>
      </w:pPr>
    </w:p>
    <w:p>
      <w:pPr>
        <w:ind w:left="360" w:hanging="310"/>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Our effective income tax rate was 24.5% and 21.4% for the three and nine months ended September 30, 2020, respectively, compared with 19.4% and 22.2% for the three and nine months ended September 30, 2019, respectively.</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increase in our effective income tax rate when comparing the three months ended September 30, 2020 and 2019 was primarily driven by (i) favorable adjustments to accruals and related deferred taxes recorded in 2019 due to the filing of our 2018 income tax returns and changes in state and foreign laws; (ii) lower federal tax credits in 2020 and (iii) the detrimental impact of non-deductible transaction costs related to closing the acquisition of Advanced Disposal. The decrease in our effective income tax rate when comparing the nine months ended September 30, 2020 and 2019 was primarily driven by (i) a decrease in pre-tax income in 2020, which increased the effective tax rate impact of federal tax</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credits and (ii) a $52 million non-cash impairment charge recognized in 2019 that was not deductible for tax purposes. These items are discussed further below. We evaluate our effective income tax rate at each interim period and adjust it as facts and circumstances warrant.</w:t>
      </w:r>
    </w:p>
    <w:p>
      <w:pPr>
        <w:spacing w:after="0" w:line="17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Investments Qualifying for Federal Tax Credits </w:t>
      </w:r>
      <w:r>
        <w:rPr>
          <w:rFonts w:ascii="Times New Roman" w:cs="Times New Roman" w:eastAsia="Times New Roman" w:hAnsi="Times New Roman"/>
          <w:sz w:val="18"/>
          <w:szCs w:val="18"/>
          <w:color w:val="auto"/>
        </w:rPr>
        <w:t>— We have significant financial interests in entities established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 in and manage low-income housing properties. We support the operations of these entities in exchange for a pro-rata share of the tax credits they generate. The low-income housing investments qualify for federal tax credits that we expect to realize through 2030 under Section 42 or Section 45D of the Internal Revenue Code. We also held a residual financial interest in an entity that owns a refined coal facility that qualified for federal tax credits under Section 45 of the Internal Revenue Code through 2019. The entity sold the majority of its assets in the first quarter of 2020, which resulted in a $7 million non-cash impairment of our investment at that time. We account for our investments in these entities using the equity method of accounting, recognizing our share of each entity’s results of operations and other reductions in the value of our investments in equity in net losses of unconsolidated entities within our Condensed Consolidated Statements of Operations.</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2020, we recognized $16 million and $59 million (including the $7 million impairment of the refined coal facility noted above for the nine month period) of net losses and a reduction in our income tax expense of $24 million and $65 million, respectively, primarily due to tax credits realized from these investments. In addition, during the three and nine months ended September 30, 2020, we recognized interest expense of $3 million and $9 million, respectively, associated with our investments in low-income housing properties.</w:t>
      </w:r>
    </w:p>
    <w:p>
      <w:pPr>
        <w:spacing w:after="0" w:line="183" w:lineRule="exact"/>
        <w:rPr>
          <w:sz w:val="20"/>
          <w:szCs w:val="20"/>
          <w:color w:val="auto"/>
        </w:rPr>
      </w:pPr>
    </w:p>
    <w:p>
      <w:pPr>
        <w:jc w:val="both"/>
        <w:ind w:left="60" w:right="59" w:firstLine="324"/>
        <w:spacing w:after="0" w:line="281" w:lineRule="auto"/>
        <w:rPr>
          <w:sz w:val="20"/>
          <w:szCs w:val="20"/>
          <w:color w:val="auto"/>
        </w:rPr>
      </w:pPr>
      <w:r>
        <w:rPr>
          <w:rFonts w:ascii="Times New Roman" w:cs="Times New Roman" w:eastAsia="Times New Roman" w:hAnsi="Times New Roman"/>
          <w:sz w:val="17"/>
          <w:szCs w:val="17"/>
          <w:color w:val="auto"/>
        </w:rPr>
        <w:t>During the three and nine months ended September 30, 2019, we recognized $11 million and $32 million of net losses and a reduction in our income tax expense of $36 million and $69 million, respectively, primarily due to tax credits realized from these investments. In addition, during the three and nine months ended September 30, 2019, we recognized interest expense of $2 million and $6 million, respectively, associated with our investments in low-income housing properties.</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13 for additional information related to these unconsolidated variable interest entities.</w:t>
      </w:r>
    </w:p>
    <w:p>
      <w:pPr>
        <w:spacing w:after="0" w:line="22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Adjustments to Accruals and Related Deferred Taxes </w:t>
      </w:r>
      <w:r>
        <w:rPr>
          <w:rFonts w:ascii="Times New Roman" w:cs="Times New Roman" w:eastAsia="Times New Roman" w:hAnsi="Times New Roman"/>
          <w:sz w:val="18"/>
          <w:szCs w:val="18"/>
          <w:color w:val="auto"/>
        </w:rPr>
        <w:t>— For the three and nine months ended September 30,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to accruals and related deferred taxes impacted our income tax expense with a nominal increase and a $6 million decrease, respectively. During the third quarter of 2019, adjustments to accruals and related deferred taxes decreased our income tax expense by $13 million for both the three and nine months ended September 30, 2019. These adjustments were the result of filing our income tax returns and changes in state and foreign laws.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Non-Deductible Transaction Costs </w:t>
      </w:r>
      <w:r>
        <w:rPr>
          <w:rFonts w:ascii="Times New Roman" w:cs="Times New Roman" w:eastAsia="Times New Roman" w:hAnsi="Times New Roman"/>
          <w:sz w:val="18"/>
          <w:szCs w:val="18"/>
          <w:color w:val="auto"/>
        </w:rPr>
        <w:t>— During the three months ended September 30, 2020, we recognized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detrimental tax impact of $19 million of non-deductible transaction costs related to closing the acquisition of Advanced Disposal. The tax rules require the capitalization of certain facilitative costs on the acquisition of stock of a company resulting in the applicable costs not being deductible for tax purposes.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Tax Implications of Impairments </w:t>
      </w:r>
      <w:r>
        <w:rPr>
          <w:rFonts w:ascii="Times New Roman" w:cs="Times New Roman" w:eastAsia="Times New Roman" w:hAnsi="Times New Roman"/>
          <w:sz w:val="18"/>
          <w:szCs w:val="18"/>
          <w:color w:val="auto"/>
        </w:rPr>
        <w:t>— We recognized a $52 million non-cash impairment charge in the first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which was not deductible for tax purposes. The non-cash impairment charges recognized during the three and nine months ended September 30, 2020 are deductible for tax purposes. See Note 9 for additional information related to the impairments.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Equity-Based Compensation </w:t>
      </w:r>
      <w:r>
        <w:rPr>
          <w:rFonts w:ascii="Times New Roman" w:cs="Times New Roman" w:eastAsia="Times New Roman" w:hAnsi="Times New Roman"/>
          <w:sz w:val="18"/>
          <w:szCs w:val="18"/>
          <w:color w:val="auto"/>
        </w:rPr>
        <w:t>— During the three and nine months ended September 30, 2020, we recognized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in income tax expense of $2 million and $25 million, respectively, for excess tax benefits related to the vesting or exercise of equity-based compensation awards compared with $5 million and $22 million, respectively, for the comparable prior year periods.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7"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Recent Legislation </w:t>
      </w:r>
      <w:r>
        <w:rPr>
          <w:rFonts w:ascii="Times New Roman" w:cs="Times New Roman" w:eastAsia="Times New Roman" w:hAnsi="Times New Roman"/>
          <w:sz w:val="18"/>
          <w:szCs w:val="18"/>
          <w:color w:val="auto"/>
        </w:rPr>
        <w:t>— On March 27, 2020, the Coronavirus Aid, Relief, and Economic Security Act (the “CARES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was enacted in response to the COVID-19 pandemic. The CARES Act contains numerous income tax provisions, none of which directly affected our income tax expense for the three and nine months ended September 30, 2020 or are expected to have a material impact on our income tax expense in future reporting periods. The Company is evaluating the impact of the CARES Act and expects to benefit from the deferral of certain payroll taxes through the end of calendar year 2020.</w:t>
      </w:r>
    </w:p>
    <w:p>
      <w:pPr>
        <w:spacing w:after="0" w:line="180" w:lineRule="exact"/>
        <w:rPr>
          <w:sz w:val="20"/>
          <w:szCs w:val="20"/>
          <w:color w:val="auto"/>
        </w:rPr>
      </w:pPr>
    </w:p>
    <w:p>
      <w:pPr>
        <w:ind w:left="360" w:hanging="310"/>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earnings per share were computed using the following common share data (shares in millions):</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6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6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6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60" w:type="dxa"/>
            <w:vAlign w:val="bottom"/>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common shares outstanding at end of period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Effect of using weighted average common shares outstanding</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0" w:type="dxa"/>
            <w:vAlign w:val="bottom"/>
          </w:tcPr>
          <w:p>
            <w:pPr>
              <w:spacing w:after="0"/>
              <w:rPr>
                <w:sz w:val="1"/>
                <w:szCs w:val="1"/>
                <w:color w:val="auto"/>
              </w:rPr>
            </w:pPr>
          </w:p>
        </w:tc>
      </w:tr>
      <w:tr>
        <w:trPr>
          <w:trHeight w:val="198"/>
        </w:trPr>
        <w:tc>
          <w:tcPr>
            <w:tcW w:w="58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Dilutive effect of equity-based compensation awards and other</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contingently issuable shares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Potentially issuable shares</w:t>
            </w: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180" w:type="dxa"/>
            <w:vAlign w:val="bottom"/>
            <w:vMerge w:val="continue"/>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18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18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8"/>
        </w:trPr>
        <w:tc>
          <w:tcPr>
            <w:tcW w:w="5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Number of anti-dilutive potentially issuable shares excluded from diluted</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60" w:hanging="310"/>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 </w:t>
      </w:r>
      <w:r>
        <w:rPr>
          <w:rFonts w:ascii="Times New Roman" w:cs="Times New Roman" w:eastAsia="Times New Roman" w:hAnsi="Times New Roman"/>
          <w:sz w:val="18"/>
          <w:szCs w:val="18"/>
          <w:color w:val="auto"/>
        </w:rPr>
        <w:t>We have obtained letters of credit, surety bonds and insurance policies and have established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facilities established for that purpose. These facilities are discussed further in Note 3.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8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as a result of COVID-19 or other economic factors. In an ongoing effort to mitigate risks of future cost increases and reductions in available capacity, we continue to evaluate various options to access cost-effective sources of financial assurance.</w:t>
      </w:r>
    </w:p>
    <w:p>
      <w:pPr>
        <w:spacing w:after="0" w:line="18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Insurance — </w:t>
      </w:r>
      <w:r>
        <w:rPr>
          <w:rFonts w:ascii="Times New Roman" w:cs="Times New Roman" w:eastAsia="Times New Roman" w:hAnsi="Times New Roman"/>
          <w:sz w:val="18"/>
          <w:szCs w:val="18"/>
          <w:color w:val="auto"/>
        </w:rPr>
        <w:t>We carry insurance coverage for protection of our assets and operations from certain risks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liability, automobile liability, workers’ compensation, real and personal property, directors’ and officers’ liability, pollution legal liability and other coverages we believe are customary to the industry. Our exposure to loss for insurance claims is generally limited to the per incident deductible under the related insurance policy. Our exposure could increase if our insurers are unable to meet their commitments on a timely basis.</w:t>
      </w:r>
    </w:p>
    <w:p>
      <w:pPr>
        <w:spacing w:after="0" w:line="18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have retained a significant portion of the risks related to our health and welfare,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do not expect the impact of any known casualty, property, environmental or other contingency to have a material impact on our financial condition, results of operations or cash flows.</w:t>
      </w:r>
    </w:p>
    <w:p>
      <w:pPr>
        <w:spacing w:after="0" w:line="16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Guarantees — </w:t>
      </w:r>
      <w:r>
        <w:rPr>
          <w:rFonts w:ascii="Times New Roman" w:cs="Times New Roman" w:eastAsia="Times New Roman" w:hAnsi="Times New Roman"/>
          <w:sz w:val="18"/>
          <w:szCs w:val="18"/>
          <w:color w:val="auto"/>
        </w:rPr>
        <w:t>In the ordinary course of our business, WM and WM Holdings enter into guarantee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their subsidiaries’ 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18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of September 30, 2020, we have guaranteed the obligations and certain performance requirements of third parties in connection with both consolidated and unconsolidated entities, including guarantees to cover certain market value losses for certain properties adjacent to or near 18 of our landfills. We have also agreed to indemnify certain third-party purchasers against liabilities associated with divested operations prior to such sale.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believe that these contingent obligations will have a material adverse effect on the Company’s financial condition, results of operations or cash flows, and we do not expect the financial impact of operational and financial performance guarantees to materially exceed the recorded fair value.</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 </w:t>
      </w:r>
      <w:r>
        <w:rPr>
          <w:rFonts w:ascii="Times New Roman" w:cs="Times New Roman" w:eastAsia="Times New Roman" w:hAnsi="Times New Roman"/>
          <w:sz w:val="18"/>
          <w:szCs w:val="18"/>
          <w:color w:val="auto"/>
        </w:rPr>
        <w:t>A significant portion of our operating costs and capital expenditures could be characterized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8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$145 million higher than the $238 million recorded in the Condensed Consolidated Balance Sheet as of September 30, 2020.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97" w:lineRule="exact"/>
        <w:rPr>
          <w:sz w:val="20"/>
          <w:szCs w:val="20"/>
          <w:color w:val="auto"/>
        </w:rPr>
      </w:pPr>
    </w:p>
    <w:p>
      <w:pPr>
        <w:jc w:val="both"/>
        <w:ind w:left="60" w:right="59" w:firstLine="324"/>
        <w:spacing w:after="0" w:line="289" w:lineRule="auto"/>
        <w:rPr>
          <w:sz w:val="20"/>
          <w:szCs w:val="20"/>
          <w:color w:val="auto"/>
        </w:rPr>
      </w:pPr>
      <w:r>
        <w:rPr>
          <w:rFonts w:ascii="Times New Roman" w:cs="Times New Roman" w:eastAsia="Times New Roman" w:hAnsi="Times New Roman"/>
          <w:sz w:val="17"/>
          <w:szCs w:val="17"/>
          <w:color w:val="auto"/>
        </w:rPr>
        <w:t>As of September 30, 2020, we have been notified by the government that we are a PRP in connection with 75 locations listed on the Environmental Protection Agency’s (“EPA’s”) Superfund National Priorities List (“NPL”). Of the 75 sites at which claims have been made against us, 15 are sites we own. Each of the NPL sites we own was initially developed by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60 NPL sites, which we do not own, are at various procedural stages under the Comprehensive Environmental Response, Compensation and Liability Act of 1980, as amended, known as CERCLA or Superfund.</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9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October 11, 2017, the EPA issued its Record of Decision (“ROD”) with respect to the previously proposed remediation plan for the San Jacinto waste pits in Harris County, Texas. McGinnes Industrial Maintenance Corporation (“MIMC”), an indirect wholly-owned subsidiary of WM, operated some of the waste pits from 1965 to 1966 and has been named as a site PRP. In 1998, WM acquired the stock of the parent entity of MIMC. MIMC has been working with the EPA and other named PRPs as the process of addressing the site proceeds. On April 9, 2018, MIMC and International Paper Company entered into an Administrative Order on Consent agreement with the EPA to develop a remedial design for the EPA’s proposed remedy for the site. Allocation of responsibility among the PRPs for the proposed remedy has not been established. As of September 30, 2020 and December 31, 2019, the recorded liability for MIMC’s estimated potential share of the EPA’s proposed remedy and related costs was $55 million and $56 million, respectively. MIMC’s ultimate liability could be materially different from current estimates.</w:t>
      </w:r>
    </w:p>
    <w:p>
      <w:pPr>
        <w:spacing w:after="0" w:line="19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 is disclosed in accordance with that requirement:</w:t>
      </w:r>
    </w:p>
    <w:p>
      <w:pPr>
        <w:spacing w:after="0" w:line="180" w:lineRule="exact"/>
        <w:rPr>
          <w:sz w:val="20"/>
          <w:szCs w:val="20"/>
          <w:color w:val="auto"/>
        </w:rPr>
      </w:pPr>
    </w:p>
    <w:p>
      <w:pPr>
        <w:jc w:val="both"/>
        <w:ind w:left="380" w:right="59" w:firstLine="324"/>
        <w:spacing w:after="0" w:line="255" w:lineRule="auto"/>
        <w:rPr>
          <w:sz w:val="20"/>
          <w:szCs w:val="20"/>
          <w:color w:val="auto"/>
        </w:rPr>
      </w:pPr>
      <w:r>
        <w:rPr>
          <w:rFonts w:ascii="Times New Roman" w:cs="Times New Roman" w:eastAsia="Times New Roman" w:hAnsi="Times New Roman"/>
          <w:sz w:val="18"/>
          <w:szCs w:val="18"/>
          <w:color w:val="auto"/>
        </w:rPr>
        <w:t>On July 10, 2013, the EPA issued a Notice of Violation ("NOV") to Waste Management of Wisconsin, Inc., an indirect wholly-owned subsidiary of WM, alleging violations of the Resource Conservation and Recovery Act concerning acceptance of certain waste that was not permitted to be disposed of at the Metro Recycling &amp; Disposal Facility in Franklin, Wisconsin. The parties have agreed to resolve this matter through payment of a penalty, implementation of additional monitoring activities and revisions to waste acceptance protocols at the facility. The related Consent Decree became final in September 2020, and the outcome of this matter is not material to the Company’s business, financial condition, results of operations or cash flows.</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8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Litigation — </w:t>
      </w:r>
      <w:r>
        <w:rPr>
          <w:rFonts w:ascii="Times New Roman" w:cs="Times New Roman" w:eastAsia="Times New Roman" w:hAnsi="Times New Roman"/>
          <w:sz w:val="18"/>
          <w:szCs w:val="18"/>
          <w:color w:val="auto"/>
        </w:rPr>
        <w:t>As a large company with operations across the U.S. and Canada, we are subject to various proceedings,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lawsuits, disputes and claims arising in the ordinary course of our 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WM’s charter and bylaws provide that WM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WM’s Board of Directors and each of WM’s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Multiemployer Defined Benefit Pension Plans — </w:t>
      </w:r>
      <w:r>
        <w:rPr>
          <w:rFonts w:ascii="Times New Roman" w:cs="Times New Roman" w:eastAsia="Times New Roman" w:hAnsi="Times New Roman"/>
          <w:sz w:val="18"/>
          <w:szCs w:val="18"/>
          <w:color w:val="auto"/>
        </w:rPr>
        <w:t>About 20% of our workforce is covered by collective bargaining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with various local unions across the U.S. and Canada.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 During the first quarter of 2020, we recognized a $3 million charge to operating expenses for the withdrawal from an underfunded Multiemployer Pension Plan.</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1" w:lineRule="exact"/>
        <w:rPr>
          <w:sz w:val="20"/>
          <w:szCs w:val="20"/>
          <w:color w:val="auto"/>
        </w:rPr>
      </w:pPr>
    </w:p>
    <w:p>
      <w:pPr>
        <w:jc w:val="both"/>
        <w:ind w:left="60" w:right="79" w:firstLine="324"/>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Tax Matters — </w:t>
      </w:r>
      <w:r>
        <w:rPr>
          <w:rFonts w:ascii="Times New Roman" w:cs="Times New Roman" w:eastAsia="Times New Roman" w:hAnsi="Times New Roman"/>
          <w:sz w:val="17"/>
          <w:szCs w:val="17"/>
          <w:color w:val="auto"/>
        </w:rPr>
        <w:t>We participate in the IRS’s Compliance Assurance Process, which means we work with the IRS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throughout the year towards resolving any material issues prior to the filing of our annual tax return. Any unresolved issues as of the tax return filing date are subject to routine examination procedures. We are currently in the examination phase of IRS audits for the 2017 through 2020 tax years and expect these audits to be completed within the next 18 months. We are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also currently undergoing audits by various state and local jurisdictions for tax years that date back to 2014. We maintain a liability for uncertain tax positions, the balance of which management believes is adequate. Results of audit assessments by taxing authorities are not currently expected to have a material adverse effect on our financial condition, results of operations or cash flows.</w:t>
      </w:r>
    </w:p>
    <w:p>
      <w:pPr>
        <w:spacing w:after="0" w:line="176" w:lineRule="exact"/>
        <w:rPr>
          <w:sz w:val="20"/>
          <w:szCs w:val="20"/>
          <w:color w:val="auto"/>
        </w:rPr>
      </w:pPr>
    </w:p>
    <w:p>
      <w:pPr>
        <w:ind w:left="360" w:hanging="310"/>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Related Information</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evaluate, oversee and manage the financial performance of our Solid Waste business subsidiaries through our 17 Areas. The 17 Areas constitute operating segments and we have evaluated the aggregation criteria and concluded that, based on the similarities between our Areas, including the fact that our Solid Waste business is homogenous across geographies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are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w:t>
      </w:r>
    </w:p>
    <w:p>
      <w:pPr>
        <w:spacing w:after="0" w:line="19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the fourth quarter of 2019, as part of our annual review process, we analyzed the Areas’ income from operations margins for purposes of segment reporting and realigned our Solid Waste tiers to reflect recent changes in their relative economic characteristics and prospects. These changes are the results of various factors including acquisitions, divestitures, business mix and the economic climate of various geographies. As a result, we reclassified the Western Canada Area from Tier 1 to Tier 2 and the Northern California Area from Tier 3 to Tier 2. Reclassifications have been made to our prior period condensed consolidated financial information to conform to the current year presentation.</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Tier 1 is comprised of our operations across the Southern U.S., with the exception of the Southern California Area and the Florida Area, and also includes the New England Area and the tri-state Area of Michigan, Indiana and Ohio. Tier 2 includes California, Canada, and the Wisconsin and Minnesota Area. Tier 3 encompasses all the remaining operations including the Pacific Northwest, the Mid-Atlantic region of the U.S., the Florida Area, and the Illinois and Missouri Valley Area.</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operating segments not evaluated and overseen through the 17 Areas are presented herein as “Other” as these operating segments do not meet the criteria to be aggregated with other operating segments and do not meet the quantitative criteria to be separately reported.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Summarized financial information concerning our reportable segments is shown in the following table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40" w:type="dxa"/>
            <w:vAlign w:val="bottom"/>
          </w:tcPr>
          <w:p>
            <w:pPr>
              <w:spacing w:after="0"/>
              <w:rPr>
                <w:sz w:val="13"/>
                <w:szCs w:val="13"/>
                <w:color w:val="auto"/>
              </w:rPr>
            </w:pPr>
          </w:p>
        </w:tc>
        <w:tc>
          <w:tcPr>
            <w:tcW w:w="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3"/>
                <w:szCs w:val="13"/>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Revenues(c)</w:t>
            </w: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Operations(d)</w:t>
            </w:r>
          </w:p>
        </w:tc>
        <w:tc>
          <w:tcPr>
            <w:tcW w:w="0" w:type="dxa"/>
            <w:vAlign w:val="bottom"/>
          </w:tcPr>
          <w:p>
            <w:pPr>
              <w:spacing w:after="0"/>
              <w:rPr>
                <w:sz w:val="1"/>
                <w:szCs w:val="1"/>
                <w:color w:val="auto"/>
              </w:rPr>
            </w:pPr>
          </w:p>
        </w:tc>
      </w:tr>
      <w:tr>
        <w:trPr>
          <w:trHeight w:val="169"/>
        </w:trPr>
        <w:tc>
          <w:tcPr>
            <w:tcW w:w="3580" w:type="dxa"/>
            <w:vAlign w:val="bottom"/>
            <w:tcBorders>
              <w:top w:val="single" w:sz="8" w:color="CCEEFF"/>
            </w:tcBorders>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Solid Waste: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Tier 1</w:t>
            </w:r>
          </w:p>
        </w:tc>
        <w:tc>
          <w:tcPr>
            <w:tcW w:w="19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Tier 2</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Tier 3</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Solid Waste</w:t>
            </w:r>
          </w:p>
        </w:tc>
        <w:tc>
          <w:tcPr>
            <w:tcW w:w="1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(a)</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Corporate and Other (b)</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5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Solid Waste: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Tier 1</w:t>
            </w:r>
          </w:p>
        </w:tc>
        <w:tc>
          <w:tcPr>
            <w:tcW w:w="198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Tier 2</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Tier 3</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Solid Waste</w:t>
            </w:r>
          </w:p>
        </w:tc>
        <w:tc>
          <w:tcPr>
            <w:tcW w:w="1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(b)</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57"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2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3"/>
                <w:szCs w:val="13"/>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Income</w:t>
            </w: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2"/>
                <w:szCs w:val="12"/>
                <w:color w:val="auto"/>
              </w:rPr>
            </w:pPr>
          </w:p>
        </w:tc>
        <w:tc>
          <w:tcPr>
            <w:tcW w:w="74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Revenues(c)</w:t>
            </w: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Operations(d)</w:t>
            </w:r>
          </w:p>
        </w:tc>
      </w:tr>
      <w:tr>
        <w:trPr>
          <w:trHeight w:val="156"/>
        </w:trPr>
        <w:tc>
          <w:tcPr>
            <w:tcW w:w="5320" w:type="dxa"/>
            <w:vAlign w:val="bottom"/>
            <w:tcBorders>
              <w:top w:val="single" w:sz="8" w:color="CCEEFF"/>
            </w:tcBorders>
            <w:gridSpan w:val="4"/>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Solid Waste: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Tier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16"/>
        </w:trPr>
        <w:tc>
          <w:tcPr>
            <w:tcW w:w="20" w:type="dxa"/>
            <w:vAlign w:val="bottom"/>
            <w:shd w:val="clear" w:color="auto" w:fill="CCEEFF"/>
          </w:tcPr>
          <w:p>
            <w:pPr>
              <w:spacing w:after="0"/>
              <w:rPr>
                <w:sz w:val="18"/>
                <w:szCs w:val="18"/>
                <w:color w:val="auto"/>
              </w:rPr>
            </w:pPr>
          </w:p>
        </w:tc>
        <w:tc>
          <w:tcPr>
            <w:tcW w:w="5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Tier 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16"/>
        </w:trPr>
        <w:tc>
          <w:tcPr>
            <w:tcW w:w="20" w:type="dxa"/>
            <w:vAlign w:val="bottom"/>
          </w:tcPr>
          <w:p>
            <w:pPr>
              <w:spacing w:after="0"/>
              <w:rPr>
                <w:sz w:val="18"/>
                <w:szCs w:val="18"/>
                <w:color w:val="auto"/>
              </w:rPr>
            </w:pPr>
          </w:p>
        </w:tc>
        <w:tc>
          <w:tcPr>
            <w:tcW w:w="5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Tier 3</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300" w:type="dxa"/>
            <w:vAlign w:val="bottom"/>
            <w:tcBorders>
              <w:top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Solid Waste</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r>
      <w:tr>
        <w:trPr>
          <w:trHeight w:val="216"/>
        </w:trPr>
        <w:tc>
          <w:tcPr>
            <w:tcW w:w="5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(a)</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r>
      <w:tr>
        <w:trPr>
          <w:trHeight w:val="216"/>
        </w:trPr>
        <w:tc>
          <w:tcPr>
            <w:tcW w:w="5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Corporate and Other (b)</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30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Solid Waste: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Tier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16"/>
        </w:trPr>
        <w:tc>
          <w:tcPr>
            <w:tcW w:w="20" w:type="dxa"/>
            <w:vAlign w:val="bottom"/>
          </w:tcPr>
          <w:p>
            <w:pPr>
              <w:spacing w:after="0"/>
              <w:rPr>
                <w:sz w:val="18"/>
                <w:szCs w:val="18"/>
                <w:color w:val="auto"/>
              </w:rPr>
            </w:pPr>
          </w:p>
        </w:tc>
        <w:tc>
          <w:tcPr>
            <w:tcW w:w="5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Tier 2</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16"/>
        </w:trPr>
        <w:tc>
          <w:tcPr>
            <w:tcW w:w="20" w:type="dxa"/>
            <w:vAlign w:val="bottom"/>
            <w:shd w:val="clear" w:color="auto" w:fill="CCEEFF"/>
          </w:tcPr>
          <w:p>
            <w:pPr>
              <w:spacing w:after="0"/>
              <w:rPr>
                <w:sz w:val="18"/>
                <w:szCs w:val="18"/>
                <w:color w:val="auto"/>
              </w:rPr>
            </w:pPr>
          </w:p>
        </w:tc>
        <w:tc>
          <w:tcPr>
            <w:tcW w:w="5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Tier 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10"/>
        </w:trPr>
        <w:tc>
          <w:tcPr>
            <w:tcW w:w="20" w:type="dxa"/>
            <w:vAlign w:val="bottom"/>
          </w:tcPr>
          <w:p>
            <w:pPr>
              <w:spacing w:after="0"/>
              <w:rPr>
                <w:sz w:val="18"/>
                <w:szCs w:val="18"/>
                <w:color w:val="auto"/>
              </w:rPr>
            </w:pPr>
          </w:p>
        </w:tc>
        <w:tc>
          <w:tcPr>
            <w:tcW w:w="53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Solid Waste</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12,279</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16"/>
        </w:trPr>
        <w:tc>
          <w:tcPr>
            <w:tcW w:w="5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9"/>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14,036</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11,609</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w:t>
            </w:r>
          </w:p>
        </w:tc>
      </w:tr>
      <w:tr>
        <w:trPr>
          <w:trHeight w:val="216"/>
        </w:trPr>
        <w:tc>
          <w:tcPr>
            <w:tcW w:w="5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(b)</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10"/>
        </w:trPr>
        <w:tc>
          <w:tcPr>
            <w:tcW w:w="20" w:type="dxa"/>
            <w:vAlign w:val="bottom"/>
          </w:tcPr>
          <w:p>
            <w:pPr>
              <w:spacing w:after="0"/>
              <w:rPr>
                <w:sz w:val="18"/>
                <w:szCs w:val="18"/>
                <w:color w:val="auto"/>
              </w:rPr>
            </w:pPr>
          </w:p>
        </w:tc>
        <w:tc>
          <w:tcPr>
            <w:tcW w:w="5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14,036</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11,609</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r>
    </w:tbl>
    <w:p>
      <w:pPr>
        <w:spacing w:after="0" w:line="76" w:lineRule="exact"/>
        <w:rPr>
          <w:sz w:val="20"/>
          <w:szCs w:val="20"/>
          <w:color w:val="auto"/>
        </w:rPr>
      </w:pPr>
    </w:p>
    <w:p>
      <w:pPr>
        <w:jc w:val="both"/>
        <w:ind w:left="380" w:right="79" w:hanging="330"/>
        <w:spacing w:after="0" w:line="256"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(i) our Strategic Business Solutions (“WMSBS”) business; (ii) those elements of our landfill gas-to-energy operations and third-party subcontract and administration revenues managed by our Energy and Environmental Services (“EES”) and WM Renewable Energy businesses that are not included in the operations of our reportable segments; (iii) our recycling brokerage services and (iv) certain other expanded service offerings and solutions. In addition, our “Other” segment reflects the results of non-operating entities that provide financial assurance and self-insurance support for our Solid Waste business, net of intercompany activity.</w:t>
      </w:r>
    </w:p>
    <w:p>
      <w:pPr>
        <w:spacing w:after="0" w:line="79" w:lineRule="exact"/>
        <w:rPr>
          <w:rFonts w:ascii="Times New Roman" w:cs="Times New Roman" w:eastAsia="Times New Roman" w:hAnsi="Times New Roman"/>
          <w:sz w:val="18"/>
          <w:szCs w:val="18"/>
          <w:color w:val="auto"/>
        </w:rPr>
      </w:pPr>
    </w:p>
    <w:p>
      <w:pPr>
        <w:jc w:val="both"/>
        <w:ind w:left="380" w:right="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for the Other segment for the three and nine months ended September 30, 2020 was impacted primarily by an increase in revenue for our WMSBS and WM Renewable Energy businesses as a result of new contract activities in the current year periods and a new renewable energy facility coming online which drove an increase in commodity sales, respectively. Additionally, the nine month period is impacted by a $16 million non-cash charge to write off certain equipment costs recorded in the prior year period offset, in part, by (i) a decrease in revenue within our EES business and (ii) the non-cash impairment of certain assets within our WM Renewable Energy business in the current year period.</w:t>
      </w:r>
    </w:p>
    <w:p>
      <w:pPr>
        <w:spacing w:after="0" w:line="80" w:lineRule="exact"/>
        <w:rPr>
          <w:rFonts w:ascii="Times New Roman" w:cs="Times New Roman" w:eastAsia="Times New Roman" w:hAnsi="Times New Roman"/>
          <w:sz w:val="18"/>
          <w:szCs w:val="18"/>
          <w:color w:val="auto"/>
        </w:rPr>
      </w:pPr>
    </w:p>
    <w:p>
      <w:pPr>
        <w:jc w:val="both"/>
        <w:ind w:left="380" w:right="79" w:hanging="330"/>
        <w:spacing w:after="0" w:line="256"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operating results reflect certain costs incurred for various support services that are not allocated to our reportable segments. These support services include, among other things, treasury, legal, information technology, tax, insurance, centralized service center processes, other administrative functions and the maintenance of our closed landfills. Income from operations for “Corporate and Other” also includes costs associated with our long-term incentive program and any administrative expenses or revisions to our estimated obligations associated with divested operations.</w:t>
      </w:r>
    </w:p>
    <w:p>
      <w:pPr>
        <w:spacing w:after="0" w:line="79"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380" w:right="79" w:hanging="330"/>
        <w:spacing w:after="0" w:line="256"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provided by our Solid Waste business is generally indicative of the margins provided by our collection, landfill, transfer and recycling lines of business. From time to time, the operating results of our reportable segments are significantly affected by certain transactions or events that management believes are not indicative or representative of our results. In 2020, we revised allocations between our segments including (i) the discontinuation of certain allocations from Corporate and Other to Solid Waste and (ii) allocating certain insurance costs from Other to Solid Waste. Reclassifications have been made to our prior period information for comparability purposes.</w:t>
      </w:r>
    </w:p>
    <w:p>
      <w:pPr>
        <w:spacing w:after="0" w:line="187" w:lineRule="exact"/>
        <w:rPr>
          <w:rFonts w:ascii="Times New Roman" w:cs="Times New Roman" w:eastAsia="Times New Roman" w:hAnsi="Times New Roman"/>
          <w:sz w:val="18"/>
          <w:szCs w:val="18"/>
          <w:color w:val="auto"/>
        </w:rPr>
      </w:pPr>
    </w:p>
    <w:p>
      <w:pPr>
        <w:jc w:val="both"/>
        <w:ind w:left="380" w:right="5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2020, we recognized $61 million of non-cash impairment charges, including $41 million related to our energy services assets in our Tier 1 segment. Refer to Note 9 for additional information. Our 2020 operating results were also negatively impacted by revenue declines, as a result of the COVID-19 pandemic, in our landfill and industrial and commercial collection businesses beginning in March 2020 and continuing through the third quarter of 2020, although we began to experience notable recoveries in volumes during the third quarter of 2020.</w:t>
      </w:r>
    </w:p>
    <w:p>
      <w:pPr>
        <w:spacing w:after="0" w:line="183"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operating revenues from our major lines of business are as follows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0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440" w:type="dxa"/>
            <w:vAlign w:val="bottom"/>
            <w:gridSpan w:val="4"/>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2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44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240" w:type="dxa"/>
            <w:vAlign w:val="bottom"/>
            <w:tcBorders>
              <w:bottom w:val="single" w:sz="8" w:color="CCEEFF"/>
            </w:tcBorders>
          </w:tcPr>
          <w:p>
            <w:pPr>
              <w:spacing w:after="0"/>
              <w:rPr>
                <w:sz w:val="12"/>
                <w:szCs w:val="12"/>
                <w:color w:val="auto"/>
              </w:rPr>
            </w:pPr>
          </w:p>
        </w:tc>
        <w:tc>
          <w:tcPr>
            <w:tcW w:w="35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1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r>
      <w:tr>
        <w:trPr>
          <w:trHeight w:val="216"/>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10"/>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w:t>
            </w: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r>
      <w:tr>
        <w:trPr>
          <w:trHeight w:val="21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Recycling</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Intercompany (b)</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(831)</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(2,393)</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w:t>
            </w:r>
          </w:p>
        </w:tc>
      </w:tr>
      <w:tr>
        <w:trPr>
          <w:trHeight w:val="210"/>
        </w:trPr>
        <w:tc>
          <w:tcPr>
            <w:tcW w:w="57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w:t>
            </w:r>
          </w:p>
        </w:tc>
      </w:tr>
      <w:tr>
        <w:trPr>
          <w:trHeight w:val="20"/>
        </w:trPr>
        <w:tc>
          <w:tcPr>
            <w:tcW w:w="2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76" w:lineRule="exact"/>
        <w:rPr>
          <w:sz w:val="20"/>
          <w:szCs w:val="20"/>
          <w:color w:val="auto"/>
        </w:rPr>
      </w:pPr>
    </w:p>
    <w:p>
      <w:pPr>
        <w:jc w:val="both"/>
        <w:ind w:left="380" w:right="79" w:hanging="330"/>
        <w:spacing w:after="0" w:line="255"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line of business includes (i) our WMSBS business; (ii) our landfill gas-to-energy operations; (iii) certain services within our EES business,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for our Solid Waste business, net of intercompany activity. Activity related to collection, landfill, transfer and recycling within “Other” has been reclassified to the appropriate line of business for purposes of the presentation in this table.</w:t>
      </w:r>
    </w:p>
    <w:p>
      <w:pPr>
        <w:spacing w:after="0" w:line="80"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revenues between lines of business are eliminated in the Condensed Consolidated Financial Statements included within this report.</w:t>
      </w:r>
    </w:p>
    <w:p>
      <w:pPr>
        <w:spacing w:after="0" w:line="5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Fluctuations in our operating results may be caused by many factors, including period-to-period changes in the relative contribution of revenue by each line of business, changes in commodity prices and general economic conditions. Typically, our revenues and income from operations reflect seasonal patterns. Our operating revenues tend to be somewhat higher in summer months, primarily due to the higher construction and demolition waste volumes. The volumes of industrial and residential waste in certain regions where we operate also tend to increase during the summer months.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2020 operating results were negatively impacted by COVID-19, as volumes declined beginning in March 2020 and continued through the third quarter in our landfill and industrial and commercial collection businesses, due to steps taken by national and local governments to slow the spread of the virus, including travel bans, prohibitions on group events and gatherings, shutdowns of certain businesses, curfews, shelter-in-place orders and recommendations to practice social distancing. We began to experience notable recoveries in volumes during the third quarter of 2020 with many private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government bodies taking steps to re-open. For customers negatively impacted by the COVID-19 pandemic, we proactively waived and suspended certain ancillary service charges, deferred certain annual price increases, extended payment terms and adjusted customer service levels during the first half of 2020. Additionally, for qualifying small and medium businesses, we have provided customers with one-month of free service upon re-opening. While these customer-centric steps also contributed to the revenue decline, these impacts were immaterial. During the third quarter, improved economic conditions positioned us to resume most business practices in accordance with our contractual terms.</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Service disruptions caused by severe storms, extended periods of inclement weather or climate extremes resulting from climate change can significantly affect the operating results of the Areas affected. On the other hand, certain destructive weather and climate conditions, such as wildfires in the Western U.S. and hurricanes that most often impact our operations in the Southern and Eastern U.S. during the second half of the year, can increase our revenues in the Areas affected as a result of the waste volumes generated by these events. While weather-related and other event driven special projects can boost revenues through additional work for a limited time, as a result of significant start-up costs and other factors, such revenue can generate earnings at comparatively lower margins.</w:t>
      </w:r>
    </w:p>
    <w:p>
      <w:pPr>
        <w:spacing w:after="0" w:line="185"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Acquisitions and Assets Held-for-Sale</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2020 Acquisition and Assets Held-for-Sale</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April 14, 2019, we entered into an Agreement and Plan of Merger to acquire all outstanding shares of Advanced Disposal for $33.15 per share in cash, representing a total enterprise value at the time of $4.9 billion when including approximately $1.9 billion of Advanced Disposal’s net debt. On June 24, 2020, we entered into an amendment to the Agreement and Plan of Merger (as amended, the “Merger Agreement”), pursuant to which a subsidiary of WM would acquire all outstanding shares of Advanced Disposal for $30.30 per share in cash, representing a total enterprise value of $4.6 billion when including approximately $1.8 billion of Advanced Disposal’s net debt. This acquisition grows our footprint and allows us to provide differentiated, sustainable waste management and recycling services to approximately three million new commercial, industrial and residential customers, primarily located in 16 states in the Eastern half of the U.S. The transaction closed on October 30, 2020 and is discussed further in Note 14.</w:t>
      </w:r>
    </w:p>
    <w:p>
      <w:pPr>
        <w:spacing w:after="0" w:line="188" w:lineRule="exact"/>
        <w:rPr>
          <w:sz w:val="20"/>
          <w:szCs w:val="20"/>
          <w:color w:val="auto"/>
        </w:rPr>
      </w:pPr>
    </w:p>
    <w:p>
      <w:pPr>
        <w:jc w:val="both"/>
        <w:ind w:left="60" w:right="59" w:firstLine="324"/>
        <w:spacing w:after="0" w:line="274" w:lineRule="auto"/>
        <w:rPr>
          <w:sz w:val="20"/>
          <w:szCs w:val="20"/>
          <w:color w:val="auto"/>
        </w:rPr>
      </w:pPr>
      <w:r>
        <w:rPr>
          <w:rFonts w:ascii="Times New Roman" w:cs="Times New Roman" w:eastAsia="Times New Roman" w:hAnsi="Times New Roman"/>
          <w:sz w:val="17"/>
          <w:szCs w:val="17"/>
          <w:color w:val="auto"/>
        </w:rPr>
        <w:t>On June 24, 2020, we also announced that we and Advanced Disposal entered into an agreement that provided for GFL Environmental Inc. to acquire a combination of assets from us and Advanced Disposal to address divestitures required by the U.S. Department of Justice in connection with the Advanced Disposal acquisition (as subsequently amended, the “Divestiture Agreement”). Immediately following the Merger Agreement closing on October 30, 2020, the transactions contemplated by the Divestiture Agreement were consummated and the Company received cash proceeds from the sale of $856.4 million, subject to certain post-closing adjustments. These transactions are discussed further in Note 14.</w:t>
      </w:r>
    </w:p>
    <w:p>
      <w:pPr>
        <w:spacing w:after="0" w:line="17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2020, the WM assets to be divested met the criteria to be classified as held-for-sale and have been classified as such within other current assets and accrued liabilities, as appropriate, in our Condensed Consolidated Balance Sheet. The carrying amounts of the assets and liabilities, which are primarily in our Tier 2 and Tier 3 segments, that have been classified as held-for-sale are $53 million of property and equipment and goodwill and $17 million of landfill liabilities.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2019 Acquisition</w:t>
      </w:r>
    </w:p>
    <w:p>
      <w:pPr>
        <w:spacing w:after="0" w:line="227"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Petro Waste Environmental LP (“Petro Waste”) </w:t>
      </w:r>
      <w:r>
        <w:rPr>
          <w:rFonts w:ascii="Times New Roman" w:cs="Times New Roman" w:eastAsia="Times New Roman" w:hAnsi="Times New Roman"/>
          <w:sz w:val="18"/>
          <w:szCs w:val="18"/>
          <w:color w:val="auto"/>
        </w:rPr>
        <w:t>— On March 8, 2019, Waste Management Energy Services Holdings,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an indirect wholly-owned subsidiary of WM, acquired Petro Waste. The acquired business provides comprehensive oilfield environmental services and solid waste disposal facilities in the Permian Basin and the Eagle Ford Shale. The acquisition has expanded our offerings and enhanced the quality of solid waste disposal services for oil and gas exploration and production operations in Texas. Our purchase price was primarily allocated to seven landfills, which are included in our property and equipment.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acquisition was funded using commercial paper borrowings and the acquisition accounting for this transaction was finalized in 2019. The operating results of the acquired business did not have a material impact to our consolidated financial statements for the periods presented herein. Given the significant change in energy market dynamics from the time of the acquisition, we have seen a decline in the fair value of certain of these assets from the time of acquisition. The impairment recognized during the second quarter of 2020 is discussed further in Note 9.</w:t>
      </w:r>
    </w:p>
    <w:p>
      <w:pPr>
        <w:spacing w:after="0" w:line="179"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Asset Impairments and Unusual Items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(Gain) Loss from Divestitures, Asset Impairments and Unusual Items, Net</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we recognized $68 million of non-cash impairment charges primarily related to the following:</w:t>
      </w:r>
    </w:p>
    <w:p>
      <w:pPr>
        <w:spacing w:after="0" w:line="16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Energy Services Asset Impairments</w:t>
      </w:r>
      <w:r>
        <w:rPr>
          <w:rFonts w:ascii="Times New Roman" w:cs="Times New Roman" w:eastAsia="Times New Roman" w:hAnsi="Times New Roman"/>
          <w:sz w:val="18"/>
          <w:szCs w:val="18"/>
          <w:color w:val="auto"/>
        </w:rPr>
        <w:t>— During the second quarter of 2020, the Company tested the recoverability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certain energy services assets in our Tier 1 segment. Indicators of impairment included (i) the sharp downturn in oil demand that has led to a significant decline in oil prices and production activities, which we project will have long-term impacts on the utilization of our assets and (ii) significant shifts in our business, including increases in competition and customers choosing to bury waste on site versus in a landfill, reducing our revenue outlook. The Company determined that the carrying amount of the asset group was not fully recoverable. As a result, we recognized $41 million of non-cash impairment charges primarily related to two landfills and an oil field waste injection facility in our Tier 1 segment. We wrote down the net book value of these assets to their estimated fair value using an income approach based on estimated future cash flow projections (Level 3). The aggregate fair value of the impaired asset group was $8 million as of June 30, 2020. The Company tested the recoverability of an additional $239 million in energy services assets and determined that the carrying amount was recoverable as of June 30, 2020. No new indicators of impairment were identified during the three months ended September 30, 2020.</w:t>
      </w:r>
    </w:p>
    <w:p>
      <w:pPr>
        <w:spacing w:after="0" w:line="19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Impairments </w:t>
      </w:r>
      <w:r>
        <w:rPr>
          <w:rFonts w:ascii="Times New Roman" w:cs="Times New Roman" w:eastAsia="Times New Roman" w:hAnsi="Times New Roman"/>
          <w:sz w:val="18"/>
          <w:szCs w:val="18"/>
          <w:color w:val="auto"/>
        </w:rPr>
        <w:t>— In addition to the energy services impairments noted above, during the second quarter of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recognized a $20 million non-cash impairment charge in our Tier 3 segment due to management’s decision to close a landfill once its constructed airspace is filled and abandon any remaining permitted airspace, which was considered an impairment indicator. As the carrying value was not recoverable, we wrote off the entire net book value of the asset using an income approach based on estimated future cash flow projections (Level 3). The impairment charge was comprised of $12 million related to the carrying value of the asset and $8 million related to the acceleration of the expected timing of capping, closure and post-closure activities, which is discussed further in Note 2.</w:t>
      </w:r>
    </w:p>
    <w:p>
      <w:pPr>
        <w:spacing w:after="0" w:line="18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Additionally, during the third quarter of 2020, we recognized $7 million of net charges primarily related to non-cash impairments of certain assets within our WM Renewable Energy business in our Other segment. As the carrying values of the assets were not recoverable, we wrote off their entire net carrying value using an income approach based on estimated future cash flow projections (Level 3).</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Equity in Net Losses of Unconsolidated Entities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first quarter of 2020, we recorded a non-cash impairment charge of $7 million related to our investment in a refined coal facility which is discussed further in Notes 4 and 13. The fair value of our investment was not readily determinable; thus, we determined the fair value using management assumptions pertaining to investment value (Level 3).</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Other, Net</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During the first quarter of 2019, we recognized a $52 million non-cash impairment charge related to our minority-owned investment in a waste conversion technology business. We wrote down our investment to its estimated fair value as the result of a third-party investor’s transactions in these securities. The fair value of our investment was not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readily determinable; thus, we determined the fair value utilizing a combination of quoted price inputs for the equity in our investment (Level 2) and certain management assumptions pertaining to investment value (Level 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Accumulated Other Comprehensive Income (Loss)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Post-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for-Sale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4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100" w:type="dxa"/>
            <w:vAlign w:val="bottom"/>
            <w:gridSpan w:val="3"/>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Adjustments(a)</w:t>
            </w:r>
          </w:p>
        </w:tc>
        <w:tc>
          <w:tcPr>
            <w:tcW w:w="14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4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of tax expense (benefit) of $1, $3, $0 and $0,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(income) loss, net of tax (expense) benefit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 $2, $0, $0 and $0, respectively</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translation adjustments were impacted by a decrease in the Canadian/U.S. dollar exchange rate from 0.7698 at December 31, 2019 to 0.7507 at September 30, 2020.</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entered into interest rate derivatives during 2020, all of which were classified as a cash flow hedges and are discussed further in Note 3. We had no active derivatives outstanding during 2019. Amounts reclassified out of accumulated other comprehensive income (loss) associated with our previously terminated cash flow hedges were not material for the periods presented.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Common Stock Repurchase Program</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repurchases shares of its common stock as part of capital allocation programs authorized by our Board of Directors. In February 2020, we entered into an accelerated share repurchase (“ASR”) agreement to repurchase $313 million of our common stock. At the beginning of the repurchase period, we delivered $313 million cash and received 2.0 million shares based on a stock price of $125.75. The ASR agreement completed in March 2020, at which time we received 0.8 million additional shares based on a final weighted average price of $111.78.</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first quarter of 2020, we also began repurchasing shares of our common stock in open market transactions in compliance with Rule 10b5-1 and Rule 10b-18 of the Exchange Act. This repurchase program ended on March 27, 2020 and we repurchased 0.9 million shares. Cash paid for these share repurchases was $89 million, inclusive of per-share commissions, which represents a weighted average price per share of $99.96.</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 of September 30, 2020, the Company has authorization for $918 million of future share repurchases. To enhance our liquidity position in response to COVID-19 as well as funding of the Advanced Disposal acquisition, we elected to temporarily suspend additional share repurchases for the foreseeable future.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 growth and acquisitions.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Accounted for at Fair Value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assets and liabilities that are measured at fair value on a recurring basis include the following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500" w:type="dxa"/>
            <w:vAlign w:val="bottom"/>
            <w:tcBorders>
              <w:bottom w:val="single" w:sz="8" w:color="CCEEFF"/>
            </w:tcBorders>
          </w:tcPr>
          <w:p>
            <w:pPr>
              <w:spacing w:after="0"/>
              <w:rPr>
                <w:sz w:val="15"/>
                <w:szCs w:val="15"/>
                <w:color w:val="auto"/>
              </w:rPr>
            </w:pPr>
          </w:p>
        </w:tc>
        <w:tc>
          <w:tcPr>
            <w:tcW w:w="17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76"/>
        </w:trPr>
        <w:tc>
          <w:tcPr>
            <w:tcW w:w="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Fair Value Measurements Using:</w:t>
            </w:r>
          </w:p>
        </w:tc>
        <w:tc>
          <w:tcPr>
            <w:tcW w:w="250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Quoted prices in active markets (Level 1):</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equivalents and money market funds</w:t>
            </w:r>
          </w:p>
        </w:tc>
        <w:tc>
          <w:tcPr>
            <w:tcW w:w="19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4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w:t>
            </w: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Significant other observable inputs (Level 2):</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Available-for-sale securities (a)</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20" w:type="dxa"/>
            <w:vAlign w:val="bottom"/>
          </w:tcPr>
          <w:p>
            <w:pPr>
              <w:spacing w:after="0"/>
              <w:rPr>
                <w:sz w:val="18"/>
                <w:szCs w:val="18"/>
                <w:color w:val="auto"/>
              </w:rPr>
            </w:pPr>
          </w:p>
        </w:tc>
        <w:tc>
          <w:tcPr>
            <w:tcW w:w="5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Significant unobservable inputs (Level 3):</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Redeemable preferred stock (b)</w:t>
            </w:r>
          </w:p>
        </w:tc>
        <w:tc>
          <w:tcPr>
            <w:tcW w:w="1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9"/>
        </w:trPr>
        <w:tc>
          <w:tcPr>
            <w:tcW w:w="20" w:type="dxa"/>
            <w:vAlign w:val="bottom"/>
          </w:tcPr>
          <w:p>
            <w:pPr>
              <w:spacing w:after="0"/>
              <w:rPr>
                <w:sz w:val="18"/>
                <w:szCs w:val="18"/>
                <w:color w:val="auto"/>
              </w:rPr>
            </w:pPr>
          </w:p>
        </w:tc>
        <w:tc>
          <w:tcPr>
            <w:tcW w:w="50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7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r>
    </w:tbl>
    <w:p>
      <w:pPr>
        <w:spacing w:after="0" w:line="76" w:lineRule="exact"/>
        <w:rPr>
          <w:sz w:val="20"/>
          <w:szCs w:val="20"/>
          <w:color w:val="auto"/>
        </w:rPr>
      </w:pPr>
    </w:p>
    <w:p>
      <w:pPr>
        <w:ind w:left="380" w:hanging="330"/>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available-for-sale securities generally mature over the next nine years.</w:t>
      </w:r>
    </w:p>
    <w:p>
      <w:pPr>
        <w:spacing w:after="0" w:line="117" w:lineRule="exact"/>
        <w:rPr>
          <w:rFonts w:ascii="Times New Roman" w:cs="Times New Roman" w:eastAsia="Times New Roman" w:hAnsi="Times New Roman"/>
          <w:sz w:val="18"/>
          <w:szCs w:val="18"/>
          <w:color w:val="auto"/>
        </w:rPr>
      </w:pPr>
    </w:p>
    <w:p>
      <w:pPr>
        <w:jc w:val="both"/>
        <w:ind w:left="380" w:right="79" w:hanging="330"/>
        <w:spacing w:after="0" w:line="258"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available, Level 3 investments have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techniques, third-party appraisals or industry multiples and public company comparable transactions.</w:t>
      </w:r>
    </w:p>
    <w:p>
      <w:pPr>
        <w:spacing w:after="0" w:line="183"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9 for information related to our nonrecurring fair value measurements and the impact of impairments.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2020 and December 31, 2019, the carrying value of our debt was $10.4 billion and $13.5 billion, respectively. The estimated fair value of our debt was approximately $11.7 billion and $14.5 billion as of September 30, 2020 and December 31, 2019, respectively. The decrease in the fair value of our debt when comparing September 30, 2020 to December 31, 2019 is primarily related to net repayments of $3.1 billion during 2020 partially offset by fluctuations in current market rates for similar types of debt instruments.</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September 30, 2020 and December 31, 2019. These amounts have not been revalued since those dates, and current estimates of fair value could differ significantly from the amounts presented.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Variable Interest Entities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Following is a description of our financial interests in unconsolidated and consolidated variable interest entities that we consider significant: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Low-Income Housing Properties and Refined Coal Facility Investments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do not consolidate our investments in entities established to manage low-income housing properties and a refined coal facility because we are not the primary beneficiary of these entities as we do not have the power to individually direct the activities of these entities. Accordingly, we account for these investments under the equity method of accounting. Our aggregate investment balance in these entities was $243 million and $309 million as of September 30, 2020 and December 31, 2019, respectively. The debt balance related to our investments in low-income housing properties was $226 million and $269 million as of September 30, 2020 and December 31, 2019, respectively. During the first quarter of 2020, the entity which holds the investment in the refined coal facility sold the majority of its assets, which resulted in a $7 million non-cash impairment of our investment. Additional information related to these investments is discussed in Note 4.</w:t>
      </w:r>
    </w:p>
    <w:p>
      <w:pPr>
        <w:spacing w:after="0" w:line="200" w:lineRule="exact"/>
        <w:rPr>
          <w:sz w:val="20"/>
          <w:szCs w:val="20"/>
          <w:color w:val="auto"/>
        </w:rPr>
      </w:pP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Trust Funds for Final Capping, Closure, Post-Closure or Environmental Remediation Obligations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Unconsolidated Variable Interest Entities — </w:t>
      </w:r>
      <w:r>
        <w:rPr>
          <w:rFonts w:ascii="Times New Roman" w:cs="Times New Roman" w:eastAsia="Times New Roman" w:hAnsi="Times New Roman"/>
          <w:sz w:val="18"/>
          <w:szCs w:val="18"/>
          <w:color w:val="auto"/>
        </w:rPr>
        <w:t>Trust funds that are established for both the benefit of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Condensed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$101 million as of September 30, 2020 and December 31, 2019.</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Consolidated Variable Interest Entities — </w:t>
      </w:r>
      <w:r>
        <w:rPr>
          <w:rFonts w:ascii="Times New Roman" w:cs="Times New Roman" w:eastAsia="Times New Roman" w:hAnsi="Times New Roman"/>
          <w:sz w:val="18"/>
          <w:szCs w:val="18"/>
          <w:color w:val="auto"/>
        </w:rPr>
        <w:t>Trust funds for which we are the sole beneficiary are consolidated because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the primary beneficiary. These trust funds are recorded in restricted trust and escrow accounts in our Condensed Consolidated Balance Sheets. Unrealized gains and losses on available-for-sale securities held by these trusts are recorded as a component of accumulated other comprehensive income (loss). These trusts had a fair value of $112 million and $109 million as of September 30, 2020 and December 31, 2019, respectively.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October 30, 2020, we closed our acquisition of Advanced Disposal, which is discussed further in Note 8. We are currently in the process of valuing the assets acquired and liabilities assumed in the business combination. As a result, we are not yet able to provide the amounts to be recognized as of the acquisition date for the major classes of assets acquired and liabilities assumed and other related disclosures. We will disclose this and other related information in our Form 10-K for the year ended December 31, 2020. Total enterprise value of the acquisition was $4.6 billion when including approximately $1.8 billion of Advanced Disposal’s net debt and is subject to post-closing adjustments. The acquisition was funded using our $3.0 billion revolving credit facility and commercial paper borrowings. Refer to Note 3 for further discussion of our $3.0 billion revolving credit facility and commercial paper program.</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and Advanced Disposal entered into a Divestiture Agreement that provided for GFL Environmental Inc. to acquire a combination of assets from us and Advanced Disposal to address divestitures required by the U.S. Department of Justice in connection with the Advanced Disposal acquisition. Immediately following the Merger Agreement closing on October 30, 2020, the transactions contemplated by the Divestiture Agreement were consummated and the Company received cash proceeds from the sale of $856.4 million, subject to certain post-closing adjustments.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7" w:name="page28"/>
    <w:bookmarkEnd w:id="27"/>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2019.</w:t>
      </w:r>
    </w:p>
    <w:p>
      <w:pPr>
        <w:spacing w:after="0" w:line="180" w:lineRule="exact"/>
        <w:rPr>
          <w:sz w:val="20"/>
          <w:szCs w:val="20"/>
          <w:color w:val="auto"/>
        </w:rPr>
      </w:pPr>
    </w:p>
    <w:p>
      <w:pPr>
        <w:jc w:val="both"/>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 xml:space="preserve">This Quarterly Report on Form 10-Q contains certain forward-looking statements that are made subject to the safe harbor protections provided by the Private Securities Litigation Reform Act of 1995. Forward-looking statements are often identified by the words, “will,” “may,” “should,” “continue,” “anticipate,” “believe,” “expect,” “plan,” “forecast,” “project,” “estimate,” “intend,” and words of a similar nature and include estimates or projections of financial and other data; comments on expectations relating to future periods; plans or objectives for the future; and statements of opinion, view or belief about current and future events, circumstances or performance. You should view these statements with caution. They are based on the facts and circumstances known to us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integrate the acquisition of Advanced Disposal Services, Inc. (“Advanced Disposal”) or other acquisitions; failure to obtain the results anticipated from the acquisition of Advanced Disposal or other acquisitions; environmental and other regulations, including developments related to emerging contaminants and renewable fuel; commodity price fluctuations; international trade restrictions; weakness in general economic conditions and capital markets; public health risk and other impacts of COVID-19 or similar pandemic conditions, including increased costs, social and commercial disruption, service reductions and other adverse effects on our business, financial condition, results of operations and cash flows; failure to obtain and maintain necessary permits; disposal alternatives and waste diversion; declining waste volumes; failure to develop and protect new technology; failure of technology to perform as expected, including implementation of a new enterprise resource planning system; failure to prevent, detect and address cybersecurity incidents or comply with privacy regulations; significant environmental or other incidents resulting in liabilities and brand damage; significant storms and destructive events influenced by climate change; labor disruptions; impairment charges; negative outcomes of litigation or governmental proceedings and other risks discussed in our filings with the SEC, including Part I, Item 1A of our Annual Report on Form 10-K for the year ended December 31, 2019, as updated by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our Quarterly Reports on Form 10-Q for the quarters ended March 31, 2020 and June 30, 2020. We assume no obligation to update any forward-looking statement, including financial estimates and forecasts, whether as a result of future events, circumstances or developments or otherwise.</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We own or operate the largest network of landfills in North America. In order to make disposal more practical for larger urban markets, where the distance to landfills is typically farther, we manage transfer stations that consolidate, compact and transport waste efficiently and economically. We also use waste to create energy, recovering the gas produced naturally as waste decomposes in landfills and using the gas in generators to make electricity. Additionally, we are a leading recycler in North America, handling materials that include paper, cardboard, glass, plastic and metal.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 (“U.S.”).</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8" w:name="page29"/>
    <w:bookmarkEnd w:id="28"/>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revenues generally consist of tipping fees and the sale of recycling commodities to third parties. The fees we charge for our services generally include our environmental fee, fuel surcharge and regulatory recovery fee which are intended to pass through to customers direct and indirect costs incurred. We also provide additional services that are not managed through our Solid Waste business, described under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below.</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COVID-19 Update</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January 2020, a novel strain of coronavirus (“COVID-19”) was declared a Public Health Emergency of International Concern and was subsequently declared a global pandemic in March 2020. We have contingency plans in place to ensure continuity of operations at our collection sites, transfer stations, landfills and recycling facilities. These plans ensure that we are in compliance with federal, state, provincial and local guidelines. Key elements of our business continuity plan have been executed consistently across the organization. Our safety team has medical experts and industrial hygienists that are continuously monitoring and incorporating guidance from relevant authorities. To date our existing personal protective equipment, hygiene and operating procedures comply with guidelines established to protect our employees from additional risks associated with COVID-19.</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COVID-19 pandemic and related measures have had a significant adverse impact on many sectors of the economy. Waste Management provides essential services to a diverse customer base and, as a result, many elements of our business are less exposed to variability. Despite these favorable attributes of our business model, we expect the impacts of COVID-19 on our business to continue for the remainder of the year.</w:t>
      </w:r>
    </w:p>
    <w:p>
      <w:pPr>
        <w:spacing w:after="0" w:line="17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COVID-19 began to impact our business in mid-March 2020, the results of which are described in detail under </w:t>
      </w:r>
      <w:r>
        <w:rPr>
          <w:rFonts w:ascii="Times New Roman" w:cs="Times New Roman" w:eastAsia="Times New Roman" w:hAnsi="Times New Roman"/>
          <w:sz w:val="18"/>
          <w:szCs w:val="18"/>
          <w:i w:val="1"/>
          <w:iCs w:val="1"/>
          <w:color w:val="auto"/>
        </w:rPr>
        <w:t>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Operations </w:t>
      </w:r>
      <w:r>
        <w:rPr>
          <w:rFonts w:ascii="Times New Roman" w:cs="Times New Roman" w:eastAsia="Times New Roman" w:hAnsi="Times New Roman"/>
          <w:sz w:val="18"/>
          <w:szCs w:val="18"/>
          <w:color w:val="auto"/>
        </w:rPr>
        <w:t>below. The challenges posed by the COVID-19 pandemic on the global economy increased rapidly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 of the first quarter of 2020 and have continued through the date of this report, impacting our business in most geographies and across a variety of our customer types. Steps taken by national and local governments to slow the spread of the virus, including travel bans, prohibitions on group events and gatherings, shutdowns of certain businesses, curfews, shelter-in-place orders and recommendations to practice social distancing resulted in revenue declines at our landfills, as well as decreased demand from our industrial and commercial collection customers. Additionally, within the residential line of business, the cost to service our customers has increased as stay-at-home orders and continuing work-from-home trends have increased the waste we collect. While we have seen improvement in our landfill and industrial and commercial collection volumes, from the lowest levels observed in April 2020, uncertainty continues in the pace of business and economic recovery. In the event that cities and states pause or reverse re-openings, our improving volume trends could reverse in the near term.</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has proactively taken steps to put our employees’ and customers’ needs first and we continue to work with the appropriate regulatory agencies to ensure we can provide our essential services safely and efficiently. These efforts are, in some instances, reducing short-term revenues or increasing our costs, though they are sound decisions that reflect our focus on the long-term strength of our business. Examples of these efforts include:</w:t>
      </w:r>
    </w:p>
    <w:p>
      <w:pPr>
        <w:spacing w:after="0" w:line="178" w:lineRule="exact"/>
        <w:rPr>
          <w:sz w:val="20"/>
          <w:szCs w:val="20"/>
          <w:color w:val="auto"/>
        </w:rPr>
      </w:pPr>
    </w:p>
    <w:p>
      <w:pPr>
        <w:jc w:val="both"/>
        <w:ind w:left="38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Employees </w:t>
      </w:r>
      <w:r>
        <w:rPr>
          <w:rFonts w:ascii="Times New Roman" w:cs="Times New Roman" w:eastAsia="Times New Roman" w:hAnsi="Times New Roman"/>
          <w:sz w:val="18"/>
          <w:szCs w:val="18"/>
          <w:color w:val="auto"/>
        </w:rPr>
        <w:t>— We have prioritized the health, safety and financial security of our workforce. As local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bodies began to implement stay at home orders and as business closures became more prevalent during the first half of 2020, key steps taken for our workforce included (i) transitioning back-office employees to work-from-home;</w:t>
      </w:r>
    </w:p>
    <w:p>
      <w:pPr>
        <w:spacing w:after="0" w:line="1" w:lineRule="exact"/>
        <w:rPr>
          <w:sz w:val="20"/>
          <w:szCs w:val="20"/>
          <w:color w:val="auto"/>
        </w:rPr>
      </w:pPr>
    </w:p>
    <w:p>
      <w:pPr>
        <w:jc w:val="both"/>
        <w:ind w:left="380" w:right="59" w:hanging="6"/>
        <w:spacing w:after="0" w:line="252" w:lineRule="auto"/>
        <w:tabs>
          <w:tab w:leader="none" w:pos="65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financial certainty to employees by guaranteeing all full-time hourly employees compensation for a 40-hour work week regardless of service decreases; (iii) securing additional personal protective equipment to bolster the safety and security of our workplaces and (iv) guaranteeing elements of incentive compensation to certain employees to reflect our appreciation for their dedication and focus on executing well in the face of the pandemic. During the third quarter, with many government bodies taking steps to re-open communities, we have returned many of our back-office employees to our offices safely and in accordance with federal and local laws and regulations.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9" w:name="page30"/>
    <w:bookmarkEnd w:id="29"/>
    <w:p>
      <w:pPr>
        <w:jc w:val="both"/>
        <w:ind w:left="38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 Our top priority with respect to our customers has been ensuring that essential waste service needs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be safely met despite the unprecedented changes encountered in their communities. During the initial months of the pandemic, we worked with customers impacted by the COVID-19 pandemic to waive and suspend certain ancillary service charges, defer certain annual price increases, extend payment terms, adjust customer service levels and provide qualifying small and medium businesses with one month of free service upon re-opening. Beginning in July, with communities and governments re-opening, social distancing and safety measures being adopted, and signs of an improving economy, we resumed fees and price increases in accordance with our contractual terms.</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above steps, combined with our disciplined execution in our daily operations, have positioned the Company to prudently manage the challenges presented by the COVID-19 pandemic. The fundamentals of the Company continue to remain strong and we believe we have sufficient liquidity on hand to continue business operations during this volatile period.</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estimate that COVID-19 has had the following notable impacts on our results of operations for the three and nine months ended September 30, 2020:</w:t>
      </w:r>
    </w:p>
    <w:p>
      <w:pPr>
        <w:spacing w:after="0" w:line="160" w:lineRule="exact"/>
        <w:rPr>
          <w:sz w:val="20"/>
          <w:szCs w:val="20"/>
          <w:color w:val="auto"/>
        </w:rPr>
      </w:pPr>
    </w:p>
    <w:p>
      <w:pPr>
        <w:jc w:val="both"/>
        <w:ind w:left="38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 During the three and nine months ended September 30, 2020, we experienced a negative impact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of approximately $240 million and $680 million, respectively, that we attribute to reductions in customers’ waste service needs as a result of COVID-19. While the customer-centric steps discussed above have also contributed to this revenue decline, these impacts have been relatively immaterial to the overall revenue decline. As mentioned above, our volumes, particularly in our landfill and industrial and commercial collection lines of businesses, have improved from the lows experienced in April 2020, though the pace of volume recovery has moderated in recent weeks.</w:t>
      </w:r>
    </w:p>
    <w:p>
      <w:pPr>
        <w:spacing w:after="0" w:line="183" w:lineRule="exact"/>
        <w:rPr>
          <w:sz w:val="20"/>
          <w:szCs w:val="20"/>
          <w:color w:val="auto"/>
        </w:rPr>
      </w:pPr>
    </w:p>
    <w:p>
      <w:pPr>
        <w:jc w:val="both"/>
        <w:ind w:left="380" w:right="59" w:firstLine="324"/>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Operating Expenses </w:t>
      </w:r>
      <w:r>
        <w:rPr>
          <w:rFonts w:ascii="Times New Roman" w:cs="Times New Roman" w:eastAsia="Times New Roman" w:hAnsi="Times New Roman"/>
          <w:sz w:val="17"/>
          <w:szCs w:val="17"/>
          <w:color w:val="auto"/>
        </w:rPr>
        <w:t>— Volume-driven revenue declines and our strategic focus on proactive cost management led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a significant reduction in certain variable operating expenses. These reductions have been most significant in labor costs where we have focused on developing an optimal work week which reduces overtime hours, and maintenance and repairs. The revenue declines due to the COVID-19 pandemic have had a greater impact on our higher margin business lines, which could have negatively impacted our operating costs as a percentage of revenues. Despite this, our proactive cost management efforts have positioned us to reduce our overall operating expenses as a percentage of revenues when compared with the prior year periods. These cost decreases have been partially offset by the impacts of</w:t>
      </w:r>
    </w:p>
    <w:p>
      <w:pPr>
        <w:spacing w:after="0" w:line="4" w:lineRule="exact"/>
        <w:rPr>
          <w:sz w:val="20"/>
          <w:szCs w:val="20"/>
          <w:color w:val="auto"/>
        </w:rPr>
      </w:pPr>
    </w:p>
    <w:p>
      <w:pPr>
        <w:jc w:val="both"/>
        <w:ind w:left="380" w:right="79" w:hanging="6"/>
        <w:spacing w:after="0" w:line="255" w:lineRule="auto"/>
        <w:tabs>
          <w:tab w:leader="none" w:pos="6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40-hour work week guarantee and (ii) increases in container weights in our residential collection line of business, which increased our overall cost to serve these customers. However, we are starting to see a decline in each of these costs as volumes return and residential container weights normalize as schools and businesses are re-opening.</w:t>
      </w:r>
    </w:p>
    <w:p>
      <w:pPr>
        <w:spacing w:after="0" w:line="184" w:lineRule="exact"/>
        <w:rPr>
          <w:sz w:val="20"/>
          <w:szCs w:val="20"/>
          <w:color w:val="auto"/>
        </w:rPr>
      </w:pPr>
    </w:p>
    <w:p>
      <w:pPr>
        <w:jc w:val="both"/>
        <w:ind w:left="38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 COVID-19 impacts on our customers and related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receipts has led to an increase in the provision for bad debts for the nine months ended September 30, 2020. However, we are encouraged to see overall improvement in the provision for bad debts driven by successful collection efforts during the three months ended September 30, 2020. Additionally, during both the three and nine months ended September 30, 2020 we incurred costs associated with transitioning back-office employees to a work-from-home environment and costs related to employee pay guarantees.</w:t>
      </w:r>
    </w:p>
    <w:p>
      <w:pPr>
        <w:spacing w:after="0" w:line="184" w:lineRule="exact"/>
        <w:rPr>
          <w:sz w:val="20"/>
          <w:szCs w:val="20"/>
          <w:color w:val="auto"/>
        </w:rPr>
      </w:pPr>
    </w:p>
    <w:p>
      <w:pPr>
        <w:jc w:val="both"/>
        <w:ind w:left="60" w:right="59" w:firstLine="324"/>
        <w:spacing w:after="0" w:line="277" w:lineRule="auto"/>
        <w:rPr>
          <w:sz w:val="20"/>
          <w:szCs w:val="20"/>
          <w:color w:val="auto"/>
        </w:rPr>
      </w:pPr>
      <w:r>
        <w:rPr>
          <w:rFonts w:ascii="Times New Roman" w:cs="Times New Roman" w:eastAsia="Times New Roman" w:hAnsi="Times New Roman"/>
          <w:sz w:val="17"/>
          <w:szCs w:val="17"/>
          <w:color w:val="auto"/>
        </w:rPr>
        <w:t>The ultimate impacts of COVID-19 on our long-term outlook for the business will depend on future developments, including the duration of the pandemic and pace of economic recovery. These factors and their impacts on our business, financial condition, results of operations and cash flows are uncertain and cannot be predicted at this time. We remain focused on the diligent and safe execution of our daily operations. Additionally, we are focused on ensuring that we emerge from this pandemic a stronger, more differentiated company positioned as the service provider of choice for the long-term.</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30" w:name="page31"/>
    <w:bookmarkEnd w:id="30"/>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fundamental strategy has not changed; we remain dedicated to providing long-term value to our stockholders by successfully executing our core strategy of focused differentiation and continuous improvement. We have enabled a people-first, technology-led focus, that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the combination of cost control, process improvement and operational efficiency will deliver on the Company’s strategy of continuous improvement and yield an attractive total cost structure and enhanced service quality. While we will continue to monitor emerging diversion technologies that may generate additional value and related market dynamics, our current attention will be on improving existing diversion technologies, such as our recycling operations. We believe the execution of our strategy will deliver shareholder value and leadership in a dynamic industry and challenging economic environment.</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services offerings. As companies, individuals and communities look for ways to be more sustainable, we promote our comprehensive services that go beyond our core business of collecting and disposing of waste in order to meet their needs.</w:t>
      </w:r>
    </w:p>
    <w:p>
      <w:pPr>
        <w:spacing w:after="0" w:line="18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Despite some industry consolidation in recent years, we encounter intense competition from governmental, quasi-governmental and private service providers based on pricing, service quality, customer experience and breadth of service offerings.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including the impact of COVID-19, can and have caused customers to reduce their service needs. Such negative economic conditions, in addition to competitor actions, can and have made it more challenging to implement our pricing strategy and negotiate, renew or expand service contracts with acceptable margins.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Volume changes can vary dramatically by line of business and decreases in volumes in higher margin businesses, such as what we have seen with COVID-19, can impact key financial metrics, particularly operating expense as a percentage of revenue. In this type of environment, we must dynamically manage our cost structure.</w:t>
      </w:r>
    </w:p>
    <w:p>
      <w:pPr>
        <w:spacing w:after="0" w:line="19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financial results for the three and nine months ended September 30, 2020 reflect declines in our collection and disposal lines of business as a result of the negative impacts of COVID-19. These impacts began in March 2020 and continued through the third quarter of 2020, although we began to experience notable recoveries in volumes during the third quarter of 2020. Given the ongoing pressures on the business from COVID-19, we continue to take proactive steps to reduce costs and maximize cash flow. These steps include (i) optimizing our route structure to respond proactively to lower industrial and commercial collection volumes; (ii) implementing an optimal work week which reduces overtime hours;</w:t>
      </w:r>
    </w:p>
    <w:p>
      <w:pPr>
        <w:spacing w:after="0" w:line="5" w:lineRule="exact"/>
        <w:rPr>
          <w:sz w:val="20"/>
          <w:szCs w:val="20"/>
          <w:color w:val="auto"/>
        </w:rPr>
      </w:pPr>
    </w:p>
    <w:p>
      <w:pPr>
        <w:ind w:left="380" w:hanging="330"/>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hiring and optimizing the existing workforce through greatly improved retention and reduced turnover and</w:t>
      </w:r>
    </w:p>
    <w:p>
      <w:pPr>
        <w:spacing w:after="0" w:line="9" w:lineRule="exact"/>
        <w:rPr>
          <w:rFonts w:ascii="Times New Roman" w:cs="Times New Roman" w:eastAsia="Times New Roman" w:hAnsi="Times New Roman"/>
          <w:sz w:val="18"/>
          <w:szCs w:val="18"/>
          <w:color w:val="auto"/>
        </w:rPr>
      </w:pPr>
    </w:p>
    <w:p>
      <w:pPr>
        <w:jc w:val="both"/>
        <w:ind w:left="60" w:right="59" w:hanging="10"/>
        <w:spacing w:after="0" w:line="253" w:lineRule="auto"/>
        <w:tabs>
          <w:tab w:leader="none" w:pos="36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or eliminating certain non-essential costs and expenses like travel and entertainment. Additionally, to enhance our liquidity, we are maintaining a disciplined focus on capital management by aligning additional investments with the revenue generation of the business, reducing capital spending on our landfill assets, and managing container capital in conjunction with our customers’ volumes. We have also elected to temporarily suspend additional share repurchases for the remainder of 2020.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1" w:name="page32"/>
    <w:bookmarkEnd w:id="31"/>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COVID-19 has also had impacts on the recycling line of business, including the creation of a short-term dislocation in the supply and demand dynamics for recycled commodities in the U.S. which increased market prices for certain commodities. While the recent decline in supply of recycled materials drove an increase in market prices for certain commodities, we continue to invest and seek opportunities for cost improvement as we remain steadfast in our commitment to improve the profitability and returns of the recycling line of business in any economic environment. We have maintained our focus on converting to a fee-based pricing model that addresses the cost of processing materials and the impact on our cost structure to manage contamination in the recycling stream.</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believe that the Company’s industry-leading asset network and strategic focuses on investing in people and technology will give the Company the necessary tools to address the challenges presented by the COVID-19 pandemic and the impacts on our industry. In line with our commitment to continuous improvement and a differentiated customer experience, we are accelerating our customer service digitalization initiative to change the way we interact with our customers. Enhancements made through this initiative are designed to seamlessly and digitally connect all the Company’s functions required to service our customers in order to provide the best experience and service.</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Current Period Financial Results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During the third quarter of 2020, we delivered strong operating income and cash flows despite revenue declines in our collection and disposal lines of business due to the COVID-19 pandemic. We continue to take intentional steps to decrease our operating costs and eliminate discretionary selling, general and administrative expenses to mitigate the impact from the declines in our volumes. In addition to our focus on reducing certain costs, we took proactive steps to manage our capital spending.</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Key elements of our financial results for the current quarter include:</w:t>
      </w:r>
    </w:p>
    <w:p>
      <w:pPr>
        <w:spacing w:after="0" w:line="117" w:lineRule="exact"/>
        <w:rPr>
          <w:sz w:val="20"/>
          <w:szCs w:val="20"/>
          <w:color w:val="auto"/>
        </w:rPr>
      </w:pPr>
    </w:p>
    <w:p>
      <w:pPr>
        <w:jc w:val="both"/>
        <w:ind w:left="720" w:right="79" w:hanging="319"/>
        <w:spacing w:after="0" w:line="253"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$3,861 million, compared with $3,967 million in the prior year period, a decrease of $106 million, or 2.7%. This is a significant improvement from the same comparison for the second quarter of 2020, where revenues declined by 9.8% on a year-over-year basis. In the third quarter of 2020, the year-over-year comparison continued to be negatively impacted by volume declines resulting from a reduction in customers’ waste service needs associated with the COVID-19 pandemic. In addition, the Company’s year-over-year revenue comparison was impacted by (i) a decline of $42 million from lower fuel surcharges due to a significant decrease in market rates for diesel fuel and (ii) natural disaster clean-up efforts in 2019. For the three and nine months ended September 30, 2020, natural disaster related events were inconsequential to our results. These revenue declines have been partially offset by increases in revenue from collection and disposal yield, and recycling yield driven by higher commodity prices;</w:t>
      </w:r>
    </w:p>
    <w:p>
      <w:pPr>
        <w:spacing w:after="0" w:line="86"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of $2,332 million, or 60.4% of revenues, compared with $2,441 million, or 61.5% of revenues, in the prior year period. The $109 million decrease is directly related to proactive steps taken to manage our variable costs in the lower volume environment. The revenue declines due to the COVID-19 pandemic have had a greater impact on our higher margin business lines, which could have negatively impacted operating costs as a percentage of revenues. Despite this, our proactive cost management efforts positioned us to reduce overall operating expenses as a percentage of revenues when compared with the prior year period;</w:t>
      </w:r>
    </w:p>
    <w:p>
      <w:pPr>
        <w:spacing w:after="0" w:line="79"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of $416 million, or 10.8% of revenues, compared with $386 million, or 9.7% of revenues, in the prior year period. The year-over-year increase is primarily attributable to (i) higher long-term incentive compensation costs; (ii) increased acquisition-related costs; (iii) higher costs associated with investments in our people and technology and (iv) costs incurred as a direct result of the COVID-19 pandemic. These cost increases were offset, in part, by the proactive steps that we have taken to reduce discretionary expenses;</w:t>
      </w:r>
    </w:p>
    <w:p>
      <w:pPr>
        <w:spacing w:after="0" w:line="79"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was $680 million, or 17.6% of revenues, compared with $734 million, or 18.5% of revenues, in the prior year period. The proactive steps that management has taken to control our costs in a period of volume decline has significantly mitigated the negative impact to our income from operations. However, the year-over-year comparison has been affected by (i) higher long-term incentive compensation costs; (ii) an increase in spending for the acquisition of Advanced Disposal; (iii) investments we are making in technology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2" w:name="page33"/>
    <w:bookmarkEnd w:id="32"/>
    <w:p>
      <w:pPr>
        <w:jc w:val="both"/>
        <w:ind w:left="720" w:right="79" w:firstLine="5"/>
        <w:spacing w:after="0" w:line="266" w:lineRule="auto"/>
        <w:tabs>
          <w:tab w:leader="none" w:pos="104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charges primarily related to non-cash impairments of certain assets within our WM Renewable Energy business and restructuring costs associated with our customer service and sales functions during the current year period;</w:t>
      </w:r>
    </w:p>
    <w:p>
      <w:pPr>
        <w:spacing w:after="0" w:line="67"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Waste Management, Inc. was $390 million, or $0.92 per diluted share, compared with $495 million, or $1.16 per diluted share, in the prior year period. In addition to the activity discussed above, net income in the current period was also impacted by a pre-tax loss of $52 million associated with the early extinguishment of debt;</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$1,029 million compared with $952 million in the prior year period. We continued to generate strong cash from operations in the third quarter of 2020 due to the resilience of our business, improved customer receipts and deliberate steps we have taken to reduce our costs in response to lower volumes. Strong operating performance provided the foundation for the current quarter’s cash from operations, with the increase from the prior year quarter driven by (i) favorable changes in our operating assets and liabilities, net of effects of acquisitions and divestitures; (ii) cash benefits associated with deferring certain payroll taxes as provided for by the Coronavirus Aid, Relief, and Economic Security Act (the “CARES Act”) and (iii) lower income tax payments due to a decrease in pre-tax income and the timing of estimated tax payments. These positive cash flow impacts have been partially offset by an increase in interest payments related to debt incurred to position us to fund the Advance Disposal acquisition; and</w:t>
      </w:r>
    </w:p>
    <w:p>
      <w:pPr>
        <w:spacing w:after="0" w:line="86"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Free cash flow was $691 million compared with $478 million in the prior year period. The increase in free cash flow is due to the increase in net cash provided by operating activities noted above and an intentional reduction in capital expenditures during the current year period where we have taken proactive steps to reduce the amount of capital spending required to align with the lower volumes in our business. Free cash flow is a non-GAAP measure of liquidity. Refer to </w:t>
      </w:r>
      <w:r>
        <w:rPr>
          <w:rFonts w:ascii="Times New Roman" w:cs="Times New Roman" w:eastAsia="Times New Roman" w:hAnsi="Times New Roman"/>
          <w:sz w:val="18"/>
          <w:szCs w:val="18"/>
          <w:i w:val="1"/>
          <w:iCs w:val="1"/>
          <w:color w:val="auto"/>
        </w:rPr>
        <w:t>Free Cash Flow</w:t>
      </w:r>
      <w:r>
        <w:rPr>
          <w:rFonts w:ascii="Times New Roman" w:cs="Times New Roman" w:eastAsia="Times New Roman" w:hAnsi="Times New Roman"/>
          <w:sz w:val="18"/>
          <w:szCs w:val="18"/>
          <w:color w:val="auto"/>
        </w:rPr>
        <w:t xml:space="preserve"> below for our definition of free cash flow, additional information about our use of this measure, and a reconciliation to net cash provided by operating activities, which is the most comparable GAAP measure.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evaluate, oversee and manage the financial performance of our Solid Waste business subsidiaries through our 17 Areas. We also provide additional services that are not managed through our Solid Waste business, including operations managed by both our Strategic Business Solutions (“WMSBS”) and Energy and Environmental Services (“EES”) businesses, recycling brokerage services, landfill gas-to-energy services and certain other expanded service offerings and solutions. The mix of operating revenues from our major lines of business is reflected in the table below (in millions):</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80" w:type="dxa"/>
            <w:vAlign w:val="bottom"/>
            <w:gridSpan w:val="5"/>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34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Residential</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3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Landfill</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Recycling</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Intercompany (b)</w:t>
            </w:r>
          </w:p>
        </w:tc>
        <w:tc>
          <w:tcPr>
            <w:tcW w:w="3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w:t>
            </w: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line of business includes (i) our WMSBS business; (ii) our landfill gas-to-energy operations; (iii) certain services within our EES business, including our construction and remediation services and our services associated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3" w:name="page34"/>
    <w:bookmarkEnd w:id="33"/>
    <w:p>
      <w:pPr>
        <w:jc w:val="both"/>
        <w:ind w:left="380" w:right="79"/>
        <w:spacing w:after="0" w:line="258" w:lineRule="auto"/>
        <w:rPr>
          <w:sz w:val="20"/>
          <w:szCs w:val="20"/>
          <w:color w:val="auto"/>
        </w:rPr>
      </w:pPr>
      <w:r>
        <w:rPr>
          <w:rFonts w:ascii="Times New Roman" w:cs="Times New Roman" w:eastAsia="Times New Roman" w:hAnsi="Times New Roman"/>
          <w:sz w:val="18"/>
          <w:szCs w:val="18"/>
          <w:color w:val="auto"/>
        </w:rPr>
        <w:t>with the disposal of fly ash and (iv) certain other expanded service offerings and solutions. In addition, our “Other” line of business reflects the results of non-operating entities that provide financial assurance and self-insurance support for our Solid Waste business, net of intercompany activity. Activity related to collection, landfill, transfer and recycling within “Other” has been reclassified to the appropriate line of business for purposes of the presentation in this table.</w:t>
      </w:r>
    </w:p>
    <w:p>
      <w:pPr>
        <w:spacing w:after="0" w:line="75" w:lineRule="exact"/>
        <w:rPr>
          <w:sz w:val="20"/>
          <w:szCs w:val="20"/>
          <w:color w:val="auto"/>
        </w:rPr>
      </w:pPr>
    </w:p>
    <w:p>
      <w:pPr>
        <w:ind w:left="380" w:right="79" w:hanging="330"/>
        <w:spacing w:after="0" w:line="282"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revenues between lines of business are eliminated in the Condensed Consolidated Financial Statements included within this report.</w:t>
      </w:r>
    </w:p>
    <w:p>
      <w:pPr>
        <w:spacing w:after="0" w:line="162"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details associated with the period-to-period changes in revenues and average yield (dollars in millions):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9"/>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720" w:type="dxa"/>
            <w:vAlign w:val="bottom"/>
            <w:gridSpan w:val="9"/>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5"/>
          </w:tcPr>
          <w:p>
            <w:pPr>
              <w:jc w:val="center"/>
              <w:ind w:left="85"/>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5"/>
          </w:tcPr>
          <w:p>
            <w:pPr>
              <w:jc w:val="center"/>
              <w:ind w:left="165"/>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gridSpan w:val="8"/>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September 30, 2020 vs. 2019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8"/>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September 30, 2020 vs. 2019</w:t>
            </w: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4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4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6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04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17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Business(a)   Amount</w:t>
            </w: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Company(b)</w:t>
            </w:r>
          </w:p>
        </w:tc>
        <w:tc>
          <w:tcPr>
            <w:tcW w:w="8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72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Business(a)   Amount</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Company(b)</w:t>
            </w:r>
          </w:p>
        </w:tc>
        <w:tc>
          <w:tcPr>
            <w:tcW w:w="0" w:type="dxa"/>
            <w:vAlign w:val="bottom"/>
          </w:tcPr>
          <w:p>
            <w:pPr>
              <w:spacing w:after="0"/>
              <w:rPr>
                <w:sz w:val="1"/>
                <w:szCs w:val="1"/>
                <w:color w:val="auto"/>
              </w:rPr>
            </w:pPr>
          </w:p>
        </w:tc>
      </w:tr>
      <w:tr>
        <w:trPr>
          <w:trHeight w:val="209"/>
        </w:trPr>
        <w:tc>
          <w:tcPr>
            <w:tcW w:w="2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Recycling commodities (c)</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Fuel surcharges and</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mandated fees</w:t>
            </w:r>
          </w:p>
        </w:tc>
        <w:tc>
          <w:tcPr>
            <w:tcW w:w="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average yield (d)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432"/>
        </w:trPr>
        <w:tc>
          <w:tcPr>
            <w:tcW w:w="2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Volume</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Internal revenue growth</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Divestitures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translation</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24"/>
                <w:szCs w:val="24"/>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total Company revenue adjusted to exclude the impacts of divestitures for the current year period.</w:t>
      </w:r>
    </w:p>
    <w:p>
      <w:pPr>
        <w:spacing w:after="0" w:line="5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combined impact of commodity price variability and changes in fees.</w:t>
      </w:r>
    </w:p>
    <w:p>
      <w:pPr>
        <w:spacing w:after="0" w:line="117" w:lineRule="exact"/>
        <w:rPr>
          <w:rFonts w:ascii="Times New Roman" w:cs="Times New Roman" w:eastAsia="Times New Roman" w:hAnsi="Times New Roman"/>
          <w:sz w:val="18"/>
          <w:szCs w:val="18"/>
          <w:color w:val="auto"/>
        </w:rPr>
      </w:pPr>
    </w:p>
    <w:p>
      <w:pPr>
        <w:ind w:left="380" w:right="179" w:hanging="330"/>
        <w:spacing w:after="0" w:line="499"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changes in our revenue attributable to average yield for the total Company. The following provides further details associated with our period-to-period change in revenues: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Average Yield</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Collection and Disposal Average Yield </w:t>
      </w:r>
      <w:r>
        <w:rPr>
          <w:rFonts w:ascii="Times New Roman" w:cs="Times New Roman" w:eastAsia="Times New Roman" w:hAnsi="Times New Roman"/>
          <w:sz w:val="18"/>
          <w:szCs w:val="18"/>
          <w:color w:val="auto"/>
        </w:rPr>
        <w:t>— This measure reflects the effect on our revenue from the pricing activities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collection, transfer and landfill lines of business, exclusive of volume changes. Revenue growth from collection and disposal average yield includes not only base rate changes and environmental and service fee increases, but also (i) certain average price changes related to the overall mix of services, which are due to the types of services provided; (ii) changes in average price from new and lost business and (iii) price decreases to retain customers.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4" w:name="page35"/>
    <w:bookmarkEnd w:id="34"/>
    <w:p>
      <w:pPr>
        <w:ind w:left="380"/>
        <w:spacing w:after="0"/>
        <w:rPr>
          <w:sz w:val="20"/>
          <w:szCs w:val="20"/>
          <w:color w:val="auto"/>
        </w:rPr>
      </w:pPr>
      <w:r>
        <w:rPr>
          <w:rFonts w:ascii="Times New Roman" w:cs="Times New Roman" w:eastAsia="Times New Roman" w:hAnsi="Times New Roman"/>
          <w:sz w:val="18"/>
          <w:szCs w:val="18"/>
          <w:color w:val="auto"/>
        </w:rPr>
        <w:t>The details of our revenue growth from collection and disposal average yield are as follows (dollars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360" w:type="dxa"/>
            <w:vAlign w:val="bottom"/>
            <w:gridSpan w:val="5"/>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2260" w:type="dxa"/>
            <w:vAlign w:val="bottom"/>
            <w:gridSpan w:val="5"/>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r>
      <w:tr>
        <w:trPr>
          <w:trHeight w:val="149"/>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gridSpan w:val="4"/>
          </w:tcPr>
          <w:p>
            <w:pPr>
              <w:jc w:val="center"/>
              <w:ind w:right="31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2"/>
                <w:szCs w:val="12"/>
                <w:color w:val="auto"/>
              </w:rPr>
            </w:pPr>
          </w:p>
        </w:tc>
        <w:tc>
          <w:tcPr>
            <w:tcW w:w="2120" w:type="dxa"/>
            <w:vAlign w:val="bottom"/>
            <w:gridSpan w:val="4"/>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4"/>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September 30, 2020 vs. 2019</w:t>
            </w:r>
          </w:p>
        </w:tc>
        <w:tc>
          <w:tcPr>
            <w:tcW w:w="140" w:type="dxa"/>
            <w:vAlign w:val="bottom"/>
          </w:tcPr>
          <w:p>
            <w:pPr>
              <w:spacing w:after="0"/>
              <w:rPr>
                <w:sz w:val="15"/>
                <w:szCs w:val="15"/>
                <w:color w:val="auto"/>
              </w:rPr>
            </w:pPr>
          </w:p>
        </w:tc>
        <w:tc>
          <w:tcPr>
            <w:tcW w:w="2120" w:type="dxa"/>
            <w:vAlign w:val="bottom"/>
            <w:gridSpan w:val="4"/>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September 30, 2020 vs. 2019</w:t>
            </w:r>
          </w:p>
        </w:tc>
      </w:tr>
      <w:tr>
        <w:trPr>
          <w:trHeight w:val="117"/>
        </w:trPr>
        <w:tc>
          <w:tcPr>
            <w:tcW w:w="4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60" w:type="dxa"/>
            <w:vAlign w:val="bottom"/>
          </w:tcPr>
          <w:p>
            <w:pPr>
              <w:spacing w:after="0"/>
              <w:rPr>
                <w:sz w:val="10"/>
                <w:szCs w:val="10"/>
                <w:color w:val="auto"/>
              </w:rPr>
            </w:pPr>
          </w:p>
        </w:tc>
      </w:tr>
      <w:tr>
        <w:trPr>
          <w:trHeight w:val="162"/>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Related</w:t>
            </w:r>
          </w:p>
        </w:tc>
      </w:tr>
      <w:tr>
        <w:trPr>
          <w:trHeight w:val="173"/>
        </w:trPr>
        <w:tc>
          <w:tcPr>
            <w:tcW w:w="4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5"/>
                <w:szCs w:val="15"/>
                <w:color w:val="auto"/>
              </w:rPr>
            </w:pPr>
          </w:p>
        </w:tc>
        <w:tc>
          <w:tcPr>
            <w:tcW w:w="116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40" w:type="dxa"/>
            <w:vAlign w:val="bottom"/>
          </w:tcPr>
          <w:p>
            <w:pPr>
              <w:spacing w:after="0"/>
              <w:rPr>
                <w:sz w:val="15"/>
                <w:szCs w:val="15"/>
                <w:color w:val="auto"/>
              </w:rPr>
            </w:pPr>
          </w:p>
        </w:tc>
        <w:tc>
          <w:tcPr>
            <w:tcW w:w="7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5"/>
                <w:szCs w:val="15"/>
                <w:color w:val="auto"/>
              </w:rPr>
            </w:pPr>
          </w:p>
        </w:tc>
        <w:tc>
          <w:tcPr>
            <w:tcW w:w="106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Business</w:t>
            </w: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r>
      <w:tr>
        <w:trPr>
          <w:trHeight w:val="209"/>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r>
      <w:tr>
        <w:trPr>
          <w:trHeight w:val="216"/>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20" w:type="dxa"/>
            <w:vAlign w:val="bottom"/>
            <w:tcBorders>
              <w:bottom w:val="single" w:sz="8" w:color="CCEEFF"/>
            </w:tcBorders>
            <w:gridSpan w:val="2"/>
          </w:tcPr>
          <w:p>
            <w:pPr>
              <w:ind w:left="940"/>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20" w:type="dxa"/>
            <w:vAlign w:val="bottom"/>
            <w:tcBorders>
              <w:bottom w:val="single" w:sz="8" w:color="CCEEFF"/>
            </w:tcBorders>
            <w:gridSpan w:val="2"/>
          </w:tcPr>
          <w:p>
            <w:pPr>
              <w:ind w:left="94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CCEEFF"/>
            </w:tcBorders>
          </w:tcPr>
          <w:p>
            <w:pPr>
              <w:spacing w:after="0"/>
              <w:rPr>
                <w:sz w:val="18"/>
                <w:szCs w:val="18"/>
                <w:color w:val="auto"/>
              </w:rPr>
            </w:pPr>
          </w:p>
        </w:tc>
      </w:tr>
      <w:tr>
        <w:trPr>
          <w:trHeight w:val="210"/>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80" w:type="dxa"/>
            <w:vAlign w:val="bottom"/>
            <w:tcBorders>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2.6 %</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380" w:type="dxa"/>
            <w:vAlign w:val="bottom"/>
            <w:tcBorders>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2.1 %</w:t>
            </w: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overall strategic pricing efforts that are focused on improving our average unit rate have proven to be effective, despite the COVID-19 pandemic, particularly in our commercial business. During the second quarter of 2020, in order to support the continuity of our customers’ businesses, we made certain customer-centric pricing decisions such as temporarily waiving and suspending certain ancillary service charges as well as delaying price increases in certain markets, which negatively impacted our year-to-date average yield. However, beginning in July 2020, we resumed fees and price increases in accordance with contractual terms and our average yield rebounded as expected.</w:t>
      </w:r>
    </w:p>
    <w:p>
      <w:pPr>
        <w:spacing w:after="0" w:line="18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Recycling Commodities </w:t>
      </w:r>
      <w:r>
        <w:rPr>
          <w:rFonts w:ascii="Times New Roman" w:cs="Times New Roman" w:eastAsia="Times New Roman" w:hAnsi="Times New Roman"/>
          <w:sz w:val="18"/>
          <w:szCs w:val="18"/>
          <w:color w:val="auto"/>
        </w:rPr>
        <w:t>— During the three months ended September 30, 2020, there was a 33% increase in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prices for the recycled commodities we sell when compared to the prior year. The significant increase was driven by a short-term dislocation in supply and demand dynamics for recycled materials, largely due to COVID-19 decreases in the supply of recycled materials. For the nine months ended September 30, 2020, average market prices for recycled commodities increased approximately 7% compared to the prior year. We expect market pricing levels to remain relatively flat for the remainder of the year. While these prices are meaningfully higher than 2019 market pricing levels, they continue to be well below long-term averages.</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Fuel Surcharges and Mandated Fees — </w:t>
      </w:r>
      <w:r>
        <w:rPr>
          <w:rFonts w:ascii="Times New Roman" w:cs="Times New Roman" w:eastAsia="Times New Roman" w:hAnsi="Times New Roman"/>
          <w:sz w:val="18"/>
          <w:szCs w:val="18"/>
          <w:color w:val="auto"/>
        </w:rPr>
        <w:t>These fees, which are predominantly generated by our fuel surcharge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declined $42 million and $118 million for the three and nine months ended September 30, 2020, respectively, as compared with the prior year periods. These revenues are based on, and fluctuate in response to, changes in the national average prices for diesel fuel. Given the downturn in oil and gas markets, market prices for diesel fuel decreased approximately 20% and 15% for the three and nine months ended September 30, 2020, respectively, compared with the prior year periods. Additionally, we have taken steps to transition certain customers’ pricing away from non-variable fuel structures, which has further contributed to the year-over-year decline.</w:t>
      </w:r>
    </w:p>
    <w:p>
      <w:pPr>
        <w:spacing w:after="0" w:line="185"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mandated fees are primarily related to fees and taxes assessed by various state, county and municipal government agencies at our landfills and transfer stations. These amounts have not significantly impacted the change in revenue for the three and nine months ended September 30, 2020.</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Volume</w:t>
      </w:r>
    </w:p>
    <w:p>
      <w:pPr>
        <w:spacing w:after="0" w:line="227"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Our revenues from volumes (excluding volumes from acquisitions and divestitures) decreased $197 million, or 5.0%, and $593 million, or 5.1%, for the three and nine months ended September 30, 2020, respectively, as compared with the prior year periods.</w:t>
      </w:r>
    </w:p>
    <w:p>
      <w:pPr>
        <w:spacing w:after="0" w:line="176" w:lineRule="exact"/>
        <w:rPr>
          <w:sz w:val="20"/>
          <w:szCs w:val="20"/>
          <w:color w:val="auto"/>
        </w:rPr>
      </w:pPr>
    </w:p>
    <w:p>
      <w:pPr>
        <w:jc w:val="both"/>
        <w:ind w:left="60" w:right="59" w:firstLine="259"/>
        <w:spacing w:after="0" w:line="258" w:lineRule="auto"/>
        <w:rPr>
          <w:sz w:val="20"/>
          <w:szCs w:val="20"/>
          <w:color w:val="auto"/>
        </w:rPr>
      </w:pPr>
      <w:r>
        <w:rPr>
          <w:rFonts w:ascii="Times New Roman" w:cs="Times New Roman" w:eastAsia="Times New Roman" w:hAnsi="Times New Roman"/>
          <w:sz w:val="18"/>
          <w:szCs w:val="18"/>
          <w:color w:val="auto"/>
        </w:rPr>
        <w:t>Beginning in March 2020 and continuing throughout the third quarter of 2020, our industrial and commercial collection and landfill businesses experienced significant volume declines as a result of the COVID-19 pandemic. While we have seen improvement in our landfill and industrial and commercial collection volumes, from the lowest levels observed in April 2020, our volumes continue to be meaningfully below prior year, particularly in special waste and construction and demolition volumes at the landfill and project-driven work in the industrial collection business. We are optimistic about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5" w:name="page36"/>
    <w:bookmarkEnd w:id="35"/>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improving trend seen over the course of the third quarter, during which we saw sequential improvement in almost every part of our business. However, we remain cautious about the extent of volume recovery as we have seen the pace of such recovery moderate in recent weeks, and there remains risk that private and government bodies could pause or reverse re-openings in response to COVID-19 developments. Additionally, while natural disaster clean-up efforts benefited our 2019 volumes, they were inconsequential to our results for the three and nine months ended September 30, 2020.</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operating expenses (in millions of dollars and as a percentage of revenues):</w:t>
      </w:r>
    </w:p>
    <w:p>
      <w:pPr>
        <w:spacing w:after="0" w:line="4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2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2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29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425"/>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17.7 %</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$ 2,007</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$ 2,087</w:t>
            </w: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18.0 %</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Transfer and disposal costs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8"/>
                <w:szCs w:val="18"/>
                <w:color w:val="auto"/>
              </w:rPr>
            </w:pPr>
          </w:p>
        </w:tc>
      </w:tr>
      <w:tr>
        <w:trPr>
          <w:trHeight w:val="43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and repairs</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6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24"/>
                <w:szCs w:val="24"/>
                <w:color w:val="auto"/>
              </w:rPr>
            </w:pPr>
          </w:p>
        </w:tc>
      </w:tr>
      <w:tr>
        <w:trPr>
          <w:trHeight w:val="432"/>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Subcontractor costs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24"/>
                <w:szCs w:val="24"/>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Fuel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and franchise fees and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Landfill operating costs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management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r>
      <w:tr>
        <w:trPr>
          <w:trHeight w:val="216"/>
        </w:trPr>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bottom w:val="single" w:sz="8" w:color="CCEEFF"/>
            </w:tcBorders>
          </w:tcPr>
          <w:p>
            <w:pPr>
              <w:spacing w:after="0"/>
              <w:rPr>
                <w:sz w:val="18"/>
                <w:szCs w:val="18"/>
                <w:color w:val="auto"/>
              </w:rPr>
            </w:pPr>
          </w:p>
        </w:tc>
      </w:tr>
      <w:tr>
        <w:trPr>
          <w:trHeight w:val="426"/>
        </w:trPr>
        <w:tc>
          <w:tcPr>
            <w:tcW w:w="292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60.4 %</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2,441</w:t>
            </w: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61.5 %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$ 6,841</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61.3 %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$ 7,182</w:t>
            </w: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61.9 %</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As discussed above in </w:t>
      </w:r>
      <w:r>
        <w:rPr>
          <w:rFonts w:ascii="Times New Roman" w:cs="Times New Roman" w:eastAsia="Times New Roman" w:hAnsi="Times New Roman"/>
          <w:sz w:val="18"/>
          <w:szCs w:val="18"/>
          <w:i w:val="1"/>
          <w:iCs w:val="1"/>
          <w:color w:val="auto"/>
        </w:rPr>
        <w:t>Operating Revenues</w:t>
      </w:r>
      <w:r>
        <w:rPr>
          <w:rFonts w:ascii="Times New Roman" w:cs="Times New Roman" w:eastAsia="Times New Roman" w:hAnsi="Times New Roman"/>
          <w:sz w:val="18"/>
          <w:szCs w:val="18"/>
          <w:color w:val="auto"/>
        </w:rPr>
        <w:t>, year-over-year decreases in our landfill and industrial and commercial collection volumes, primarily due to the impacts of COVID-19, have significantly impacted the three and nine months ended September 30, 2020. The reductions in most operating expense categories during the reported periods are directly related to proactive steps taken to manage our variable costs in the lower volume environment. The revenue declines due to the COVID-19 pandemic have had a greater impact on our higher margin business lines, which could have negatively impacted operating costs as a percentage of revenues. Despite this, our proactive cost management efforts positioned us to reduce our overall operating expenses as a percentage of revenues when compared with the prior year periods.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items affecting the comparability of operating expenses for the reported periods include:</w:t>
      </w:r>
    </w:p>
    <w:p>
      <w:pPr>
        <w:spacing w:after="0" w:line="22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w:t>
      </w:r>
      <w:r>
        <w:rPr>
          <w:rFonts w:ascii="Times New Roman" w:cs="Times New Roman" w:eastAsia="Times New Roman" w:hAnsi="Times New Roman"/>
          <w:sz w:val="18"/>
          <w:szCs w:val="18"/>
          <w:color w:val="auto"/>
        </w:rPr>
        <w:t>— The decrease in labor and related benefits costs was largely driven by decreases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 in our industrial and commercial collection businesses. Our proactive steps positioned us to (i) optimize our route structure to respond to lower industrial and commercial collection volumes and (ii) implement an optimal work week which reduces overtime hours. Additionally, the decrease was attributable to (i) improved efficiency including from lighter road traffic and optimizing driver schedules; (ii) lower headcount due to employee attrition coupled with proactive steps to defer hiring due to COVID-19 driven uncertainty and (iii) lower annual incentive compensation. Additionally, for the nine month comparison, labor and related benefits were impacted by reduced health and welfare costs. These decreases were partially offset by annual merit increases.</w:t>
      </w:r>
    </w:p>
    <w:p>
      <w:pPr>
        <w:spacing w:after="0" w:line="185"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and Disposal Costs </w:t>
      </w:r>
      <w:r>
        <w:rPr>
          <w:rFonts w:ascii="Times New Roman" w:cs="Times New Roman" w:eastAsia="Times New Roman" w:hAnsi="Times New Roman"/>
          <w:sz w:val="18"/>
          <w:szCs w:val="18"/>
          <w:color w:val="auto"/>
        </w:rPr>
        <w:t>— The decrease in transfer and disposal costs was largely driven by volume declines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industrial and commercial collection businesses as a result of COVID-19.</w:t>
      </w:r>
    </w:p>
    <w:p>
      <w:pPr>
        <w:spacing w:after="0" w:line="15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Maintenance and Repairs </w:t>
      </w:r>
      <w:r>
        <w:rPr>
          <w:rFonts w:ascii="Times New Roman" w:cs="Times New Roman" w:eastAsia="Times New Roman" w:hAnsi="Times New Roman"/>
          <w:sz w:val="18"/>
          <w:szCs w:val="18"/>
          <w:color w:val="auto"/>
        </w:rPr>
        <w:t>— The decrease in maintenance and repairs costs was largely driven by proactive steps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optimize routes and reduce overtime hours to address the volume declines discussed above. The most significant components of our non-labor savings was on third-party services, parts, supplies, building costs and container repairs. In addition, the nine months ended September 30, 2019, was impacted by a $16 million non-cash charge to write off certain equipment costs related to our Other segment.</w:t>
      </w:r>
    </w:p>
    <w:p>
      <w:pPr>
        <w:sectPr>
          <w:pgSz w:w="11900" w:h="16838" w:orient="portrait"/>
          <w:cols w:equalWidth="0" w:num="1">
            <w:col w:w="9019"/>
          </w:cols>
          <w:pgMar w:left="1440" w:top="87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type w:val="continuous"/>
        </w:sectPr>
      </w:pPr>
    </w:p>
    <w:bookmarkStart w:id="36" w:name="page37"/>
    <w:bookmarkEnd w:id="36"/>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Subcontractor Costs — </w:t>
      </w:r>
      <w:r>
        <w:rPr>
          <w:rFonts w:ascii="Times New Roman" w:cs="Times New Roman" w:eastAsia="Times New Roman" w:hAnsi="Times New Roman"/>
          <w:sz w:val="18"/>
          <w:szCs w:val="18"/>
          <w:color w:val="auto"/>
        </w:rPr>
        <w:t>The decrease in subcontractor costs for the three and nine months ended September 30,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largely driven by COVID-19 related volume declines in our industrial collection business. Additionally, the decrease for the three month period was due to lower costs in our EES business due to some projects ending during the third and fourth quarters of the prior year and some projects scaling down during 2020. These declines were partially offset by an increase in business activity in our WMSBS business. Our WMSBS and EES businesses rely more extensively on subcontracted hauling than our collection and disposal business.</w:t>
      </w:r>
    </w:p>
    <w:p>
      <w:pPr>
        <w:spacing w:after="0" w:line="182"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 Market prices for recycled commodities is the primary driver for the variability in our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 sold. Cost of goods sold for the three months ended September 30, 2020 increased when compared to the prior year due to an increase in the market prices for recycled commodities, partly offset by a decline in recycling volumes. For the nine month comparison, cost of goods sold decreased as compared to the prior year period in spite of the increase in commodity prices. This is largely due to lower recycling volumes due to COVID-19, coupled with a higher percentage of our overall recycled commodity sales targeted at domestic markets.</w:t>
      </w:r>
    </w:p>
    <w:p>
      <w:pPr>
        <w:spacing w:after="0" w:line="182"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Fuel </w:t>
      </w:r>
      <w:r>
        <w:rPr>
          <w:rFonts w:ascii="Times New Roman" w:cs="Times New Roman" w:eastAsia="Times New Roman" w:hAnsi="Times New Roman"/>
          <w:sz w:val="18"/>
          <w:szCs w:val="18"/>
          <w:color w:val="auto"/>
        </w:rPr>
        <w:t>— The decrease in fuel costs was primarily due to (i) a period-over-period benefit from federal alternative fuel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credits; (ii) a </w:t>
      </w:r>
      <w:r>
        <w:rPr>
          <w:rFonts w:ascii="Times New Roman" w:cs="Times New Roman" w:eastAsia="Times New Roman" w:hAnsi="Times New Roman"/>
          <w:sz w:val="18"/>
          <w:szCs w:val="18"/>
          <w:color w:val="212529"/>
        </w:rPr>
        <w:t>decline in market prices for diesel fuel; (iii)</w:t>
      </w:r>
      <w:r>
        <w:rPr>
          <w:rFonts w:ascii="Times New Roman" w:cs="Times New Roman" w:eastAsia="Times New Roman" w:hAnsi="Times New Roman"/>
          <w:sz w:val="18"/>
          <w:szCs w:val="18"/>
          <w:color w:val="auto"/>
        </w:rPr>
        <w:t xml:space="preserve"> lower costs resulting from the continued conversion of our fleet to natural gas vehicles and (iv) volume declines.</w:t>
      </w:r>
    </w:p>
    <w:p>
      <w:pPr>
        <w:spacing w:after="0" w:line="173"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Disposal and Franchise Fees and Taxes — </w:t>
      </w:r>
      <w:r>
        <w:rPr>
          <w:rFonts w:ascii="Times New Roman" w:cs="Times New Roman" w:eastAsia="Times New Roman" w:hAnsi="Times New Roman"/>
          <w:sz w:val="18"/>
          <w:szCs w:val="18"/>
          <w:color w:val="auto"/>
        </w:rPr>
        <w:t>The decrease in disposal and franchise fees and taxes for the reported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was primarily related to lower volumes in our landfill line of business, largely driven by the impact of COVID-19.</w:t>
      </w:r>
    </w:p>
    <w:p>
      <w:pPr>
        <w:spacing w:after="0" w:line="158"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Landfill Operating Costs </w:t>
      </w:r>
      <w:r>
        <w:rPr>
          <w:rFonts w:ascii="Times New Roman" w:cs="Times New Roman" w:eastAsia="Times New Roman" w:hAnsi="Times New Roman"/>
          <w:sz w:val="18"/>
          <w:szCs w:val="18"/>
          <w:color w:val="auto"/>
        </w:rPr>
        <w:t>— The increase in costs for the nine months ended September 30, 2020,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leachate management costs compared to the prior year period. Additionally, the nine month periods included charges of $10 million in the first quarter of 2020 and $7 million in the second quarter of 2019, due to decreases in the risk-free discount rate, which is based on the rate for U.S. Treasury bonds, used in the measurement of our environmental remediation obligations and recovery assets. This increase was partially offset by declining volumes at our landfills.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selling, general and administrative expenses (in millions of dollars and as a percentage of revenues):</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34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4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425"/>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$ 274</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$ 254</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6.6 %</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r>
      <w:tr>
        <w:trPr>
          <w:trHeight w:val="216"/>
        </w:trPr>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bottom w:val="single" w:sz="8" w:color="CCEEFF"/>
            </w:tcBorders>
          </w:tcPr>
          <w:p>
            <w:pPr>
              <w:spacing w:after="0"/>
              <w:rPr>
                <w:sz w:val="18"/>
                <w:szCs w:val="18"/>
                <w:color w:val="auto"/>
              </w:rPr>
            </w:pPr>
          </w:p>
        </w:tc>
      </w:tr>
      <w:tr>
        <w:trPr>
          <w:trHeight w:val="425"/>
        </w:trPr>
        <w:tc>
          <w:tcPr>
            <w:tcW w:w="344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$ 416</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10.8 %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$ 386</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9.7 %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1,218</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10.2 %</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three and nine months ended September 30, 2020 have increased due to (i) incremental costs incurred in connection with the acquisition and integration of Advanced Disposal and</w:t>
      </w:r>
    </w:p>
    <w:p>
      <w:pPr>
        <w:jc w:val="both"/>
        <w:ind w:left="60" w:right="59" w:hanging="10"/>
        <w:spacing w:after="0" w:line="253"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investments in technology, including planned investments in a new enterprise resource planning system and accelerated investments in customer service digitalization. Additionally, selling, general and administrative expenses as a percent of revenue have increased in 2020 due to the decline in volume-related revenues. The nine months was also impacted by an increase in the provision for bad debts due to negative impacts on customer receipts experienced due to the COVID-19 pandemic.</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consistently manage our costs, particularly those incurred for discretionary initiatives, to ensure that we are optimizing our customer service, back-office effectiveness and profitability. As a result of the declines in revenue from the COVID-19 pandemic, we specifically focused on reducing costs for advertising, travel and entertainment and professional fees other than those specifically tied to strategic initiatives. The decreases in selling, general and administrative expenses from these proactive steps have been more than offset by the items discussed above.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37" w:name="page38"/>
    <w:bookmarkEnd w:id="37"/>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Significant items affecting the comparison of our selling, general and administrative expenses between the reported periods include:</w:t>
      </w:r>
    </w:p>
    <w:p>
      <w:pPr>
        <w:spacing w:after="0" w:line="16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 </w:t>
      </w:r>
      <w:r>
        <w:rPr>
          <w:rFonts w:ascii="Times New Roman" w:cs="Times New Roman" w:eastAsia="Times New Roman" w:hAnsi="Times New Roman"/>
          <w:sz w:val="18"/>
          <w:szCs w:val="18"/>
          <w:color w:val="auto"/>
        </w:rPr>
        <w:t>The increase in labor and related benefits costs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is primarily related to higher long-term incentive compensation costs and annual merit increases. For the nine month comparison, the decrease in labor and related benefits costs as compared to the prior year period is largely due to (i) proactive steps undertaken to defer hiring; (ii) reduced health and welfare costs and (iii) lower annual incentive compensation costs. These cost decreases were offset, in part, by annual merit increases.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Professional Fees </w:t>
      </w:r>
      <w:r>
        <w:rPr>
          <w:rFonts w:ascii="Times New Roman" w:cs="Times New Roman" w:eastAsia="Times New Roman" w:hAnsi="Times New Roman"/>
          <w:sz w:val="18"/>
          <w:szCs w:val="18"/>
          <w:color w:val="auto"/>
        </w:rPr>
        <w:t>— The increase in professional fees was primarily driven by consulting fees incurred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and integration of Advanced Disposal. In addition, we continue to make strategic investments in operating, customer-facing and back-office technologies, including our customer service digitalization platform, which will connect all the Company’s functions required to service our customers. We are also investing in the implementation of a new enterprise resource planning system.</w:t>
      </w:r>
    </w:p>
    <w:p>
      <w:pPr>
        <w:spacing w:after="0" w:line="183" w:lineRule="exact"/>
        <w:rPr>
          <w:sz w:val="20"/>
          <w:szCs w:val="20"/>
          <w:color w:val="auto"/>
        </w:rPr>
      </w:pPr>
    </w:p>
    <w:p>
      <w:pPr>
        <w:jc w:val="both"/>
        <w:ind w:left="60" w:right="59" w:firstLine="324"/>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Provision for Bad Debts </w:t>
      </w:r>
      <w:r>
        <w:rPr>
          <w:rFonts w:ascii="Times New Roman" w:cs="Times New Roman" w:eastAsia="Times New Roman" w:hAnsi="Times New Roman"/>
          <w:sz w:val="18"/>
          <w:szCs w:val="18"/>
          <w:color w:val="auto"/>
        </w:rPr>
        <w:t>— The increase in the provision for bad debts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is primarily due to increased collection risk associated with certain customers as a result of the COVID-19 pandemic. However, we are encouraged to see an overall improvement in customer account collections during the three months ended September 30, 2020 which resulted in a reduction in the provision for bad debts recognized during the current quarter.</w:t>
      </w:r>
    </w:p>
    <w:p>
      <w:pPr>
        <w:spacing w:after="0" w:line="399"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 </w:t>
      </w:r>
      <w:r>
        <w:rPr>
          <w:rFonts w:ascii="Times New Roman" w:cs="Times New Roman" w:eastAsia="Times New Roman" w:hAnsi="Times New Roman"/>
          <w:sz w:val="18"/>
          <w:szCs w:val="18"/>
          <w:color w:val="auto"/>
        </w:rPr>
        <w:t>The decrease in other expenses for the nine months ended September 30, 2020, compared to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was primarily due to proactive measures taken to reduce discretionary costs company-wide. Litigation costs have also declined in 2020. These cost decreases have been partially offset by increased technology infrastructure costs in 2020, which we expect to continue as we make strategic investments in our digital platform. We also incurred some one-time technology costs in the first half of the year to transition employees to work-from-home in response to the COVID-19 pandemic.</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depreciation and amortization expenses (in millions of dollars and as a percentage of revenues):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4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2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34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34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191"/>
        </w:trPr>
        <w:tc>
          <w:tcPr>
            <w:tcW w:w="344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Depreciation of tangible property and</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4"/>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$ 247</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$ 225</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432"/>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landfill airspace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24"/>
                <w:szCs w:val="24"/>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spacing w:after="0"/>
              <w:rPr>
                <w:sz w:val="18"/>
                <w:szCs w:val="18"/>
                <w:color w:val="auto"/>
              </w:rPr>
            </w:pPr>
          </w:p>
        </w:tc>
      </w:tr>
      <w:tr>
        <w:trPr>
          <w:trHeight w:val="425"/>
        </w:trPr>
        <w:tc>
          <w:tcPr>
            <w:tcW w:w="34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$ 419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10.9 %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$ 404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10.2 %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6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1,179</w:t>
            </w:r>
          </w:p>
        </w:tc>
        <w:tc>
          <w:tcPr>
            <w:tcW w:w="1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0"/>
        </w:trPr>
        <w:tc>
          <w:tcPr>
            <w:tcW w:w="3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increase in depreciation of tangible property and equipment during the three and nine months ended September 30, 2020, compared to the prior year periods, was primarily related to investments in capital assets, including trucks and facilities. The decrease in amortization of landfill airspace during the three and nine months ended September 30, 2020, compared to the prior year periods, was driven by lower volumes at our landfills primarily as a result of the COVID-19 pandemic. The volume-related decrease in amortization of landfill airspace for the nine months ended September 30, 2020 was partially offset by charges needed to reflect changes in estimated landfill construction costs.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93" w:right="1440" w:bottom="1440" w:gutter="0" w:footer="0" w:header="0"/>
        </w:sectPr>
      </w:pPr>
    </w:p>
    <w:bookmarkStart w:id="38" w:name="page39"/>
    <w:bookmarkEnd w:id="38"/>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To better support our investment in customer service digitalization discussed above, we modified our field sales and customer services structures, resulting in a $7 million restructuring charge for the three months ended September 30, 2020.</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(Gain) Loss from Divestitures, Asset Impairments and Unusual Items, Net</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we recognized $68 million of non-cash impairment charges primarily related to the following:</w:t>
      </w:r>
    </w:p>
    <w:p>
      <w:pPr>
        <w:spacing w:after="0" w:line="16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Energy Services Asset Impairments </w:t>
      </w:r>
      <w:r>
        <w:rPr>
          <w:rFonts w:ascii="Times New Roman" w:cs="Times New Roman" w:eastAsia="Times New Roman" w:hAnsi="Times New Roman"/>
          <w:sz w:val="18"/>
          <w:szCs w:val="18"/>
          <w:color w:val="auto"/>
        </w:rPr>
        <w:t>— During the second quarter of 2020, the Company tested the recoverability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certain energy services assets in our Tier 1 segment. Indicators of impairment included (i) the sharp downturn in oil demand that has led to a significant decline in oil prices and production activities, which we project will have long-term impacts on the utilization of our assets and (ii) significant shifts in our business, including increases in competition and customers choosing to bury waste on site versus in a landfill, reducing our revenue outlook. The Company determined that the carrying amount of the asset group was not fully recoverable. As a result, we recognized $41 million of non-cash impairment charges primarily related to two landfills and an oil field waste injection facility in our Tier 1 segment. We wrote down the net book value of these assets to their estimated fair value using an income approach based on estimated future cash flow projections (Level 3). The aggregate fair value of the impaired asset group was $8 million as of June 30, 2020. The Company tested the recoverability of an additional $239 million in energy services assets and determined that the carrying amount was recoverable as of June 30, 2020. No new indicators of impairment were identified during the three months ended September 30, 2020.</w:t>
      </w:r>
    </w:p>
    <w:p>
      <w:pPr>
        <w:spacing w:after="0" w:line="19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Impairments </w:t>
      </w:r>
      <w:r>
        <w:rPr>
          <w:rFonts w:ascii="Times New Roman" w:cs="Times New Roman" w:eastAsia="Times New Roman" w:hAnsi="Times New Roman"/>
          <w:sz w:val="18"/>
          <w:szCs w:val="18"/>
          <w:color w:val="auto"/>
        </w:rPr>
        <w:t>— In addition to the energy services impairments noted above, during the second quarter of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recognized a $20 million non-cash impairment charge in our Tier 3 segment due to management’s decision to close a landfill once its constructed airspace is filled and abandon any remaining permitted airspace, which was considered an impairment indicator. As the carrying value was not recoverable, we wrote off the entire net book value of the asset using an income approach based on estimated future cash flow projections (Level 3). The impairment charge was comprised of $12 million related to the carrying value of the asset and $8 million related to the acceleration of the expected timing of capping, closure and post-closure activities. The impairment is discussed further in Note 2 to the Condensed Consolidated Financial Statements.</w:t>
      </w:r>
    </w:p>
    <w:p>
      <w:pPr>
        <w:spacing w:after="0" w:line="187"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Additionally, during the third quarter of 2020, we recognized a $7 million net charge primarily related to non-cash impairments of certain assets within our WM Renewable Energy business in our Other segment. As the carrying values of the assets were not recoverable, we wrote off their entire net carrying value using an income approach based on estimated future cash flow projections (Level 3).</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the fourth quarter of 2019, as part of our annual review process, we analyzed the Areas’ income from operations margins for purposes of segment reporting and realigned our Solid Waste tiers to reflect recent changes in their relative economic characteristics and prospects. These changes are the results of various factors including acquisitions, divestitures, business mix and the economic climate of various geographies. As a result, we reclassified the Western Canada Area from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9" w:name="page40"/>
    <w:bookmarkEnd w:id="39"/>
    <w:p>
      <w:pPr>
        <w:ind w:left="60" w:right="79"/>
        <w:spacing w:after="0" w:line="282" w:lineRule="auto"/>
        <w:rPr>
          <w:sz w:val="20"/>
          <w:szCs w:val="20"/>
          <w:color w:val="auto"/>
        </w:rPr>
      </w:pPr>
      <w:r>
        <w:rPr>
          <w:rFonts w:ascii="Times New Roman" w:cs="Times New Roman" w:eastAsia="Times New Roman" w:hAnsi="Times New Roman"/>
          <w:sz w:val="18"/>
          <w:szCs w:val="18"/>
          <w:color w:val="auto"/>
        </w:rPr>
        <w:t>Tier 1 to Tier 2 and the Northern California Area from Tier 3 to Tier 2. Reclassifications have been made to our prior period condensed consolidated financial information to conform to the current year presentation.</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income from operations for our reportable segments (dollars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7"/>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34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20" w:type="dxa"/>
            <w:vAlign w:val="bottom"/>
          </w:tcPr>
          <w:p>
            <w:pPr>
              <w:spacing w:after="0"/>
              <w:rPr>
                <w:sz w:val="13"/>
                <w:szCs w:val="13"/>
                <w:color w:val="auto"/>
              </w:rPr>
            </w:pPr>
          </w:p>
        </w:tc>
        <w:tc>
          <w:tcPr>
            <w:tcW w:w="17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2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6"/>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2019(c)</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c>
          <w:tcPr>
            <w:tcW w:w="600" w:type="dxa"/>
            <w:vAlign w:val="bottom"/>
            <w:tcBorders>
              <w:top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2019(c)</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Solid Waste:</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Tier 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$ 1,139</w:t>
            </w:r>
          </w:p>
        </w:tc>
        <w:tc>
          <w:tcPr>
            <w:tcW w:w="2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$ 1,268</w:t>
            </w:r>
          </w:p>
        </w:tc>
        <w:tc>
          <w:tcPr>
            <w:tcW w:w="2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(129)</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Tier 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Tier 3</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Solid Waste</w:t>
            </w: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2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2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Other (a)</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w:t>
            </w:r>
          </w:p>
        </w:tc>
        <w:tc>
          <w:tcPr>
            <w:tcW w:w="28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$ 1,780</w:t>
            </w:r>
          </w:p>
        </w:tc>
        <w:tc>
          <w:tcPr>
            <w:tcW w:w="2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$ 2,051</w:t>
            </w:r>
          </w:p>
        </w:tc>
        <w:tc>
          <w:tcPr>
            <w:tcW w:w="2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(271)</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Percentage of revenues</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17.6</w:t>
            </w:r>
          </w:p>
        </w:tc>
        <w:tc>
          <w:tcPr>
            <w:tcW w:w="260" w:type="dxa"/>
            <w:vAlign w:val="bottom"/>
            <w:tcBorders>
              <w:top w:val="single" w:sz="8" w:color="CCEEFF"/>
              <w:bottom w:val="single" w:sz="8" w:color="CCEEFF"/>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18.5</w:t>
            </w:r>
          </w:p>
        </w:tc>
        <w:tc>
          <w:tcPr>
            <w:tcW w:w="24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5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24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c>
          <w:tcPr>
            <w:tcW w:w="24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CCEEFF"/>
            </w:tcBorders>
            <w:shd w:val="clear" w:color="auto" w:fill="CCEEFF"/>
          </w:tcPr>
          <w:p>
            <w:pPr>
              <w:spacing w:after="0"/>
              <w:rPr>
                <w:sz w:val="17"/>
                <w:szCs w:val="17"/>
                <w:color w:val="auto"/>
              </w:rPr>
            </w:pPr>
          </w:p>
        </w:tc>
        <w:tc>
          <w:tcPr>
            <w:tcW w:w="6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80" w:right="79" w:hanging="330"/>
        <w:spacing w:after="0" w:line="277" w:lineRule="auto"/>
        <w:tabs>
          <w:tab w:leader="none" w:pos="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includes (i) our WMSBS business; (ii) those elements of our landfill gas-to-energy operations and third-party subcontract and administration revenues managed by our EES and WM Renewable Energy businesses that are not included in the operations of our reportable segments; (iii) our recycling brokerage services and (iv) certain other expanded service offerings and solutions. In addition, our “Other” segment reflects the results of non-operating entities that provide financial assurance and self-insurance support for our Solid Waste business, net of intercompany activity.</w:t>
      </w:r>
    </w:p>
    <w:p>
      <w:pPr>
        <w:spacing w:after="0" w:line="59" w:lineRule="exact"/>
        <w:rPr>
          <w:rFonts w:ascii="Times New Roman" w:cs="Times New Roman" w:eastAsia="Times New Roman" w:hAnsi="Times New Roman"/>
          <w:sz w:val="17"/>
          <w:szCs w:val="17"/>
          <w:color w:val="auto"/>
        </w:rPr>
      </w:pPr>
    </w:p>
    <w:p>
      <w:pPr>
        <w:jc w:val="both"/>
        <w:ind w:left="380" w:right="79" w:hanging="330"/>
        <w:spacing w:after="0" w:line="25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operating results reflect certain costs incurred for various support services that are not allocated to our reportable segments. These support services include, among other things, treasury, legal, information technology, tax, insurance, centralized service center processes, other administrative functions and the maintenance of our closed landfills. Income from operations for “Corporate and Other” also includes costs associated with our long-term incentive program and any administrative expenses or revisions to our estimated obligations associated with divested operations.</w:t>
      </w:r>
    </w:p>
    <w:p>
      <w:pPr>
        <w:spacing w:after="0" w:line="79"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we revised allocations between our segments including (i) the discontinuation of certain allocations from Corporate and Other to Solid Waste and (ii) allocating certain insurance costs from Other to Solid Waste. Reclassifications have been made to our prior period information for comparability purposes.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significant items affecting income from operations for our segments during the three and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2020, as compared with the prior year periods, are summarized below:</w:t>
      </w:r>
    </w:p>
    <w:p>
      <w:pPr>
        <w:spacing w:after="0" w:line="97" w:lineRule="exact"/>
        <w:rPr>
          <w:sz w:val="20"/>
          <w:szCs w:val="20"/>
          <w:color w:val="auto"/>
        </w:rPr>
      </w:pPr>
    </w:p>
    <w:p>
      <w:pPr>
        <w:jc w:val="both"/>
        <w:ind w:left="720" w:right="79" w:hanging="319"/>
        <w:spacing w:after="0" w:line="256"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Solid Waste </w:t>
      </w:r>
      <w:r>
        <w:rPr>
          <w:rFonts w:ascii="Times New Roman" w:cs="Times New Roman" w:eastAsia="Times New Roman" w:hAnsi="Times New Roman"/>
          <w:sz w:val="18"/>
          <w:szCs w:val="18"/>
          <w:color w:val="auto"/>
        </w:rPr>
        <w:t>— Income from operations for the three and nine months ended September 30, 2020 decreased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year-over-year basis for all Tiers due to the overall negative impact of the COVID-19 pandemic resulting in revenue declines from lower volumes. Volume declines have moderated in the third quarter when compared with the more acute impacts we experienced in the second quarter of 2020. This improvement, combined with resumed fees and price increases and proactive cost management, drove significant improvement in the year-over-year comparison during the current quarter. Additionally, income from operations for our segments for the nine months ended September 30, 2020 was impacted by an increase in provisions for bad debts.</w:t>
      </w:r>
    </w:p>
    <w:p>
      <w:pPr>
        <w:spacing w:after="0" w:line="77" w:lineRule="exact"/>
        <w:rPr>
          <w:sz w:val="20"/>
          <w:szCs w:val="20"/>
          <w:color w:val="auto"/>
        </w:rPr>
      </w:pPr>
    </w:p>
    <w:p>
      <w:pPr>
        <w:jc w:val="both"/>
        <w:ind w:left="700" w:right="59"/>
        <w:spacing w:after="0" w:line="255" w:lineRule="auto"/>
        <w:rPr>
          <w:sz w:val="20"/>
          <w:szCs w:val="20"/>
          <w:color w:val="auto"/>
        </w:rPr>
      </w:pPr>
      <w:r>
        <w:rPr>
          <w:rFonts w:ascii="Times New Roman" w:cs="Times New Roman" w:eastAsia="Times New Roman" w:hAnsi="Times New Roman"/>
          <w:sz w:val="18"/>
          <w:szCs w:val="18"/>
          <w:color w:val="auto"/>
        </w:rPr>
        <w:t>Additionally, during the nine months ended September 30, 2020, income from operations for our Tier 1 segment was impacted by $41 million of non-cash asset impairment charges primarily related to two landfills and an oil field waste injection facility. In 2019, our Tier 2 segment income from operations benefited from natural disaster clean-up efforts. For the three and nine months ended September 30, 2020, natural disaster related events were inconsequential to our results. Income from operations for our Tier 3 segment was impacted by a $20 million non-cash impairment charge related to management’s decision to close a landfill once its constructed airspace is filled and abandon any remaining permitted airspace.</w:t>
      </w:r>
    </w:p>
    <w:p>
      <w:pPr>
        <w:spacing w:after="0" w:line="79" w:lineRule="exact"/>
        <w:rPr>
          <w:sz w:val="20"/>
          <w:szCs w:val="20"/>
          <w:color w:val="auto"/>
        </w:rPr>
      </w:pPr>
    </w:p>
    <w:p>
      <w:pPr>
        <w:ind w:left="720" w:right="79" w:hanging="319"/>
        <w:spacing w:after="0" w:line="284"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 Income from operations for the Other segment for the three and nine months ended September 30,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impacted primarily by (i) an increase in revenue for our WMSBS business as a result of new contract</w:t>
      </w:r>
    </w:p>
    <w:p>
      <w:pPr>
        <w:sectPr>
          <w:pgSz w:w="11900" w:h="16838" w:orient="portrait"/>
          <w:cols w:equalWidth="0" w:num="1">
            <w:col w:w="9019"/>
          </w:cols>
          <w:pgMar w:left="1440" w:top="877"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type w:val="continuous"/>
        </w:sectPr>
      </w:pPr>
    </w:p>
    <w:bookmarkStart w:id="40" w:name="page41"/>
    <w:bookmarkEnd w:id="40"/>
    <w:p>
      <w:pPr>
        <w:jc w:val="both"/>
        <w:ind w:left="720" w:right="79"/>
        <w:spacing w:after="0" w:line="282" w:lineRule="auto"/>
        <w:rPr>
          <w:sz w:val="20"/>
          <w:szCs w:val="20"/>
          <w:color w:val="auto"/>
        </w:rPr>
      </w:pPr>
      <w:r>
        <w:rPr>
          <w:rFonts w:ascii="Times New Roman" w:cs="Times New Roman" w:eastAsia="Times New Roman" w:hAnsi="Times New Roman"/>
          <w:sz w:val="18"/>
          <w:szCs w:val="18"/>
          <w:color w:val="auto"/>
        </w:rPr>
        <w:t>activities; (ii) an increase in revenue in our WM Renewable Energy business as a result of a new renewable energy facility coming online which drove an increase in commodity sales and (iii) lower risk management costs.</w:t>
      </w:r>
    </w:p>
    <w:p>
      <w:pPr>
        <w:spacing w:after="0" w:line="52" w:lineRule="exact"/>
        <w:rPr>
          <w:sz w:val="20"/>
          <w:szCs w:val="20"/>
          <w:color w:val="auto"/>
        </w:rPr>
      </w:pPr>
    </w:p>
    <w:p>
      <w:pPr>
        <w:jc w:val="both"/>
        <w:ind w:left="720" w:right="79" w:hanging="319"/>
        <w:spacing w:after="0" w:line="258"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 The decline in income from operations for the three and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2020 was primarily driven by increased expenses as a result of (i) preparation for our acquisition of Advanced Disposal; (ii) investments we are making in technology; (iii) higher long-term incentive compensation costs;</w:t>
      </w:r>
    </w:p>
    <w:p>
      <w:pPr>
        <w:jc w:val="both"/>
        <w:ind w:left="720" w:right="79" w:firstLine="5"/>
        <w:spacing w:after="0" w:line="255" w:lineRule="auto"/>
        <w:tabs>
          <w:tab w:leader="none" w:pos="104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costs associated with COVID-19 pandemic and (v) charges related to the restructuring of our customer service and sales functions. These increased expenses were offset, in part, by lower health and welfare costs and lower annual incentive compensation.</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jc w:val="both"/>
        <w:ind w:left="60" w:right="59" w:firstLine="259"/>
        <w:spacing w:after="0"/>
        <w:rPr>
          <w:sz w:val="20"/>
          <w:szCs w:val="20"/>
          <w:color w:val="auto"/>
        </w:rPr>
      </w:pPr>
      <w:r>
        <w:rPr>
          <w:rFonts w:ascii="Times New Roman" w:cs="Times New Roman" w:eastAsia="Times New Roman" w:hAnsi="Times New Roman"/>
          <w:sz w:val="18"/>
          <w:szCs w:val="18"/>
          <w:color w:val="auto"/>
        </w:rPr>
        <w:t xml:space="preserve">Our interest expense, net was $97 million and $328 million for the three and nine months ended September 30, 2020, respectively, compared to $105 million and $301 million for the three and nine months ended September 30, 2019, respectively. The increase for the nine months was primarily attributable to our May 2019 issuance of $4.0 billion of senior notes, a portion of which was intended to be used to fund our planned acquisition of Advanced Disposal. We redeemed $3.0 billion of these senior notes in July 2020 resulting in a reduction in our interest expense for the three months ended September 30, 2020. The July 2020 redemption of $3.0 billion of these senior notes is discussed further in </w:t>
      </w:r>
      <w:r>
        <w:rPr>
          <w:rFonts w:ascii="Times New Roman" w:cs="Times New Roman" w:eastAsia="Times New Roman" w:hAnsi="Times New Roman"/>
          <w:sz w:val="18"/>
          <w:szCs w:val="18"/>
          <w:i w:val="1"/>
          <w:iCs w:val="1"/>
          <w:color w:val="auto"/>
        </w:rPr>
        <w:t>Loss on Early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Extinguishment of Debt </w:t>
      </w:r>
      <w:r>
        <w:rPr>
          <w:rFonts w:ascii="Times New Roman" w:cs="Times New Roman" w:eastAsia="Times New Roman" w:hAnsi="Times New Roman"/>
          <w:sz w:val="18"/>
          <w:szCs w:val="18"/>
          <w:color w:val="auto"/>
        </w:rPr>
        <w:t>below.</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229" w:lineRule="exact"/>
        <w:rPr>
          <w:sz w:val="20"/>
          <w:szCs w:val="20"/>
          <w:color w:val="auto"/>
        </w:rPr>
      </w:pPr>
    </w:p>
    <w:p>
      <w:pPr>
        <w:jc w:val="both"/>
        <w:ind w:left="60" w:right="59" w:firstLine="259"/>
        <w:spacing w:after="0" w:line="258" w:lineRule="auto"/>
        <w:rPr>
          <w:sz w:val="20"/>
          <w:szCs w:val="20"/>
          <w:color w:val="auto"/>
        </w:rPr>
      </w:pPr>
      <w:r>
        <w:rPr>
          <w:rFonts w:ascii="Times New Roman" w:cs="Times New Roman" w:eastAsia="Times New Roman" w:hAnsi="Times New Roman"/>
          <w:sz w:val="18"/>
          <w:szCs w:val="18"/>
          <w:color w:val="auto"/>
        </w:rPr>
        <w:t>In May 2019, WM issued $4.0 billion of senior notes, including $3.0 billion of senior notes with a special mandatory redemption feature (the “SMR Notes”). We used $344 million of the proceeds from this offering to retire $257 million principal amount of certain high-coupon senior notes. The cash paid to retire the high-coupon senior notes also included $84 million of related premiums, which are classified as loss on early extinguishment of debt in our Condensed Consolidated Statement of Operations, and $3 million of accrued interest.</w:t>
      </w:r>
    </w:p>
    <w:p>
      <w:pPr>
        <w:spacing w:after="0" w:line="183" w:lineRule="exact"/>
        <w:rPr>
          <w:sz w:val="20"/>
          <w:szCs w:val="20"/>
          <w:color w:val="auto"/>
        </w:rPr>
      </w:pPr>
    </w:p>
    <w:p>
      <w:pPr>
        <w:jc w:val="both"/>
        <w:ind w:left="60" w:right="59" w:firstLine="259"/>
        <w:spacing w:after="0" w:line="254" w:lineRule="auto"/>
        <w:rPr>
          <w:sz w:val="20"/>
          <w:szCs w:val="20"/>
          <w:color w:val="auto"/>
        </w:rPr>
      </w:pPr>
      <w:r>
        <w:rPr>
          <w:rFonts w:ascii="Times New Roman" w:cs="Times New Roman" w:eastAsia="Times New Roman" w:hAnsi="Times New Roman"/>
          <w:sz w:val="18"/>
          <w:szCs w:val="18"/>
          <w:color w:val="auto"/>
        </w:rPr>
        <w:t>In July 2020, we recognized a $52 million loss on early extinguishment of debt in our Consolidated Statement of Operations related to the mandatory redemption of the SMR Notes. The loss includes $30 million of premiums paid and $22 million of unamortized discounts and debt issuance costs. Pursuant to the terms of the SMR Notes, we were required to redeem all of such outstanding notes paying debt holders 101% of the aggregate principal amounts of such notes, plus accrued but unpaid interest, as a result of the Advanced Disposal acquisition not being completed by July 14, 2020. Accordingly, the redemption was completed on July 20, 2020 using available cash on hand and, to a lesser extent, commercial paper borrowings. The cash paid included the $3.0 billion principal amount of debt redeemed, $30 million of related premiums and $8 million of accrued interest.</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Equity in Net Losses of Unconsolidated Entities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recognized equity in net losses of unconsolidated entities of $16 million and $56 million for the three and nine months ended September 30, 2020, respectively, compared to $14 million and $39 million for the three months and nine months ended September 30, 2019, respectively. The losses for each period are primarily related to our noncontrolling interests in entities established to invest in and manage low-income housing properties. We generate tax benefits, including tax credits, from the losses incurred from these investments. Additionally, the 2019 periods include losses associated with our investment in a refined coal facility. During the first quarter of 2020, the entity that holds and manages our ownership interest in the refined coal facility sold a majority of its assets resulting in a $7 million non-cash impairment charge at that time.</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Other, Net</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During the first quarter of 2019, we recognized a $52 million non-cash impairment charge related to our minority-owned investment in a waste conversion technology business. We wrote down our investment to its estimated fair value as the result of recent third-party investor’s transactions in these securities. The fair value of our investment was not readily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1" w:name="page42"/>
    <w:bookmarkEnd w:id="41"/>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determinable; thus, we determined the fair value utilizing a combination of quoted price inputs for the equity in our investment (Level 2) and certain management assumptions pertaining to investment value (Level 3).</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income tax expense was $126 million and $288 million for the three and nine months ended September 30, 2020, respectively, compared to $120 million and $350 million for the three and nine months ended September 30, 2019, respectively. Our effective income tax rate was 24.5% and 21.4% for the three and nine months ended September 30, 2020, respectively, compared to 19.4% and 22.2% for the three and nine months ended September 30, 2019, respectively.</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increases in our income tax expense and effective income tax rate when comparing the three months ended September 30, 2020 and 2019 were driven by (i) favorable adjustments to accruals and related deferred taxes recorded in 2019 due to the filing of our 2018 income tax returns and changes in state and foreign laws; (ii) lower federal tax credits in 2020 and (iii) the detrimental impact of non-deductible transaction costs related to closing the acquisition of Advanced Disposal. The decreases in our income tax expense and effective income tax rate when comparing the nine months ended September 30, 2020 and 2019 were driven primarily by (i) a decrease in pre-tax income in 2020, which increased the effective tax rate impact of federal tax credits and (ii) a $52 million non-cash impairment charge recognized in 2019 that was not deductible for tax purposes.</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March 27, 2020, the CARES Act was enacted in response to the COVID-19 pandemic. The CARES Act contains numerous income tax provisions, none of which directly affected our income tax expense for the three and nine months ended September 30, 2020 or are expected to have a material impact on our income tax expense in future reporting periods. The Company is evaluating the impact of the CARES Act and expects to benefit from the deferral of certain payroll taxes through the end of calendar year 2020.</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Company consistently generates cash flow from operations that meets and exceeds our working capital needs, payment of our dividends and investment in the business through capital expenditures and acquisitions. We continually monitor our actual and forecasted cash flows, our liquidity and our capital resources, enabling us to plan for our present needs and fund unbudgeted business requirements that may arise during the year. Additionally, the Company continually takes actions to manage costs and capital spending without compromising long-term strategic priorities. Recent actions include route optimization initiatives, reducing overtime hours, limiting hiring and optimizing our workforce through improved retention and reduced turnover, reducing non-essential selling, general and administrative expenses and lowering capital expenditures to a level that is consistent with volume changes driven by COVID-19. Furthermore, as a result of the CARES Act discussed above in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we are currently benefiting from the deferral of certain payroll taxes, which will continue through the end of calendar year 2020, favorably impacting our net cash provided by operating activities. The Company believes that its investment grade credit ratings, large value of unencumbered assets and modest leverage enable it to obtain adequate financing to meet its ongoing capital, operating and other liquidity requirements.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2" w:name="page43"/>
    <w:bookmarkEnd w:id="42"/>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and Cash Equivalents, Restricted Trust and Escrow Accounts and Debt Obligations</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cash and cash equivalents, restricted trust and escrow accounts and debt balances (in millions):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80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40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Restricted trust and escrow accounts:</w:t>
            </w: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gridSpan w:val="3"/>
            <w:vMerge w:val="continue"/>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Insurance reserves</w:t>
            </w:r>
          </w:p>
        </w:tc>
        <w:tc>
          <w:tcPr>
            <w:tcW w:w="9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Final capping, closure, post-closure and environmental remediation funds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Total restricted trust and escrow accounts (a)</w:t>
            </w:r>
          </w:p>
        </w:tc>
        <w:tc>
          <w:tcPr>
            <w:tcW w:w="7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Debt:</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Current portion</w:t>
            </w:r>
          </w:p>
        </w:tc>
        <w:tc>
          <w:tcPr>
            <w:tcW w:w="9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portion</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debt</w:t>
            </w:r>
          </w:p>
        </w:tc>
        <w:tc>
          <w:tcPr>
            <w:tcW w:w="7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 million as of September 30, 2020 and December 31, 2019 in other current assets in our Condensed Consolidated Balance Sheets.</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2020, we had $2.2 billion of debt maturing within the next 12 months, including (i) $600 million of short-term borrowings under our commercial paper program; (ii) $400 million of 4.60% senior notes that mature in March 2021; (iii) $952 million of tax-exempt bonds with term interest rate periods that expire within the next 12 months, which is prior to their scheduled maturities, and (iv) $167 million of other debt with scheduled maturities within the next 12 months, including $63 million of tax-exempt bonds. As of September 30, 2020, we have classified $2.0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The remaining $167 million is classified as current obligations.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Guarantor Financial Information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In lieu of providing separate financial statements for the subsidiary issuer and guarantor (WM and WM Holdings), we have presented the accompanying supplemental summarized combined balance sheet and income statement information for WM and WM Holdings on a combined basis after elimination of intercompany transactions between WM and WM Holdings and amounts related to investments in any subsidiary that is a non-guarantor (in millions):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260" w:type="dxa"/>
            <w:vAlign w:val="bottom"/>
            <w:tcBorders>
              <w:bottom w:val="single" w:sz="8" w:color="CCEEFF"/>
            </w:tcBorders>
          </w:tcPr>
          <w:p>
            <w:pPr>
              <w:spacing w:after="0"/>
              <w:rPr>
                <w:sz w:val="15"/>
                <w:szCs w:val="15"/>
                <w:color w:val="auto"/>
              </w:rPr>
            </w:pPr>
          </w:p>
        </w:tc>
        <w:tc>
          <w:tcPr>
            <w:tcW w:w="35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5"/>
                <w:szCs w:val="15"/>
                <w:color w:val="auto"/>
              </w:rPr>
            </w:pPr>
          </w:p>
        </w:tc>
      </w:tr>
      <w:tr>
        <w:trPr>
          <w:trHeight w:val="21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Information:</w:t>
            </w:r>
          </w:p>
        </w:tc>
        <w:tc>
          <w:tcPr>
            <w:tcW w:w="3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7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20" w:type="dxa"/>
            <w:vAlign w:val="bottom"/>
          </w:tcPr>
          <w:p>
            <w:pPr>
              <w:spacing w:after="0"/>
              <w:rPr>
                <w:sz w:val="18"/>
                <w:szCs w:val="18"/>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r>
      <w:tr>
        <w:trPr>
          <w:trHeight w:val="21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18"/>
                <w:szCs w:val="18"/>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Advances due to affiliates</w:t>
            </w: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19,345</w:t>
            </w:r>
          </w:p>
        </w:tc>
        <w:tc>
          <w:tcPr>
            <w:tcW w:w="20" w:type="dxa"/>
            <w:vAlign w:val="bottom"/>
          </w:tcPr>
          <w:p>
            <w:pPr>
              <w:spacing w:after="0"/>
              <w:rPr>
                <w:sz w:val="18"/>
                <w:szCs w:val="18"/>
                <w:color w:val="auto"/>
              </w:rPr>
            </w:pPr>
          </w:p>
        </w:tc>
      </w:tr>
      <w:tr>
        <w:trPr>
          <w:trHeight w:val="216"/>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20" w:type="dxa"/>
            <w:vAlign w:val="bottom"/>
          </w:tcPr>
          <w:p>
            <w:pPr>
              <w:spacing w:after="0"/>
              <w:rPr>
                <w:sz w:val="18"/>
                <w:szCs w:val="18"/>
                <w:color w:val="auto"/>
              </w:rPr>
            </w:pPr>
          </w:p>
        </w:tc>
      </w:tr>
      <w:tr>
        <w:trPr>
          <w:trHeight w:val="864"/>
        </w:trPr>
        <w:tc>
          <w:tcPr>
            <w:tcW w:w="3260" w:type="dxa"/>
            <w:vAlign w:val="bottom"/>
          </w:tcPr>
          <w:p>
            <w:pPr>
              <w:spacing w:after="0"/>
              <w:rPr>
                <w:sz w:val="24"/>
                <w:szCs w:val="24"/>
                <w:color w:val="auto"/>
              </w:rPr>
            </w:pPr>
          </w:p>
        </w:tc>
        <w:tc>
          <w:tcPr>
            <w:tcW w:w="3520" w:type="dxa"/>
            <w:vAlign w:val="bottom"/>
          </w:tcPr>
          <w:p>
            <w:pPr>
              <w:jc w:val="right"/>
              <w:ind w:right="213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2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3" w:right="1440" w:bottom="1440" w:gutter="0" w:footer="0" w:header="0"/>
        </w:sectPr>
      </w:pPr>
    </w:p>
    <w:bookmarkStart w:id="43" w:name="page44"/>
    <w:bookmarkEnd w:id="4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5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Information:</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40" w:type="dxa"/>
            <w:vAlign w:val="bottom"/>
          </w:tcPr>
          <w:p>
            <w:pPr>
              <w:jc w:val="right"/>
              <w:ind w:right="36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bl>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our cash flows for the nine months ended September 30 (in millions):</w:t>
      </w:r>
    </w:p>
    <w:p>
      <w:pPr>
        <w:spacing w:after="0" w:line="124"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9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69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6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(1,241)</w:t>
            </w:r>
          </w:p>
        </w:tc>
        <w:tc>
          <w:tcPr>
            <w:tcW w:w="2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(4,244)</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 </w:t>
      </w:r>
      <w:r>
        <w:rPr>
          <w:rFonts w:ascii="Times New Roman" w:cs="Times New Roman" w:eastAsia="Times New Roman" w:hAnsi="Times New Roman"/>
          <w:sz w:val="18"/>
          <w:szCs w:val="18"/>
          <w:color w:val="auto"/>
        </w:rPr>
        <w:t>Our operating cash flows decreased compared with the prior year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largely as a result of (i) an increase in interest payments in the current year period primarily associated with our May 2019 issuance of $4.0 billion of senior notes; (ii) higher bonus payments in the current year period; (iii) other net unfavorable changes in our operating assets and liabilities, net of effects of acquisitions and divestitures; (iv) a decline in operating income, primarily in the second quarter of 2020, due to COVID-19 and (v) increases in selling, general and administrative costs, particularly to support the Advanced Disposal acquisition and technology investments. These results were partially offset by (i) the cash benefit associated with deferring certain payroll taxes as provided for by the CARES Act, which is discussed in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(ii) lower income taxes paid due to a decrease in pre-tax income and timing of estimated tax payments and (iii) benefits from alternative fuel tax credits.</w:t>
      </w:r>
    </w:p>
    <w:p>
      <w:pPr>
        <w:spacing w:after="0" w:line="188"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 </w:t>
      </w:r>
      <w:r>
        <w:rPr>
          <w:rFonts w:ascii="Times New Roman" w:cs="Times New Roman" w:eastAsia="Times New Roman" w:hAnsi="Times New Roman"/>
          <w:sz w:val="18"/>
          <w:szCs w:val="18"/>
          <w:color w:val="auto"/>
        </w:rPr>
        <w:t>The most significant items included in our investing cash flows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2020 and 2019 are summarized below:</w:t>
      </w:r>
    </w:p>
    <w:p>
      <w:pPr>
        <w:spacing w:after="0" w:line="50" w:lineRule="exact"/>
        <w:rPr>
          <w:sz w:val="20"/>
          <w:szCs w:val="20"/>
          <w:color w:val="auto"/>
        </w:rPr>
      </w:pPr>
    </w:p>
    <w:p>
      <w:pPr>
        <w:jc w:val="both"/>
        <w:ind w:left="720" w:right="79" w:hanging="319"/>
        <w:spacing w:after="0" w:line="258"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 We spent $3 million and $513 million for acquisitions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and 2019, respectively, related to our Solid Waste business. These amounts exclude cash used in financing and operating activities related to the timing of contingent consideration paid. Our acquisition spending in 2019 relates primarily to our acquisition of Petro Waste Environmental LP, which is discussed further in Note 8 to the Condensed Consolidated Financial Statements.</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Expenditures — </w:t>
      </w:r>
      <w:r>
        <w:rPr>
          <w:rFonts w:ascii="Times New Roman" w:cs="Times New Roman" w:eastAsia="Times New Roman" w:hAnsi="Times New Roman"/>
          <w:sz w:val="18"/>
          <w:szCs w:val="18"/>
          <w:color w:val="auto"/>
        </w:rPr>
        <w:t>We used $1,238 million and $1,532 million for capital expenditures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2020 and 2019, respectively. The Company continues to maintain a disciplined focus on capital management to prioritize investments in the long-term growth of our business and for the replacement of aging assets; however, we are currently taking proactive steps to reduce the amount of capital spending required due to the decrease in volumes as a result of COVID-19.</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Net — </w:t>
      </w:r>
      <w:r>
        <w:rPr>
          <w:rFonts w:ascii="Times New Roman" w:cs="Times New Roman" w:eastAsia="Times New Roman" w:hAnsi="Times New Roman"/>
          <w:sz w:val="18"/>
          <w:szCs w:val="18"/>
          <w:color w:val="auto"/>
        </w:rPr>
        <w:t>The year-over-year changes in other investing activities were primarily driven by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to certain of our investments in unconsolidated entities and changes in our investment portfolio associated with a wholly-owned insurance captive. During the nine months ended September 30, 2020 and 2019, we used $19 million and $47 million, respectively, of cash from restricted cash and cash equivalents to invest in available-for-sale securities. We also used $20 million in the third quarter of 2019 to make an initial cash payment associated with a low-income housing investment. Additionally, during the first quarter of 2019, we had $17 million of cash proceeds from the redemption of our preferred stock received in conjunction with the 2014 sale of our Puerto Rico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44" w:name="page45"/>
    <w:bookmarkEnd w:id="44"/>
    <w:p>
      <w:pPr>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Provided by Financing Activities — </w:t>
      </w:r>
      <w:r>
        <w:rPr>
          <w:rFonts w:ascii="Times New Roman" w:cs="Times New Roman" w:eastAsia="Times New Roman" w:hAnsi="Times New Roman"/>
          <w:sz w:val="18"/>
          <w:szCs w:val="18"/>
          <w:color w:val="auto"/>
        </w:rPr>
        <w:t>The most significant items affecting the comparison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cash flows for the nine months ended September 30, 2020 and 2019 are summarized below:</w:t>
      </w:r>
    </w:p>
    <w:p>
      <w:pPr>
        <w:spacing w:after="0" w:line="50" w:lineRule="exact"/>
        <w:rPr>
          <w:sz w:val="20"/>
          <w:szCs w:val="20"/>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(Repayments) Borrowings — </w:t>
      </w:r>
      <w:r>
        <w:rPr>
          <w:rFonts w:ascii="Times New Roman" w:cs="Times New Roman" w:eastAsia="Times New Roman" w:hAnsi="Times New Roman"/>
          <w:sz w:val="18"/>
          <w:szCs w:val="18"/>
          <w:color w:val="auto"/>
        </w:rPr>
        <w:t>The following summarizes our cash borrowings and repayments of debt</w:t>
      </w:r>
    </w:p>
    <w:p>
      <w:pPr>
        <w:spacing w:after="0" w:line="2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(excluding   our   commercial   paper   program</w:t>
            </w:r>
          </w:p>
        </w:tc>
        <w:tc>
          <w:tcPr>
            <w:tcW w:w="17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discussed   below)</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   the</w:t>
            </w:r>
          </w:p>
        </w:tc>
        <w:tc>
          <w:tcPr>
            <w:tcW w:w="140" w:type="dxa"/>
            <w:vAlign w:val="bottom"/>
          </w:tcPr>
          <w:p>
            <w:pPr>
              <w:spacing w:after="0"/>
              <w:rPr>
                <w:sz w:val="17"/>
                <w:szCs w:val="17"/>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(in millions):</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0"/>
        </w:trPr>
        <w:tc>
          <w:tcPr>
            <w:tcW w:w="2220" w:type="dxa"/>
            <w:vAlign w:val="bottom"/>
            <w:tcBorders>
              <w:bottom w:val="single" w:sz="8" w:color="CCEEFF"/>
            </w:tcBorders>
          </w:tcPr>
          <w:p>
            <w:pPr>
              <w:spacing w:after="0"/>
              <w:rPr>
                <w:sz w:val="23"/>
                <w:szCs w:val="23"/>
                <w:color w:val="auto"/>
              </w:rPr>
            </w:pPr>
          </w:p>
        </w:tc>
        <w:tc>
          <w:tcPr>
            <w:tcW w:w="1680" w:type="dxa"/>
            <w:vAlign w:val="bottom"/>
            <w:tcBorders>
              <w:bottom w:val="single" w:sz="8" w:color="CCEEFF"/>
            </w:tcBorders>
          </w:tcPr>
          <w:p>
            <w:pPr>
              <w:spacing w:after="0"/>
              <w:rPr>
                <w:sz w:val="23"/>
                <w:szCs w:val="23"/>
                <w:color w:val="auto"/>
              </w:rPr>
            </w:pPr>
          </w:p>
        </w:tc>
        <w:tc>
          <w:tcPr>
            <w:tcW w:w="156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40" w:type="dxa"/>
            <w:vAlign w:val="bottom"/>
          </w:tcPr>
          <w:p>
            <w:pPr>
              <w:spacing w:after="0"/>
              <w:rPr>
                <w:sz w:val="23"/>
                <w:szCs w:val="23"/>
                <w:color w:val="auto"/>
              </w:rPr>
            </w:pPr>
          </w:p>
        </w:tc>
      </w:tr>
      <w:tr>
        <w:trPr>
          <w:trHeight w:val="20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Revolving credit facility (a)</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240" w:type="dxa"/>
            <w:vAlign w:val="bottom"/>
          </w:tcPr>
          <w:p>
            <w:pPr>
              <w:spacing w:after="0"/>
              <w:rPr>
                <w:sz w:val="18"/>
                <w:szCs w:val="18"/>
                <w:color w:val="auto"/>
              </w:rPr>
            </w:pPr>
          </w:p>
        </w:tc>
      </w:tr>
      <w:tr>
        <w:trPr>
          <w:trHeight w:val="216"/>
        </w:trPr>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Canadian senior notes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4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Tax-exempt bonds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40" w:type="dxa"/>
            <w:vAlign w:val="bottom"/>
          </w:tcPr>
          <w:p>
            <w:pPr>
              <w:spacing w:after="0"/>
              <w:rPr>
                <w:sz w:val="18"/>
                <w:szCs w:val="18"/>
                <w:color w:val="auto"/>
              </w:rPr>
            </w:pPr>
          </w:p>
        </w:tc>
      </w:tr>
      <w:tr>
        <w:trPr>
          <w:trHeight w:val="216"/>
        </w:trPr>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r>
      <w:tr>
        <w:trPr>
          <w:trHeight w:val="210"/>
        </w:trPr>
        <w:tc>
          <w:tcPr>
            <w:tcW w:w="2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240" w:type="dxa"/>
            <w:vAlign w:val="bottom"/>
          </w:tcPr>
          <w:p>
            <w:pPr>
              <w:spacing w:after="0"/>
              <w:rPr>
                <w:sz w:val="18"/>
                <w:szCs w:val="18"/>
                <w:color w:val="auto"/>
              </w:rPr>
            </w:pPr>
          </w:p>
        </w:tc>
      </w:tr>
      <w:tr>
        <w:trPr>
          <w:trHeight w:val="209"/>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Repayments</w:t>
            </w:r>
            <w:r>
              <w:rPr>
                <w:rFonts w:ascii="Times New Roman" w:cs="Times New Roman" w:eastAsia="Times New Roman" w:hAnsi="Times New Roman"/>
                <w:sz w:val="18"/>
                <w:szCs w:val="18"/>
                <w:color w:val="auto"/>
              </w:rPr>
              <w:t>:</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Revolving credit facility (a)</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40" w:type="dxa"/>
            <w:vAlign w:val="bottom"/>
          </w:tcPr>
          <w:p>
            <w:pPr>
              <w:spacing w:after="0"/>
              <w:rPr>
                <w:sz w:val="18"/>
                <w:szCs w:val="18"/>
                <w:color w:val="auto"/>
              </w:rPr>
            </w:pPr>
          </w:p>
        </w:tc>
      </w:tr>
      <w:tr>
        <w:trPr>
          <w:trHeight w:val="216"/>
        </w:trPr>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4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Tax-exempt bonds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40" w:type="dxa"/>
            <w:vAlign w:val="bottom"/>
          </w:tcPr>
          <w:p>
            <w:pPr>
              <w:spacing w:after="0"/>
              <w:rPr>
                <w:sz w:val="18"/>
                <w:szCs w:val="18"/>
                <w:color w:val="auto"/>
              </w:rPr>
            </w:pPr>
          </w:p>
        </w:tc>
      </w:tr>
      <w:tr>
        <w:trPr>
          <w:trHeight w:val="216"/>
        </w:trPr>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40" w:type="dxa"/>
            <w:vAlign w:val="bottom"/>
          </w:tcPr>
          <w:p>
            <w:pPr>
              <w:spacing w:after="0"/>
              <w:rPr>
                <w:sz w:val="18"/>
                <w:szCs w:val="18"/>
                <w:color w:val="auto"/>
              </w:rPr>
            </w:pPr>
          </w:p>
        </w:tc>
      </w:tr>
      <w:tr>
        <w:trPr>
          <w:trHeight w:val="209"/>
        </w:trPr>
        <w:tc>
          <w:tcPr>
            <w:tcW w:w="2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40" w:type="dxa"/>
            <w:vAlign w:val="bottom"/>
          </w:tcPr>
          <w:p>
            <w:pPr>
              <w:spacing w:after="0"/>
              <w:rPr>
                <w:sz w:val="18"/>
                <w:szCs w:val="18"/>
                <w:color w:val="auto"/>
              </w:rPr>
            </w:pPr>
          </w:p>
        </w:tc>
      </w:tr>
      <w:tr>
        <w:trPr>
          <w:trHeight w:val="21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Net cash (repayments) borrowings</w:t>
            </w:r>
          </w:p>
        </w:tc>
        <w:tc>
          <w:tcPr>
            <w:tcW w:w="15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240" w:type="dxa"/>
            <w:vAlign w:val="bottom"/>
          </w:tcPr>
          <w:p>
            <w:pPr>
              <w:spacing w:after="0"/>
              <w:rPr>
                <w:sz w:val="18"/>
                <w:szCs w:val="18"/>
                <w:color w:val="auto"/>
              </w:rPr>
            </w:pPr>
          </w:p>
        </w:tc>
      </w:tr>
      <w:tr>
        <w:trPr>
          <w:trHeight w:val="20"/>
        </w:trPr>
        <w:tc>
          <w:tcPr>
            <w:tcW w:w="2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88"/>
        </w:trPr>
        <w:tc>
          <w:tcPr>
            <w:tcW w:w="2220" w:type="dxa"/>
            <w:vAlign w:val="bottom"/>
            <w:tcBorders>
              <w:bottom w:val="single" w:sz="8" w:color="auto"/>
            </w:tcBorders>
          </w:tcPr>
          <w:p>
            <w:pPr>
              <w:spacing w:after="0"/>
              <w:rPr>
                <w:sz w:val="7"/>
                <w:szCs w:val="7"/>
                <w:color w:val="auto"/>
              </w:rPr>
            </w:pPr>
          </w:p>
        </w:tc>
        <w:tc>
          <w:tcPr>
            <w:tcW w:w="16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40" w:type="dxa"/>
            <w:vAlign w:val="bottom"/>
          </w:tcPr>
          <w:p>
            <w:pPr>
              <w:spacing w:after="0"/>
              <w:rPr>
                <w:sz w:val="7"/>
                <w:szCs w:val="7"/>
                <w:color w:val="auto"/>
              </w:rPr>
            </w:pPr>
          </w:p>
        </w:tc>
      </w:tr>
    </w:tbl>
    <w:p>
      <w:pPr>
        <w:spacing w:after="0" w:line="76" w:lineRule="exact"/>
        <w:rPr>
          <w:sz w:val="20"/>
          <w:szCs w:val="20"/>
          <w:color w:val="auto"/>
        </w:rPr>
      </w:pPr>
    </w:p>
    <w:p>
      <w:pPr>
        <w:ind w:left="1040" w:right="7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revolving credit facility was amended and restated in November 2019 increasing the total capacity to $3.5 billion.</w:t>
      </w:r>
    </w:p>
    <w:p>
      <w:pPr>
        <w:spacing w:after="0" w:line="54" w:lineRule="exact"/>
        <w:rPr>
          <w:sz w:val="20"/>
          <w:szCs w:val="20"/>
          <w:color w:val="auto"/>
        </w:rPr>
      </w:pPr>
    </w:p>
    <w:p>
      <w:pPr>
        <w:jc w:val="both"/>
        <w:ind w:left="700" w:right="79"/>
        <w:spacing w:after="0" w:line="266" w:lineRule="auto"/>
        <w:rPr>
          <w:sz w:val="20"/>
          <w:szCs w:val="20"/>
          <w:color w:val="auto"/>
        </w:rPr>
      </w:pPr>
      <w:r>
        <w:rPr>
          <w:rFonts w:ascii="Times New Roman" w:cs="Times New Roman" w:eastAsia="Times New Roman" w:hAnsi="Times New Roman"/>
          <w:sz w:val="18"/>
          <w:szCs w:val="18"/>
          <w:color w:val="auto"/>
        </w:rPr>
        <w:t>In May 2019, we issued $4.0 billion of senior notes to position us to fund our acquisition of Advanced Disposal. Refer to Note 3 to the Condensed Consolidated Financial Statements for additional information related to debt borrowings and repayments, including the July 2020 redemption of $3.0 billion of SMR Notes.</w:t>
      </w:r>
    </w:p>
    <w:p>
      <w:pPr>
        <w:spacing w:after="0" w:line="66" w:lineRule="exact"/>
        <w:rPr>
          <w:sz w:val="20"/>
          <w:szCs w:val="20"/>
          <w:color w:val="auto"/>
        </w:rPr>
      </w:pPr>
    </w:p>
    <w:p>
      <w:pPr>
        <w:jc w:val="both"/>
        <w:ind w:left="720" w:right="79" w:hanging="319"/>
        <w:spacing w:after="0" w:line="258"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Premiums Paid on Early Extinguishment of Debt — </w:t>
      </w:r>
      <w:r>
        <w:rPr>
          <w:rFonts w:ascii="Times New Roman" w:cs="Times New Roman" w:eastAsia="Times New Roman" w:hAnsi="Times New Roman"/>
          <w:sz w:val="18"/>
          <w:szCs w:val="18"/>
          <w:color w:val="auto"/>
        </w:rPr>
        <w:t>During the nine months ended September 30, 2020, we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premiums of $30 million to redeem $3.0 billion of SMR Notes as discussed further in Note 3 to the Condensed Consolidated Financial Statements. During the nine months ended September 30, 2019, we paid premiums of $84 million to retire certain high-coupon senior notes. See </w:t>
      </w:r>
      <w:r>
        <w:rPr>
          <w:rFonts w:ascii="Times New Roman" w:cs="Times New Roman" w:eastAsia="Times New Roman" w:hAnsi="Times New Roman"/>
          <w:sz w:val="18"/>
          <w:szCs w:val="18"/>
          <w:i w:val="1"/>
          <w:iCs w:val="1"/>
          <w:color w:val="auto"/>
        </w:rPr>
        <w:t>Loss on Early Extinguishment of Debt</w:t>
      </w:r>
      <w:r>
        <w:rPr>
          <w:rFonts w:ascii="Times New Roman" w:cs="Times New Roman" w:eastAsia="Times New Roman" w:hAnsi="Times New Roman"/>
          <w:sz w:val="18"/>
          <w:szCs w:val="18"/>
          <w:color w:val="auto"/>
        </w:rPr>
        <w:t xml:space="preserve"> for further discussion.</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Commercial Paper Program — </w:t>
      </w:r>
      <w:r>
        <w:rPr>
          <w:rFonts w:ascii="Times New Roman" w:cs="Times New Roman" w:eastAsia="Times New Roman" w:hAnsi="Times New Roman"/>
          <w:sz w:val="18"/>
          <w:szCs w:val="18"/>
          <w:color w:val="auto"/>
        </w:rPr>
        <w:t>During the three months ended September 30, 2020, we had net cash borrowings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$597 million under our commercial paper program. Borrowings incurred in 2020 were primarily to fund a portion of the redemption of SMR Notes and for general corporate purposes. During the nine months ended September 30, 2019, we made net cash repayments of $1,001 million under our commercial paper program. Borrowings incurred in 2019 were primarily to support acquisitions and for general corporate purposes. We repaid the outstanding balance in the second quarter of 2019 with proceeds from the May 2019 issuance of senior notes discussed above.</w:t>
      </w:r>
    </w:p>
    <w:p>
      <w:pPr>
        <w:spacing w:after="0" w:line="74"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Common Stock Repurchase Program — </w:t>
      </w:r>
      <w:r>
        <w:rPr>
          <w:rFonts w:ascii="Times New Roman" w:cs="Times New Roman" w:eastAsia="Times New Roman" w:hAnsi="Times New Roman"/>
          <w:sz w:val="18"/>
          <w:szCs w:val="18"/>
          <w:color w:val="auto"/>
        </w:rPr>
        <w:t>During the three months ended March 31, 2020, we repurchased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$402 million of our common stock, which includes $313 million related to a February 2020 accelerated share repurchase agreement and $89 million in open market transactions. In the first quarter of 2020, due to uncertainty associated with COVID-19 as well as our incremental funding needs for the Advanced Disposal acquisition, we elected to temporarily suspend additional share repurchases for the foreseeable future. No common stock was repurchased during the second and third quarters of 2020. During the nine months ended September 30, 2019, we repurchased $244 million of our common stock, which includes $180 million related to the May 2019 accelerated share repurchase agreement and $64 million in open market transactions. We also paid $4 million related to share repurchases executed in December 2018.</w:t>
      </w:r>
    </w:p>
    <w:p>
      <w:pPr>
        <w:spacing w:after="0" w:line="8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Dividends — </w:t>
      </w:r>
      <w:r>
        <w:rPr>
          <w:rFonts w:ascii="Times New Roman" w:cs="Times New Roman" w:eastAsia="Times New Roman" w:hAnsi="Times New Roman"/>
          <w:sz w:val="18"/>
          <w:szCs w:val="18"/>
          <w:color w:val="auto"/>
        </w:rPr>
        <w:t>For the periods presented, all dividends have been declared by our Board of Directors.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45" w:name="page46"/>
    <w:bookmarkEnd w:id="45"/>
    <w:p>
      <w:pPr>
        <w:jc w:val="both"/>
        <w:ind w:left="700" w:right="59"/>
        <w:spacing w:after="0" w:line="261" w:lineRule="auto"/>
        <w:rPr>
          <w:sz w:val="20"/>
          <w:szCs w:val="20"/>
          <w:color w:val="auto"/>
        </w:rPr>
      </w:pPr>
      <w:r>
        <w:rPr>
          <w:rFonts w:ascii="Times New Roman" w:cs="Times New Roman" w:eastAsia="Times New Roman" w:hAnsi="Times New Roman"/>
          <w:sz w:val="18"/>
          <w:szCs w:val="18"/>
          <w:color w:val="auto"/>
        </w:rPr>
        <w:t>We paid cash dividends of $696 million and $658 million during the nine months ended September 30, 2020 and 2019, respectively. The increase in dividend payments is due to our quarterly per share dividend increasing from $0.5125 in 2019 to $0.545 in 2020 which was offset, in part, by a reduction in the number of shares of our common stock outstanding as a result of our common stock repurchase program.</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18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4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5"/>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r>
      <w:tr>
        <w:trPr>
          <w:trHeight w:val="198"/>
        </w:trPr>
        <w:tc>
          <w:tcPr>
            <w:tcW w:w="5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divestitures of businesses and other assets (net of cash</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34"/>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divested)</w:t>
            </w: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9"/>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Free cash flow</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Assets Held-for-Sale</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April 14, 2019, we entered into an Agreement and Plan of Merger to acquire all outstanding shares of Advanced Disposal for $33.15 per share in cash, representing a total enterprise value at the time of $4.9 billion when including approximately $1.9 billion of Advanced Disposal’s net debt. On June 24, 2020, we entered into an amendment to the Agreement and Plan of Merger (as amended, the “Merger Agreement”), pursuant to which a subsidiary of WM would acquire all outstanding shares of Advanced Disposal for $30.30 per share in cash, representing a total enterprise value of $4.6 billion when including approximately $1.8 billion of Advanced Disposal’s net debt. This acquisition grows our footprint and allows us to provide differentiated, sustainable waste management and recycling services to approximately three million new commercial, industrial and residential customers, primarily located in 16 states in the Eastern half of the U.S. The transaction closed on October 30, 2020 and is discussed further below in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June 24, 2020, we also announced that we and Advanced Disposal entered into an agreement that provided for GFL Environmental Inc. to acquire a combination of assets from us and Advanced Disposal to address divestitures required by the U.S. Department of Justice in connection with the Advanced Disposal acquisition (as subsequently amended, the “Divestiture Agreement”). Immediately following the Merger Agreement closing on October 30, 2020, the transactions contemplated by the Divestiture Agreement were consummated and the Company received cash proceeds from the sale of $856.4 million, subject to certain post-closing adjustments. These transactions are discussed further below in </w:t>
      </w:r>
      <w:r>
        <w:rPr>
          <w:rFonts w:ascii="Times New Roman" w:cs="Times New Roman" w:eastAsia="Times New Roman" w:hAnsi="Times New Roman"/>
          <w:sz w:val="18"/>
          <w:szCs w:val="18"/>
          <w:i w:val="1"/>
          <w:iCs w:val="1"/>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2020, the WM assets to be divested met the criteria to be classified as held-for-sale and have been classified as such within other current assets and accrued liabilities, as appropriate, in our Condensed Consolidated Balance Sheet. The carrying amounts of the assets and liabilities that have been classified as held-for-sale, which are primarily in our Tier 2 and Tier 3 segments, are $53 million of property and equipment and goodwill and $17 million of landfill liabilities.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6" w:name="page47"/>
    <w:bookmarkEnd w:id="46"/>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October 30, 2020, we closed our acquisition of Advanced Disposal, which is discussed further in Note 8 to the Condensed Consolidated Financial Statements. We are currently in the process of valuing the assets acquired and liabilities assumed in the business combination. As a result, we are not yet able to provide the amounts to be recognized as of the acquisition date for the major classes of assets acquired and liabilities assumed and other related disclosures. We will disclose this and other related information in our Form 10-K for the year ended December 31, 2020. Total enterprise value of the acquisition was $4.6 billion when including approximately $1.8 billion of Advanced Disposal’s net debt and is subject to post-closing adjustments. The acquisition was funded using our $3.0 billion revolving credit facility and commercial paper borrowings. Refer to Note 3 to the Condensed Consolidated Financial Statements for further discussion of our $3.0 billion revolving credit facility and commercial paper program.</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and Advanced Disposal entered into a Divestiture Agreement that provided for GFL Environmental Inc. to acquire a combination of assets from us and Advanced Disposal to address divestitures required by the U.S. Department of Justice in connection with the Advanced Disposal acquisition. Immediately following the Merger Agreement closing on October 30, 2020, the transactions contemplated by the Divestiture Agreement were consummated and the Company received cash proceeds from the sale of $856.4 million, subject to certain post-closing adjustments.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 and Assumptions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as described in Item 7 of our Annual Report on Form 10-K for the year ended December 31, 2019. Actual results could differ materially from the estimates and assumptions that we use in the preparation of our financial statements.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have financial interests in unconsolidated variable interest entities as discussed in Note 13 to the Condensed Consolidated Financial Statements. Additionally, we are party to guarantee arrangements with unconsolidated entities as discussed in the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xml:space="preserve"> section of Note 6 to the Condensed Consolidated Financial Statements. These arrangements have not materially affected our financial position, results of operations or liquidity during the nine months ended September 30, 2020, nor are they expected to have a material impact on our future financial position, results of operations or liquidity.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 Trends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operating revenues tend to be somewhat higher in summer months, primarily due to the higher construction and demolition waste volumes. The volumes of industrial and residential waste in certain regions where we operate also tend to increase during the summer months.</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Service disruptions caused by severe storms, extended periods of inclement weather or climate extremes resulting from climate change can significantly affect the operating results of the Areas affected. On the other hand, certain destructive weather and climate conditions, such as wildfires in the Western U.S. and hurricanes that most often impact our operations in the Southern and Eastern U.S. during the second half of the year, can increase our revenues in the Areas affected as a result of the waste volumes generated by these events. While weather-related and other event driven special projects can boost revenues through additional work for a limited time, as a result of significant start-up costs and other factors, such revenue can generate earnings at comparatively lower margins.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Times New Roman" w:cs="Times New Roman" w:eastAsia="Times New Roman" w:hAnsi="Times New Roman"/>
          <w:sz w:val="17"/>
          <w:szCs w:val="17"/>
          <w:color w:val="auto"/>
        </w:rPr>
        <w:t>While inflationary increases in costs can affect our income from operations margins,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64"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Except for the broad effects of the COVID-19 pandemic, including widespread business disruptions, the information about market risks as of September 30, 2020 does not differ materially from that discussed under Item 7A in our Annual Report on Form 10-K for the year ended December 31, 2019.</w:t>
      </w:r>
    </w:p>
    <w:p>
      <w:pPr>
        <w:spacing w:after="0" w:line="172"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Effectiveness of Controls and Procedures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September 30, 2020 (the end of the period covered by this Quarterly Report on Form 10-Q).</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Management, together with our CEO and CFO, evaluated the changes in our internal control over financial reporting during the quarter ended September 30, 2020. We determined that there were no changes in our internal control over financial reporting during the quarter ended September 30, 2020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our legal proceedings can be found under the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sections of Note 6 to the Condensed Consolidated Financial Statements.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ind w:left="180" w:right="7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Part I, Item 1A of our Annual Report on Form 10-K for the year ended December 31, 2019, as updated by Part II, Item 1A of our Quarterly Reports on Form 10-Q for the quarters ended March 31, 2020 and June 30, 2020.</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500" w:type="dxa"/>
            <w:vAlign w:val="bottom"/>
            <w:gridSpan w:val="5"/>
          </w:tcPr>
          <w:p>
            <w:pPr>
              <w:ind w:left="2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9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740" w:type="dxa"/>
            <w:vAlign w:val="bottom"/>
            <w:tcBorders>
              <w:top w:val="single" w:sz="8" w:color="auto"/>
              <w:bottom w:val="single" w:sz="8" w:color="0000EE"/>
            </w:tcBorders>
            <w:gridSpan w:val="6"/>
          </w:tcPr>
          <w:p>
            <w:pPr>
              <w:spacing w:after="0" w:line="169"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3.0 Billion Credit Agreement dated July 28, 2020 by and among Waste Management, Inc., Waste</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Management Holdings, Inc., certain banks party thereto, and Mizuho Bank, Ltd., as administrative agent</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[incorporated by reference to Exhibit 10.1 to Form 8-K filed July 30, 2020].</w:t>
              </w:r>
            </w:hyperlink>
          </w:p>
        </w:tc>
        <w:tc>
          <w:tcPr>
            <w:tcW w:w="2280" w:type="dxa"/>
            <w:vAlign w:val="bottom"/>
            <w:gridSpan w:val="3"/>
          </w:tcPr>
          <w:p>
            <w:pPr>
              <w:spacing w:after="0"/>
              <w:rPr>
                <w:sz w:val="17"/>
                <w:szCs w:val="17"/>
                <w:color w:val="auto"/>
              </w:rPr>
            </w:pPr>
          </w:p>
        </w:tc>
      </w:tr>
      <w:tr>
        <w:trPr>
          <w:trHeight w:val="35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Pr>
          <w:p>
            <w:pPr>
              <w:spacing w:after="0"/>
              <w:rPr>
                <w:sz w:val="24"/>
                <w:szCs w:val="24"/>
                <w:color w:val="auto"/>
              </w:rPr>
            </w:pPr>
          </w:p>
        </w:tc>
        <w:tc>
          <w:tcPr>
            <w:tcW w:w="7760" w:type="dxa"/>
            <w:vAlign w:val="bottom"/>
            <w:gridSpan w:val="7"/>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u w:val="single" w:color="auto"/>
                  <w:color w:val="0000EE"/>
                </w:rPr>
                <w:t>Guarantor Subsidiary</w:t>
              </w:r>
              <w:r>
                <w:rPr>
                  <w:rFonts w:ascii="Times New Roman" w:cs="Times New Roman" w:eastAsia="Times New Roman" w:hAnsi="Times New Roman"/>
                  <w:sz w:val="18"/>
                  <w:szCs w:val="18"/>
                  <w:color w:val="0000EE"/>
                </w:rPr>
                <w:t>.</w:t>
              </w:r>
            </w:hyperlink>
          </w:p>
        </w:tc>
      </w:tr>
      <w:tr>
        <w:trPr>
          <w:trHeight w:val="297"/>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77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Certification Pursuant to Rules 13a-14(a) and 15d-14(a) under the Securities Exchange Act of 1934, as</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gridSpan w:val="7"/>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amended, of James C. Fish, Jr., President and Chief Executive Officer.</w:t>
              </w:r>
            </w:hyperlink>
          </w:p>
        </w:tc>
      </w:tr>
      <w:tr>
        <w:trPr>
          <w:trHeight w:val="20"/>
        </w:trPr>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80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77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Certification Pursuant to Rules 13a-14(a) and 15d-14(a) under the Securities Exchange Act of 1934, as</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amended, of Devina A. Rankin, Executive Vice President and Chief Financial Officer.</w:t>
              </w:r>
            </w:hyperlink>
          </w:p>
        </w:tc>
        <w:tc>
          <w:tcPr>
            <w:tcW w:w="1560" w:type="dxa"/>
            <w:vAlign w:val="bottom"/>
            <w:gridSpan w:val="2"/>
          </w:tcPr>
          <w:p>
            <w:pPr>
              <w:spacing w:after="0"/>
              <w:rPr>
                <w:sz w:val="17"/>
                <w:szCs w:val="17"/>
                <w:color w:val="auto"/>
              </w:rPr>
            </w:pPr>
          </w:p>
        </w:tc>
      </w:tr>
      <w:tr>
        <w:trPr>
          <w:trHeight w:val="35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7760" w:type="dxa"/>
            <w:vAlign w:val="bottom"/>
            <w:gridSpan w:val="7"/>
          </w:tcPr>
          <w:p>
            <w:pPr>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Certification Pursuant to 18 U.S.C. §1350 of James C. Fish, Jr., President and Chief Executive Officer.</w:t>
              </w:r>
            </w:hyperlink>
          </w:p>
        </w:tc>
      </w:tr>
      <w:tr>
        <w:trPr>
          <w:trHeight w:val="297"/>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77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Certification Pursuant to 18 U.S.C. §1350 of Devina A. Rankin, Executive Vice President and Chief</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gridSpan w:val="7"/>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Financial Officer.</w:t>
              </w:r>
            </w:hyperlink>
          </w:p>
        </w:tc>
      </w:tr>
      <w:tr>
        <w:trPr>
          <w:trHeight w:val="20"/>
        </w:trPr>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500" w:type="dxa"/>
            <w:vAlign w:val="bottom"/>
            <w:gridSpan w:val="5"/>
          </w:tcPr>
          <w:p>
            <w:pPr>
              <w:spacing w:after="0" w:line="20" w:lineRule="exact"/>
              <w:rPr>
                <w:sz w:val="1"/>
                <w:szCs w:val="1"/>
                <w:color w:val="auto"/>
              </w:rPr>
            </w:pPr>
          </w:p>
        </w:tc>
      </w:tr>
      <w:tr>
        <w:trPr>
          <w:trHeight w:val="35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24"/>
                <w:szCs w:val="24"/>
                <w:color w:val="auto"/>
              </w:rPr>
            </w:pPr>
          </w:p>
        </w:tc>
        <w:tc>
          <w:tcPr>
            <w:tcW w:w="7760" w:type="dxa"/>
            <w:vAlign w:val="bottom"/>
            <w:gridSpan w:val="7"/>
          </w:tcPr>
          <w:p>
            <w:pPr>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Mine Safety Disclosures.</w:t>
              </w:r>
            </w:hyperlink>
          </w:p>
        </w:tc>
      </w:tr>
      <w:tr>
        <w:trPr>
          <w:trHeight w:val="3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4"/>
                <w:szCs w:val="24"/>
                <w:color w:val="auto"/>
              </w:rPr>
            </w:pPr>
          </w:p>
        </w:tc>
        <w:tc>
          <w:tcPr>
            <w:tcW w:w="7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w:t>
            </w:r>
          </w:p>
        </w:tc>
      </w:tr>
      <w:tr>
        <w:trPr>
          <w:trHeight w:val="3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4"/>
                <w:szCs w:val="24"/>
                <w:color w:val="auto"/>
              </w:rPr>
            </w:pPr>
          </w:p>
        </w:tc>
        <w:tc>
          <w:tcPr>
            <w:tcW w:w="7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3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24"/>
                <w:szCs w:val="24"/>
                <w:color w:val="auto"/>
              </w:rPr>
            </w:pPr>
          </w:p>
        </w:tc>
        <w:tc>
          <w:tcPr>
            <w:tcW w:w="7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3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24"/>
                <w:szCs w:val="24"/>
                <w:color w:val="auto"/>
              </w:rPr>
            </w:pPr>
          </w:p>
        </w:tc>
        <w:tc>
          <w:tcPr>
            <w:tcW w:w="7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3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24"/>
                <w:szCs w:val="24"/>
                <w:color w:val="auto"/>
              </w:rPr>
            </w:pPr>
          </w:p>
        </w:tc>
        <w:tc>
          <w:tcPr>
            <w:tcW w:w="7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r>
        <w:trPr>
          <w:trHeight w:val="3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24"/>
                <w:szCs w:val="24"/>
                <w:color w:val="auto"/>
              </w:rPr>
            </w:pPr>
          </w:p>
        </w:tc>
        <w:tc>
          <w:tcPr>
            <w:tcW w:w="7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3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7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77470</wp:posOffset>
            </wp:positionV>
            <wp:extent cx="14141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87" w:lineRule="exact"/>
        <w:rPr>
          <w:sz w:val="20"/>
          <w:szCs w:val="20"/>
          <w:color w:val="auto"/>
        </w:rPr>
      </w:pPr>
    </w:p>
    <w:p>
      <w:pPr>
        <w:ind w:left="300" w:hanging="250"/>
        <w:spacing w:after="0"/>
        <w:tabs>
          <w:tab w:leader="none" w:pos="3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DEVINA A. RANKIN</w:t>
            </w:r>
          </w:p>
        </w:tc>
      </w:tr>
      <w:tr>
        <w:trPr>
          <w:trHeight w:val="189"/>
        </w:trPr>
        <w:tc>
          <w:tcPr>
            <w:tcW w:w="340" w:type="dxa"/>
            <w:vAlign w:val="bottom"/>
          </w:tcPr>
          <w:p>
            <w:pPr>
              <w:spacing w:after="0"/>
              <w:rPr>
                <w:sz w:val="16"/>
                <w:szCs w:val="16"/>
                <w:color w:val="auto"/>
              </w:rPr>
            </w:pPr>
          </w:p>
        </w:tc>
        <w:tc>
          <w:tcPr>
            <w:tcW w:w="4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432"/>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LESLIE K. NAGY</w:t>
            </w:r>
          </w:p>
        </w:tc>
      </w:tr>
      <w:tr>
        <w:trPr>
          <w:trHeight w:val="211"/>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Leslie K. Nagy</w:t>
            </w:r>
          </w:p>
        </w:tc>
      </w:tr>
    </w:tbl>
    <w:p>
      <w:pPr>
        <w:jc w:val="center"/>
        <w:ind w:left="4840"/>
        <w:spacing w:after="0"/>
        <w:rPr>
          <w:sz w:val="20"/>
          <w:szCs w:val="20"/>
          <w:color w:val="auto"/>
        </w:rPr>
      </w:pPr>
      <w:r>
        <w:rPr>
          <w:rFonts w:ascii="Times New Roman" w:cs="Times New Roman" w:eastAsia="Times New Roman" w:hAnsi="Times New Roman"/>
          <w:sz w:val="18"/>
          <w:szCs w:val="18"/>
          <w:i w:val="1"/>
          <w:iCs w:val="1"/>
          <w:color w:val="auto"/>
        </w:rPr>
        <w:t>Vice President and</w:t>
      </w:r>
    </w:p>
    <w:p>
      <w:pPr>
        <w:spacing w:after="0" w:line="7"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9"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GUARANTOR SUBSIDIARY</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2020, Waste Management Holdings, Inc. (“WM Holdings”), a Delaware corporation and a direct wholly-owned subsidiary of Waste Management, Inc. (“WMI”), has fully and unconditionally guaranteed all registered Senior Notes issued by WMI, as listed below. Additionally, WMI has fully and unconditionally guaranteed the 7.10% Senior Notes due 2026 issued by WM Holdings.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36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360" w:type="dxa"/>
            <w:vAlign w:val="bottom"/>
            <w:gridSpan w:val="2"/>
          </w:tcPr>
          <w:p>
            <w:pPr>
              <w:jc w:val="center"/>
              <w:ind w:right="12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80" w:type="dxa"/>
            <w:vAlign w:val="bottom"/>
            <w:gridSpan w:val="2"/>
            <w:vMerge w:val="continue"/>
          </w:tcPr>
          <w:p>
            <w:pPr>
              <w:spacing w:after="0"/>
              <w:rPr>
                <w:sz w:val="12"/>
                <w:szCs w:val="12"/>
                <w:color w:val="auto"/>
              </w:rPr>
            </w:pPr>
          </w:p>
        </w:tc>
        <w:tc>
          <w:tcPr>
            <w:tcW w:w="18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880" w:type="dxa"/>
            <w:vAlign w:val="bottom"/>
            <w:vMerge w:val="restart"/>
          </w:tcPr>
          <w:p>
            <w:pPr>
              <w:spacing w:after="0"/>
              <w:rPr>
                <w:sz w:val="12"/>
                <w:szCs w:val="12"/>
                <w:color w:val="auto"/>
              </w:rPr>
            </w:pPr>
          </w:p>
        </w:tc>
        <w:tc>
          <w:tcPr>
            <w:tcW w:w="18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73"/>
        </w:trPr>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86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(per annum)</w:t>
            </w:r>
          </w:p>
        </w:tc>
        <w:tc>
          <w:tcPr>
            <w:tcW w:w="88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CCEEFF"/>
            </w:tcBorders>
            <w:vMerge w:val="continue"/>
          </w:tcPr>
          <w:p>
            <w:pPr>
              <w:spacing w:after="0"/>
              <w:rPr>
                <w:sz w:val="15"/>
                <w:szCs w:val="15"/>
                <w:color w:val="auto"/>
              </w:rPr>
            </w:pPr>
          </w:p>
        </w:tc>
        <w:tc>
          <w:tcPr>
            <w:tcW w:w="1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million</w:t>
            </w:r>
          </w:p>
        </w:tc>
        <w:tc>
          <w:tcPr>
            <w:tcW w:w="86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7.00%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7/17/1998</w:t>
            </w:r>
          </w:p>
        </w:tc>
        <w:tc>
          <w:tcPr>
            <w:tcW w:w="8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250 million</w:t>
            </w:r>
          </w:p>
        </w:tc>
        <w:tc>
          <w:tcPr>
            <w:tcW w:w="2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7.375%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12/21/1999</w:t>
            </w:r>
          </w:p>
        </w:tc>
        <w:tc>
          <w:tcPr>
            <w:tcW w:w="8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7.75%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5/21/2002</w:t>
            </w:r>
          </w:p>
        </w:tc>
        <w:tc>
          <w:tcPr>
            <w:tcW w:w="8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600 million</w:t>
            </w:r>
          </w:p>
        </w:tc>
        <w:tc>
          <w:tcPr>
            <w:tcW w:w="2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6.125%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11/12/2009</w:t>
            </w:r>
          </w:p>
        </w:tc>
        <w:tc>
          <w:tcPr>
            <w:tcW w:w="8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11/30/2039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400 million</w:t>
            </w:r>
          </w:p>
        </w:tc>
        <w:tc>
          <w:tcPr>
            <w:tcW w:w="2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4.60%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2/28/2011</w:t>
            </w:r>
          </w:p>
        </w:tc>
        <w:tc>
          <w:tcPr>
            <w:tcW w:w="8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3/1/2021</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2.90%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9/12/2012</w:t>
            </w:r>
          </w:p>
        </w:tc>
        <w:tc>
          <w:tcPr>
            <w:tcW w:w="8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9/15/2022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350 million</w:t>
            </w:r>
          </w:p>
        </w:tc>
        <w:tc>
          <w:tcPr>
            <w:tcW w:w="2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5/8/2014</w:t>
            </w:r>
          </w:p>
        </w:tc>
        <w:tc>
          <w:tcPr>
            <w:tcW w:w="8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5/15/2024</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600 million</w:t>
            </w:r>
          </w:p>
        </w:tc>
        <w:tc>
          <w:tcPr>
            <w:tcW w:w="2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3.125%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2/26/2015</w:t>
            </w:r>
          </w:p>
        </w:tc>
        <w:tc>
          <w:tcPr>
            <w:tcW w:w="8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450 million</w:t>
            </w:r>
          </w:p>
        </w:tc>
        <w:tc>
          <w:tcPr>
            <w:tcW w:w="2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3.90%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2/26/2015</w:t>
            </w:r>
          </w:p>
        </w:tc>
        <w:tc>
          <w:tcPr>
            <w:tcW w:w="8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3/1/2035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4.10%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2/26/2015</w:t>
            </w:r>
          </w:p>
        </w:tc>
        <w:tc>
          <w:tcPr>
            <w:tcW w:w="8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3/1/2045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2.40%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5/16/2016</w:t>
            </w:r>
          </w:p>
        </w:tc>
        <w:tc>
          <w:tcPr>
            <w:tcW w:w="8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5/15/2023</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3.150%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11/8/2017</w:t>
            </w:r>
          </w:p>
        </w:tc>
        <w:tc>
          <w:tcPr>
            <w:tcW w:w="8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11/15/2027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4.150%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5/22/2019</w:t>
            </w:r>
          </w:p>
        </w:tc>
        <w:tc>
          <w:tcPr>
            <w:tcW w:w="8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6/15/2049</w:t>
            </w:r>
          </w:p>
        </w:tc>
        <w:tc>
          <w:tcPr>
            <w:tcW w:w="0" w:type="dxa"/>
            <w:vAlign w:val="bottom"/>
          </w:tcPr>
          <w:p>
            <w:pPr>
              <w:spacing w:after="0"/>
              <w:rPr>
                <w:sz w:val="1"/>
                <w:szCs w:val="1"/>
                <w:color w:val="auto"/>
              </w:rPr>
            </w:pPr>
          </w:p>
        </w:tc>
      </w:tr>
      <w:tr>
        <w:trPr>
          <w:trHeight w:val="763"/>
        </w:trPr>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51" w:name="page52"/>
    <w:bookmarkEnd w:id="5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James C. Fish, Jr., certify that:</w:t>
      </w:r>
    </w:p>
    <w:p>
      <w:pPr>
        <w:spacing w:after="0" w:line="158" w:lineRule="exact"/>
        <w:rPr>
          <w:sz w:val="20"/>
          <w:szCs w:val="20"/>
          <w:color w:val="auto"/>
        </w:rPr>
      </w:pPr>
    </w:p>
    <w:p>
      <w:pPr>
        <w:ind w:left="600" w:hanging="226"/>
        <w:spacing w:after="0"/>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Waste Management, Inc.;</w:t>
      </w:r>
    </w:p>
    <w:p>
      <w:pPr>
        <w:spacing w:after="0" w:line="157" w:lineRule="exact"/>
        <w:rPr>
          <w:rFonts w:ascii="Times New Roman" w:cs="Times New Roman" w:eastAsia="Times New Roman" w:hAnsi="Times New Roman"/>
          <w:sz w:val="18"/>
          <w:szCs w:val="18"/>
          <w:color w:val="auto"/>
        </w:rPr>
      </w:pPr>
    </w:p>
    <w:p>
      <w:pPr>
        <w:ind w:left="60" w:right="79" w:firstLine="314"/>
        <w:spacing w:after="0" w:line="266" w:lineRule="auto"/>
        <w:tabs>
          <w:tab w:leader="none" w:pos="61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0" w:right="239" w:firstLine="314"/>
        <w:spacing w:after="0" w:line="266" w:lineRule="auto"/>
        <w:tabs>
          <w:tab w:leader="none" w:pos="6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0" w:right="119" w:firstLine="314"/>
        <w:spacing w:after="0" w:line="266" w:lineRule="auto"/>
        <w:tabs>
          <w:tab w:leader="none" w:pos="59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96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380" w:right="79" w:firstLine="318"/>
        <w:spacing w:after="0" w:line="261" w:lineRule="auto"/>
        <w:tabs>
          <w:tab w:leader="none" w:pos="95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jc w:val="both"/>
        <w:ind w:left="380" w:right="239" w:firstLine="318"/>
        <w:spacing w:after="0" w:line="266" w:lineRule="auto"/>
        <w:tabs>
          <w:tab w:leader="none" w:pos="95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96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60" w:right="359" w:firstLine="314"/>
        <w:spacing w:after="0" w:line="266" w:lineRule="auto"/>
        <w:tabs>
          <w:tab w:leader="none" w:pos="59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6" w:lineRule="auto"/>
        <w:tabs>
          <w:tab w:leader="none" w:pos="95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380" w:right="179" w:firstLine="318"/>
        <w:spacing w:after="0" w:line="282" w:lineRule="auto"/>
        <w:tabs>
          <w:tab w:leader="none" w:pos="94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92"/>
              </w:rPr>
              <w:t>By:</w:t>
            </w: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260" w:type="dxa"/>
            <w:vAlign w:val="bottom"/>
          </w:tcPr>
          <w:p>
            <w:pPr>
              <w:spacing w:after="0"/>
              <w:rPr>
                <w:sz w:val="16"/>
                <w:szCs w:val="16"/>
                <w:color w:val="auto"/>
              </w:rPr>
            </w:pPr>
          </w:p>
        </w:tc>
        <w:tc>
          <w:tcPr>
            <w:tcW w:w="4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26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2" w:name="page53"/>
    <w:bookmarkEnd w:id="5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Devina A. Rankin, certify that:</w:t>
      </w:r>
    </w:p>
    <w:p>
      <w:pPr>
        <w:spacing w:after="0" w:line="158" w:lineRule="exact"/>
        <w:rPr>
          <w:sz w:val="20"/>
          <w:szCs w:val="20"/>
          <w:color w:val="auto"/>
        </w:rPr>
      </w:pPr>
    </w:p>
    <w:p>
      <w:pPr>
        <w:ind w:left="600" w:hanging="226"/>
        <w:spacing w:after="0"/>
        <w:tabs>
          <w:tab w:leader="none" w:pos="6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Waste Management, Inc.;</w:t>
      </w:r>
    </w:p>
    <w:p>
      <w:pPr>
        <w:spacing w:after="0" w:line="157" w:lineRule="exact"/>
        <w:rPr>
          <w:rFonts w:ascii="Times New Roman" w:cs="Times New Roman" w:eastAsia="Times New Roman" w:hAnsi="Times New Roman"/>
          <w:sz w:val="18"/>
          <w:szCs w:val="18"/>
          <w:color w:val="auto"/>
        </w:rPr>
      </w:pPr>
    </w:p>
    <w:p>
      <w:pPr>
        <w:ind w:left="60" w:right="79" w:firstLine="314"/>
        <w:spacing w:after="0" w:line="266" w:lineRule="auto"/>
        <w:tabs>
          <w:tab w:leader="none" w:pos="61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0" w:right="239" w:firstLine="314"/>
        <w:spacing w:after="0" w:line="266" w:lineRule="auto"/>
        <w:tabs>
          <w:tab w:leader="none" w:pos="6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0" w:right="119" w:firstLine="314"/>
        <w:spacing w:after="0" w:line="266" w:lineRule="auto"/>
        <w:tabs>
          <w:tab w:leader="none" w:pos="59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96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380" w:right="79" w:firstLine="318"/>
        <w:spacing w:after="0" w:line="261" w:lineRule="auto"/>
        <w:tabs>
          <w:tab w:leader="none" w:pos="95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jc w:val="both"/>
        <w:ind w:left="380" w:right="239" w:firstLine="318"/>
        <w:spacing w:after="0" w:line="266" w:lineRule="auto"/>
        <w:tabs>
          <w:tab w:leader="none" w:pos="95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96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60" w:right="359" w:firstLine="314"/>
        <w:spacing w:after="0" w:line="266" w:lineRule="auto"/>
        <w:tabs>
          <w:tab w:leader="none" w:pos="59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6" w:lineRule="auto"/>
        <w:tabs>
          <w:tab w:leader="none" w:pos="95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380" w:right="179" w:firstLine="318"/>
        <w:spacing w:after="0" w:line="282" w:lineRule="auto"/>
        <w:tabs>
          <w:tab w:leader="none" w:pos="94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tbl>
      <w:tblPr>
        <w:tblLayout w:type="fixed"/>
        <w:tblInd w:w="456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DEVINA A. RANKIN</w:t>
            </w:r>
          </w:p>
        </w:tc>
      </w:tr>
      <w:tr>
        <w:trPr>
          <w:trHeight w:val="189"/>
        </w:trPr>
        <w:tc>
          <w:tcPr>
            <w:tcW w:w="280" w:type="dxa"/>
            <w:vAlign w:val="bottom"/>
          </w:tcPr>
          <w:p>
            <w:pPr>
              <w:spacing w:after="0"/>
              <w:rPr>
                <w:sz w:val="16"/>
                <w:szCs w:val="16"/>
                <w:color w:val="auto"/>
              </w:rPr>
            </w:pPr>
          </w:p>
        </w:tc>
        <w:tc>
          <w:tcPr>
            <w:tcW w:w="4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36"/>
        </w:trPr>
        <w:tc>
          <w:tcPr>
            <w:tcW w:w="2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651510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3" w:name="page54"/>
    <w:bookmarkEnd w:id="5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Waste Management, Inc. (the “Company”) on Form 10-Q for the period ended September 30, 2020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0" w:lineRule="exact"/>
        <w:rPr>
          <w:sz w:val="20"/>
          <w:szCs w:val="20"/>
          <w:color w:val="auto"/>
        </w:rPr>
      </w:pPr>
    </w:p>
    <w:p>
      <w:pPr>
        <w:ind w:left="380" w:right="239" w:firstLine="318"/>
        <w:spacing w:after="0" w:line="282" w:lineRule="auto"/>
        <w:tabs>
          <w:tab w:leader="none" w:pos="100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80" w:right="319" w:firstLine="318"/>
        <w:spacing w:after="0" w:line="282" w:lineRule="auto"/>
        <w:tabs>
          <w:tab w:leader="none" w:pos="100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320" w:type="dxa"/>
            <w:vAlign w:val="bottom"/>
          </w:tcPr>
          <w:p>
            <w:pPr>
              <w:spacing w:after="0"/>
              <w:rPr>
                <w:sz w:val="16"/>
                <w:szCs w:val="16"/>
                <w:color w:val="auto"/>
              </w:rPr>
            </w:pPr>
          </w:p>
        </w:tc>
        <w:tc>
          <w:tcPr>
            <w:tcW w:w="4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32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November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651510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4" w:name="page55"/>
    <w:bookmarkEnd w:id="5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Waste Management, Inc. (the “Company”) on Form 10-Q for the period ended September 30, 2020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0" w:lineRule="exact"/>
        <w:rPr>
          <w:sz w:val="20"/>
          <w:szCs w:val="20"/>
          <w:color w:val="auto"/>
        </w:rPr>
      </w:pPr>
    </w:p>
    <w:p>
      <w:pPr>
        <w:ind w:left="380" w:right="239" w:firstLine="318"/>
        <w:spacing w:after="0" w:line="282" w:lineRule="auto"/>
        <w:tabs>
          <w:tab w:leader="none" w:pos="100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80" w:right="59" w:firstLine="318"/>
        <w:spacing w:after="0" w:line="282" w:lineRule="auto"/>
        <w:tabs>
          <w:tab w:leader="none" w:pos="103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18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DEVINA A. RANKIN</w:t>
            </w:r>
          </w:p>
        </w:tc>
      </w:tr>
      <w:tr>
        <w:trPr>
          <w:trHeight w:val="189"/>
        </w:trPr>
        <w:tc>
          <w:tcPr>
            <w:tcW w:w="320" w:type="dxa"/>
            <w:vAlign w:val="bottom"/>
          </w:tcPr>
          <w:p>
            <w:pPr>
              <w:spacing w:after="0"/>
              <w:rPr>
                <w:sz w:val="16"/>
                <w:szCs w:val="16"/>
                <w:color w:val="auto"/>
              </w:rPr>
            </w:pPr>
          </w:p>
        </w:tc>
        <w:tc>
          <w:tcPr>
            <w:tcW w:w="4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36"/>
        </w:trPr>
        <w:tc>
          <w:tcPr>
            <w:tcW w:w="32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November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5" w:name="page56"/>
    <w:bookmarkEnd w:id="5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02"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63" w:lineRule="exact"/>
        <w:rPr>
          <w:sz w:val="20"/>
          <w:szCs w:val="20"/>
          <w:color w:val="auto"/>
        </w:rPr>
      </w:pPr>
    </w:p>
    <w:p>
      <w:pPr>
        <w:jc w:val="both"/>
        <w:ind w:left="60" w:right="59" w:firstLine="324"/>
        <w:spacing w:after="0" w:line="238" w:lineRule="auto"/>
        <w:rPr>
          <w:sz w:val="20"/>
          <w:szCs w:val="20"/>
          <w:color w:val="auto"/>
        </w:rPr>
      </w:pPr>
      <w:r>
        <w:rPr>
          <w:rFonts w:ascii="Times New Roman" w:cs="Times New Roman" w:eastAsia="Times New Roman" w:hAnsi="Times New Roman"/>
          <w:sz w:val="18"/>
          <w:szCs w:val="18"/>
          <w:color w:val="auto"/>
        </w:rPr>
        <w:t>During the quarter ended September 30, 2020,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or (e) an imminent danger order under section 107(a) of the Mine Safety Act. Phoenix Resources, Inc., an indirect wholly-owned subsidiary of Waste Management, Inc., was assessed penalties totaling $246 by the MSHA in connection with its landfill operations in Wellsboro, Pennsylvania.</w:t>
      </w:r>
    </w:p>
    <w:p>
      <w:pPr>
        <w:spacing w:after="0" w:line="178" w:lineRule="exact"/>
        <w:rPr>
          <w:sz w:val="20"/>
          <w:szCs w:val="20"/>
          <w:color w:val="auto"/>
        </w:rPr>
      </w:pPr>
    </w:p>
    <w:p>
      <w:pPr>
        <w:jc w:val="both"/>
        <w:ind w:left="60" w:right="59" w:firstLine="324"/>
        <w:spacing w:after="0" w:line="239" w:lineRule="auto"/>
        <w:rPr>
          <w:sz w:val="20"/>
          <w:szCs w:val="20"/>
          <w:color w:val="auto"/>
        </w:rPr>
      </w:pPr>
      <w:r>
        <w:rPr>
          <w:rFonts w:ascii="Times New Roman" w:cs="Times New Roman" w:eastAsia="Times New Roman" w:hAnsi="Times New Roman"/>
          <w:sz w:val="18"/>
          <w:szCs w:val="18"/>
          <w:color w:val="auto"/>
        </w:rPr>
        <w:t>In addition, during the quarter ended September 30, 2020,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2"/>
    </w:lvl>
  </w:abstractNum>
  <w:abstractNum w:abstractNumId="3">
    <w:nsid w:val="436C6125"/>
    <w:multiLevelType w:val="hybridMultilevel"/>
    <w:lvl w:ilvl="0">
      <w:lvlJc w:val="left"/>
      <w:lvlText w:val="(%1)"/>
      <w:numFmt w:val="lowerLetter"/>
      <w:start w:val="1"/>
    </w:lvl>
  </w:abstractNum>
  <w:abstractNum w:abstractNumId="4">
    <w:nsid w:val="628C895D"/>
    <w:multiLevelType w:val="hybridMultilevel"/>
    <w:lvl w:ilvl="0">
      <w:lvlJc w:val="left"/>
      <w:lvlText w:val="%1."/>
      <w:numFmt w:val="decimal"/>
      <w:start w:val="3"/>
    </w:lvl>
  </w:abstractNum>
  <w:abstractNum w:abstractNumId="5">
    <w:nsid w:val="333AB105"/>
    <w:multiLevelType w:val="hybridMultilevel"/>
    <w:lvl w:ilvl="0">
      <w:lvlJc w:val="left"/>
      <w:lvlText w:val="%1."/>
      <w:numFmt w:val="decimal"/>
      <w:start w:val="4"/>
    </w:lvl>
  </w:abstractNum>
  <w:abstractNum w:abstractNumId="6">
    <w:nsid w:val="721DA317"/>
    <w:multiLevelType w:val="hybridMultilevel"/>
    <w:lvl w:ilvl="0">
      <w:lvlJc w:val="left"/>
      <w:lvlText w:val="%1."/>
      <w:numFmt w:val="decimal"/>
      <w:start w:val="5"/>
    </w:lvl>
  </w:abstractNum>
  <w:abstractNum w:abstractNumId="7">
    <w:nsid w:val="2443A858"/>
    <w:multiLevelType w:val="hybridMultilevel"/>
    <w:lvl w:ilvl="0">
      <w:lvlJc w:val="left"/>
      <w:lvlText w:val="%1."/>
      <w:numFmt w:val="decimal"/>
      <w:start w:val="6"/>
    </w:lvl>
  </w:abstractNum>
  <w:abstractNum w:abstractNumId="8">
    <w:nsid w:val="2D1D5AE9"/>
    <w:multiLevelType w:val="hybridMultilevel"/>
    <w:lvl w:ilvl="0">
      <w:lvlJc w:val="left"/>
      <w:lvlText w:val="%1."/>
      <w:numFmt w:val="decimal"/>
      <w:start w:val="7"/>
    </w:lvl>
  </w:abstractNum>
  <w:abstractNum w:abstractNumId="9">
    <w:nsid w:val="6763845E"/>
    <w:multiLevelType w:val="hybridMultilevel"/>
    <w:lvl w:ilvl="0">
      <w:lvlJc w:val="left"/>
      <w:lvlText w:val="(%1)"/>
      <w:numFmt w:val="lowerLetter"/>
      <w:start w:val="1"/>
    </w:lvl>
  </w:abstractNum>
  <w:abstractNum w:abstractNumId="10">
    <w:nsid w:val="75A2A8D4"/>
    <w:multiLevelType w:val="hybridMultilevel"/>
    <w:lvl w:ilvl="0">
      <w:lvlJc w:val="left"/>
      <w:lvlText w:val="(%1)"/>
      <w:numFmt w:val="lowerLetter"/>
      <w:start w:val="4"/>
    </w:lvl>
  </w:abstractNum>
  <w:abstractNum w:abstractNumId="11">
    <w:nsid w:val="8EDBDAB"/>
    <w:multiLevelType w:val="hybridMultilevel"/>
    <w:lvl w:ilvl="0">
      <w:lvlJc w:val="left"/>
      <w:lvlText w:val="(%1)"/>
      <w:numFmt w:val="lowerLetter"/>
      <w:start w:val="1"/>
    </w:lvl>
  </w:abstractNum>
  <w:abstractNum w:abstractNumId="12">
    <w:nsid w:val="79838CB2"/>
    <w:multiLevelType w:val="hybridMultilevel"/>
    <w:lvl w:ilvl="0">
      <w:lvlJc w:val="left"/>
      <w:lvlText w:val="(%1)"/>
      <w:numFmt w:val="lowerLetter"/>
      <w:start w:val="1"/>
    </w:lvl>
  </w:abstractNum>
  <w:abstractNum w:abstractNumId="13">
    <w:nsid w:val="4353D0CD"/>
    <w:multiLevelType w:val="hybridMultilevel"/>
    <w:lvl w:ilvl="0">
      <w:lvlJc w:val="left"/>
      <w:lvlText w:val="(%1)"/>
      <w:numFmt w:val="lowerLetter"/>
      <w:start w:val="1"/>
    </w:lvl>
  </w:abstractNum>
  <w:abstractNum w:abstractNumId="14">
    <w:nsid w:val="B03E0C6"/>
    <w:multiLevelType w:val="hybridMultilevel"/>
    <w:lvl w:ilvl="0">
      <w:lvlJc w:val="left"/>
      <w:lvlText w:val="(%1)"/>
      <w:numFmt w:val="lowerRoman"/>
      <w:start w:val="2"/>
    </w:lvl>
  </w:abstractNum>
  <w:abstractNum w:abstractNumId="15">
    <w:nsid w:val="189A769B"/>
    <w:multiLevelType w:val="hybridMultilevel"/>
    <w:lvl w:ilvl="0">
      <w:lvlJc w:val="left"/>
      <w:lvlText w:val="(%1)"/>
      <w:numFmt w:val="lowerRoman"/>
      <w:start w:val="1"/>
    </w:lvl>
  </w:abstractNum>
  <w:abstractNum w:abstractNumId="16">
    <w:nsid w:val="54E49EB4"/>
    <w:multiLevelType w:val="hybridMultilevel"/>
    <w:lvl w:ilvl="0">
      <w:lvlJc w:val="left"/>
      <w:lvlText w:val="(%1)"/>
      <w:numFmt w:val="lowerRoman"/>
      <w:start w:val="3"/>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lvl w:ilvl="1">
      <w:lvlJc w:val="left"/>
      <w:lvlText w:val="(%2)"/>
      <w:numFmt w:val="lowerRoman"/>
      <w:start w:val="4"/>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2"/>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Roman"/>
      <w:start w:val="2"/>
    </w:lvl>
  </w:abstractNum>
  <w:abstractNum w:abstractNumId="23">
    <w:nsid w:val="1E7FF521"/>
    <w:multiLevelType w:val="hybridMultilevel"/>
    <w:lvl w:ilvl="0">
      <w:lvlJc w:val="left"/>
      <w:lvlText w:val="(%1)"/>
      <w:numFmt w:val="lowerLetter"/>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lvl w:ilvl="1">
      <w:lvlJc w:val="left"/>
      <w:lvlText w:val="(%2)"/>
      <w:numFmt w:val="lowerRoman"/>
      <w:start w:val="4"/>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lowerRoman"/>
      <w:start w:val="1"/>
    </w:lvl>
    <w:lvl w:ilvl="1">
      <w:lvlJc w:val="left"/>
      <w:lvlText w:val="%2."/>
      <w:numFmt w:val="upperLetter"/>
      <w:start w:val="1"/>
    </w:lvl>
  </w:abstractNum>
  <w:abstractNum w:abstractNumId="34">
    <w:nsid w:val="5072367"/>
    <w:multiLevelType w:val="hybridMultilevel"/>
    <w:lvl w:ilvl="0">
      <w:lvlJc w:val="left"/>
      <w:lvlText w:val="%1."/>
      <w:numFmt w:val="lowerRoman"/>
      <w:start w:val="1"/>
    </w:lvl>
    <w:lvl w:ilvl="1">
      <w:lvlJc w:val="left"/>
      <w:lvlText w:val="%2."/>
      <w:numFmt w:val="upp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58" Type="http://schemas.openxmlformats.org/officeDocument/2006/relationships/hyperlink" Target="https://www.sec.gov/Archives/edgar/data/823768/000110465920088121/tm202593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2020-11-02T10:43:59Z</dcterms:created>
  <dcterms:modified xsi:type="dcterms:W3CDTF">2020-11-02T10:43:59Z</dcterms:modified>
</cp:coreProperties>
</file>