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12, 2026</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Annual Meeting of Stockholders of Waste Management, Inc. (the “Company”) held on May 12, 2026, a total of 345,284,283 shares of the Company’s common stock, out of a total of 402,913,509 shares of common stock outstanding and entitled to vote, were present in person or represented by proxies. The items voted on by the Company’s stockholders and final vote results are set forth below. Each of the director nominees listed under item 1 were elected, and the Company’s stockholders approved the proposals in each of items 2, 3 and 4.</w:t>
      </w:r>
    </w:p>
    <w:p>
      <w:pPr>
        <w:spacing w:after="0" w:line="180"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to the Company’s Board of Directors of the following nine director nominees:</w:t>
      </w:r>
    </w:p>
    <w:p>
      <w:pPr>
        <w:spacing w:after="0" w:line="2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1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09"/>
        </w:trPr>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Thomas L. Bené</w:t>
            </w: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298,076,937</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2,679,806</w:t>
            </w:r>
          </w:p>
        </w:tc>
        <w:tc>
          <w:tcPr>
            <w:tcW w:w="2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272,188</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Bruce E. Chinn</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299,224,102</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1,530,399</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274,430</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James C. Fish, Jr.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298,876,351</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1,896,186</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256,394</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Andrés R. Gluski</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287,458,467</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13,306,133</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264,331</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Victoria M. Holt</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283,356,243</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17,430,889</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241,799</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Kathleen M. Mazzarella</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292,290,728</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7,907,126</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831,077</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Sean E. Menke</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295,773,278</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4,985,161</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270,492</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William B. Plummer</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296,653,894</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4,106,490</w:t>
            </w:r>
          </w:p>
        </w:tc>
        <w:tc>
          <w:tcPr>
            <w:tcW w:w="2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268,547</w:t>
            </w:r>
          </w:p>
        </w:tc>
        <w:tc>
          <w:tcPr>
            <w:tcW w:w="2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r>
        <w:trPr>
          <w:trHeight w:val="216"/>
        </w:trPr>
        <w:tc>
          <w:tcPr>
            <w:tcW w:w="22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Maryrose T. Sylvester</w:t>
            </w:r>
          </w:p>
        </w:tc>
        <w:tc>
          <w:tcPr>
            <w:tcW w:w="1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295,508,489</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5,090,590</w:t>
            </w:r>
          </w:p>
        </w:tc>
        <w:tc>
          <w:tcPr>
            <w:tcW w:w="220" w:type="dxa"/>
            <w:vAlign w:val="bottom"/>
            <w:shd w:val="clear" w:color="auto" w:fill="CCEEFF"/>
          </w:tcPr>
          <w:p>
            <w:pPr>
              <w:spacing w:after="0"/>
              <w:rPr>
                <w:sz w:val="18"/>
                <w:szCs w:val="18"/>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429,852</w:t>
            </w:r>
          </w:p>
        </w:tc>
        <w:tc>
          <w:tcPr>
            <w:tcW w:w="2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44,255,352</w:t>
            </w:r>
          </w:p>
        </w:tc>
      </w:tr>
    </w:tbl>
    <w:p>
      <w:pPr>
        <w:spacing w:after="0" w:line="198" w:lineRule="exact"/>
        <w:rPr>
          <w:sz w:val="20"/>
          <w:szCs w:val="20"/>
          <w:color w:val="auto"/>
        </w:rPr>
      </w:pPr>
    </w:p>
    <w:p>
      <w:pPr>
        <w:ind w:left="660" w:right="1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Ernst &amp; Young LLP as the Company’s independent registered public accounting firm for the fiscal year ending December 31, 2026:</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09"/>
        </w:trPr>
        <w:tc>
          <w:tcPr>
            <w:tcW w:w="324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321,725,515</w:t>
            </w:r>
          </w:p>
        </w:tc>
        <w:tc>
          <w:tcPr>
            <w:tcW w:w="20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23,078,548</w:t>
            </w:r>
          </w:p>
        </w:tc>
        <w:tc>
          <w:tcPr>
            <w:tcW w:w="18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230"/>
              <w:spacing w:after="0"/>
              <w:rPr>
                <w:sz w:val="20"/>
                <w:szCs w:val="20"/>
                <w:color w:val="auto"/>
              </w:rPr>
            </w:pPr>
            <w:r>
              <w:rPr>
                <w:rFonts w:ascii="Times New Roman" w:cs="Times New Roman" w:eastAsia="Times New Roman" w:hAnsi="Times New Roman"/>
                <w:sz w:val="18"/>
                <w:szCs w:val="18"/>
                <w:color w:val="auto"/>
              </w:rPr>
              <w:t>480,220</w:t>
            </w:r>
          </w:p>
        </w:tc>
      </w:tr>
    </w:tbl>
    <w:p>
      <w:pPr>
        <w:spacing w:after="0" w:line="19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Company’s executive compensation as described in the Company’s 2026 proxy statement:</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9"/>
        </w:trPr>
        <w:tc>
          <w:tcPr>
            <w:tcW w:w="25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281,781,929</w:t>
            </w:r>
          </w:p>
        </w:tc>
        <w:tc>
          <w:tcPr>
            <w:tcW w:w="2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18,039,768</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1,207,234</w:t>
            </w:r>
          </w:p>
        </w:tc>
        <w:tc>
          <w:tcPr>
            <w:tcW w:w="2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44,255,352</w:t>
            </w:r>
          </w:p>
        </w:tc>
      </w:tr>
    </w:tbl>
    <w:p>
      <w:pPr>
        <w:spacing w:after="0" w:line="19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to amend and restate the Company’s Employee Stock Purchase Plan to increase the number of shares authorized for issuance: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27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280" w:type="dxa"/>
            <w:vAlign w:val="bottom"/>
          </w:tcPr>
          <w:p>
            <w:pPr>
              <w:spacing w:after="0"/>
              <w:rPr>
                <w:sz w:val="20"/>
                <w:szCs w:val="20"/>
                <w:color w:val="auto"/>
              </w:rPr>
            </w:pPr>
          </w:p>
        </w:tc>
      </w:tr>
      <w:tr>
        <w:trPr>
          <w:trHeight w:val="210"/>
        </w:trPr>
        <w:tc>
          <w:tcPr>
            <w:tcW w:w="300" w:type="dxa"/>
            <w:vAlign w:val="bottom"/>
          </w:tcPr>
          <w:p>
            <w:pPr>
              <w:spacing w:after="0"/>
              <w:rPr>
                <w:sz w:val="18"/>
                <w:szCs w:val="18"/>
                <w:color w:val="auto"/>
              </w:rPr>
            </w:pPr>
          </w:p>
        </w:tc>
        <w:tc>
          <w:tcPr>
            <w:tcW w:w="256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299,089,720</w:t>
            </w:r>
          </w:p>
        </w:tc>
        <w:tc>
          <w:tcPr>
            <w:tcW w:w="2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1,363,901</w:t>
            </w:r>
          </w:p>
        </w:tc>
        <w:tc>
          <w:tcPr>
            <w:tcW w:w="2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575,310</w:t>
            </w:r>
          </w:p>
        </w:tc>
        <w:tc>
          <w:tcPr>
            <w:tcW w:w="20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44,255,352</w:t>
            </w:r>
          </w:p>
        </w:tc>
        <w:tc>
          <w:tcPr>
            <w:tcW w:w="280" w:type="dxa"/>
            <w:vAlign w:val="bottom"/>
          </w:tcPr>
          <w:p>
            <w:pPr>
              <w:spacing w:after="0"/>
              <w:rPr>
                <w:sz w:val="18"/>
                <w:szCs w:val="18"/>
                <w:color w:val="auto"/>
              </w:rPr>
            </w:pPr>
          </w:p>
        </w:tc>
      </w:tr>
      <w:tr>
        <w:trPr>
          <w:trHeight w:val="891"/>
        </w:trPr>
        <w:tc>
          <w:tcPr>
            <w:tcW w:w="3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391"/>
        </w:trPr>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gridSpan w:val="4"/>
          </w:tcPr>
          <w:p>
            <w:pPr>
              <w:ind w:left="39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96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8"/>
        </w:trPr>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Waste Management, Inc. Employee Stock Purchase Plan (As Amended and Restated Effective May 12, 2026)</w:t>
            </w:r>
          </w:p>
        </w:tc>
      </w:tr>
      <w:tr>
        <w:trPr>
          <w:trHeight w:val="453"/>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200" w:type="dxa"/>
            <w:vAlign w:val="bottom"/>
          </w:tcPr>
          <w:p>
            <w:pPr>
              <w:spacing w:after="0"/>
              <w:rPr>
                <w:sz w:val="24"/>
                <w:szCs w:val="24"/>
                <w:color w:val="auto"/>
              </w:rPr>
            </w:pPr>
          </w:p>
        </w:tc>
      </w:tr>
      <w:tr>
        <w:trPr>
          <w:trHeight w:val="675"/>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14,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432"/>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2"/>
          <w:szCs w:val="12"/>
          <w:b w:val="1"/>
          <w:bCs w:val="1"/>
          <w:color w:val="auto"/>
        </w:rPr>
        <w:t>aste</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anagement</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(As Amended and Restated Effective May 12, 2026)</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Waste Management, Inc. Employee Stock Purchase Plan (the “Plan”) has been established for the benefit of its eligible employees, and is hereby amended and restated, effective as of the date upon which shareholder approval is obtained pursuant to Section 17. The terms of the amended and restated Plan are set forth below.</w:t>
      </w:r>
    </w:p>
    <w:p>
      <w:pPr>
        <w:spacing w:after="0" w:line="174"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Definitions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the regulations issued thereunder.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the Administrative Committee of the Waste Management Employee Benefit Plans appointed by the Board to administer the Plan as described in Section 4 below, or such other committee appointed by the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means the common stock, $0.01 par value, of the Company.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Waste Management, Inc., a Delaware corporation, or any successor corporation by merger, reorganization, consolidation or otherwise.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Employment” means the absence of any interruption or termination of service as an Eligible Employee with the Company 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Compensation” means, with respect to each Participant for each pay period, the regular base earnings, commissions, overtime and, 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183" w:lineRule="exact"/>
        <w:rPr>
          <w:rFonts w:ascii="Times New Roman" w:cs="Times New Roman" w:eastAsia="Times New Roman" w:hAnsi="Times New Roman"/>
          <w:sz w:val="18"/>
          <w:szCs w:val="18"/>
          <w:color w:val="auto"/>
        </w:rPr>
      </w:pPr>
    </w:p>
    <w:p>
      <w:pPr>
        <w:jc w:val="both"/>
        <w:ind w:left="660" w:right="20" w:hanging="328"/>
        <w:spacing w:after="0" w:line="261"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“Eligible Employee” means an employee of the Company or one of its Participating Subsidiaries who is customarily employed for at least 20 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Date” means the first business day of each Offering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Date” means the last business day of each Offering Period.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 means the price per share of Common Stock offered in a given Offering Period, which shall be which shall be 85% of the Fair Market Value of a share of the Common Stock on the Exercise Date of such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jc w:val="both"/>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“Fair Market Value” means, with respect to a share of Common Stock as of any Enrollment Date or Exercise Date, the closing price of such Common Stock on the New York Stock Exchange on such date,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“Involuntary Military Leave of Absence” means an employee’s leave from employment pursuant to the Company’s Paid Leave of Absence Policy to perform military service obligations in the United States Air Force, Army, Navy, Marines, Coast Guard, Public Health Service Corps or National Guard, and the employee is either drafted or a member of the Reserves called to active duty.</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Period” means each six-month period that begins and ends on the business days that coincide with January 1 through June 30, or 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an Eligible Employee who has elected to participate in the Plan by filing an enrollment agreement with the Company as provided below in Section 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Subsidiary” means any Subsidiary not excluded from participation in the Plan by the Committee, in its sole discretion.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any domestic or foreign corporation of which the Company owns, directly or indirectly, 50% or more of the total combined voting power of all classes of stock or other equity interests and that otherwise qualifies as a “subsidiary corporation” within the meaning of Section 424(f) of the Code or any successor thereto.</w:t>
      </w:r>
    </w:p>
    <w:p>
      <w:pPr>
        <w:spacing w:after="0" w:line="174"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Purpose of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17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Shares Reserved for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effective date of this restatement, the Company shall reserve for issuance and purchase by Participants under the Plan an aggregate of 3,000,000 shares of Common Stock in addition to shares previously reserved under the Plan,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181"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Administration of the Plan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has been appointed by the Board to administer the Plan. The Committee shall have the authority to interpret the Plan, to prescribe, amend and rescind rules and regulations relating to the Plan, to correct any defect or rectify any omission in the Plan, or to reconcile any inconsistency in this Plan and any 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left="660" w:hanging="328"/>
        <w:spacing w:after="0" w:line="266" w:lineRule="auto"/>
        <w:tabs>
          <w:tab w:leader="none" w:pos="6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Eligibility to Participate in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16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Election to Participate in the Plan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w:t>
      </w:r>
    </w:p>
    <w:p>
      <w:pPr>
        <w:spacing w:after="0" w:line="1" w:lineRule="exact"/>
        <w:rPr>
          <w:rFonts w:ascii="Times New Roman" w:cs="Times New Roman" w:eastAsia="Times New Roman" w:hAnsi="Times New Roman"/>
          <w:sz w:val="18"/>
          <w:szCs w:val="18"/>
          <w:color w:val="auto"/>
        </w:rPr>
      </w:pPr>
    </w:p>
    <w:p>
      <w:pPr>
        <w:ind w:left="660" w:hanging="4"/>
        <w:spacing w:after="0" w:line="260" w:lineRule="auto"/>
        <w:tabs>
          <w:tab w:leader="none" w:pos="95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the same payroll deduction percentage for such immediately succeeding Offering Period as was in effect for such Participant immediately prior to such succeeding Offering Period.</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Payroll Deductions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10, a Participant may not change his contribution election during an Offering Period.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Grant of Options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to the extent permitted by the Committee, fractional shares of the Company’s Common Stock determined by dividing such Eligible Employee’s payroll deductions accumulated during the Offering Period by the Exercise Price established for such Offering Period.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18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Automatic Purchase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to the extent permitted by the Committee, fractional shares subject to the option will be purchased for the Participant at the Exercise Price established for that Offering Period, as provided above in Section 8. Any accumulated payroll deductions in excess of the amount applied to purchase shares on the Exercise Date shall be refunded to the Participant as soon as administratively feasible after the Exercise Date, unless the Committee establishes otherwise.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on an Exercise Date, the aggregate number of shares that Participants are entitled to purchase exceeds the number of reserved shares remaining available for purchase under the Plan, the remaining shares shall be sold to Participants on a pro rata basis. Such oversubscription shall not result in the automatic termination of the Plan.</w:t>
      </w:r>
    </w:p>
    <w:p>
      <w:pPr>
        <w:spacing w:after="0" w:line="17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Withdrawal; Termination of Employment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Transferability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purchase Common Stock granted under the Plan are not transferable, in any manner, by a Participant and are exercisable only by the Participant.</w:t>
      </w:r>
    </w:p>
    <w:p>
      <w:pPr>
        <w:spacing w:after="0" w:line="22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Individual notional accounts will be maintained for each Participant in the Plan. Following each Exercise Date, Participants who have purchased shares under Section 9 may access a summary of their purchases in the manner determined by the Committee.</w:t>
      </w:r>
    </w:p>
    <w:p>
      <w:pPr>
        <w:spacing w:after="0" w:line="160"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Adjustments Upon Changes in Capitalization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17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Amendment of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any time, or from time to time, amend the Plan in any respect through action of the Board or, for any amendment that does not require shareholder approval, through action of the Plan Sponsor Committee of the Waste Management Employee Benefit Plans;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178"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Termination of the Plan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and all rights of Eligible Employees hereunder shall terminate at any time, at the discretion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Notices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60"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Shareholder Approval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amended and restated the Plan shall be subject to approval by the shareholders of the Company within twelve months after the date the amended and restated Plan is adopted by the Board of Directors.</w:t>
      </w:r>
    </w:p>
    <w:p>
      <w:pPr>
        <w:spacing w:after="0" w:line="160"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 Provisions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Plan to the contrary and in accordance with Section 423 of the Code, all Eligible Employees who are granted options under the Plan shall have the same rights and privileges.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compensation paid hereunder will confer on any Participant the right to continue as an employee or in any other capacity.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will become a stockholder with respect to the shares of Common Stock that are purchased pursuant to options granted under the Plan only when the shares are issued to the Participant in accordance with the terms of the Plan. A Participant will have no rights as a stockholder with respect to shares of Common Stock for which an election to participate in an Offering Period has been made until such Participant becomes a stockholder as provided above.</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binding on the Company and its successors and assigns.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constitutes the entire plan with respect to the subject matter hereof and supersedes all prior plans with respect to the subject matter hereof.</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and all rights hereunder shall be subject to and interpreted in accordance with the laws of the State of Texas, without reference to the principles of conflicts of laws, and to applicable Federal or other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abstractNum>
  <w:abstractNum w:abstractNumId="3">
    <w:nsid w:val="3352255A"/>
    <w:multiLevelType w:val="hybridMultilevel"/>
    <w:lvl w:ilvl="0">
      <w:lvlJc w:val="left"/>
      <w:lvlText w:val="%1."/>
      <w:numFmt w:val="decimal"/>
      <w:start w:val="3"/>
    </w:lvl>
  </w:abstractNum>
  <w:abstractNum w:abstractNumId="4">
    <w:nsid w:val="109CF92E"/>
    <w:multiLevelType w:val="hybridMultilevel"/>
    <w:lvl w:ilvl="0">
      <w:lvlJc w:val="left"/>
      <w:lvlText w:val="%1."/>
      <w:numFmt w:val="decimal"/>
      <w:start w:val="4"/>
    </w:lvl>
  </w:abstractNum>
  <w:abstractNum w:abstractNumId="5">
    <w:nsid w:val="DED7263"/>
    <w:multiLevelType w:val="hybridMultilevel"/>
    <w:lvl w:ilvl="0">
      <w:lvlJc w:val="left"/>
      <w:lvlText w:val="%1."/>
      <w:numFmt w:val="decimal"/>
      <w:start w:val="1"/>
    </w:lvl>
    <w:lvl w:ilvl="1">
      <w:lvlJc w:val="left"/>
      <w:lvlText w:val="%2."/>
      <w:numFmt w:val="lowerLetter"/>
      <w:start w:val="1"/>
    </w:lvl>
  </w:abstractNum>
  <w:abstractNum w:abstractNumId="6">
    <w:nsid w:val="7FDCC233"/>
    <w:multiLevelType w:val="hybridMultilevel"/>
    <w:lvl w:ilvl="0">
      <w:lvlJc w:val="left"/>
      <w:lvlText w:val="%1."/>
      <w:numFmt w:val="lowerLetter"/>
      <w:start w:val="12"/>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1."/>
      <w:numFmt w:val="decimal"/>
      <w:start w:val="3"/>
    </w:lvl>
  </w:abstractNum>
  <w:abstractNum w:abstractNumId="9">
    <w:nsid w:val="6B68079A"/>
    <w:multiLevelType w:val="hybridMultilevel"/>
    <w:lvl w:ilvl="0">
      <w:lvlJc w:val="left"/>
      <w:lvlText w:val="%1."/>
      <w:numFmt w:val="decimal"/>
      <w:start w:val="4"/>
    </w:lvl>
    <w:lvl w:ilvl="1">
      <w:lvlJc w:val="left"/>
      <w:lvlText w:val="%2."/>
      <w:numFmt w:val="lowerLetter"/>
      <w:start w:val="1"/>
    </w:lvl>
  </w:abstractNum>
  <w:abstractNum w:abstractNumId="10">
    <w:nsid w:val="4E6AFB66"/>
    <w:multiLevelType w:val="hybridMultilevel"/>
    <w:lvl w:ilvl="0">
      <w:lvlJc w:val="left"/>
      <w:lvlText w:val="%1"/>
      <w:numFmt w:val="decimal"/>
      <w:start w:val="1"/>
    </w:lvl>
    <w:lvl w:ilvl="1">
      <w:lvlJc w:val="left"/>
      <w:lvlText w:val="%2."/>
      <w:numFmt w:val="lowerLetter"/>
      <w:start w:val="2"/>
    </w:lvl>
  </w:abstractNum>
  <w:abstractNum w:abstractNumId="11">
    <w:nsid w:val="25E45D32"/>
    <w:multiLevelType w:val="hybridMultilevel"/>
    <w:lvl w:ilvl="0">
      <w:lvlJc w:val="left"/>
      <w:lvlText w:val="%1."/>
      <w:numFmt w:val="decimal"/>
      <w:start w:val="5"/>
    </w:lvl>
    <w:lvl w:ilvl="1">
      <w:lvlJc w:val="left"/>
      <w:lvlText w:val="%2"/>
      <w:numFmt w:val="lowerLetter"/>
      <w:start w:val="1"/>
    </w:lvl>
  </w:abstractNum>
  <w:abstractNum w:abstractNumId="12">
    <w:nsid w:val="519B500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2"/>
    </w:lvl>
  </w:abstractNum>
  <w:abstractNum w:abstractNumId="13">
    <w:nsid w:val="431BD7B7"/>
    <w:multiLevelType w:val="hybridMultilevel"/>
    <w:lvl w:ilvl="0">
      <w:lvlJc w:val="left"/>
      <w:lvlText w:val="%1."/>
      <w:numFmt w:val="decimal"/>
      <w:start w:val="8"/>
    </w:lvl>
    <w:lvl w:ilvl="1">
      <w:lvlJc w:val="left"/>
      <w:lvlText w:val="%2."/>
      <w:numFmt w:val="lowerLetter"/>
      <w:start w:val="1"/>
    </w:lvl>
  </w:abstractNum>
  <w:abstractNum w:abstractNumId="14">
    <w:nsid w:val="3F2DBA31"/>
    <w:multiLevelType w:val="hybridMultilevel"/>
    <w:lvl w:ilvl="0">
      <w:lvlJc w:val="left"/>
      <w:lvlText w:val="%1."/>
      <w:numFmt w:val="decimal"/>
      <w:start w:val="10"/>
    </w:lvl>
    <w:lvl w:ilvl="1">
      <w:lvlJc w:val="left"/>
      <w:lvlText w:val="%2."/>
      <w:numFmt w:val="lowerLetter"/>
      <w:start w:val="1"/>
    </w:lvl>
  </w:abstractNum>
  <w:abstractNum w:abstractNumId="15">
    <w:nsid w:val="7C83E458"/>
    <w:multiLevelType w:val="hybridMultilevel"/>
    <w:lvl w:ilvl="0">
      <w:lvlJc w:val="left"/>
      <w:lvlText w:val="%1."/>
      <w:numFmt w:val="decimal"/>
      <w:start w:val="11"/>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decimal"/>
      <w:start w:val="13"/>
    </w:lvl>
    <w:lvl w:ilvl="1">
      <w:lvlJc w:val="left"/>
      <w:lvlText w:val="%2."/>
      <w:numFmt w:val="lowerLetter"/>
      <w:start w:val="1"/>
    </w:lvl>
  </w:abstractNum>
  <w:abstractNum w:abstractNumId="18">
    <w:nsid w:val="436C6125"/>
    <w:multiLevelType w:val="hybridMultilevel"/>
    <w:lvl w:ilvl="0">
      <w:lvlJc w:val="left"/>
      <w:lvlText w:val="%1."/>
      <w:numFmt w:val="decimal"/>
      <w:start w:val="15"/>
    </w:lvl>
  </w:abstractNum>
  <w:abstractNum w:abstractNumId="19">
    <w:nsid w:val="628C895D"/>
    <w:multiLevelType w:val="hybridMultilevel"/>
    <w:lvl w:ilvl="0">
      <w:lvlJc w:val="left"/>
      <w:lvlText w:val="%1."/>
      <w:numFmt w:val="decimal"/>
      <w:start w:val="16"/>
    </w:lvl>
  </w:abstractNum>
  <w:abstractNum w:abstractNumId="20">
    <w:nsid w:val="333AB105"/>
    <w:multiLevelType w:val="hybridMultilevel"/>
    <w:lvl w:ilvl="0">
      <w:lvlJc w:val="left"/>
      <w:lvlText w:val="%1."/>
      <w:numFmt w:val="decimal"/>
      <w:start w:val="17"/>
    </w:lvl>
  </w:abstractNum>
  <w:abstractNum w:abstractNumId="21">
    <w:nsid w:val="721DA317"/>
    <w:multiLevelType w:val="hybridMultilevel"/>
    <w:lvl w:ilvl="0">
      <w:lvlJc w:val="left"/>
      <w:lvlText w:val="%1."/>
      <w:numFmt w:val="decimal"/>
      <w:start w:val="1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2026-05-14T08:03:09Z</dcterms:created>
  <dcterms:modified xsi:type="dcterms:W3CDTF">2026-05-14T08:03:09Z</dcterms:modified>
</cp:coreProperties>
</file>