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9,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(State or Other</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Jurisdiction of</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Identification No.)</w:t>
      </w:r>
    </w:p>
    <w:p>
      <w:pPr>
        <w:spacing w:after="0" w:line="31" w:lineRule="exact"/>
        <w:rPr>
          <w:sz w:val="24"/>
          <w:szCs w:val="24"/>
          <w:color w:val="auto"/>
        </w:rPr>
      </w:pPr>
    </w:p>
    <w:p>
      <w:pPr>
        <w:sectPr>
          <w:pgSz w:w="11900" w:h="16838" w:orient="portrait"/>
          <w:cols w:equalWidth="0" w:num="3">
            <w:col w:w="4340" w:space="720"/>
            <w:col w:w="3220" w:space="720"/>
            <w:col w:w="2300"/>
          </w:cols>
          <w:pgMar w:left="240" w:top="522" w:right="359" w:bottom="1440" w:gutter="0" w:footer="0" w:header="0"/>
          <w:type w:val="continuous"/>
        </w:sectPr>
      </w:pPr>
    </w:p>
    <w:p>
      <w:pPr>
        <w:ind w:left="1160"/>
        <w:spacing w:after="0"/>
        <w:rPr>
          <w:sz w:val="20"/>
          <w:szCs w:val="20"/>
          <w:color w:val="auto"/>
        </w:rPr>
      </w:pPr>
      <w:r>
        <w:rPr>
          <w:rFonts w:ascii="Arial" w:cs="Arial" w:eastAsia="Arial" w:hAnsi="Arial"/>
          <w:sz w:val="18"/>
          <w:szCs w:val="18"/>
          <w:b w:val="1"/>
          <w:bCs w:val="1"/>
          <w:color w:val="auto"/>
        </w:rPr>
        <w:t>Incorporation)</w:t>
      </w:r>
    </w:p>
    <w:p>
      <w:pPr>
        <w:spacing w:after="0" w:line="211"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t>Item 5.02(e) Compensatory Arrangements of Certain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of Equity Awards</w:t>
      </w:r>
    </w:p>
    <w:p>
      <w:pPr>
        <w:spacing w:after="0" w:line="200" w:lineRule="exact"/>
        <w:rPr>
          <w:sz w:val="20"/>
          <w:szCs w:val="20"/>
          <w:color w:val="auto"/>
        </w:rPr>
      </w:pPr>
    </w:p>
    <w:p>
      <w:pPr>
        <w:spacing w:after="0" w:line="24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Effective March 9, 2011, the Management Development and Compensation Committee (the “Committee”) of the Board of Directors of Waste Management, Inc. (the “Company”) granted equity awards under the Company’s 2009 Stock Incentive Plan (the “Plan”) to each of the Company’s currently-serving named executive officers in the Company’s most recent proxy statement (the “Named Executives”).</w:t>
      </w:r>
    </w:p>
    <w:p>
      <w:pPr>
        <w:spacing w:after="0" w:line="73"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Each of the Named Executives currently serving, David P. Steiner, Chief Executive Officer and President; Robert G. Simpson, Chief Financial Officer; James E. Trevathan, Senior Vice President — Southern Group; and Duane C. Woods, Senior Vice President — Western Group, received performance share units and stock options. The target number of performance share units granted to each of the Named Executives is as follows: Mr. Steiner — 40,263; Mr. Simpson — 10,051; Mr. Trevathan — 7,529; and Mr. Woods — 7,529. The material terms of the performance share units are described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PSUs</w:t>
            </w:r>
          </w:p>
        </w:tc>
        <w:tc>
          <w:tcPr>
            <w:tcW w:w="4520" w:type="dxa"/>
            <w:vAlign w:val="bottom"/>
          </w:tcPr>
          <w:p>
            <w:pPr>
              <w:spacing w:after="0"/>
              <w:rPr>
                <w:sz w:val="14"/>
                <w:szCs w:val="14"/>
                <w:color w:val="auto"/>
              </w:rPr>
            </w:pPr>
          </w:p>
        </w:tc>
        <w:tc>
          <w:tcPr>
            <w:tcW w:w="6560" w:type="dxa"/>
            <w:vAlign w:val="bottom"/>
            <w:vMerge w:val="restart"/>
          </w:tcPr>
          <w:p>
            <w:pPr>
              <w:ind w:left="2000"/>
              <w:spacing w:after="0"/>
              <w:rPr>
                <w:sz w:val="20"/>
                <w:szCs w:val="20"/>
                <w:color w:val="auto"/>
              </w:rPr>
            </w:pPr>
            <w:r>
              <w:rPr>
                <w:rFonts w:ascii="Arial" w:cs="Arial" w:eastAsia="Arial" w:hAnsi="Arial"/>
                <w:sz w:val="18"/>
                <w:szCs w:val="18"/>
                <w:color w:val="auto"/>
              </w:rPr>
              <w:t>As of December 31, 2013; award (if any) paid out after</w:t>
            </w:r>
          </w:p>
        </w:tc>
        <w:tc>
          <w:tcPr>
            <w:tcW w:w="0" w:type="dxa"/>
            <w:vAlign w:val="bottom"/>
          </w:tcPr>
          <w:p>
            <w:pPr>
              <w:spacing w:after="0"/>
              <w:rPr>
                <w:sz w:val="1"/>
                <w:szCs w:val="1"/>
                <w:color w:val="auto"/>
              </w:rPr>
            </w:pPr>
          </w:p>
        </w:tc>
      </w:tr>
      <w:tr>
        <w:trPr>
          <w:trHeight w:val="195"/>
        </w:trPr>
        <w:tc>
          <w:tcPr>
            <w:tcW w:w="4860" w:type="dxa"/>
            <w:vAlign w:val="bottom"/>
            <w:gridSpan w:val="2"/>
          </w:tcPr>
          <w:p>
            <w:pPr>
              <w:spacing w:after="0" w:line="195" w:lineRule="exact"/>
              <w:rPr>
                <w:sz w:val="20"/>
                <w:szCs w:val="20"/>
                <w:color w:val="auto"/>
              </w:rPr>
            </w:pPr>
            <w:r>
              <w:rPr>
                <w:rFonts w:ascii="Arial" w:cs="Arial" w:eastAsia="Arial" w:hAnsi="Arial"/>
                <w:sz w:val="18"/>
                <w:szCs w:val="18"/>
                <w:color w:val="auto"/>
              </w:rPr>
              <w:t>Performance Calculation Date (“PCD”)</w:t>
            </w:r>
          </w:p>
        </w:tc>
        <w:tc>
          <w:tcPr>
            <w:tcW w:w="6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rPr>
              <w:t>completion of the audit of the Company’s 2013 year-end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9"/>
              </w:rPr>
              <w:t>financial statements and certification by the Committee of</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rPr>
              <w:t>actual level of achievement (“payment date”).</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6560" w:type="dxa"/>
            <w:vAlign w:val="bottom"/>
          </w:tcPr>
          <w:p>
            <w:pPr>
              <w:ind w:left="2000"/>
              <w:spacing w:after="0"/>
              <w:rPr>
                <w:sz w:val="20"/>
                <w:szCs w:val="20"/>
                <w:color w:val="auto"/>
              </w:rPr>
            </w:pPr>
            <w:r>
              <w:rPr>
                <w:rFonts w:ascii="Arial" w:cs="Arial" w:eastAsia="Arial" w:hAnsi="Arial"/>
                <w:sz w:val="18"/>
                <w:szCs w:val="18"/>
                <w:color w:val="auto"/>
              </w:rPr>
              <w:t>Return on invested capital.</w:t>
            </w:r>
          </w:p>
        </w:tc>
        <w:tc>
          <w:tcPr>
            <w:tcW w:w="0" w:type="dxa"/>
            <w:vAlign w:val="bottom"/>
          </w:tcPr>
          <w:p>
            <w:pPr>
              <w:spacing w:after="0"/>
              <w:rPr>
                <w:sz w:val="1"/>
                <w:szCs w:val="1"/>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6560" w:type="dxa"/>
            <w:vAlign w:val="bottom"/>
          </w:tcPr>
          <w:p>
            <w:pPr>
              <w:ind w:left="2000"/>
              <w:spacing w:after="0"/>
              <w:rPr>
                <w:sz w:val="20"/>
                <w:szCs w:val="20"/>
                <w:color w:val="auto"/>
              </w:rPr>
            </w:pPr>
            <w:r>
              <w:rPr>
                <w:rFonts w:ascii="Arial" w:cs="Arial" w:eastAsia="Arial" w:hAnsi="Arial"/>
                <w:sz w:val="18"/>
                <w:szCs w:val="18"/>
                <w:color w:val="auto"/>
              </w:rPr>
              <w:t>0 — 200% of targeted amount, based on actual results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Death or Disability before PCD</w:t>
            </w:r>
          </w:p>
        </w:tc>
        <w:tc>
          <w:tcPr>
            <w:tcW w:w="6560" w:type="dxa"/>
            <w:vAlign w:val="bottom"/>
          </w:tcPr>
          <w:p>
            <w:pPr>
              <w:ind w:left="2000"/>
              <w:spacing w:after="0"/>
              <w:rPr>
                <w:sz w:val="20"/>
                <w:szCs w:val="20"/>
                <w:color w:val="auto"/>
              </w:rPr>
            </w:pPr>
            <w:r>
              <w:rPr>
                <w:rFonts w:ascii="Arial" w:cs="Arial" w:eastAsia="Arial" w:hAnsi="Arial"/>
                <w:sz w:val="18"/>
                <w:szCs w:val="18"/>
                <w:color w:val="auto"/>
                <w:w w:val="96"/>
              </w:rPr>
              <w:t>Payable on payment date as if participant had remained an</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rPr>
              <w:t>active employee through PCD.</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Voluntary Termination before PCD</w:t>
            </w:r>
          </w:p>
        </w:tc>
        <w:tc>
          <w:tcPr>
            <w:tcW w:w="6560" w:type="dxa"/>
            <w:vAlign w:val="bottom"/>
          </w:tcPr>
          <w:p>
            <w:pPr>
              <w:ind w:left="2000"/>
              <w:spacing w:after="0"/>
              <w:rPr>
                <w:sz w:val="20"/>
                <w:szCs w:val="20"/>
                <w:color w:val="auto"/>
              </w:rPr>
            </w:pPr>
            <w:r>
              <w:rPr>
                <w:rFonts w:ascii="Arial" w:cs="Arial" w:eastAsia="Arial" w:hAnsi="Arial"/>
                <w:sz w:val="18"/>
                <w:szCs w:val="18"/>
                <w:color w:val="auto"/>
              </w:rPr>
              <w:t>Immediate forfeiture.</w:t>
            </w:r>
          </w:p>
        </w:tc>
        <w:tc>
          <w:tcPr>
            <w:tcW w:w="0" w:type="dxa"/>
            <w:vAlign w:val="bottom"/>
          </w:tcPr>
          <w:p>
            <w:pPr>
              <w:spacing w:after="0"/>
              <w:rPr>
                <w:sz w:val="1"/>
                <w:szCs w:val="1"/>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Involuntary Termination other than for</w:t>
            </w:r>
          </w:p>
        </w:tc>
        <w:tc>
          <w:tcPr>
            <w:tcW w:w="6560" w:type="dxa"/>
            <w:vAlign w:val="bottom"/>
          </w:tcPr>
          <w:p>
            <w:pPr>
              <w:ind w:left="2000"/>
              <w:spacing w:after="0"/>
              <w:rPr>
                <w:sz w:val="20"/>
                <w:szCs w:val="20"/>
                <w:color w:val="auto"/>
              </w:rPr>
            </w:pPr>
            <w:r>
              <w:rPr>
                <w:rFonts w:ascii="Arial" w:cs="Arial" w:eastAsia="Arial" w:hAnsi="Arial"/>
                <w:sz w:val="18"/>
                <w:szCs w:val="18"/>
                <w:color w:val="auto"/>
                <w:w w:val="96"/>
              </w:rPr>
              <w:t>Payable on payment date based on actual results, prorated</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Cause or Qualifying Retirement before</w:t>
            </w:r>
          </w:p>
        </w:tc>
        <w:tc>
          <w:tcPr>
            <w:tcW w:w="6560" w:type="dxa"/>
            <w:vAlign w:val="bottom"/>
          </w:tcPr>
          <w:p>
            <w:pPr>
              <w:ind w:left="2000"/>
              <w:spacing w:after="0"/>
              <w:rPr>
                <w:sz w:val="20"/>
                <w:szCs w:val="20"/>
                <w:color w:val="auto"/>
              </w:rPr>
            </w:pPr>
            <w:r>
              <w:rPr>
                <w:rFonts w:ascii="Arial" w:cs="Arial" w:eastAsia="Arial" w:hAnsi="Arial"/>
                <w:sz w:val="18"/>
                <w:szCs w:val="18"/>
                <w:color w:val="auto"/>
                <w:w w:val="97"/>
              </w:rPr>
              <w:t>based on portion of performance period completed prior to</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PCD</w:t>
            </w:r>
          </w:p>
        </w:tc>
        <w:tc>
          <w:tcPr>
            <w:tcW w:w="6560" w:type="dxa"/>
            <w:vAlign w:val="bottom"/>
          </w:tcPr>
          <w:p>
            <w:pPr>
              <w:ind w:left="2000"/>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Change in Control before PCD</w:t>
            </w:r>
          </w:p>
        </w:tc>
        <w:tc>
          <w:tcPr>
            <w:tcW w:w="6560" w:type="dxa"/>
            <w:vAlign w:val="bottom"/>
          </w:tcPr>
          <w:p>
            <w:pPr>
              <w:ind w:left="2000"/>
              <w:spacing w:after="0"/>
              <w:rPr>
                <w:sz w:val="20"/>
                <w:szCs w:val="20"/>
                <w:color w:val="auto"/>
              </w:rPr>
            </w:pPr>
            <w:r>
              <w:rPr>
                <w:rFonts w:ascii="Arial" w:cs="Arial" w:eastAsia="Arial" w:hAnsi="Arial"/>
                <w:sz w:val="18"/>
                <w:szCs w:val="18"/>
                <w:color w:val="auto"/>
              </w:rPr>
              <w:t>Performance measured at the end of the fiscal quarter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rPr>
              <w:t>immediately prior to the change in control and paid on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8"/>
              </w:rPr>
              <w:t>prorated basis on actual results achieved up to such date.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3"/>
              </w:rPr>
              <w:t>Thereafter, participant also generally receives a replacement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0"/>
              </w:rPr>
              <w:t>award of restricted stock units in the successor entity generally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0"/>
              </w:rPr>
              <w:t>equal to the number of PSUs that would have been earned had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4"/>
              </w:rPr>
              <w:t>no change in control occurred and target performance levels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4"/>
              </w:rPr>
              <w:t>had been met from the time of the change of control through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5"/>
              </w:rPr>
              <w:t>December 31, 2013, converted for any conversion factors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7"/>
              </w:rPr>
              <w:t>the change in control transaction. The new restricted stock</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560" w:type="dxa"/>
            <w:vAlign w:val="bottom"/>
          </w:tcPr>
          <w:p>
            <w:pPr>
              <w:ind w:left="2000"/>
              <w:spacing w:after="0"/>
              <w:rPr>
                <w:sz w:val="20"/>
                <w:szCs w:val="20"/>
                <w:color w:val="auto"/>
              </w:rPr>
            </w:pPr>
            <w:r>
              <w:rPr>
                <w:rFonts w:ascii="Arial" w:cs="Arial" w:eastAsia="Arial" w:hAnsi="Arial"/>
                <w:sz w:val="18"/>
                <w:szCs w:val="18"/>
                <w:color w:val="auto"/>
                <w:w w:val="90"/>
              </w:rPr>
              <w:t>units in the successor entity would vest on December 31, 2013.</w:t>
            </w:r>
          </w:p>
        </w:tc>
        <w:tc>
          <w:tcPr>
            <w:tcW w:w="0" w:type="dxa"/>
            <w:vAlign w:val="bottom"/>
          </w:tcPr>
          <w:p>
            <w:pPr>
              <w:spacing w:after="0"/>
              <w:rPr>
                <w:sz w:val="1"/>
                <w:szCs w:val="1"/>
                <w:color w:val="auto"/>
              </w:rPr>
            </w:pPr>
          </w:p>
        </w:tc>
      </w:tr>
      <w:tr>
        <w:trPr>
          <w:trHeight w:val="632"/>
        </w:trPr>
        <w:tc>
          <w:tcPr>
            <w:tcW w:w="34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both"/>
        <w:ind w:right="640" w:firstLine="222"/>
        <w:spacing w:after="0" w:line="264" w:lineRule="auto"/>
        <w:rPr>
          <w:sz w:val="20"/>
          <w:szCs w:val="20"/>
          <w:color w:val="auto"/>
        </w:rPr>
      </w:pPr>
      <w:r>
        <w:rPr>
          <w:rFonts w:ascii="Arial" w:cs="Arial" w:eastAsia="Arial" w:hAnsi="Arial"/>
          <w:sz w:val="18"/>
          <w:szCs w:val="18"/>
          <w:color w:val="auto"/>
        </w:rPr>
        <w:t>The Committee also granted stock options to the Named Executives to purchase the following number of shares of the Company’s common stock: Mr. Steiner — 583,333; Mr. Simpson — 145,616; Mr. Trevathan — 109,084; and Mr. Woods — 109,084. The material terms of the stock options are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Stock Options</w:t>
            </w:r>
          </w:p>
        </w:tc>
        <w:tc>
          <w:tcPr>
            <w:tcW w:w="3640" w:type="dxa"/>
            <w:vAlign w:val="bottom"/>
          </w:tcPr>
          <w:p>
            <w:pPr>
              <w:spacing w:after="0"/>
              <w:rPr>
                <w:sz w:val="14"/>
                <w:szCs w:val="14"/>
                <w:color w:val="auto"/>
              </w:rPr>
            </w:pPr>
          </w:p>
        </w:tc>
        <w:tc>
          <w:tcPr>
            <w:tcW w:w="6800" w:type="dxa"/>
            <w:vAlign w:val="bottom"/>
            <w:vMerge w:val="restart"/>
          </w:tcPr>
          <w:p>
            <w:pPr>
              <w:ind w:left="1760"/>
              <w:spacing w:after="0"/>
              <w:rPr>
                <w:sz w:val="20"/>
                <w:szCs w:val="20"/>
                <w:color w:val="auto"/>
              </w:rPr>
            </w:pPr>
            <w:r>
              <w:rPr>
                <w:rFonts w:ascii="Arial" w:cs="Arial" w:eastAsia="Arial" w:hAnsi="Arial"/>
                <w:sz w:val="18"/>
                <w:szCs w:val="18"/>
                <w:color w:val="auto"/>
              </w:rPr>
              <w:t>25% on first anniversary</w:t>
            </w:r>
          </w:p>
        </w:tc>
        <w:tc>
          <w:tcPr>
            <w:tcW w:w="0" w:type="dxa"/>
            <w:vAlign w:val="bottom"/>
          </w:tcPr>
          <w:p>
            <w:pPr>
              <w:spacing w:after="0"/>
              <w:rPr>
                <w:sz w:val="1"/>
                <w:szCs w:val="1"/>
                <w:color w:val="auto"/>
              </w:rPr>
            </w:pPr>
          </w:p>
        </w:tc>
      </w:tr>
      <w:tr>
        <w:trPr>
          <w:trHeight w:val="195"/>
        </w:trPr>
        <w:tc>
          <w:tcPr>
            <w:tcW w:w="4520" w:type="dxa"/>
            <w:vAlign w:val="bottom"/>
            <w:gridSpan w:val="2"/>
          </w:tcPr>
          <w:p>
            <w:pPr>
              <w:spacing w:after="0" w:line="195" w:lineRule="exact"/>
              <w:rPr>
                <w:sz w:val="20"/>
                <w:szCs w:val="20"/>
                <w:color w:val="auto"/>
              </w:rPr>
            </w:pPr>
            <w:r>
              <w:rPr>
                <w:rFonts w:ascii="Arial" w:cs="Arial" w:eastAsia="Arial" w:hAnsi="Arial"/>
                <w:sz w:val="18"/>
                <w:szCs w:val="18"/>
                <w:color w:val="auto"/>
              </w:rPr>
              <w:t>Vesting Schedule</w:t>
            </w:r>
          </w:p>
        </w:tc>
        <w:tc>
          <w:tcPr>
            <w:tcW w:w="6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800" w:type="dxa"/>
            <w:vAlign w:val="bottom"/>
          </w:tcPr>
          <w:p>
            <w:pPr>
              <w:ind w:left="1760"/>
              <w:spacing w:after="0"/>
              <w:rPr>
                <w:sz w:val="20"/>
                <w:szCs w:val="20"/>
                <w:color w:val="auto"/>
              </w:rPr>
            </w:pPr>
            <w:r>
              <w:rPr>
                <w:rFonts w:ascii="Arial" w:cs="Arial" w:eastAsia="Arial" w:hAnsi="Arial"/>
                <w:sz w:val="18"/>
                <w:szCs w:val="18"/>
                <w:color w:val="auto"/>
              </w:rPr>
              <w:t>25% on second anniversary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800" w:type="dxa"/>
            <w:vAlign w:val="bottom"/>
          </w:tcPr>
          <w:p>
            <w:pPr>
              <w:ind w:left="1760"/>
              <w:spacing w:after="0"/>
              <w:rPr>
                <w:sz w:val="20"/>
                <w:szCs w:val="20"/>
                <w:color w:val="auto"/>
              </w:rPr>
            </w:pPr>
            <w:r>
              <w:rPr>
                <w:rFonts w:ascii="Arial" w:cs="Arial" w:eastAsia="Arial" w:hAnsi="Arial"/>
                <w:sz w:val="18"/>
                <w:szCs w:val="18"/>
                <w:color w:val="auto"/>
              </w:rPr>
              <w:t>50% on third anniversary.</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Term</w:t>
            </w:r>
          </w:p>
        </w:tc>
        <w:tc>
          <w:tcPr>
            <w:tcW w:w="6800" w:type="dxa"/>
            <w:vAlign w:val="bottom"/>
          </w:tcPr>
          <w:p>
            <w:pPr>
              <w:ind w:left="1760"/>
              <w:spacing w:after="0"/>
              <w:rPr>
                <w:sz w:val="20"/>
                <w:szCs w:val="20"/>
                <w:color w:val="auto"/>
              </w:rPr>
            </w:pPr>
            <w:r>
              <w:rPr>
                <w:rFonts w:ascii="Arial" w:cs="Arial" w:eastAsia="Arial" w:hAnsi="Arial"/>
                <w:sz w:val="18"/>
                <w:szCs w:val="18"/>
                <w:color w:val="auto"/>
              </w:rPr>
              <w:t>10 years from date of grant.</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6800" w:type="dxa"/>
            <w:vAlign w:val="bottom"/>
          </w:tcPr>
          <w:p>
            <w:pPr>
              <w:ind w:left="1760"/>
              <w:spacing w:after="0"/>
              <w:rPr>
                <w:sz w:val="20"/>
                <w:szCs w:val="20"/>
                <w:color w:val="auto"/>
              </w:rPr>
            </w:pPr>
            <w:r>
              <w:rPr>
                <w:rFonts w:ascii="Arial" w:cs="Arial" w:eastAsia="Arial" w:hAnsi="Arial"/>
                <w:sz w:val="18"/>
                <w:szCs w:val="18"/>
                <w:color w:val="auto"/>
              </w:rPr>
              <w:t>Fair Market Value on date of grant.</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Death or Disability</w:t>
            </w:r>
          </w:p>
        </w:tc>
        <w:tc>
          <w:tcPr>
            <w:tcW w:w="6800" w:type="dxa"/>
            <w:vAlign w:val="bottom"/>
          </w:tcPr>
          <w:p>
            <w:pPr>
              <w:ind w:left="1760"/>
              <w:spacing w:after="0"/>
              <w:rPr>
                <w:sz w:val="20"/>
                <w:szCs w:val="20"/>
                <w:color w:val="auto"/>
              </w:rPr>
            </w:pPr>
            <w:r>
              <w:rPr>
                <w:rFonts w:ascii="Arial" w:cs="Arial" w:eastAsia="Arial" w:hAnsi="Arial"/>
                <w:sz w:val="18"/>
                <w:szCs w:val="18"/>
                <w:color w:val="auto"/>
                <w:w w:val="91"/>
              </w:rPr>
              <w:t>All options immediately vest and remain exercisable for one year; but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800" w:type="dxa"/>
            <w:vAlign w:val="bottom"/>
          </w:tcPr>
          <w:p>
            <w:pPr>
              <w:ind w:left="1760"/>
              <w:spacing w:after="0"/>
              <w:rPr>
                <w:sz w:val="20"/>
                <w:szCs w:val="20"/>
                <w:color w:val="auto"/>
              </w:rPr>
            </w:pPr>
            <w:r>
              <w:rPr>
                <w:rFonts w:ascii="Arial" w:cs="Arial" w:eastAsia="Arial" w:hAnsi="Arial"/>
                <w:sz w:val="18"/>
                <w:szCs w:val="18"/>
                <w:color w:val="auto"/>
              </w:rPr>
              <w:t>in no event later than the original term.</w:t>
            </w:r>
          </w:p>
        </w:tc>
        <w:tc>
          <w:tcPr>
            <w:tcW w:w="0" w:type="dxa"/>
            <w:vAlign w:val="bottom"/>
          </w:tcPr>
          <w:p>
            <w:pPr>
              <w:spacing w:after="0"/>
              <w:rPr>
                <w:sz w:val="1"/>
                <w:szCs w:val="1"/>
                <w:color w:val="auto"/>
              </w:rPr>
            </w:pPr>
          </w:p>
        </w:tc>
      </w:tr>
      <w:tr>
        <w:trPr>
          <w:trHeight w:val="418"/>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Qualifying Retirement</w:t>
            </w:r>
          </w:p>
        </w:tc>
        <w:tc>
          <w:tcPr>
            <w:tcW w:w="6800" w:type="dxa"/>
            <w:vAlign w:val="bottom"/>
          </w:tcPr>
          <w:p>
            <w:pPr>
              <w:ind w:left="1760"/>
              <w:spacing w:after="0"/>
              <w:rPr>
                <w:sz w:val="20"/>
                <w:szCs w:val="20"/>
                <w:color w:val="auto"/>
              </w:rPr>
            </w:pPr>
            <w:r>
              <w:rPr>
                <w:rFonts w:ascii="Arial" w:cs="Arial" w:eastAsia="Arial" w:hAnsi="Arial"/>
                <w:sz w:val="18"/>
                <w:szCs w:val="18"/>
                <w:color w:val="auto"/>
                <w:w w:val="93"/>
              </w:rPr>
              <w:t>Continued vesting and exercisability for three years; but in no event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800" w:type="dxa"/>
            <w:vAlign w:val="bottom"/>
          </w:tcPr>
          <w:p>
            <w:pPr>
              <w:ind w:left="1760"/>
              <w:spacing w:after="0"/>
              <w:rPr>
                <w:sz w:val="20"/>
                <w:szCs w:val="20"/>
                <w:color w:val="auto"/>
              </w:rPr>
            </w:pPr>
            <w:r>
              <w:rPr>
                <w:rFonts w:ascii="Arial" w:cs="Arial" w:eastAsia="Arial" w:hAnsi="Arial"/>
                <w:sz w:val="18"/>
                <w:szCs w:val="18"/>
                <w:color w:val="auto"/>
              </w:rPr>
              <w:t>later than the original term.</w:t>
            </w:r>
          </w:p>
        </w:tc>
        <w:tc>
          <w:tcPr>
            <w:tcW w:w="0" w:type="dxa"/>
            <w:vAlign w:val="bottom"/>
          </w:tcPr>
          <w:p>
            <w:pPr>
              <w:spacing w:after="0"/>
              <w:rPr>
                <w:sz w:val="1"/>
                <w:szCs w:val="1"/>
                <w:color w:val="auto"/>
              </w:rPr>
            </w:pPr>
          </w:p>
        </w:tc>
      </w:tr>
      <w:tr>
        <w:trPr>
          <w:trHeight w:val="418"/>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Involuntary Termination other</w:t>
            </w:r>
          </w:p>
        </w:tc>
        <w:tc>
          <w:tcPr>
            <w:tcW w:w="6800" w:type="dxa"/>
            <w:vAlign w:val="bottom"/>
          </w:tcPr>
          <w:p>
            <w:pPr>
              <w:ind w:left="1760"/>
              <w:spacing w:after="0"/>
              <w:rPr>
                <w:sz w:val="20"/>
                <w:szCs w:val="20"/>
                <w:color w:val="auto"/>
              </w:rPr>
            </w:pPr>
            <w:r>
              <w:rPr>
                <w:rFonts w:ascii="Arial" w:cs="Arial" w:eastAsia="Arial" w:hAnsi="Arial"/>
                <w:sz w:val="18"/>
                <w:szCs w:val="18"/>
                <w:color w:val="auto"/>
                <w:w w:val="91"/>
              </w:rPr>
              <w:t>All options that are then vested are exercisable for 90 days; but in no</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than for Cause</w:t>
            </w:r>
          </w:p>
        </w:tc>
        <w:tc>
          <w:tcPr>
            <w:tcW w:w="6800" w:type="dxa"/>
            <w:vAlign w:val="bottom"/>
          </w:tcPr>
          <w:p>
            <w:pPr>
              <w:ind w:left="1760"/>
              <w:spacing w:after="0"/>
              <w:rPr>
                <w:sz w:val="20"/>
                <w:szCs w:val="20"/>
                <w:color w:val="auto"/>
              </w:rPr>
            </w:pPr>
            <w:r>
              <w:rPr>
                <w:rFonts w:ascii="Arial" w:cs="Arial" w:eastAsia="Arial" w:hAnsi="Arial"/>
                <w:sz w:val="18"/>
                <w:szCs w:val="18"/>
                <w:color w:val="auto"/>
              </w:rPr>
              <w:t>event later than the original term.</w:t>
            </w:r>
          </w:p>
        </w:tc>
        <w:tc>
          <w:tcPr>
            <w:tcW w:w="0" w:type="dxa"/>
            <w:vAlign w:val="bottom"/>
          </w:tcPr>
          <w:p>
            <w:pPr>
              <w:spacing w:after="0"/>
              <w:rPr>
                <w:sz w:val="1"/>
                <w:szCs w:val="1"/>
                <w:color w:val="auto"/>
              </w:rPr>
            </w:pPr>
          </w:p>
        </w:tc>
      </w:tr>
      <w:tr>
        <w:trPr>
          <w:trHeight w:val="432"/>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Involuntary Termination for Cause</w:t>
            </w:r>
          </w:p>
        </w:tc>
        <w:tc>
          <w:tcPr>
            <w:tcW w:w="6800" w:type="dxa"/>
            <w:vAlign w:val="bottom"/>
          </w:tcPr>
          <w:p>
            <w:pPr>
              <w:ind w:left="1760"/>
              <w:spacing w:after="0"/>
              <w:rPr>
                <w:sz w:val="20"/>
                <w:szCs w:val="20"/>
                <w:color w:val="auto"/>
              </w:rPr>
            </w:pPr>
            <w:r>
              <w:rPr>
                <w:rFonts w:ascii="Arial" w:cs="Arial" w:eastAsia="Arial" w:hAnsi="Arial"/>
                <w:sz w:val="18"/>
                <w:szCs w:val="18"/>
                <w:color w:val="auto"/>
              </w:rPr>
              <w:t>All options are forfeited, whether or not then exercisable.</w:t>
            </w:r>
          </w:p>
        </w:tc>
        <w:tc>
          <w:tcPr>
            <w:tcW w:w="0" w:type="dxa"/>
            <w:vAlign w:val="bottom"/>
          </w:tcPr>
          <w:p>
            <w:pPr>
              <w:spacing w:after="0"/>
              <w:rPr>
                <w:sz w:val="1"/>
                <w:szCs w:val="1"/>
                <w:color w:val="auto"/>
              </w:rPr>
            </w:pPr>
          </w:p>
        </w:tc>
      </w:tr>
      <w:tr>
        <w:trPr>
          <w:trHeight w:val="418"/>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Involuntary Termination or</w:t>
            </w:r>
          </w:p>
        </w:tc>
        <w:tc>
          <w:tcPr>
            <w:tcW w:w="6800" w:type="dxa"/>
            <w:vAlign w:val="bottom"/>
          </w:tcPr>
          <w:p>
            <w:pPr>
              <w:ind w:left="1760"/>
              <w:spacing w:after="0"/>
              <w:rPr>
                <w:sz w:val="20"/>
                <w:szCs w:val="20"/>
                <w:color w:val="auto"/>
              </w:rPr>
            </w:pPr>
            <w:r>
              <w:rPr>
                <w:rFonts w:ascii="Arial" w:cs="Arial" w:eastAsia="Arial" w:hAnsi="Arial"/>
                <w:sz w:val="18"/>
                <w:szCs w:val="18"/>
                <w:color w:val="auto"/>
                <w:w w:val="93"/>
              </w:rPr>
              <w:t>All options immediately vest and remain exercisable for three years;</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Resignation for Good Reason</w:t>
            </w:r>
          </w:p>
        </w:tc>
        <w:tc>
          <w:tcPr>
            <w:tcW w:w="6800" w:type="dxa"/>
            <w:vAlign w:val="bottom"/>
          </w:tcPr>
          <w:p>
            <w:pPr>
              <w:ind w:left="1760"/>
              <w:spacing w:after="0"/>
              <w:rPr>
                <w:sz w:val="20"/>
                <w:szCs w:val="20"/>
                <w:color w:val="auto"/>
              </w:rPr>
            </w:pPr>
            <w:r>
              <w:rPr>
                <w:rFonts w:ascii="Arial" w:cs="Arial" w:eastAsia="Arial" w:hAnsi="Arial"/>
                <w:sz w:val="18"/>
                <w:szCs w:val="18"/>
                <w:color w:val="auto"/>
              </w:rPr>
              <w:t>but in no event later than the original term.</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following a Change in Control</w:t>
            </w: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forms of award agreements for the performance share units and the stock options are filed as exhibits to this Form 8-K, and the descriptions of the material terms of the awards are qualified in their entirety by reference to the award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of Group Senior Vice President Employment Agreements</w:t>
      </w:r>
    </w:p>
    <w:p>
      <w:pPr>
        <w:spacing w:after="0" w:line="117"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of March 10, 2011, amendments to our employment agreements with our Group Senior Vice Presidents, including Messrs. Trevathan and Woods, were fully executed and deemed effective as of January 1, 2011. Pursuant to their employment agreements, the Group Senior Vice Presidents are entitled to participate in an annual incentive compensation plan. The amendments to the employment agreements provide that each Group Senior Vice President’s target annual bonus will be seventy-five percent (75%) of his base salary in effect for such year.</w:t>
      </w:r>
    </w:p>
    <w:p>
      <w:pPr>
        <w:spacing w:after="0" w:line="79"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2010 target annual bonus of each of Mr. Trevathan and Mr. Woods was eighty-five percent (85%) of base salary. In the process of establishing the 2011 executive compensation program, our Management Development and Compensation Committee determined that the allocation of targeted compensation for our Group Senior Vice President position should be revised to increase the weight of long-term equity compensation for these operational leaders. Accordingly, the employment agreements were amended as discussed herein to reduce emphasis on short-term compensation.</w:t>
      </w:r>
    </w:p>
    <w:p>
      <w:pPr>
        <w:spacing w:after="0" w:line="63" w:lineRule="exact"/>
        <w:rPr>
          <w:sz w:val="20"/>
          <w:szCs w:val="20"/>
          <w:color w:val="auto"/>
        </w:rPr>
      </w:pPr>
    </w:p>
    <w:p>
      <w:pPr>
        <w:ind w:right="880" w:firstLine="222"/>
        <w:spacing w:after="0" w:line="277" w:lineRule="auto"/>
        <w:rPr>
          <w:sz w:val="20"/>
          <w:szCs w:val="20"/>
          <w:color w:val="auto"/>
        </w:rPr>
      </w:pPr>
      <w:r>
        <w:rPr>
          <w:rFonts w:ascii="Arial" w:cs="Arial" w:eastAsia="Arial" w:hAnsi="Arial"/>
          <w:sz w:val="18"/>
          <w:szCs w:val="18"/>
          <w:color w:val="auto"/>
        </w:rPr>
        <w:t>The full text of the amendments to the employment agreements of Messrs. Trevathan and Woods are filed as exhibits to this Form 8-K, and the descriptions of the amendments are qualified in their entirety by reference to the such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05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 2011PSU Award Agreement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2011 Stock Option Award Agreement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Amendment to Employment Agreement by and between the Company and Mr. Jim Trevathan</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Amendment to Employment Agreement by and between the Company and Mr. Duane C. Woods</w:t>
            </w:r>
          </w:p>
        </w:tc>
      </w:tr>
      <w:tr>
        <w:trPr>
          <w:trHeight w:val="632"/>
        </w:trPr>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March 11, 2011</w:t>
            </w: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42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 of Exhibit</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10.l</w:t>
            </w:r>
          </w:p>
        </w:tc>
        <w:tc>
          <w:tcPr>
            <w:tcW w:w="340" w:type="dxa"/>
            <w:vAlign w:val="bottom"/>
          </w:tcPr>
          <w:p>
            <w:pPr>
              <w:spacing w:after="0"/>
              <w:rPr>
                <w:sz w:val="16"/>
                <w:szCs w:val="16"/>
                <w:color w:val="auto"/>
              </w:rPr>
            </w:pPr>
          </w:p>
        </w:tc>
        <w:tc>
          <w:tcPr>
            <w:tcW w:w="101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Form of 2011PSU Award Agreement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500" w:type="dxa"/>
            <w:vAlign w:val="bottom"/>
            <w:gridSpan w:val="4"/>
          </w:tcPr>
          <w:p>
            <w:pPr>
              <w:ind w:left="340"/>
              <w:spacing w:after="0"/>
              <w:rPr>
                <w:sz w:val="20"/>
                <w:szCs w:val="20"/>
                <w:color w:val="auto"/>
              </w:rPr>
            </w:pPr>
            <w:r>
              <w:rPr>
                <w:rFonts w:ascii="Arial" w:cs="Arial" w:eastAsia="Arial" w:hAnsi="Arial"/>
                <w:sz w:val="18"/>
                <w:szCs w:val="18"/>
                <w:color w:val="auto"/>
              </w:rPr>
              <w:t>Form of 2011 Stock Option Award Agreement</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500" w:type="dxa"/>
            <w:vAlign w:val="bottom"/>
            <w:gridSpan w:val="4"/>
          </w:tcPr>
          <w:p>
            <w:pPr>
              <w:ind w:left="340"/>
              <w:spacing w:after="0"/>
              <w:rPr>
                <w:sz w:val="20"/>
                <w:szCs w:val="20"/>
                <w:color w:val="auto"/>
              </w:rPr>
            </w:pPr>
            <w:r>
              <w:rPr>
                <w:rFonts w:ascii="Arial" w:cs="Arial" w:eastAsia="Arial" w:hAnsi="Arial"/>
                <w:sz w:val="18"/>
                <w:szCs w:val="18"/>
                <w:color w:val="auto"/>
              </w:rPr>
              <w:t>Amendment to Employment Agreement by and between the Company and Mr. Jim Trevathan</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500" w:type="dxa"/>
            <w:vAlign w:val="bottom"/>
            <w:gridSpan w:val="4"/>
          </w:tcPr>
          <w:p>
            <w:pPr>
              <w:ind w:left="340"/>
              <w:spacing w:after="0"/>
              <w:rPr>
                <w:sz w:val="20"/>
                <w:szCs w:val="20"/>
                <w:color w:val="auto"/>
              </w:rPr>
            </w:pPr>
            <w:r>
              <w:rPr>
                <w:rFonts w:ascii="Arial" w:cs="Arial" w:eastAsia="Arial" w:hAnsi="Arial"/>
                <w:sz w:val="18"/>
                <w:szCs w:val="18"/>
                <w:color w:val="auto"/>
              </w:rPr>
              <w:t>Amendment to Employment Agreement by and between the Company and Mr. Duane C. Woods</w:t>
            </w:r>
          </w:p>
        </w:tc>
      </w:tr>
    </w:tbl>
    <w:p>
      <w:pPr>
        <w:sectPr>
          <w:pgSz w:w="11900" w:h="16838" w:orient="portrait"/>
          <w:cols w:equalWidth="0" w:num="1">
            <w:col w:w="11420"/>
          </w:cols>
          <w:pgMar w:left="240" w:top="144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 xml:space="preserve">This Performance Share Unit Award Agreement (“Agreement”) is entered into effective as of March 9, 2011, (the “Grant Date”), by and between Waste 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8"/>
          <w:szCs w:val="18"/>
          <w:b w:val="1"/>
          <w:bCs w:val="1"/>
          <w:color w:val="auto"/>
        </w:rPr>
        <w:t>The terms and conditions of this Agreement as offered herein must be</w:t>
      </w:r>
      <w:r>
        <w:rPr>
          <w:rFonts w:ascii="Arial" w:cs="Arial" w:eastAsia="Arial" w:hAnsi="Arial"/>
          <w:sz w:val="18"/>
          <w:szCs w:val="18"/>
          <w:color w:val="auto"/>
        </w:rPr>
        <w:t xml:space="preserve"> </w:t>
      </w:r>
      <w:r>
        <w:rPr>
          <w:rFonts w:ascii="Arial" w:cs="Arial" w:eastAsia="Arial" w:hAnsi="Arial"/>
          <w:sz w:val="18"/>
          <w:szCs w:val="18"/>
          <w:b w:val="1"/>
          <w:bCs w:val="1"/>
          <w:color w:val="auto"/>
        </w:rPr>
        <w:t>accepted by Employee prior to April 8, 2011. Failure to timely accept the terms by such time will result in the immediate and irrevocable cancellation of the Award offered.</w:t>
      </w:r>
    </w:p>
    <w:p>
      <w:pPr>
        <w:spacing w:after="0" w:line="85" w:lineRule="exact"/>
        <w:rPr>
          <w:sz w:val="20"/>
          <w:szCs w:val="20"/>
          <w:color w:val="auto"/>
        </w:rPr>
      </w:pPr>
    </w:p>
    <w:p>
      <w:pPr>
        <w:jc w:val="both"/>
        <w:ind w:right="20" w:firstLine="233"/>
        <w:spacing w:after="0" w:line="259"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Performance Vesting Requirement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40" w:firstLine="221"/>
        <w:spacing w:after="0" w:line="279" w:lineRule="auto"/>
        <w:tabs>
          <w:tab w:leader="none" w:pos="71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“Performance Period” for this Award shall be the 36-month period commencing on January 1, 2011 and ending on December 31, 2013. The Award shall be subject to performance vesting requirements based upon the achievement of the Incentive Formula established under the Plan, adjusted so that the Award that is paid to the Employee hereunder does not exceed the amount computed under the performance goal specified below, subject to certification of the degree of achievement of such performance goal by the Committee.</w:t>
      </w:r>
    </w:p>
    <w:p>
      <w:pPr>
        <w:spacing w:after="0" w:line="63" w:lineRule="exact"/>
        <w:rPr>
          <w:rFonts w:ascii="Arial" w:cs="Arial" w:eastAsia="Arial" w:hAnsi="Arial"/>
          <w:sz w:val="17"/>
          <w:szCs w:val="17"/>
          <w:color w:val="auto"/>
        </w:rPr>
      </w:pPr>
    </w:p>
    <w:p>
      <w:pPr>
        <w:ind w:left="240" w:right="40" w:firstLine="221"/>
        <w:spacing w:after="0" w:line="264"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measurement tool for determining level of achievement shall be Average Return on Invested Capital for the 36-month period beginning January 1, 2011 and ending December 31, 2013. Calculation of this measurement tool will be performed by the Committee, subject to all authority granted under the terms of the Plan.</w:t>
      </w:r>
    </w:p>
    <w:p>
      <w:pPr>
        <w:spacing w:after="0" w:line="73" w:lineRule="exact"/>
        <w:rPr>
          <w:rFonts w:ascii="Arial" w:cs="Arial" w:eastAsia="Arial" w:hAnsi="Arial"/>
          <w:sz w:val="18"/>
          <w:szCs w:val="18"/>
          <w:color w:val="auto"/>
        </w:rPr>
      </w:pPr>
    </w:p>
    <w:p>
      <w:pPr>
        <w:ind w:left="240" w:right="80" w:firstLine="221"/>
        <w:spacing w:after="0" w:line="264"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73" w:lineRule="exact"/>
        <w:rPr>
          <w:rFonts w:ascii="Arial" w:cs="Arial" w:eastAsia="Arial" w:hAnsi="Arial"/>
          <w:sz w:val="18"/>
          <w:szCs w:val="18"/>
          <w:color w:val="auto"/>
        </w:rPr>
      </w:pPr>
    </w:p>
    <w:p>
      <w:pPr>
        <w:ind w:left="420" w:hanging="18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“Target Award” for Employee under this Agreement is the target number of Performance Share Units announced on March 9, 2011.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240" w:right="100"/>
        <w:spacing w:after="0" w:line="255" w:lineRule="auto"/>
        <w:rPr>
          <w:sz w:val="20"/>
          <w:szCs w:val="20"/>
          <w:color w:val="auto"/>
        </w:rPr>
      </w:pPr>
      <w:r>
        <w:rPr>
          <w:rFonts w:ascii="Arial" w:cs="Arial" w:eastAsia="Arial" w:hAnsi="Arial"/>
          <w:sz w:val="18"/>
          <w:szCs w:val="18"/>
          <w:color w:val="auto"/>
        </w:rPr>
        <w:t>actual number of Performance Share Units earned by Employee will be determined as described below, based upon the actual achievement of the performance goal for the Performance Period. “Threshold Performance” is the minimum level of performance that must be achieved to qualify for any Award; “Target Performance” is the expected achievement in Average Return on Invested Capital; and “Maximum Performance” is the maximum level of performance that could be achieved that would result in an increase in the number of Performance Share Units earned under this Award. The target levels of achievement for the performance goal will be announced by no later than March 15, 2011, following calculation of year-end financial reporting for 2010. Subject to adjustment pursuant to Subsection 3(b), 3(c) and 3(d), each such percentage correlates to a number of Performance Share Units that may be earned under this Award,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80" w:type="dxa"/>
            <w:vAlign w:val="bottom"/>
            <w:gridSpan w:val="2"/>
          </w:tcPr>
          <w:p>
            <w:pPr>
              <w:spacing w:after="0"/>
              <w:rPr>
                <w:sz w:val="20"/>
                <w:szCs w:val="20"/>
                <w:color w:val="auto"/>
              </w:rPr>
            </w:pPr>
            <w:r>
              <w:rPr>
                <w:rFonts w:ascii="Arial" w:cs="Arial" w:eastAsia="Arial" w:hAnsi="Arial"/>
                <w:sz w:val="14"/>
                <w:szCs w:val="14"/>
                <w:color w:val="auto"/>
              </w:rPr>
              <w:t>Level Achieved During Performance Period</w:t>
            </w:r>
          </w:p>
        </w:tc>
        <w:tc>
          <w:tcPr>
            <w:tcW w:w="3040" w:type="dxa"/>
            <w:vAlign w:val="bottom"/>
            <w:gridSpan w:val="3"/>
          </w:tcPr>
          <w:p>
            <w:pPr>
              <w:ind w:left="460"/>
              <w:spacing w:after="0"/>
              <w:rPr>
                <w:sz w:val="20"/>
                <w:szCs w:val="20"/>
                <w:color w:val="auto"/>
              </w:rPr>
            </w:pPr>
            <w:r>
              <w:rPr>
                <w:rFonts w:ascii="Arial" w:cs="Arial" w:eastAsia="Arial" w:hAnsi="Arial"/>
                <w:sz w:val="14"/>
                <w:szCs w:val="14"/>
                <w:color w:val="auto"/>
                <w:w w:val="95"/>
              </w:rPr>
              <w:t>Resulting Performance Share Units Earned</w:t>
            </w:r>
          </w:p>
        </w:tc>
      </w:tr>
      <w:tr>
        <w:trPr>
          <w:trHeight w:val="210"/>
        </w:trPr>
        <w:tc>
          <w:tcPr>
            <w:tcW w:w="20" w:type="dxa"/>
            <w:vAlign w:val="bottom"/>
          </w:tcPr>
          <w:p>
            <w:pPr>
              <w:spacing w:after="0"/>
              <w:rPr>
                <w:sz w:val="18"/>
                <w:szCs w:val="18"/>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 Performance</w:t>
            </w:r>
          </w:p>
        </w:tc>
        <w:tc>
          <w:tcPr>
            <w:tcW w:w="460" w:type="dxa"/>
            <w:vAlign w:val="bottom"/>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60% of Target Award</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Target Performance</w:t>
            </w:r>
          </w:p>
        </w:tc>
        <w:tc>
          <w:tcPr>
            <w:tcW w:w="46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Arial" w:cs="Arial" w:eastAsia="Arial" w:hAnsi="Arial"/>
                <w:sz w:val="18"/>
                <w:szCs w:val="18"/>
                <w:color w:val="auto"/>
                <w:w w:val="90"/>
              </w:rPr>
              <w:t>100% of Target Award</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Maximum Performance</w:t>
            </w:r>
          </w:p>
        </w:tc>
        <w:tc>
          <w:tcPr>
            <w:tcW w:w="4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200% of Target Award</w:t>
            </w:r>
          </w:p>
        </w:tc>
      </w:tr>
    </w:tbl>
    <w:p>
      <w:pPr>
        <w:spacing w:after="0" w:line="94" w:lineRule="exact"/>
        <w:rPr>
          <w:sz w:val="20"/>
          <w:szCs w:val="20"/>
          <w:color w:val="auto"/>
        </w:rPr>
      </w:pPr>
    </w:p>
    <w:p>
      <w:pPr>
        <w:ind w:left="240" w:right="220" w:firstLine="221"/>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does not meet the Threshold Performance, no Performance Share Units shall be earned under this Award.</w:t>
      </w:r>
    </w:p>
    <w:p>
      <w:pPr>
        <w:spacing w:after="0" w:line="62" w:lineRule="exact"/>
        <w:rPr>
          <w:rFonts w:ascii="Arial" w:cs="Arial" w:eastAsia="Arial" w:hAnsi="Arial"/>
          <w:sz w:val="18"/>
          <w:szCs w:val="18"/>
          <w:color w:val="auto"/>
        </w:rPr>
      </w:pPr>
    </w:p>
    <w:p>
      <w:pPr>
        <w:ind w:left="240" w:right="620" w:firstLine="221"/>
        <w:spacing w:after="0" w:line="308" w:lineRule="auto"/>
        <w:tabs>
          <w:tab w:leader="none" w:pos="710" w:val="left"/>
        </w:tabs>
        <w:numPr>
          <w:ilvl w:val="1"/>
          <w:numId w:val="4"/>
        </w:numPr>
        <w:rPr>
          <w:rFonts w:ascii="Arial" w:cs="Arial" w:eastAsia="Arial" w:hAnsi="Arial"/>
          <w:sz w:val="17"/>
          <w:szCs w:val="17"/>
          <w:color w:val="auto"/>
        </w:rPr>
      </w:pPr>
      <w:r>
        <w:rPr>
          <w:rFonts w:ascii="Arial" w:cs="Arial" w:eastAsia="Arial" w:hAnsi="Arial"/>
          <w:sz w:val="17"/>
          <w:szCs w:val="17"/>
          <w:color w:val="auto"/>
        </w:rPr>
        <w:t>If the Company’s actual performance for the Performance Period is between Threshold Performance and Target Performance, the number of Performance Share Units earned shall be interpolated between Threshold Performance and Target Performance amounts.</w:t>
      </w:r>
    </w:p>
    <w:p>
      <w:pPr>
        <w:spacing w:after="0" w:line="38" w:lineRule="exact"/>
        <w:rPr>
          <w:rFonts w:ascii="Arial" w:cs="Arial" w:eastAsia="Arial" w:hAnsi="Arial"/>
          <w:sz w:val="17"/>
          <w:szCs w:val="17"/>
          <w:color w:val="auto"/>
        </w:rPr>
      </w:pPr>
    </w:p>
    <w:p>
      <w:pPr>
        <w:ind w:left="240" w:right="580" w:firstLine="221"/>
        <w:spacing w:after="0" w:line="308" w:lineRule="auto"/>
        <w:tabs>
          <w:tab w:leader="none" w:pos="720" w:val="left"/>
        </w:tabs>
        <w:numPr>
          <w:ilvl w:val="1"/>
          <w:numId w:val="4"/>
        </w:numPr>
        <w:rPr>
          <w:rFonts w:ascii="Arial" w:cs="Arial" w:eastAsia="Arial" w:hAnsi="Arial"/>
          <w:sz w:val="17"/>
          <w:szCs w:val="17"/>
          <w:color w:val="auto"/>
        </w:rPr>
      </w:pPr>
      <w:r>
        <w:rPr>
          <w:rFonts w:ascii="Arial" w:cs="Arial" w:eastAsia="Arial" w:hAnsi="Arial"/>
          <w:sz w:val="17"/>
          <w:szCs w:val="17"/>
          <w:color w:val="auto"/>
        </w:rPr>
        <w:t>If the Company’s actual performance for the Performance Period is between Target Performance and Maximum Performance, the number of Performance Share Units earned shall be interpolated between Target Performance and Maximum Performance amounts.</w:t>
      </w:r>
    </w:p>
    <w:p>
      <w:pPr>
        <w:spacing w:after="0" w:line="38" w:lineRule="exact"/>
        <w:rPr>
          <w:rFonts w:ascii="Arial" w:cs="Arial" w:eastAsia="Arial" w:hAnsi="Arial"/>
          <w:sz w:val="17"/>
          <w:szCs w:val="17"/>
          <w:color w:val="auto"/>
        </w:rPr>
      </w:pPr>
    </w:p>
    <w:p>
      <w:pPr>
        <w:ind w:right="220" w:firstLine="233"/>
        <w:spacing w:after="0" w:line="297"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and Dividend Equivalents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 The Company shall not be required to issue any fractional shares of Common Stock.</w:t>
      </w:r>
    </w:p>
    <w:p>
      <w:pPr>
        <w:spacing w:after="0" w:line="50" w:lineRule="exact"/>
        <w:rPr>
          <w:rFonts w:ascii="Arial" w:cs="Arial" w:eastAsia="Arial" w:hAnsi="Arial"/>
          <w:sz w:val="16"/>
          <w:szCs w:val="16"/>
          <w:color w:val="auto"/>
        </w:rPr>
      </w:pPr>
    </w:p>
    <w:p>
      <w:pPr>
        <w:ind w:right="560" w:firstLine="233"/>
        <w:spacing w:after="0" w:line="277" w:lineRule="auto"/>
        <w:tabs>
          <w:tab w:leader="none" w:pos="40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 Upon Termination of Employment from the Company by reason of Employee’s death or disability (as determined by the Committee and within the meaning of Section 409A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140"/>
        <w:spacing w:after="0" w:line="297" w:lineRule="auto"/>
        <w:rPr>
          <w:sz w:val="20"/>
          <w:szCs w:val="20"/>
          <w:color w:val="auto"/>
        </w:rPr>
      </w:pPr>
      <w:r>
        <w:rPr>
          <w:rFonts w:ascii="Arial" w:cs="Arial" w:eastAsia="Arial" w:hAnsi="Arial"/>
          <w:sz w:val="16"/>
          <w:szCs w:val="16"/>
          <w:color w:val="auto"/>
        </w:rPr>
        <w:t>the Internal Revenue Code of 1986, as amended (the “Internal Revenue Code”)), or upon Employee’s disability prior to a Termination of Employment (as determined by the Committee and within the meaning of Section 409A of the Internal Revenue Code), Employee (or in the case of Employee’s death, Employee’s beneficiary) shall be entitled to receive the Performance Share Units Employee would have been entitled to under Section 3 if he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50" w:lineRule="exact"/>
        <w:rPr>
          <w:sz w:val="20"/>
          <w:szCs w:val="20"/>
          <w:color w:val="auto"/>
        </w:rPr>
      </w:pPr>
    </w:p>
    <w:p>
      <w:pPr>
        <w:ind w:right="20" w:firstLine="233"/>
        <w:spacing w:after="0" w:line="272" w:lineRule="auto"/>
        <w:tabs>
          <w:tab w:leader="none" w:pos="405"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 Without Cause by the Company or Retirement by Employee</w:t>
      </w:r>
      <w:r>
        <w:rPr>
          <w:rFonts w:ascii="Arial" w:cs="Arial" w:eastAsia="Arial" w:hAnsi="Arial"/>
          <w:sz w:val="17"/>
          <w:szCs w:val="17"/>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he or she had remained employed until the last day of the Performance Period, multiplied by the fraction which has as its numerator the total number of days that Employee was employed by the Company during the Performance Period and has as its denominator 1,096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69" w:lineRule="exact"/>
        <w:rPr>
          <w:rFonts w:ascii="Arial" w:cs="Arial" w:eastAsia="Arial" w:hAnsi="Arial"/>
          <w:sz w:val="17"/>
          <w:szCs w:val="17"/>
          <w:color w:val="auto"/>
        </w:rPr>
      </w:pPr>
    </w:p>
    <w:p>
      <w:pPr>
        <w:ind w:right="200" w:firstLine="233"/>
        <w:spacing w:after="0" w:line="264"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xml:space="preserve"> Except as provided in Sections 5 and 6,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117" w:lineRule="exact"/>
        <w:rPr>
          <w:rFonts w:ascii="Arial" w:cs="Arial" w:eastAsia="Arial" w:hAnsi="Arial"/>
          <w:sz w:val="18"/>
          <w:szCs w:val="18"/>
          <w:color w:val="auto"/>
        </w:rPr>
      </w:pPr>
    </w:p>
    <w:p>
      <w:pPr>
        <w:ind w:left="240" w:firstLine="221"/>
        <w:spacing w:after="0" w:line="288" w:lineRule="auto"/>
        <w:tabs>
          <w:tab w:leader="none" w:pos="710" w:val="left"/>
        </w:tabs>
        <w:numPr>
          <w:ilvl w:val="2"/>
          <w:numId w:val="6"/>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it is determined by the Committee that Employee either engaged in or benefited from Misconduct, as defined below, then, to the extent permitted by law, Employee will refund to the Company any amounts, plus interest, received by Employee under this Agreement. For purposes of this Section, “Misconduct” means (i) any act or failure to act by any employee of the Company that</w:t>
      </w:r>
    </w:p>
    <w:p>
      <w:pPr>
        <w:ind w:left="240" w:right="40" w:hanging="4"/>
        <w:spacing w:after="0" w:line="254" w:lineRule="auto"/>
        <w:tabs>
          <w:tab w:leader="none" w:pos="505" w:val="left"/>
        </w:tabs>
        <w:numPr>
          <w:ilvl w:val="1"/>
          <w:numId w:val="6"/>
        </w:numPr>
        <w:rPr>
          <w:rFonts w:ascii="Arial" w:cs="Arial" w:eastAsia="Arial" w:hAnsi="Arial"/>
          <w:sz w:val="18"/>
          <w:szCs w:val="18"/>
          <w:color w:val="auto"/>
        </w:rPr>
      </w:pPr>
      <w:r>
        <w:rPr>
          <w:rFonts w:ascii="Arial" w:cs="Arial" w:eastAsia="Arial" w:hAnsi="Arial"/>
          <w:sz w:val="18"/>
          <w:szCs w:val="18"/>
          <w:color w:val="auto"/>
        </w:rPr>
        <w:t>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81" w:lineRule="exact"/>
        <w:rPr>
          <w:rFonts w:ascii="Arial" w:cs="Arial" w:eastAsia="Arial" w:hAnsi="Arial"/>
          <w:sz w:val="18"/>
          <w:szCs w:val="18"/>
          <w:color w:val="auto"/>
        </w:rPr>
      </w:pPr>
    </w:p>
    <w:p>
      <w:pPr>
        <w:ind w:left="240" w:right="460" w:firstLine="221"/>
        <w:spacing w:after="0" w:line="277" w:lineRule="auto"/>
        <w:tabs>
          <w:tab w:leader="none" w:pos="720" w:val="left"/>
        </w:tabs>
        <w:numPr>
          <w:ilvl w:val="2"/>
          <w:numId w:val="7"/>
        </w:numPr>
        <w:rPr>
          <w:rFonts w:ascii="Arial" w:cs="Arial" w:eastAsia="Arial" w:hAnsi="Arial"/>
          <w:sz w:val="18"/>
          <w:szCs w:val="18"/>
          <w:color w:val="auto"/>
        </w:rPr>
      </w:pPr>
      <w:r>
        <w:rPr>
          <w:rFonts w:ascii="Arial" w:cs="Arial" w:eastAsia="Arial" w:hAnsi="Arial"/>
          <w:sz w:val="18"/>
          <w:szCs w:val="18"/>
          <w:color w:val="auto"/>
        </w:rPr>
        <w:t>Following finding of Misconduct by such a third party, if Employee has been accused engaging in Misconduct may dispute the occurrence of Misconduct pursuant to binding arbitration. Individuals determined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 w:name="page10"/>
    <w:bookmarkEnd w:id="9"/>
    <w:p>
      <w:pPr>
        <w:ind w:left="7"/>
        <w:spacing w:after="0" w:line="255" w:lineRule="auto"/>
        <w:rPr>
          <w:sz w:val="20"/>
          <w:szCs w:val="20"/>
          <w:color w:val="auto"/>
        </w:rPr>
      </w:pPr>
      <w:r>
        <w:rPr>
          <w:rFonts w:ascii="Arial" w:cs="Arial" w:eastAsia="Arial" w:hAnsi="Arial"/>
          <w:sz w:val="18"/>
          <w:szCs w:val="18"/>
          <w:color w:val="auto"/>
        </w:rPr>
        <w:t xml:space="preserve">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8"/>
          <w:szCs w:val="18"/>
          <w:i w:val="1"/>
          <w:iCs w:val="1"/>
          <w:color w:val="auto"/>
        </w:rPr>
        <w:t>et seq</w:t>
      </w:r>
      <w:r>
        <w:rPr>
          <w:rFonts w:ascii="Arial" w:cs="Arial" w:eastAsia="Arial" w:hAnsi="Arial"/>
          <w:sz w:val="18"/>
          <w:szCs w:val="18"/>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81" w:lineRule="exact"/>
        <w:rPr>
          <w:sz w:val="20"/>
          <w:szCs w:val="20"/>
          <w:color w:val="auto"/>
        </w:rPr>
      </w:pPr>
    </w:p>
    <w:p>
      <w:pPr>
        <w:ind w:left="7" w:right="420" w:firstLine="221"/>
        <w:spacing w:after="0" w:line="277" w:lineRule="auto"/>
        <w:tabs>
          <w:tab w:leader="none" w:pos="47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62" w:lineRule="exact"/>
        <w:rPr>
          <w:rFonts w:ascii="Arial" w:cs="Arial" w:eastAsia="Arial" w:hAnsi="Arial"/>
          <w:sz w:val="18"/>
          <w:szCs w:val="18"/>
          <w:color w:val="auto"/>
        </w:rPr>
      </w:pPr>
    </w:p>
    <w:p>
      <w:pPr>
        <w:ind w:left="7" w:right="280" w:firstLine="221"/>
        <w:spacing w:after="0" w:line="277" w:lineRule="auto"/>
        <w:tabs>
          <w:tab w:leader="none" w:pos="48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Employee’s employment.</w:t>
      </w:r>
    </w:p>
    <w:p>
      <w:pPr>
        <w:spacing w:after="0" w:line="62" w:lineRule="exact"/>
        <w:rPr>
          <w:rFonts w:ascii="Arial" w:cs="Arial" w:eastAsia="Arial" w:hAnsi="Arial"/>
          <w:sz w:val="18"/>
          <w:szCs w:val="18"/>
          <w:color w:val="auto"/>
        </w:rPr>
      </w:pPr>
    </w:p>
    <w:p>
      <w:pPr>
        <w:ind w:left="-233" w:right="120" w:firstLine="233"/>
        <w:spacing w:after="0" w:line="277" w:lineRule="auto"/>
        <w:tabs>
          <w:tab w:leader="none" w:pos="17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xml:space="preserve"> Notwithstanding anything to the contrary, if there is a Change in Control of Waste Management, Inc. prior to the end of the Performance Period, Employee will be entitled to immediately receive both (a) and (b), as follows:</w:t>
      </w:r>
    </w:p>
    <w:p>
      <w:pPr>
        <w:spacing w:after="0" w:line="62" w:lineRule="exact"/>
        <w:rPr>
          <w:rFonts w:ascii="Arial" w:cs="Arial" w:eastAsia="Arial" w:hAnsi="Arial"/>
          <w:sz w:val="18"/>
          <w:szCs w:val="18"/>
          <w:color w:val="auto"/>
        </w:rPr>
      </w:pPr>
    </w:p>
    <w:p>
      <w:pPr>
        <w:ind w:left="7" w:right="120" w:firstLine="221"/>
        <w:spacing w:after="0" w:line="293" w:lineRule="auto"/>
        <w:tabs>
          <w:tab w:leader="none" w:pos="477"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Performance Share Units that he would have otherwise received based upon achievement of Average Return on Invested Capital after reducing the Performance Period so that it ends on the last day of the quarter preceding the Change in Control (the “Early Measurement Date”) and making adjustments to Target Performance so as to be equal to the performance budgeted for that period and appropriate adjustments to Threshold Performance and Maximum Performance so that they bear the same ratio to the Threshold Performance and Maximum Performance amounts above as the revised Target Performance amount bear to the Target Performance amount above, converted into a cash payment equivalent to the number of Performance Share Units earned under this Section 9 multiplied by the closing price of the Common Stock on the Early Measurement Date; and</w:t>
      </w:r>
    </w:p>
    <w:p>
      <w:pPr>
        <w:spacing w:after="0" w:line="56" w:lineRule="exact"/>
        <w:rPr>
          <w:rFonts w:ascii="Arial" w:cs="Arial" w:eastAsia="Arial" w:hAnsi="Arial"/>
          <w:sz w:val="16"/>
          <w:szCs w:val="16"/>
          <w:color w:val="auto"/>
        </w:rPr>
      </w:pPr>
    </w:p>
    <w:p>
      <w:pPr>
        <w:ind w:left="487" w:hanging="259"/>
        <w:spacing w:after="0"/>
        <w:tabs>
          <w:tab w:leader="none" w:pos="487"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a substitute award for the lost opportunity to earn Performance Share Units for the entire length of the original Performance Period:</w:t>
      </w:r>
    </w:p>
    <w:p>
      <w:pPr>
        <w:spacing w:after="0" w:line="117" w:lineRule="exact"/>
        <w:rPr>
          <w:rFonts w:ascii="Arial" w:cs="Arial" w:eastAsia="Arial" w:hAnsi="Arial"/>
          <w:sz w:val="18"/>
          <w:szCs w:val="18"/>
          <w:color w:val="auto"/>
        </w:rPr>
      </w:pPr>
    </w:p>
    <w:p>
      <w:pPr>
        <w:ind w:left="227" w:right="60" w:firstLine="229"/>
        <w:spacing w:after="0" w:line="342" w:lineRule="auto"/>
        <w:tabs>
          <w:tab w:leader="none" w:pos="667" w:val="left"/>
        </w:tabs>
        <w:numPr>
          <w:ilvl w:val="2"/>
          <w:numId w:val="9"/>
        </w:numPr>
        <w:rPr>
          <w:rFonts w:ascii="Arial" w:cs="Arial" w:eastAsia="Arial" w:hAnsi="Arial"/>
          <w:sz w:val="16"/>
          <w:szCs w:val="16"/>
          <w:color w:val="auto"/>
        </w:rPr>
      </w:pPr>
      <w:r>
        <w:rPr>
          <w:rFonts w:ascii="Arial" w:cs="Arial" w:eastAsia="Arial" w:hAnsi="Arial"/>
          <w:sz w:val="16"/>
          <w:szCs w:val="16"/>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342900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10" w:name="page11"/>
    <w:bookmarkEnd w:id="10"/>
    <w:p>
      <w:pPr>
        <w:ind w:left="400"/>
        <w:spacing w:after="0"/>
        <w:rPr>
          <w:sz w:val="20"/>
          <w:szCs w:val="20"/>
          <w:color w:val="auto"/>
        </w:rPr>
      </w:pPr>
      <w:r>
        <w:rPr>
          <w:rFonts w:ascii="Arial" w:cs="Arial" w:eastAsia="Arial" w:hAnsi="Arial"/>
          <w:sz w:val="18"/>
          <w:szCs w:val="18"/>
          <w:color w:val="auto"/>
        </w:rPr>
        <w:t>Date with an amount of cash equal to the product of the following equation: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 x EMD 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17145</wp:posOffset>
            </wp:positionV>
            <wp:extent cx="1878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1096-EMD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ind w:left="400" w:right="120"/>
        <w:spacing w:after="0" w:line="259" w:lineRule="auto"/>
        <w:rPr>
          <w:sz w:val="20"/>
          <w:szCs w:val="20"/>
          <w:color w:val="auto"/>
        </w:rPr>
      </w:pPr>
      <w:r>
        <w:rPr>
          <w:rFonts w:ascii="Arial" w:cs="Arial" w:eastAsia="Arial" w:hAnsi="Arial"/>
          <w:sz w:val="18"/>
          <w:szCs w:val="18"/>
          <w:color w:val="auto"/>
        </w:rPr>
        <w:t>Any stock units in the successor entity awarded under this Section 9(b)(i) will vest completely on or before December 31, 2013,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9(b)(i).</w:t>
      </w:r>
    </w:p>
    <w:p>
      <w:pPr>
        <w:spacing w:after="0" w:line="79" w:lineRule="exact"/>
        <w:rPr>
          <w:sz w:val="20"/>
          <w:szCs w:val="20"/>
          <w:color w:val="auto"/>
        </w:rPr>
      </w:pPr>
    </w:p>
    <w:p>
      <w:pPr>
        <w:ind w:left="400" w:right="640" w:firstLine="229"/>
        <w:spacing w:after="0" w:line="277" w:lineRule="auto"/>
        <w:tabs>
          <w:tab w:leader="none" w:pos="8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product of the following equation: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 x EMD 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17145</wp:posOffset>
            </wp:positionV>
            <wp:extent cx="1878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1096-EMD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jc w:val="both"/>
        <w:ind w:left="400"/>
        <w:spacing w:after="0" w:line="312" w:lineRule="auto"/>
        <w:rPr>
          <w:sz w:val="20"/>
          <w:szCs w:val="20"/>
          <w:color w:val="auto"/>
        </w:rPr>
      </w:pPr>
      <w:r>
        <w:rPr>
          <w:rFonts w:ascii="Arial" w:cs="Arial" w:eastAsia="Arial" w:hAnsi="Arial"/>
          <w:sz w:val="16"/>
          <w:szCs w:val="16"/>
          <w:color w:val="auto"/>
        </w:rPr>
        <w:t>Any cash payment calculated under this Section 9(b)(ii) will be paid to Employee on December 31, 2013,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9(b)(ii).</w:t>
      </w:r>
    </w:p>
    <w:p>
      <w:pPr>
        <w:spacing w:after="0" w:line="39" w:lineRule="exact"/>
        <w:rPr>
          <w:sz w:val="20"/>
          <w:szCs w:val="20"/>
          <w:color w:val="auto"/>
        </w:rPr>
      </w:pPr>
    </w:p>
    <w:p>
      <w:pPr>
        <w:ind w:left="-60" w:right="80" w:firstLine="233"/>
        <w:spacing w:after="0" w:line="264" w:lineRule="auto"/>
        <w:tabs>
          <w:tab w:leader="none" w:pos="43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379730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1" w:name="page12"/>
    <w:bookmarkEnd w:id="11"/>
    <w:p>
      <w:pPr>
        <w:ind w:right="340"/>
        <w:spacing w:after="0" w:line="277" w:lineRule="auto"/>
        <w:rPr>
          <w:sz w:val="20"/>
          <w:szCs w:val="20"/>
          <w:color w:val="auto"/>
        </w:rPr>
      </w:pPr>
      <w:r>
        <w:rPr>
          <w:rFonts w:ascii="Arial" w:cs="Arial" w:eastAsia="Arial" w:hAnsi="Arial"/>
          <w:sz w:val="18"/>
          <w:szCs w:val="18"/>
          <w:color w:val="auto"/>
        </w:rPr>
        <w:t>the Company. Upon forfeiture, neither Employee nor any successors, heirs, assigns, or legal representatives of Employee shall thereafter have any further rights or interest in the unvested portion of the Award.</w:t>
      </w:r>
    </w:p>
    <w:p>
      <w:pPr>
        <w:spacing w:after="0" w:line="62" w:lineRule="exact"/>
        <w:rPr>
          <w:sz w:val="20"/>
          <w:szCs w:val="20"/>
          <w:color w:val="auto"/>
        </w:rPr>
      </w:pPr>
    </w:p>
    <w:p>
      <w:pPr>
        <w:ind w:left="500" w:hanging="267"/>
        <w:spacing w:after="0"/>
        <w:tabs>
          <w:tab w:leader="none" w:pos="50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46" w:lineRule="exact"/>
        <w:rPr>
          <w:rFonts w:ascii="Arial" w:cs="Arial" w:eastAsia="Arial" w:hAnsi="Arial"/>
          <w:sz w:val="16"/>
          <w:szCs w:val="16"/>
          <w:color w:val="auto"/>
        </w:rPr>
      </w:pPr>
    </w:p>
    <w:p>
      <w:pPr>
        <w:ind w:right="20" w:firstLine="8"/>
        <w:spacing w:after="0" w:line="268"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73" w:lineRule="exact"/>
        <w:rPr>
          <w:rFonts w:ascii="Arial" w:cs="Arial" w:eastAsia="Arial" w:hAnsi="Arial"/>
          <w:sz w:val="17"/>
          <w:szCs w:val="17"/>
          <w:color w:val="auto"/>
        </w:rPr>
      </w:pPr>
    </w:p>
    <w:p>
      <w:pPr>
        <w:ind w:left="500" w:hanging="264"/>
        <w:spacing w:after="0"/>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54" w:lineRule="auto"/>
        <w:tabs>
          <w:tab w:leader="none" w:pos="71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84" w:lineRule="exact"/>
        <w:rPr>
          <w:rFonts w:ascii="Arial" w:cs="Arial" w:eastAsia="Arial" w:hAnsi="Arial"/>
          <w:sz w:val="18"/>
          <w:szCs w:val="18"/>
          <w:color w:val="auto"/>
        </w:rPr>
      </w:pPr>
    </w:p>
    <w:p>
      <w:pPr>
        <w:ind w:left="240" w:firstLine="221"/>
        <w:spacing w:after="0" w:line="259" w:lineRule="auto"/>
        <w:tabs>
          <w:tab w:leader="none" w:pos="7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jc w:val="both"/>
        <w:ind w:left="7" w:right="200"/>
        <w:spacing w:after="0" w:line="264" w:lineRule="auto"/>
        <w:rPr>
          <w:sz w:val="20"/>
          <w:szCs w:val="20"/>
          <w:color w:val="auto"/>
        </w:rPr>
      </w:pPr>
      <w:r>
        <w:rPr>
          <w:rFonts w:ascii="Arial" w:cs="Arial" w:eastAsia="Arial" w:hAnsi="Arial"/>
          <w:sz w:val="18"/>
          <w:szCs w:val="18"/>
          <w:color w:val="auto"/>
        </w:rPr>
        <w:t>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73" w:lineRule="exact"/>
        <w:rPr>
          <w:sz w:val="20"/>
          <w:szCs w:val="20"/>
          <w:color w:val="auto"/>
        </w:rPr>
      </w:pPr>
    </w:p>
    <w:p>
      <w:pPr>
        <w:ind w:left="267" w:hanging="264"/>
        <w:spacing w:after="0"/>
        <w:tabs>
          <w:tab w:leader="none" w:pos="26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rFonts w:ascii="Arial" w:cs="Arial" w:eastAsia="Arial" w:hAnsi="Arial"/>
          <w:sz w:val="18"/>
          <w:szCs w:val="18"/>
          <w:color w:val="auto"/>
        </w:rPr>
      </w:pPr>
    </w:p>
    <w:p>
      <w:pPr>
        <w:jc w:val="both"/>
        <w:ind w:left="7" w:right="500" w:firstLine="221"/>
        <w:spacing w:after="0" w:line="312" w:lineRule="auto"/>
        <w:tabs>
          <w:tab w:leader="none" w:pos="47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38" w:lineRule="exact"/>
        <w:rPr>
          <w:rFonts w:ascii="Arial" w:cs="Arial" w:eastAsia="Arial" w:hAnsi="Arial"/>
          <w:sz w:val="16"/>
          <w:szCs w:val="16"/>
          <w:color w:val="auto"/>
        </w:rPr>
      </w:pPr>
    </w:p>
    <w:p>
      <w:pPr>
        <w:ind w:left="7" w:right="60" w:firstLine="221"/>
        <w:spacing w:after="0" w:line="272" w:lineRule="auto"/>
        <w:tabs>
          <w:tab w:leader="none" w:pos="487"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69" w:lineRule="exact"/>
        <w:rPr>
          <w:rFonts w:ascii="Arial" w:cs="Arial" w:eastAsia="Arial" w:hAnsi="Arial"/>
          <w:sz w:val="17"/>
          <w:szCs w:val="17"/>
          <w:color w:val="auto"/>
        </w:rPr>
      </w:pPr>
    </w:p>
    <w:p>
      <w:pPr>
        <w:ind w:left="-233" w:firstLine="233"/>
        <w:spacing w:after="0" w:line="291" w:lineRule="auto"/>
        <w:tabs>
          <w:tab w:leader="none" w:pos="26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59" w:lineRule="exact"/>
        <w:rPr>
          <w:rFonts w:ascii="Arial" w:cs="Arial" w:eastAsia="Arial" w:hAnsi="Arial"/>
          <w:sz w:val="16"/>
          <w:szCs w:val="16"/>
          <w:color w:val="auto"/>
        </w:rPr>
      </w:pPr>
    </w:p>
    <w:p>
      <w:pPr>
        <w:ind w:left="-233" w:right="20" w:firstLine="233"/>
        <w:spacing w:after="0" w:line="264"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379730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7"/>
          </w:cols>
          <w:pgMar w:left="473" w:top="935" w:right="339" w:bottom="144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73" w:lineRule="exact"/>
        <w:rPr>
          <w:sz w:val="20"/>
          <w:szCs w:val="20"/>
          <w:color w:val="auto"/>
        </w:rPr>
      </w:pPr>
    </w:p>
    <w:p>
      <w:pPr>
        <w:ind w:right="80" w:firstLine="233"/>
        <w:spacing w:after="0" w:line="26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73" w:lineRule="exact"/>
        <w:rPr>
          <w:rFonts w:ascii="Arial" w:cs="Arial" w:eastAsia="Arial" w:hAnsi="Arial"/>
          <w:sz w:val="18"/>
          <w:szCs w:val="18"/>
          <w:color w:val="auto"/>
        </w:rPr>
      </w:pPr>
    </w:p>
    <w:p>
      <w:pPr>
        <w:ind w:firstLine="233"/>
        <w:spacing w:after="0" w:line="257"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80" w:lineRule="exact"/>
        <w:rPr>
          <w:rFonts w:ascii="Arial" w:cs="Arial" w:eastAsia="Arial" w:hAnsi="Arial"/>
          <w:sz w:val="18"/>
          <w:szCs w:val="18"/>
          <w:color w:val="auto"/>
        </w:rPr>
      </w:pPr>
    </w:p>
    <w:p>
      <w:pPr>
        <w:jc w:val="both"/>
        <w:ind w:right="120" w:firstLine="233"/>
        <w:spacing w:after="0" w:line="26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Award prior to the date on which he or she is recorded as the holder of such shares of Common Stock on the records of the Company, including no right to dividends declared on the Common Stock underlying the Award.</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40" w:firstLine="221"/>
        <w:spacing w:after="0" w:line="264"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240" w:right="180" w:firstLine="221"/>
        <w:spacing w:after="0" w:line="264"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73" w:lineRule="exact"/>
        <w:rPr>
          <w:rFonts w:ascii="Arial" w:cs="Arial" w:eastAsia="Arial" w:hAnsi="Arial"/>
          <w:sz w:val="18"/>
          <w:szCs w:val="18"/>
          <w:color w:val="auto"/>
        </w:rPr>
      </w:pPr>
    </w:p>
    <w:p>
      <w:pPr>
        <w:ind w:left="500" w:hanging="264"/>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240" w:right="640" w:firstLine="221"/>
        <w:spacing w:after="0" w:line="277" w:lineRule="auto"/>
        <w:tabs>
          <w:tab w:leader="none" w:pos="7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7" w:right="40" w:firstLine="221"/>
        <w:spacing w:after="0" w:line="277" w:lineRule="auto"/>
        <w:tabs>
          <w:tab w:leader="none" w:pos="4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62" w:lineRule="exact"/>
        <w:rPr>
          <w:rFonts w:ascii="Arial" w:cs="Arial" w:eastAsia="Arial" w:hAnsi="Arial"/>
          <w:sz w:val="18"/>
          <w:szCs w:val="18"/>
          <w:color w:val="auto"/>
        </w:rPr>
      </w:pPr>
    </w:p>
    <w:p>
      <w:pPr>
        <w:ind w:left="467" w:hanging="239"/>
        <w:spacing w:after="0"/>
        <w:tabs>
          <w:tab w:leader="none" w:pos="4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rFonts w:ascii="Arial" w:cs="Arial" w:eastAsia="Arial" w:hAnsi="Arial"/>
          <w:sz w:val="18"/>
          <w:szCs w:val="18"/>
          <w:color w:val="auto"/>
        </w:rPr>
      </w:pPr>
    </w:p>
    <w:p>
      <w:pPr>
        <w:ind w:left="-233" w:right="180" w:firstLine="233"/>
        <w:spacing w:after="0" w:line="277"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left="-233" w:right="60" w:firstLine="233"/>
        <w:spacing w:after="0" w:line="277"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left="-233" w:right="60" w:firstLine="233"/>
        <w:spacing w:after="0" w:line="264"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left="-233" w:firstLine="233"/>
        <w:spacing w:after="0" w:line="264"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73" w:lineRule="exact"/>
        <w:rPr>
          <w:rFonts w:ascii="Arial" w:cs="Arial" w:eastAsia="Arial" w:hAnsi="Arial"/>
          <w:sz w:val="18"/>
          <w:szCs w:val="18"/>
          <w:color w:val="auto"/>
        </w:rPr>
      </w:pPr>
    </w:p>
    <w:p>
      <w:pPr>
        <w:jc w:val="both"/>
        <w:ind w:left="7" w:right="180" w:firstLine="221"/>
        <w:spacing w:after="0" w:line="342" w:lineRule="auto"/>
        <w:tabs>
          <w:tab w:leader="none" w:pos="47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“Average Return on Invested Capital” is defined to mean (i) average NOPAT for the Performance Period, divided by (ii) average Invested Capital for the Performance Period. For purposes of this Agreement, the Average Return on Invested Capital for the Performance Period will be the product of:</w:t>
      </w:r>
    </w:p>
    <w:p>
      <w:pPr>
        <w:spacing w:after="0" w:line="16" w:lineRule="exact"/>
        <w:rPr>
          <w:sz w:val="20"/>
          <w:szCs w:val="20"/>
          <w:color w:val="auto"/>
        </w:rPr>
      </w:pPr>
    </w:p>
    <w:p>
      <w:pPr>
        <w:ind w:left="227"/>
        <w:spacing w:after="0"/>
        <w:rPr>
          <w:sz w:val="20"/>
          <w:szCs w:val="20"/>
          <w:color w:val="auto"/>
        </w:rPr>
      </w:pPr>
      <w:r>
        <w:rPr>
          <w:rFonts w:ascii="Arial" w:cs="Arial" w:eastAsia="Arial" w:hAnsi="Arial"/>
          <w:sz w:val="18"/>
          <w:szCs w:val="18"/>
          <w:color w:val="auto"/>
        </w:rPr>
        <w:t>Numerator: (2011 NOPAT + 2012 NOPAT +2013 NOPAT) / 3</w:t>
      </w:r>
    </w:p>
    <w:p>
      <w:pPr>
        <w:spacing w:after="0" w:line="117" w:lineRule="exact"/>
        <w:rPr>
          <w:sz w:val="20"/>
          <w:szCs w:val="20"/>
          <w:color w:val="auto"/>
        </w:rPr>
      </w:pPr>
    </w:p>
    <w:p>
      <w:pPr>
        <w:ind w:left="227"/>
        <w:spacing w:after="0"/>
        <w:rPr>
          <w:sz w:val="20"/>
          <w:szCs w:val="20"/>
          <w:color w:val="auto"/>
        </w:rPr>
      </w:pPr>
      <w:r>
        <w:rPr>
          <w:rFonts w:ascii="Arial" w:cs="Arial" w:eastAsia="Arial" w:hAnsi="Arial"/>
          <w:sz w:val="18"/>
          <w:szCs w:val="18"/>
          <w:color w:val="auto"/>
        </w:rPr>
        <w:t>divided by</w:t>
      </w:r>
    </w:p>
    <w:p>
      <w:pPr>
        <w:spacing w:after="0" w:line="117" w:lineRule="exact"/>
        <w:rPr>
          <w:sz w:val="20"/>
          <w:szCs w:val="20"/>
          <w:color w:val="auto"/>
        </w:rPr>
      </w:pPr>
    </w:p>
    <w:p>
      <w:pPr>
        <w:ind w:left="207"/>
        <w:spacing w:after="0"/>
        <w:rPr>
          <w:sz w:val="20"/>
          <w:szCs w:val="20"/>
          <w:color w:val="auto"/>
        </w:rPr>
      </w:pPr>
      <w:r>
        <w:rPr>
          <w:rFonts w:ascii="Arial" w:cs="Arial" w:eastAsia="Arial" w:hAnsi="Arial"/>
          <w:sz w:val="18"/>
          <w:szCs w:val="18"/>
          <w:color w:val="auto"/>
        </w:rPr>
        <w:t>Denominator: (2011 Invested Capital + 2012 Invested Capital + 2013 Invested Capital) / 3</w:t>
      </w:r>
    </w:p>
    <w:p>
      <w:pPr>
        <w:spacing w:after="0" w:line="117" w:lineRule="exact"/>
        <w:rPr>
          <w:sz w:val="20"/>
          <w:szCs w:val="20"/>
          <w:color w:val="auto"/>
        </w:rPr>
      </w:pPr>
    </w:p>
    <w:p>
      <w:pPr>
        <w:ind w:left="487" w:hanging="259"/>
        <w:spacing w:after="0"/>
        <w:tabs>
          <w:tab w:leader="none" w:pos="4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17" w:lineRule="exact"/>
        <w:rPr>
          <w:rFonts w:ascii="Arial" w:cs="Arial" w:eastAsia="Arial" w:hAnsi="Arial"/>
          <w:sz w:val="18"/>
          <w:szCs w:val="18"/>
          <w:color w:val="auto"/>
        </w:rPr>
      </w:pPr>
    </w:p>
    <w:p>
      <w:pPr>
        <w:ind w:left="7" w:right="80" w:firstLine="221"/>
        <w:spacing w:after="0" w:line="277" w:lineRule="auto"/>
        <w:tabs>
          <w:tab w:leader="none" w:pos="4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means cash as reported by the Company in publicly filed financial statements during the Performance Period, plus Short-Term Investments Available for Use.</w:t>
      </w:r>
    </w:p>
    <w:p>
      <w:pPr>
        <w:spacing w:after="0" w:line="62" w:lineRule="exact"/>
        <w:rPr>
          <w:rFonts w:ascii="Arial" w:cs="Arial" w:eastAsia="Arial" w:hAnsi="Arial"/>
          <w:sz w:val="18"/>
          <w:szCs w:val="18"/>
          <w:color w:val="auto"/>
        </w:rPr>
      </w:pPr>
    </w:p>
    <w:p>
      <w:pPr>
        <w:ind w:left="7" w:right="20" w:firstLine="221"/>
        <w:spacing w:after="0" w:line="277" w:lineRule="auto"/>
        <w:tabs>
          <w:tab w:leader="none" w:pos="4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“Cause” means any of the following: (i) willful or deliberate and continual refusal to materially perform Employee’s employment duties reasonably requested by the Company after receipt of written notice to Employee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372745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5" w:right="299" w:bottom="1440" w:gutter="0" w:footer="0" w:header="0"/>
        </w:sectPr>
      </w:pPr>
    </w:p>
    <w:bookmarkStart w:id="15" w:name="page16"/>
    <w:bookmarkEnd w:id="15"/>
    <w:p>
      <w:pPr>
        <w:jc w:val="both"/>
        <w:ind w:left="4" w:right="260"/>
        <w:spacing w:after="0" w:line="291" w:lineRule="auto"/>
        <w:rPr>
          <w:sz w:val="20"/>
          <w:szCs w:val="20"/>
          <w:color w:val="auto"/>
        </w:rPr>
      </w:pPr>
      <w:r>
        <w:rPr>
          <w:rFonts w:ascii="Arial" w:cs="Arial" w:eastAsia="Arial" w:hAnsi="Arial"/>
          <w:sz w:val="16"/>
          <w:szCs w:val="16"/>
          <w:color w:val="auto"/>
        </w:rPr>
        <w:t>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w:t>
      </w:r>
    </w:p>
    <w:p>
      <w:pPr>
        <w:ind w:left="4" w:right="20" w:hanging="4"/>
        <w:spacing w:after="0" w:line="273" w:lineRule="auto"/>
        <w:tabs>
          <w:tab w:leader="none" w:pos="31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Employee has been convicted of, or pleaded </w:t>
      </w:r>
      <w:r>
        <w:rPr>
          <w:rFonts w:ascii="Arial" w:cs="Arial" w:eastAsia="Arial" w:hAnsi="Arial"/>
          <w:sz w:val="17"/>
          <w:szCs w:val="17"/>
          <w:i w:val="1"/>
          <w:iCs w:val="1"/>
          <w:color w:val="auto"/>
        </w:rPr>
        <w:t>nolo contendre</w:t>
      </w:r>
      <w:r>
        <w:rPr>
          <w:rFonts w:ascii="Arial" w:cs="Arial" w:eastAsia="Arial" w:hAnsi="Arial"/>
          <w:sz w:val="17"/>
          <w:szCs w:val="17"/>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68" w:lineRule="exact"/>
        <w:rPr>
          <w:rFonts w:ascii="Arial" w:cs="Arial" w:eastAsia="Arial" w:hAnsi="Arial"/>
          <w:sz w:val="17"/>
          <w:szCs w:val="17"/>
          <w:color w:val="auto"/>
        </w:rPr>
      </w:pPr>
    </w:p>
    <w:p>
      <w:pPr>
        <w:ind w:left="464" w:hanging="239"/>
        <w:spacing w:after="0"/>
        <w:tabs>
          <w:tab w:leader="none" w:pos="4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224" w:right="220" w:firstLine="229"/>
        <w:spacing w:after="0" w:line="286" w:lineRule="auto"/>
        <w:tabs>
          <w:tab w:leader="none" w:pos="664"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57" w:lineRule="exact"/>
        <w:rPr>
          <w:rFonts w:ascii="Arial" w:cs="Arial" w:eastAsia="Arial" w:hAnsi="Arial"/>
          <w:sz w:val="17"/>
          <w:szCs w:val="17"/>
          <w:color w:val="auto"/>
        </w:rPr>
      </w:pPr>
    </w:p>
    <w:p>
      <w:pPr>
        <w:ind w:left="224" w:right="60" w:firstLine="229"/>
        <w:spacing w:after="0" w:line="259" w:lineRule="auto"/>
        <w:tabs>
          <w:tab w:leader="none" w:pos="714"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78" w:lineRule="exact"/>
        <w:rPr>
          <w:rFonts w:ascii="Arial" w:cs="Arial" w:eastAsia="Arial" w:hAnsi="Arial"/>
          <w:sz w:val="18"/>
          <w:szCs w:val="18"/>
          <w:color w:val="auto"/>
        </w:rPr>
      </w:pPr>
    </w:p>
    <w:p>
      <w:pPr>
        <w:ind w:left="224" w:right="60" w:firstLine="229"/>
        <w:spacing w:after="0" w:line="255" w:lineRule="auto"/>
        <w:tabs>
          <w:tab w:leader="none" w:pos="764"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85" w:lineRule="exact"/>
        <w:rPr>
          <w:rFonts w:ascii="Arial" w:cs="Arial" w:eastAsia="Arial" w:hAnsi="Arial"/>
          <w:sz w:val="18"/>
          <w:szCs w:val="18"/>
          <w:color w:val="auto"/>
        </w:rPr>
      </w:pPr>
    </w:p>
    <w:p>
      <w:pPr>
        <w:ind w:left="224" w:firstLine="229"/>
        <w:spacing w:after="0" w:line="312" w:lineRule="auto"/>
        <w:tabs>
          <w:tab w:leader="none" w:pos="754"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357505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6" w:name="page17"/>
    <w:bookmarkEnd w:id="16"/>
    <w:p>
      <w:pPr>
        <w:spacing w:after="0" w:line="302" w:lineRule="auto"/>
        <w:rPr>
          <w:sz w:val="20"/>
          <w:szCs w:val="20"/>
          <w:color w:val="auto"/>
        </w:rPr>
      </w:pPr>
      <w:r>
        <w:rPr>
          <w:rFonts w:ascii="Arial" w:cs="Arial" w:eastAsia="Arial" w:hAnsi="Arial"/>
          <w:sz w:val="16"/>
          <w:szCs w:val="16"/>
          <w:color w:val="auto"/>
        </w:rPr>
        <w:t>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760" w:hanging="302"/>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17" w:lineRule="exact"/>
        <w:rPr>
          <w:rFonts w:ascii="Arial" w:cs="Arial" w:eastAsia="Arial" w:hAnsi="Arial"/>
          <w:sz w:val="18"/>
          <w:szCs w:val="18"/>
          <w:color w:val="auto"/>
        </w:rPr>
      </w:pPr>
    </w:p>
    <w:p>
      <w:pPr>
        <w:ind w:left="240" w:right="60" w:firstLine="218"/>
        <w:spacing w:after="0" w:line="257" w:lineRule="auto"/>
        <w:tabs>
          <w:tab w:leader="none" w:pos="7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0" w:lineRule="exact"/>
        <w:rPr>
          <w:rFonts w:ascii="Arial" w:cs="Arial" w:eastAsia="Arial" w:hAnsi="Arial"/>
          <w:sz w:val="18"/>
          <w:szCs w:val="18"/>
          <w:color w:val="auto"/>
        </w:rPr>
      </w:pPr>
    </w:p>
    <w:p>
      <w:pPr>
        <w:ind w:left="-220" w:right="100" w:firstLine="221"/>
        <w:spacing w:after="0" w:line="277" w:lineRule="auto"/>
        <w:tabs>
          <w:tab w:leader="none" w:pos="2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62" w:lineRule="exact"/>
        <w:rPr>
          <w:rFonts w:ascii="Arial" w:cs="Arial" w:eastAsia="Arial" w:hAnsi="Arial"/>
          <w:sz w:val="18"/>
          <w:szCs w:val="18"/>
          <w:color w:val="auto"/>
        </w:rPr>
      </w:pPr>
    </w:p>
    <w:p>
      <w:pPr>
        <w:ind w:left="-220" w:right="260" w:firstLine="221"/>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left="-220" w:right="40" w:firstLine="221"/>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62" w:lineRule="exact"/>
        <w:rPr>
          <w:rFonts w:ascii="Arial" w:cs="Arial" w:eastAsia="Arial" w:hAnsi="Arial"/>
          <w:sz w:val="18"/>
          <w:szCs w:val="18"/>
          <w:color w:val="auto"/>
        </w:rPr>
      </w:pPr>
    </w:p>
    <w:p>
      <w:pPr>
        <w:ind w:left="-220" w:right="280" w:firstLine="221"/>
        <w:spacing w:after="0" w:line="277"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62" w:lineRule="exact"/>
        <w:rPr>
          <w:rFonts w:ascii="Arial" w:cs="Arial" w:eastAsia="Arial" w:hAnsi="Arial"/>
          <w:sz w:val="18"/>
          <w:szCs w:val="18"/>
          <w:color w:val="auto"/>
        </w:rPr>
      </w:pPr>
    </w:p>
    <w:p>
      <w:pPr>
        <w:ind w:left="-220" w:right="160" w:firstLine="221"/>
        <w:spacing w:after="0" w:line="277"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372745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be the balance of such as reported by the Company in publicly filed financial statements for each applicable year.</w:t>
      </w:r>
    </w:p>
    <w:p>
      <w:pPr>
        <w:spacing w:after="0" w:line="117" w:lineRule="exact"/>
        <w:rPr>
          <w:sz w:val="20"/>
          <w:szCs w:val="20"/>
          <w:color w:val="auto"/>
        </w:rPr>
      </w:pPr>
    </w:p>
    <w:p>
      <w:pPr>
        <w:ind w:right="40" w:firstLine="221"/>
        <w:spacing w:after="0" w:line="277"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Before Income Taxes” has the meaning assigned such terms by the Company in publicly filed financial statements during the Performance Period.</w:t>
      </w:r>
    </w:p>
    <w:p>
      <w:pPr>
        <w:spacing w:after="0" w:line="62" w:lineRule="exact"/>
        <w:rPr>
          <w:rFonts w:ascii="Arial" w:cs="Arial" w:eastAsia="Arial" w:hAnsi="Arial"/>
          <w:sz w:val="18"/>
          <w:szCs w:val="18"/>
          <w:color w:val="auto"/>
        </w:rPr>
      </w:pPr>
    </w:p>
    <w:p>
      <w:pPr>
        <w:ind w:right="160" w:firstLine="221"/>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maturities of long-term debt, plus long-term debt, plus stockholders’ equity, less Cash and less Goodwill. For purposes of calculation of this Award, the value of Invested Capital shall be the balance of such as reported by the Company in publicly filed financial statements for each applicable year.</w:t>
      </w:r>
    </w:p>
    <w:p>
      <w:pPr>
        <w:spacing w:after="0" w:line="78" w:lineRule="exact"/>
        <w:rPr>
          <w:rFonts w:ascii="Arial" w:cs="Arial" w:eastAsia="Arial" w:hAnsi="Arial"/>
          <w:sz w:val="18"/>
          <w:szCs w:val="18"/>
          <w:color w:val="auto"/>
        </w:rPr>
      </w:pPr>
    </w:p>
    <w:p>
      <w:pPr>
        <w:ind w:left="520" w:hanging="299"/>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“Misconduct” has the meaning assigned in Section 8.</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17" w:lineRule="exact"/>
        <w:rPr>
          <w:sz w:val="20"/>
          <w:szCs w:val="20"/>
          <w:color w:val="auto"/>
        </w:rPr>
      </w:pPr>
    </w:p>
    <w:p>
      <w:pPr>
        <w:ind w:right="40" w:firstLine="221"/>
        <w:spacing w:after="0" w:line="277"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Costs and Expenses” has the meaning assigned such term by the Company in publicly filed financial statements during the Performance Period, exclusive of Depreciation and Amortization.</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Revenue” has the meaning assigned such term by the Company in publicly filed financial statements during the Performance Period.</w:t>
      </w:r>
    </w:p>
    <w:p>
      <w:pPr>
        <w:spacing w:after="0" w:line="140" w:lineRule="exact"/>
        <w:rPr>
          <w:rFonts w:ascii="Arial" w:cs="Arial" w:eastAsia="Arial" w:hAnsi="Arial"/>
          <w:sz w:val="16"/>
          <w:szCs w:val="16"/>
          <w:color w:val="auto"/>
        </w:rPr>
      </w:pPr>
    </w:p>
    <w:p>
      <w:pPr>
        <w:ind w:right="240" w:firstLine="221"/>
        <w:spacing w:after="0" w:line="277"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 for Income Taxes”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right="80" w:firstLine="221"/>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73" w:lineRule="exact"/>
        <w:rPr>
          <w:rFonts w:ascii="Arial" w:cs="Arial" w:eastAsia="Arial" w:hAnsi="Arial"/>
          <w:sz w:val="18"/>
          <w:szCs w:val="18"/>
          <w:color w:val="auto"/>
        </w:rPr>
      </w:pPr>
    </w:p>
    <w:p>
      <w:pPr>
        <w:ind w:right="740" w:firstLine="221"/>
        <w:spacing w:after="0" w:line="277" w:lineRule="auto"/>
        <w:tabs>
          <w:tab w:leader="none" w:pos="4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General and Administrative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firstLine="221"/>
        <w:spacing w:after="0" w:line="31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357505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8" w:name="page19"/>
    <w:bookmarkEnd w:id="18"/>
    <w:p>
      <w:pPr>
        <w:jc w:val="both"/>
        <w:ind w:left="4"/>
        <w:spacing w:after="0" w:line="264" w:lineRule="auto"/>
        <w:rPr>
          <w:sz w:val="20"/>
          <w:szCs w:val="20"/>
          <w:color w:val="auto"/>
        </w:rPr>
      </w:pPr>
      <w:r>
        <w:rPr>
          <w:rFonts w:ascii="Arial" w:cs="Arial" w:eastAsia="Arial" w:hAnsi="Arial"/>
          <w:sz w:val="18"/>
          <w:szCs w:val="18"/>
          <w:color w:val="auto"/>
        </w:rPr>
        <w:t>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73" w:lineRule="exact"/>
        <w:rPr>
          <w:sz w:val="20"/>
          <w:szCs w:val="20"/>
          <w:color w:val="auto"/>
        </w:rPr>
      </w:pPr>
    </w:p>
    <w:p>
      <w:pPr>
        <w:ind w:left="4" w:right="220" w:firstLine="221"/>
        <w:spacing w:after="0" w:line="277" w:lineRule="auto"/>
        <w:tabs>
          <w:tab w:leader="none" w:pos="4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“Short-Term Investments Available for Use”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left="484" w:hanging="259"/>
        <w:spacing w:after="0"/>
        <w:tabs>
          <w:tab w:leader="none" w:pos="4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“Tax Rate” means the product of Provision for Income Taxes divided by Income Before Income Taxes.</w:t>
      </w:r>
    </w:p>
    <w:p>
      <w:pPr>
        <w:spacing w:after="0" w:line="117" w:lineRule="exact"/>
        <w:rPr>
          <w:rFonts w:ascii="Arial" w:cs="Arial" w:eastAsia="Arial" w:hAnsi="Arial"/>
          <w:sz w:val="18"/>
          <w:szCs w:val="18"/>
          <w:color w:val="auto"/>
        </w:rPr>
      </w:pPr>
    </w:p>
    <w:p>
      <w:pPr>
        <w:ind w:left="4" w:right="40" w:firstLine="221"/>
        <w:spacing w:after="0" w:line="259" w:lineRule="auto"/>
        <w:tabs>
          <w:tab w:leader="none" w:pos="4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8" w:lineRule="exact"/>
        <w:rPr>
          <w:rFonts w:ascii="Arial" w:cs="Arial" w:eastAsia="Arial" w:hAnsi="Arial"/>
          <w:sz w:val="18"/>
          <w:szCs w:val="18"/>
          <w:color w:val="auto"/>
        </w:rPr>
      </w:pPr>
    </w:p>
    <w:p>
      <w:pPr>
        <w:ind w:left="4" w:right="120" w:firstLine="221"/>
        <w:spacing w:after="0" w:line="277" w:lineRule="auto"/>
        <w:tabs>
          <w:tab w:leader="none" w:pos="5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221"/>
        <w:spacing w:after="0" w:line="259" w:lineRule="auto"/>
        <w:tabs>
          <w:tab w:leader="none" w:pos="4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 hereby acknowledges that he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78" w:lineRule="exact"/>
        <w:rPr>
          <w:rFonts w:ascii="Arial" w:cs="Arial" w:eastAsia="Arial" w:hAnsi="Arial"/>
          <w:sz w:val="18"/>
          <w:szCs w:val="18"/>
          <w:color w:val="auto"/>
        </w:rPr>
      </w:pPr>
    </w:p>
    <w:p>
      <w:pPr>
        <w:ind w:left="4" w:right="540" w:firstLine="221"/>
        <w:spacing w:after="0" w:line="277" w:lineRule="auto"/>
        <w:tabs>
          <w:tab w:leader="none" w:pos="4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Performance Share Units.</w:t>
      </w:r>
    </w:p>
    <w:p>
      <w:pPr>
        <w:spacing w:after="0" w:line="62" w:lineRule="exact"/>
        <w:rPr>
          <w:rFonts w:ascii="Arial" w:cs="Arial" w:eastAsia="Arial" w:hAnsi="Arial"/>
          <w:sz w:val="18"/>
          <w:szCs w:val="18"/>
          <w:color w:val="auto"/>
        </w:rPr>
      </w:pPr>
    </w:p>
    <w:p>
      <w:pPr>
        <w:ind w:left="4" w:right="260" w:firstLine="221"/>
        <w:spacing w:after="0" w:line="308" w:lineRule="auto"/>
        <w:tabs>
          <w:tab w:leader="none" w:pos="474"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357505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9" w:name="page20"/>
    <w:bookmarkEnd w:id="19"/>
    <w:p>
      <w:pPr>
        <w:ind w:left="-233" w:right="40" w:firstLine="233"/>
        <w:spacing w:after="0" w:line="255" w:lineRule="auto"/>
        <w:tabs>
          <w:tab w:leader="none" w:pos="26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Section 26 does not create an obligation on the part of Company to modify this Agreement and does not guarantee that the amounts or benefits owed under the Agreement will not be subject to interest and penalties under Code Section 409A.</w:t>
      </w:r>
    </w:p>
    <w:p>
      <w:pPr>
        <w:spacing w:after="0" w:line="85" w:lineRule="exact"/>
        <w:rPr>
          <w:rFonts w:ascii="Arial" w:cs="Arial" w:eastAsia="Arial" w:hAnsi="Arial"/>
          <w:sz w:val="18"/>
          <w:szCs w:val="18"/>
          <w:color w:val="auto"/>
        </w:rPr>
      </w:pPr>
    </w:p>
    <w:p>
      <w:pPr>
        <w:ind w:left="-233" w:firstLine="233"/>
        <w:spacing w:after="0" w:line="288" w:lineRule="auto"/>
        <w:tabs>
          <w:tab w:leader="none" w:pos="26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61" w:lineRule="exact"/>
        <w:rPr>
          <w:rFonts w:ascii="Arial" w:cs="Arial" w:eastAsia="Arial" w:hAnsi="Arial"/>
          <w:sz w:val="16"/>
          <w:szCs w:val="16"/>
          <w:color w:val="auto"/>
        </w:rPr>
      </w:pPr>
    </w:p>
    <w:p>
      <w:pPr>
        <w:ind w:left="-233" w:right="60" w:firstLine="233"/>
        <w:spacing w:after="0" w:line="312" w:lineRule="auto"/>
        <w:tabs>
          <w:tab w:leader="none" w:pos="26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38" w:lineRule="exact"/>
        <w:rPr>
          <w:rFonts w:ascii="Arial" w:cs="Arial" w:eastAsia="Arial" w:hAnsi="Arial"/>
          <w:sz w:val="16"/>
          <w:szCs w:val="16"/>
          <w:color w:val="auto"/>
        </w:rPr>
      </w:pPr>
    </w:p>
    <w:p>
      <w:pPr>
        <w:ind w:left="-233" w:right="220" w:firstLine="233"/>
        <w:spacing w:after="0" w:line="279" w:lineRule="auto"/>
        <w:tabs>
          <w:tab w:leader="none" w:pos="26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63" w:lineRule="exact"/>
        <w:rPr>
          <w:rFonts w:ascii="Arial" w:cs="Arial" w:eastAsia="Arial" w:hAnsi="Arial"/>
          <w:sz w:val="17"/>
          <w:szCs w:val="17"/>
          <w:color w:val="auto"/>
        </w:rPr>
      </w:pPr>
    </w:p>
    <w:p>
      <w:pPr>
        <w:ind w:left="267" w:hanging="267"/>
        <w:spacing w:after="0"/>
        <w:tabs>
          <w:tab w:leader="none" w:pos="26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407035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5" w:right="299" w:bottom="1440" w:gutter="0" w:footer="0" w:header="0"/>
        </w:sectPr>
      </w:pPr>
    </w:p>
    <w:bookmarkStart w:id="20" w:name="page21"/>
    <w:bookmarkEnd w:id="20"/>
    <w:p>
      <w:pPr>
        <w:ind w:firstLine="225"/>
        <w:spacing w:after="0" w:line="277"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/s/ Jay Romans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Accepted by electronic confirmation</w:t>
      </w:r>
    </w:p>
    <w:p>
      <w:pPr>
        <w:sectPr>
          <w:pgSz w:w="11900" w:h="16838" w:orient="portrait"/>
          <w:cols w:equalWidth="0" w:num="1">
            <w:col w:w="11180"/>
          </w:cols>
          <w:pgMar w:left="240" w:top="935" w:right="4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 xml:space="preserve">This Stock Option Award Agreement (“Agreement”) is entered into effective as of March 9, 2011, (the “Grant Date”), by and between Waste Management, Inc., a Delaware corporation (together with its Subsidiaries and Affiliates, the “Company”), and you, (the “Employee”), pursuant to the Waste Management, Inc. 2009 Stock Incentive Plan (the “Plan”). Employee agrees that the terms and conditions of this Agreement will govern Employee’s rights with respect to the Award exclusively, notwithstanding any contrary provisions in any employment agreement or prior award. Employee and the Company agree to execute such further instruments and to take such further action as may reasonably be necessary to carry out the intent of this Agreement. </w:t>
      </w:r>
      <w:r>
        <w:rPr>
          <w:rFonts w:ascii="Arial" w:cs="Arial" w:eastAsia="Arial" w:hAnsi="Arial"/>
          <w:sz w:val="17"/>
          <w:szCs w:val="17"/>
          <w:b w:val="1"/>
          <w:bCs w:val="1"/>
          <w:color w:val="auto"/>
        </w:rPr>
        <w:t>The terms and conditions</w:t>
      </w:r>
      <w:r>
        <w:rPr>
          <w:rFonts w:ascii="Arial" w:cs="Arial" w:eastAsia="Arial" w:hAnsi="Arial"/>
          <w:sz w:val="17"/>
          <w:szCs w:val="17"/>
          <w:color w:val="auto"/>
        </w:rPr>
        <w:t xml:space="preserve"> </w:t>
      </w:r>
      <w:r>
        <w:rPr>
          <w:rFonts w:ascii="Arial" w:cs="Arial" w:eastAsia="Arial" w:hAnsi="Arial"/>
          <w:sz w:val="17"/>
          <w:szCs w:val="17"/>
          <w:b w:val="1"/>
          <w:bCs w:val="1"/>
          <w:color w:val="auto"/>
        </w:rPr>
        <w:t>of this Agreement as offered herein must be accepted by Employee prior to April 8, 2011. Failure to timely accept the terms by such time will result in the immediate and irrevocable cancellation of the Award offered.</w:t>
      </w:r>
    </w:p>
    <w:p>
      <w:pPr>
        <w:spacing w:after="0" w:line="70" w:lineRule="exact"/>
        <w:rPr>
          <w:sz w:val="20"/>
          <w:szCs w:val="20"/>
          <w:color w:val="auto"/>
        </w:rPr>
      </w:pPr>
    </w:p>
    <w:p>
      <w:pPr>
        <w:ind w:right="40" w:firstLine="233"/>
        <w:spacing w:after="0" w:line="255" w:lineRule="auto"/>
        <w:tabs>
          <w:tab w:leader="none" w:pos="40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stock option award (the “Award”) subject to the terms and conditions set forth herein. This Award of stock options grants you the right to purchase the shares of common stock of Waste Management, Inc., $.01 par value, (“Common Stock”) set forth below at the Grant Price set forth below (the “Grant Price”), subject to the conditions and restrictions on exercise and transferability set forth below and in the Plan. The number of shares subject to option under this Award is the number of announced to Employee on March 9, 2011. The Grant Price is the Fair Market Value of a share of Common Stock on the Grant Date. The maximum term of the Award is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w:t>
      </w:r>
    </w:p>
    <w:p>
      <w:pPr>
        <w:spacing w:after="0" w:line="85" w:lineRule="exact"/>
        <w:rPr>
          <w:rFonts w:ascii="Arial" w:cs="Arial" w:eastAsia="Arial" w:hAnsi="Arial"/>
          <w:sz w:val="18"/>
          <w:szCs w:val="18"/>
          <w:color w:val="auto"/>
        </w:rPr>
      </w:pPr>
    </w:p>
    <w:p>
      <w:pPr>
        <w:ind w:left="420" w:hanging="187"/>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Rule</w:t>
      </w:r>
      <w:r>
        <w:rPr>
          <w:rFonts w:ascii="Arial" w:cs="Arial" w:eastAsia="Arial" w:hAnsi="Arial"/>
          <w:sz w:val="18"/>
          <w:szCs w:val="18"/>
          <w:color w:val="auto"/>
        </w:rPr>
        <w:t>. Except as provided in the remainder of this Section, the Award shall become exercisable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Exercise Date</w:t>
            </w:r>
          </w:p>
        </w:tc>
        <w:tc>
          <w:tcPr>
            <w:tcW w:w="220" w:type="dxa"/>
            <w:vAlign w:val="bottom"/>
          </w:tcPr>
          <w:p>
            <w:pPr>
              <w:spacing w:after="0"/>
              <w:rPr>
                <w:sz w:val="14"/>
                <w:szCs w:val="14"/>
                <w:color w:val="auto"/>
              </w:rPr>
            </w:pPr>
          </w:p>
        </w:tc>
        <w:tc>
          <w:tcPr>
            <w:tcW w:w="4400" w:type="dxa"/>
            <w:vAlign w:val="bottom"/>
          </w:tcPr>
          <w:p>
            <w:pPr>
              <w:jc w:val="right"/>
              <w:ind w:right="1099"/>
              <w:spacing w:after="0"/>
              <w:rPr>
                <w:sz w:val="20"/>
                <w:szCs w:val="20"/>
                <w:color w:val="auto"/>
              </w:rPr>
            </w:pPr>
            <w:r>
              <w:rPr>
                <w:rFonts w:ascii="Arial" w:cs="Arial" w:eastAsia="Arial" w:hAnsi="Arial"/>
                <w:sz w:val="14"/>
                <w:szCs w:val="14"/>
                <w:b w:val="1"/>
                <w:bCs w:val="1"/>
                <w:color w:val="auto"/>
              </w:rPr>
              <w:t>Percentage of Option Exercisable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220" w:type="dxa"/>
            <w:vAlign w:val="bottom"/>
            <w:shd w:val="clear" w:color="auto" w:fill="CCEEFF"/>
          </w:tcPr>
          <w:p>
            <w:pPr>
              <w:spacing w:after="0"/>
              <w:rPr>
                <w:sz w:val="18"/>
                <w:szCs w:val="18"/>
                <w:color w:val="auto"/>
              </w:rPr>
            </w:pPr>
          </w:p>
        </w:tc>
        <w:tc>
          <w:tcPr>
            <w:tcW w:w="4400" w:type="dxa"/>
            <w:vAlign w:val="bottom"/>
            <w:tcBorders>
              <w:top w:val="single" w:sz="8" w:color="auto"/>
            </w:tcBorders>
            <w:shd w:val="clear" w:color="auto" w:fill="CCEEFF"/>
          </w:tcPr>
          <w:p>
            <w:pPr>
              <w:jc w:val="right"/>
              <w:ind w:right="193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4620" w:type="dxa"/>
            <w:vAlign w:val="bottom"/>
            <w:gridSpan w:val="2"/>
          </w:tcPr>
          <w:p>
            <w:pPr>
              <w:jc w:val="right"/>
              <w:ind w:right="193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4620" w:type="dxa"/>
            <w:vAlign w:val="bottom"/>
            <w:gridSpan w:val="2"/>
            <w:shd w:val="clear" w:color="auto" w:fill="CCEEFF"/>
          </w:tcPr>
          <w:p>
            <w:pPr>
              <w:jc w:val="right"/>
              <w:ind w:right="193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4620" w:type="dxa"/>
            <w:vAlign w:val="bottom"/>
            <w:gridSpan w:val="2"/>
          </w:tcPr>
          <w:p>
            <w:pPr>
              <w:jc w:val="right"/>
              <w:ind w:right="193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however, except as otherwise provided for under this Agreement, the Employee must remain employed by the Company continuously through the applicable exercise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both"/>
        <w:ind w:left="-233" w:right="40" w:firstLine="233"/>
        <w:spacing w:after="0" w:line="259" w:lineRule="auto"/>
        <w:tabs>
          <w:tab w:leader="none" w:pos="24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the Employee’s termination of employment from the Company due to Retirement, the Options subject to the Award shall continue to become exercisable following the schedule under paragraph (a) above for three years following the Employee’s Retirement and once exercisable shall remain exercisable for the three year period following the Employee’s Retirement; provided, however, in no event will the Award be exercisable beyond the original term of the Award.</w:t>
      </w:r>
    </w:p>
    <w:p>
      <w:pPr>
        <w:spacing w:after="0" w:line="78" w:lineRule="exact"/>
        <w:rPr>
          <w:rFonts w:ascii="Arial" w:cs="Arial" w:eastAsia="Arial" w:hAnsi="Arial"/>
          <w:sz w:val="18"/>
          <w:szCs w:val="18"/>
          <w:color w:val="auto"/>
        </w:rPr>
      </w:pPr>
    </w:p>
    <w:p>
      <w:pPr>
        <w:ind w:left="-233" w:right="20" w:firstLine="233"/>
        <w:spacing w:after="0" w:line="293" w:lineRule="auto"/>
        <w:tabs>
          <w:tab w:leader="none" w:pos="23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Upon termination of employment from the Company by reason of Employee’s death or disability (as determined by the Committee), Employee (or in the case of Employee’s death, Employee’s beneficiary) shall be entitled to exercise all of the options then outstanding under the Award (whether or not previously exercisable under paragraph (a) above) for one year following the Employee’s termination of employment due to death or disability, as the case may be; provided, however, in no event will the Award be exercisable beyond the original term of the Award. Notwithstanding the foregoing, in the event Employee was eligible for Retirement at the time of his death or disability, the Award will remain exercisable for three years following the termination of employment; provided, however, in no event with the Award be exercisable beyond the original term of the Award.</w:t>
      </w:r>
    </w:p>
    <w:p>
      <w:pPr>
        <w:spacing w:after="0" w:line="56" w:lineRule="exact"/>
        <w:rPr>
          <w:rFonts w:ascii="Arial" w:cs="Arial" w:eastAsia="Arial" w:hAnsi="Arial"/>
          <w:sz w:val="16"/>
          <w:szCs w:val="16"/>
          <w:color w:val="auto"/>
        </w:rPr>
      </w:pPr>
    </w:p>
    <w:p>
      <w:pPr>
        <w:jc w:val="both"/>
        <w:ind w:left="-233" w:right="140" w:firstLine="233"/>
        <w:spacing w:after="0" w:line="259" w:lineRule="auto"/>
        <w:tabs>
          <w:tab w:leader="none" w:pos="24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w:t>
      </w:r>
      <w:r>
        <w:rPr>
          <w:rFonts w:ascii="Arial" w:cs="Arial" w:eastAsia="Arial" w:hAnsi="Arial"/>
          <w:sz w:val="18"/>
          <w:szCs w:val="18"/>
          <w:color w:val="auto"/>
        </w:rPr>
        <w:t>. Upon an involuntary termination of employment without Cause by the Company, Employee shall be entitled to exercise all of the options then outstanding and exercisable under the Award immediately prior to termination of employment for a period of 90 days following the Employee’s termination of employment; provided, however, in no event will the Award be exercisable beyond the original term of the Award.</w:t>
      </w:r>
    </w:p>
    <w:p>
      <w:pPr>
        <w:spacing w:after="0" w:line="78" w:lineRule="exact"/>
        <w:rPr>
          <w:rFonts w:ascii="Arial" w:cs="Arial" w:eastAsia="Arial" w:hAnsi="Arial"/>
          <w:sz w:val="18"/>
          <w:szCs w:val="18"/>
          <w:color w:val="auto"/>
        </w:rPr>
      </w:pPr>
    </w:p>
    <w:p>
      <w:pPr>
        <w:ind w:left="-233" w:firstLine="233"/>
        <w:spacing w:after="0" w:line="312" w:lineRule="auto"/>
        <w:tabs>
          <w:tab w:leader="none" w:pos="23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Upon a termination of employment by the Company with Cause, Employee shall forfeit all options under the Award, whether or not previously exercisable,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38" w:lineRule="exact"/>
        <w:rPr>
          <w:rFonts w:ascii="Arial" w:cs="Arial" w:eastAsia="Arial" w:hAnsi="Arial"/>
          <w:sz w:val="16"/>
          <w:szCs w:val="16"/>
          <w:color w:val="auto"/>
        </w:rPr>
      </w:pPr>
    </w:p>
    <w:p>
      <w:pPr>
        <w:ind w:left="-233" w:right="20" w:firstLine="233"/>
        <w:spacing w:after="0" w:line="270" w:lineRule="auto"/>
        <w:tabs>
          <w:tab w:leader="none" w:pos="21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Involuntary Termination by Company or Resignation by Employee for Good Reason following a Change in Control</w:t>
      </w:r>
      <w:r>
        <w:rPr>
          <w:rFonts w:ascii="Arial" w:cs="Arial" w:eastAsia="Arial" w:hAnsi="Arial"/>
          <w:sz w:val="17"/>
          <w:szCs w:val="17"/>
          <w:color w:val="auto"/>
        </w:rPr>
        <w:t>. In the event of an involuntary termination of employment without Cause or a resignation from employment by the Employee for Good Reason that, in either case, occurs on or before the second anniversary of the occurrence of a Change in Control, the Award shall become exercisable immediately (whether or not previously exercisable under paragraph (a) above). For purposes of this Section 2(f), “Good Reason” has the meaning assigned in Employee’s written employment agreement, as in effect on the Grant Date; in the event there is no such agreement or definition provided, then “Good Reason” means the initial existence of one or more of the following conditions, arising without the consent of Employee: (1) a material diminution in Employee’s base compensation; (2) a material diminution in the service provider’s authority, duties, or responsibilities, so as to effectively cause Employee to no longer be performing the duties of his position; (3) a material diminution in the authority, duties, or responsibilities of the supervisor to whom Employee is required to report. Upon an the occurrence of such a termination of employment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379730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23" w:name="page24"/>
    <w:bookmarkEnd w:id="23"/>
    <w:p>
      <w:pPr>
        <w:ind w:right="480"/>
        <w:spacing w:after="0" w:line="277" w:lineRule="auto"/>
        <w:rPr>
          <w:sz w:val="20"/>
          <w:szCs w:val="20"/>
          <w:color w:val="auto"/>
        </w:rPr>
      </w:pPr>
      <w:r>
        <w:rPr>
          <w:rFonts w:ascii="Arial" w:cs="Arial" w:eastAsia="Arial" w:hAnsi="Arial"/>
          <w:sz w:val="18"/>
          <w:szCs w:val="18"/>
          <w:color w:val="auto"/>
        </w:rPr>
        <w:t>resignation, the Options subject to the Award shall remain exercisable for the three (3) year period following the termination of employment; provided, however, in no event will the Award be exercisable beyond the original term of the Award.</w:t>
      </w:r>
    </w:p>
    <w:p>
      <w:pPr>
        <w:spacing w:after="0" w:line="62" w:lineRule="exact"/>
        <w:rPr>
          <w:sz w:val="20"/>
          <w:szCs w:val="20"/>
          <w:color w:val="auto"/>
        </w:rPr>
      </w:pPr>
    </w:p>
    <w:p>
      <w:pPr>
        <w:ind w:firstLine="233"/>
        <w:spacing w:after="0" w:line="264"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Notwithstanding any other term of this Agreement to the contrary, in order to be eligible to exercise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73" w:lineRule="exact"/>
        <w:rPr>
          <w:sz w:val="20"/>
          <w:szCs w:val="20"/>
          <w:color w:val="auto"/>
        </w:rPr>
      </w:pPr>
    </w:p>
    <w:p>
      <w:pPr>
        <w:ind w:left="420" w:hanging="187"/>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342" w:lineRule="auto"/>
        <w:tabs>
          <w:tab w:leader="none" w:pos="47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To the extent exercisable under Section 3, the Employee may exercise his or her Award, in whole or in part, by delivering written notice to the Company in accordance with Section 22 and in such form as the Company may require from time to time. Such notice of exercise shall:</w:t>
      </w:r>
    </w:p>
    <w:p>
      <w:pPr>
        <w:spacing w:after="0" w:line="15" w:lineRule="exact"/>
        <w:rPr>
          <w:rFonts w:ascii="Arial" w:cs="Arial" w:eastAsia="Arial" w:hAnsi="Arial"/>
          <w:sz w:val="16"/>
          <w:szCs w:val="16"/>
          <w:color w:val="auto"/>
        </w:rPr>
      </w:pPr>
    </w:p>
    <w:p>
      <w:pPr>
        <w:ind w:left="1060" w:hanging="377"/>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specify the number of Common Shares subject to the Option to be purchased;</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specify the aggregate Grant Price for such Common Shares;</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 accompanied by payment in full of such aggregate Grant Price.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Payment of Grant Price</w:t>
      </w:r>
      <w:r>
        <w:rPr>
          <w:rFonts w:ascii="Arial" w:cs="Arial" w:eastAsia="Arial" w:hAnsi="Arial"/>
          <w:sz w:val="18"/>
          <w:szCs w:val="18"/>
          <w:color w:val="auto"/>
        </w:rPr>
        <w:t>. The Grant Price shall be payable to the Company in full by either:</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130" w:lineRule="exact"/>
        <w:rPr>
          <w:rFonts w:ascii="Arial" w:cs="Arial" w:eastAsia="Arial" w:hAnsi="Arial"/>
          <w:sz w:val="18"/>
          <w:szCs w:val="18"/>
          <w:color w:val="auto"/>
        </w:rPr>
      </w:pPr>
    </w:p>
    <w:p>
      <w:pPr>
        <w:ind w:left="1060" w:right="260" w:hanging="377"/>
        <w:spacing w:after="0" w:line="277" w:lineRule="auto"/>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by tendering previously acquired Common Stock that has been held for at least six months and having an aggregate fair market value at the time of exercise equal to the aggregate Grant Price; or</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combination of sub-paragraphs (i) and (ii).</w:t>
      </w:r>
    </w:p>
    <w:p>
      <w:pPr>
        <w:spacing w:after="0" w:line="117" w:lineRule="exact"/>
        <w:rPr>
          <w:sz w:val="20"/>
          <w:szCs w:val="20"/>
          <w:color w:val="auto"/>
        </w:rPr>
      </w:pPr>
    </w:p>
    <w:p>
      <w:pPr>
        <w:ind w:left="360" w:right="100" w:firstLine="225"/>
        <w:spacing w:after="0" w:line="277" w:lineRule="auto"/>
        <w:rPr>
          <w:sz w:val="20"/>
          <w:szCs w:val="20"/>
          <w:color w:val="auto"/>
        </w:rPr>
      </w:pPr>
      <w:r>
        <w:rPr>
          <w:rFonts w:ascii="Arial" w:cs="Arial" w:eastAsia="Arial" w:hAnsi="Arial"/>
          <w:sz w:val="18"/>
          <w:szCs w:val="18"/>
          <w:color w:val="auto"/>
        </w:rPr>
        <w:t>In addition, payment of the Grant Price may be made by one or more of the following methods either upon written consent from the Committee or if one or more of the following methods will not result in a charge to earnings for financial reporting purposes:</w:t>
      </w:r>
    </w:p>
    <w:p>
      <w:pPr>
        <w:spacing w:after="0" w:line="62" w:lineRule="exact"/>
        <w:rPr>
          <w:sz w:val="20"/>
          <w:szCs w:val="20"/>
          <w:color w:val="auto"/>
        </w:rPr>
      </w:pPr>
    </w:p>
    <w:p>
      <w:pPr>
        <w:ind w:left="1060" w:right="340" w:hanging="377"/>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withholding Common Stock that otherwise would be acquired on exercise having an aggregate fair market value at the time of exercise equal to the aggregate Grant Price;</w:t>
      </w:r>
    </w:p>
    <w:p>
      <w:pPr>
        <w:spacing w:after="0" w:line="75" w:lineRule="exact"/>
        <w:rPr>
          <w:rFonts w:ascii="Arial" w:cs="Arial" w:eastAsia="Arial" w:hAnsi="Arial"/>
          <w:sz w:val="18"/>
          <w:szCs w:val="18"/>
          <w:color w:val="auto"/>
        </w:rPr>
      </w:pPr>
    </w:p>
    <w:p>
      <w:pPr>
        <w:ind w:left="1060" w:hanging="377"/>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tendering other Awards payable under the Plan;</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by cashless exercise through delivery of irrevocable instructions to a broker to promptly deliver to the Company the amount of proceeds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ind w:left="447" w:right="60"/>
        <w:spacing w:after="0" w:line="259" w:lineRule="auto"/>
        <w:rPr>
          <w:sz w:val="20"/>
          <w:szCs w:val="20"/>
          <w:color w:val="auto"/>
        </w:rPr>
      </w:pPr>
      <w:r>
        <w:rPr>
          <w:rFonts w:ascii="Arial" w:cs="Arial" w:eastAsia="Arial" w:hAnsi="Arial"/>
          <w:sz w:val="18"/>
          <w:szCs w:val="18"/>
          <w:color w:val="auto"/>
        </w:rPr>
        <w:t>a sale of shares having a fair market value equal to the Grant Price, provided that such broker is (A) an approved designee of the Company for these purposes and (B) such instructions are delivered by no later than close of the New York Stock Exchange on the last Trading Day prior to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 Payment by cashless exercise shall not be considered to have occurred until such time as such broker has issued confirmation of the transaction;</w:t>
      </w:r>
    </w:p>
    <w:p>
      <w:pPr>
        <w:spacing w:after="0" w:line="187" w:lineRule="exact"/>
        <w:rPr>
          <w:sz w:val="20"/>
          <w:szCs w:val="20"/>
          <w:color w:val="auto"/>
        </w:rPr>
      </w:pPr>
    </w:p>
    <w:p>
      <w:pPr>
        <w:ind w:left="867" w:hanging="417"/>
        <w:spacing w:after="0"/>
        <w:tabs>
          <w:tab w:leader="none" w:pos="8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combination of sub-paragraphs (iv) through (vi).</w:t>
      </w:r>
    </w:p>
    <w:p>
      <w:pPr>
        <w:spacing w:after="0" w:line="117" w:lineRule="exact"/>
        <w:rPr>
          <w:rFonts w:ascii="Arial" w:cs="Arial" w:eastAsia="Arial" w:hAnsi="Arial"/>
          <w:sz w:val="18"/>
          <w:szCs w:val="18"/>
          <w:color w:val="auto"/>
        </w:rPr>
      </w:pPr>
    </w:p>
    <w:p>
      <w:pPr>
        <w:ind w:left="7" w:right="3240" w:hanging="7"/>
        <w:spacing w:after="0" w:line="375" w:lineRule="auto"/>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The Company shall not be required to issue any fractional shares of Common Stock. 5. </w:t>
      </w:r>
      <w:r>
        <w:rPr>
          <w:rFonts w:ascii="Arial" w:cs="Arial" w:eastAsia="Arial" w:hAnsi="Arial"/>
          <w:sz w:val="18"/>
          <w:szCs w:val="18"/>
          <w:u w:val="single" w:color="auto"/>
          <w:color w:val="auto"/>
        </w:rPr>
        <w:t>Repayment of Benefits Arising from Misconduct.</w:t>
      </w:r>
    </w:p>
    <w:p>
      <w:pPr>
        <w:spacing w:after="0" w:line="1" w:lineRule="exact"/>
        <w:rPr>
          <w:sz w:val="20"/>
          <w:szCs w:val="20"/>
          <w:color w:val="auto"/>
        </w:rPr>
      </w:pPr>
    </w:p>
    <w:p>
      <w:pPr>
        <w:jc w:val="both"/>
        <w:ind w:left="-233" w:right="280" w:firstLine="233"/>
        <w:spacing w:after="0" w:line="264" w:lineRule="auto"/>
        <w:tabs>
          <w:tab w:leader="none" w:pos="2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it is determined by the Committee that Employee either engaged in or benefited from Misconduct, then, to the extent permitted by law, Employee will refund to the Company any amounts, plus interest, received by Employee under this Agreement.</w:t>
      </w:r>
    </w:p>
    <w:p>
      <w:pPr>
        <w:spacing w:after="0" w:line="73" w:lineRule="exact"/>
        <w:rPr>
          <w:rFonts w:ascii="Arial" w:cs="Arial" w:eastAsia="Arial" w:hAnsi="Arial"/>
          <w:sz w:val="18"/>
          <w:szCs w:val="18"/>
          <w:color w:val="auto"/>
        </w:rPr>
      </w:pPr>
    </w:p>
    <w:p>
      <w:pPr>
        <w:ind w:left="-233" w:right="60" w:firstLine="233"/>
        <w:spacing w:after="0" w:line="254" w:lineRule="auto"/>
        <w:tabs>
          <w:tab w:leader="none" w:pos="2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Following a finding of Misconduct of the Employee, the Employee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8"/>
          <w:szCs w:val="18"/>
          <w:i w:val="1"/>
          <w:iCs w:val="1"/>
          <w:color w:val="auto"/>
        </w:rPr>
        <w:t>et seq</w:t>
      </w:r>
      <w:r>
        <w:rPr>
          <w:rFonts w:ascii="Arial" w:cs="Arial" w:eastAsia="Arial" w:hAnsi="Arial"/>
          <w:sz w:val="18"/>
          <w:szCs w:val="18"/>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84" w:lineRule="exact"/>
        <w:rPr>
          <w:rFonts w:ascii="Arial" w:cs="Arial" w:eastAsia="Arial" w:hAnsi="Arial"/>
          <w:sz w:val="18"/>
          <w:szCs w:val="18"/>
          <w:color w:val="auto"/>
        </w:rPr>
      </w:pPr>
    </w:p>
    <w:p>
      <w:pPr>
        <w:ind w:left="-233" w:right="620" w:firstLine="233"/>
        <w:spacing w:after="0" w:line="277" w:lineRule="auto"/>
        <w:tabs>
          <w:tab w:leader="none" w:pos="2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62" w:lineRule="exact"/>
        <w:rPr>
          <w:rFonts w:ascii="Arial" w:cs="Arial" w:eastAsia="Arial" w:hAnsi="Arial"/>
          <w:sz w:val="18"/>
          <w:szCs w:val="18"/>
          <w:color w:val="auto"/>
        </w:rPr>
      </w:pPr>
    </w:p>
    <w:p>
      <w:pPr>
        <w:ind w:left="-233" w:firstLine="233"/>
        <w:spacing w:after="0" w:line="277" w:lineRule="auto"/>
        <w:tabs>
          <w:tab w:leader="none" w:pos="2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this Section 5, without implication as to any other section hereof, shall survive the expiration or termination of this Agreement and of Employee’s employment.</w:t>
      </w:r>
    </w:p>
    <w:p>
      <w:pPr>
        <w:spacing w:after="0" w:line="62" w:lineRule="exact"/>
        <w:rPr>
          <w:sz w:val="20"/>
          <w:szCs w:val="20"/>
          <w:color w:val="auto"/>
        </w:rPr>
      </w:pPr>
    </w:p>
    <w:p>
      <w:pPr>
        <w:ind w:left="187" w:hanging="187"/>
        <w:spacing w:after="0"/>
        <w:tabs>
          <w:tab w:leader="none" w:pos="1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sz w:val="20"/>
          <w:szCs w:val="20"/>
          <w:color w:val="auto"/>
        </w:rPr>
      </w:pPr>
    </w:p>
    <w:p>
      <w:pPr>
        <w:jc w:val="both"/>
        <w:ind w:left="-233" w:right="40" w:firstLine="233"/>
        <w:spacing w:after="0" w:line="264" w:lineRule="auto"/>
        <w:tabs>
          <w:tab w:leader="none" w:pos="2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379730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Award purchased upon exercise hereunder shall not be restricted by virtue of this Agreement.</w:t>
      </w:r>
    </w:p>
    <w:p>
      <w:pPr>
        <w:spacing w:after="0" w:line="117" w:lineRule="exact"/>
        <w:rPr>
          <w:sz w:val="20"/>
          <w:szCs w:val="20"/>
          <w:color w:val="auto"/>
        </w:rPr>
      </w:pPr>
    </w:p>
    <w:p>
      <w:pPr>
        <w:ind w:right="20" w:firstLine="233"/>
        <w:spacing w:after="0" w:line="255"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Consistent with the foregoing, except as contemplated by Section 7,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7, or if any creditor shall attempt to subject the same to a writ of garnishment, attachment, execution sequestration, or any other form of process or involuntary lien or seizure, then such attempt shall have no effect and shall be void.</w:t>
      </w:r>
    </w:p>
    <w:p>
      <w:pPr>
        <w:spacing w:after="0" w:line="81" w:lineRule="exact"/>
        <w:rPr>
          <w:sz w:val="20"/>
          <w:szCs w:val="20"/>
          <w:color w:val="auto"/>
        </w:rPr>
      </w:pPr>
    </w:p>
    <w:p>
      <w:pPr>
        <w:ind w:firstLine="233"/>
        <w:spacing w:after="0" w:line="255" w:lineRule="auto"/>
        <w:tabs>
          <w:tab w:leader="none" w:pos="40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xml:space="preserve"> Prior to the exercise of the Award and the delivery of the Common Stock with respect to the Award, the Award is not transferable (either voluntarily or involuntarily), other than pursuant to a domestic relations order. Employee may designate a beneficiary or beneficiaries (the “Beneficiary”) to whom the Award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Award will pass to the designated Beneficiary and such person will be deemed Employee for purposes of any applicable provisions of this Agreement. If no such designation is made or if the designated Beneficiary does not survive Employee’s death, the Award shall pass by will or, if none, then by the laws of descent and distribution.</w:t>
      </w:r>
    </w:p>
    <w:p>
      <w:pPr>
        <w:spacing w:after="0" w:line="81" w:lineRule="exact"/>
        <w:rPr>
          <w:rFonts w:ascii="Arial" w:cs="Arial" w:eastAsia="Arial" w:hAnsi="Arial"/>
          <w:sz w:val="18"/>
          <w:szCs w:val="18"/>
          <w:color w:val="auto"/>
        </w:rPr>
      </w:pPr>
    </w:p>
    <w:p>
      <w:pPr>
        <w:ind w:right="20" w:firstLine="233"/>
        <w:spacing w:after="0" w:line="273" w:lineRule="auto"/>
        <w:tabs>
          <w:tab w:leader="none" w:pos="40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The Employee acknowledges and agrees that the Employee is responsible for the tax consequences associated with the grant of the Award and its exercise. To the extent that the receipt of this Award, exercise, or the delivery of the Common Stock with respect to any Award results in a taxable event to Employee for federal or state tax purposes, Employee shall deliver to the Company at such time,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70" w:lineRule="exact"/>
        <w:rPr>
          <w:rFonts w:ascii="Arial" w:cs="Arial" w:eastAsia="Arial" w:hAnsi="Arial"/>
          <w:sz w:val="17"/>
          <w:szCs w:val="17"/>
          <w:color w:val="auto"/>
        </w:rPr>
      </w:pPr>
    </w:p>
    <w:p>
      <w:pPr>
        <w:ind w:right="180" w:firstLine="233"/>
        <w:spacing w:after="0" w:line="264" w:lineRule="auto"/>
        <w:tabs>
          <w:tab w:leader="none" w:pos="40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may be determined to be appropriate and equitable by the Committee, in its complete and sole discretion, to prevent dilution or enlargement of rights, the Committee shall make or authorize to be made an adjustment in the number and class of Common Stock and/or the Grant Price to prevent dilution or enlargement of rights, as a result of the following:</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adjustment, recapitalization, reorganization or other changes in the Company’s capital structure or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6" w:name="page27"/>
    <w:bookmarkEnd w:id="26"/>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merger or consolidation of the Company;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issuance of bonds, debentures, preferred or prior preference stock ahead of or affecting the Company’s Common Stock or the rights thereof;</w:t>
      </w:r>
    </w:p>
    <w:p>
      <w:pPr>
        <w:spacing w:after="0" w:line="153" w:lineRule="exact"/>
        <w:rPr>
          <w:rFonts w:ascii="Arial" w:cs="Arial" w:eastAsia="Arial" w:hAnsi="Arial"/>
          <w:sz w:val="16"/>
          <w:szCs w:val="16"/>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sale or transfer of all or any part of the Company’s assets or business; or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corporate act or proceeding, whether of a similar character or otherwise.</w:t>
      </w:r>
    </w:p>
    <w:p>
      <w:pPr>
        <w:spacing w:after="0" w:line="117" w:lineRule="exact"/>
        <w:rPr>
          <w:rFonts w:ascii="Arial" w:cs="Arial" w:eastAsia="Arial" w:hAnsi="Arial"/>
          <w:sz w:val="18"/>
          <w:szCs w:val="18"/>
          <w:color w:val="auto"/>
        </w:rPr>
      </w:pPr>
    </w:p>
    <w:p>
      <w:pPr>
        <w:ind w:firstLine="233"/>
        <w:spacing w:after="0" w:line="272" w:lineRule="auto"/>
        <w:tabs>
          <w:tab w:leader="none" w:pos="49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The Company reserves the right to delay the Employee’s exercise of the Award and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 including an agreement (in such form as the Committee may specify) in which Employee represents that the shares of Common Stock acquired by him or her upon exercise are being acquired for investment and not with a view to the sale or distribution thereof.</w:t>
      </w:r>
    </w:p>
    <w:p>
      <w:pPr>
        <w:spacing w:after="0" w:line="7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may postpone issuing and delivering any Common Stock for so long as the Company reasonably determines to be necessary to satisfy the following conditions:</w:t>
      </w:r>
    </w:p>
    <w:p>
      <w:pPr>
        <w:spacing w:after="0" w:line="62" w:lineRule="exact"/>
        <w:rPr>
          <w:sz w:val="20"/>
          <w:szCs w:val="20"/>
          <w:color w:val="auto"/>
        </w:rPr>
      </w:pPr>
    </w:p>
    <w:p>
      <w:pPr>
        <w:ind w:left="660" w:right="160" w:hanging="314"/>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its completing or amending any securities registration or qualification of the Common Stock or it of the Employee satisfying any exemption from registration under any federal or state law, rule or regulation;</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its receiving proof it considers satisfactory that a person seeking to exercise the Award after the Employee’s death is entitled to do so;</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Employee complying with any requests for representations under the Plan;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Employee complying with any federal, state or local tax withholding obligations.</w:t>
      </w:r>
    </w:p>
    <w:p>
      <w:pPr>
        <w:spacing w:after="0" w:line="117" w:lineRule="exact"/>
        <w:rPr>
          <w:rFonts w:ascii="Arial" w:cs="Arial" w:eastAsia="Arial" w:hAnsi="Arial"/>
          <w:sz w:val="18"/>
          <w:szCs w:val="18"/>
          <w:color w:val="auto"/>
        </w:rPr>
      </w:pPr>
    </w:p>
    <w:p>
      <w:pPr>
        <w:jc w:val="both"/>
        <w:ind w:right="20" w:firstLine="233"/>
        <w:spacing w:after="0" w:line="264" w:lineRule="auto"/>
        <w:tabs>
          <w:tab w:leader="none" w:pos="4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Award prior to the date on which he or she is recorded as the holder of such shares of Common Stock on the records of the Company, including no right to dividends declared on the Common Stock underlying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27" w:name="page28"/>
    <w:bookmarkEnd w:id="27"/>
    <w:p>
      <w:pPr>
        <w:ind w:left="500" w:hanging="267"/>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Agreement shall bind and inure to the benefit of and be enforceable by Employee, the Company and their respective permitted successors or</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assigns (including personal representatives, heirs and legatees), except that Employee may not assign any rights or obligations under this Agreement except to the extent, and in the manner, expressly permitted herein.</w:t>
      </w:r>
    </w:p>
    <w:p>
      <w:pPr>
        <w:spacing w:after="0" w:line="75" w:lineRule="exact"/>
        <w:rPr>
          <w:rFonts w:ascii="Arial" w:cs="Arial" w:eastAsia="Arial" w:hAnsi="Arial"/>
          <w:sz w:val="16"/>
          <w:szCs w:val="16"/>
          <w:color w:val="auto"/>
        </w:rPr>
      </w:pPr>
    </w:p>
    <w:p>
      <w:pPr>
        <w:ind w:firstLine="233"/>
        <w:spacing w:after="0" w:line="264"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sz w:val="20"/>
          <w:szCs w:val="20"/>
          <w:color w:val="auto"/>
        </w:rPr>
      </w:pPr>
    </w:p>
    <w:p>
      <w:pPr>
        <w:ind w:right="860" w:firstLine="233"/>
        <w:spacing w:after="0" w:line="277" w:lineRule="auto"/>
        <w:tabs>
          <w:tab w:leader="none" w:pos="4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Options (or other form of stock incentive awards) other than in the sole discretion of the Committee;</w:t>
      </w:r>
    </w:p>
    <w:p>
      <w:pPr>
        <w:spacing w:after="0" w:line="62" w:lineRule="exact"/>
        <w:rPr>
          <w:rFonts w:ascii="Arial" w:cs="Arial" w:eastAsia="Arial" w:hAnsi="Arial"/>
          <w:sz w:val="18"/>
          <w:szCs w:val="18"/>
          <w:color w:val="auto"/>
        </w:rPr>
      </w:pPr>
    </w:p>
    <w:p>
      <w:pPr>
        <w:ind w:right="300" w:firstLine="233"/>
        <w:spacing w:after="0" w:line="277"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exercise of such Award); or</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sz w:val="20"/>
          <w:szCs w:val="20"/>
          <w:color w:val="auto"/>
        </w:rPr>
      </w:pPr>
    </w:p>
    <w:p>
      <w:pPr>
        <w:ind w:right="220" w:firstLine="233"/>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right="100" w:firstLine="233"/>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right="100" w:firstLine="233"/>
        <w:spacing w:after="0" w:line="264"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right="40" w:firstLine="233"/>
        <w:spacing w:after="0" w:line="264"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“Board” means the Board of Directors of 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left="-8" w:right="20" w:firstLine="233"/>
        <w:spacing w:after="0" w:line="286" w:lineRule="auto"/>
        <w:tabs>
          <w:tab w:leader="none" w:pos="472"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w:t>
      </w:r>
    </w:p>
    <w:p>
      <w:pPr>
        <w:spacing w:after="0" w:line="1" w:lineRule="exact"/>
        <w:rPr>
          <w:rFonts w:ascii="Arial" w:cs="Arial" w:eastAsia="Arial" w:hAnsi="Arial"/>
          <w:sz w:val="16"/>
          <w:szCs w:val="16"/>
          <w:color w:val="auto"/>
        </w:rPr>
      </w:pPr>
    </w:p>
    <w:p>
      <w:pPr>
        <w:ind w:left="-8" w:right="180" w:firstLine="8"/>
        <w:spacing w:after="0" w:line="254" w:lineRule="auto"/>
        <w:tabs>
          <w:tab w:leader="none" w:pos="2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81" w:lineRule="exact"/>
        <w:rPr>
          <w:rFonts w:ascii="Arial" w:cs="Arial" w:eastAsia="Arial" w:hAnsi="Arial"/>
          <w:sz w:val="18"/>
          <w:szCs w:val="18"/>
          <w:color w:val="auto"/>
        </w:rPr>
      </w:pPr>
    </w:p>
    <w:p>
      <w:pPr>
        <w:ind w:left="472" w:hanging="247"/>
        <w:spacing w:after="0"/>
        <w:tabs>
          <w:tab w:leader="none" w:pos="4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712" w:right="220" w:hanging="374"/>
        <w:spacing w:after="0" w:line="286" w:lineRule="auto"/>
        <w:tabs>
          <w:tab w:leader="none" w:pos="712" w:val="left"/>
        </w:tabs>
        <w:numPr>
          <w:ilvl w:val="2"/>
          <w:numId w:val="49"/>
        </w:numPr>
        <w:rPr>
          <w:rFonts w:ascii="Arial" w:cs="Arial" w:eastAsia="Arial" w:hAnsi="Arial"/>
          <w:sz w:val="17"/>
          <w:szCs w:val="17"/>
          <w:color w:val="auto"/>
        </w:rPr>
      </w:pPr>
      <w:r>
        <w:rPr>
          <w:rFonts w:ascii="Arial" w:cs="Arial" w:eastAsia="Arial" w:hAnsi="Arial"/>
          <w:sz w:val="17"/>
          <w:szCs w:val="17"/>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70" w:lineRule="exact"/>
        <w:rPr>
          <w:rFonts w:ascii="Arial" w:cs="Arial" w:eastAsia="Arial" w:hAnsi="Arial"/>
          <w:sz w:val="17"/>
          <w:szCs w:val="17"/>
          <w:color w:val="auto"/>
        </w:rPr>
      </w:pPr>
    </w:p>
    <w:p>
      <w:pPr>
        <w:ind w:left="712" w:hanging="374"/>
        <w:spacing w:after="0" w:line="259" w:lineRule="auto"/>
        <w:tabs>
          <w:tab w:leader="none" w:pos="7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2" w:lineRule="exact"/>
        <w:rPr>
          <w:rFonts w:ascii="Arial" w:cs="Arial" w:eastAsia="Arial" w:hAnsi="Arial"/>
          <w:sz w:val="18"/>
          <w:szCs w:val="18"/>
          <w:color w:val="auto"/>
        </w:rPr>
      </w:pPr>
    </w:p>
    <w:p>
      <w:pPr>
        <w:ind w:left="712" w:right="20" w:hanging="374"/>
        <w:spacing w:after="0" w:line="255" w:lineRule="auto"/>
        <w:tabs>
          <w:tab w:leader="none" w:pos="7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8" w:lineRule="exact"/>
        <w:rPr>
          <w:rFonts w:ascii="Arial" w:cs="Arial" w:eastAsia="Arial" w:hAnsi="Arial"/>
          <w:sz w:val="18"/>
          <w:szCs w:val="18"/>
          <w:color w:val="auto"/>
        </w:rPr>
      </w:pPr>
    </w:p>
    <w:p>
      <w:pPr>
        <w:ind w:left="712" w:hanging="374"/>
        <w:spacing w:after="0" w:line="264" w:lineRule="auto"/>
        <w:tabs>
          <w:tab w:leader="none" w:pos="7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29" w:name="page30"/>
    <w:bookmarkEnd w:id="29"/>
    <w:p>
      <w:pPr>
        <w:jc w:val="both"/>
        <w:ind w:left="652"/>
        <w:spacing w:after="0" w:line="257" w:lineRule="auto"/>
        <w:rPr>
          <w:sz w:val="20"/>
          <w:szCs w:val="20"/>
          <w:color w:val="auto"/>
        </w:rPr>
      </w:pPr>
      <w:r>
        <w:rPr>
          <w:rFonts w:ascii="Arial" w:cs="Arial" w:eastAsia="Arial" w:hAnsi="Arial"/>
          <w:sz w:val="18"/>
          <w:szCs w:val="18"/>
          <w:color w:val="auto"/>
        </w:rPr>
        <w:t>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80" w:lineRule="exact"/>
        <w:rPr>
          <w:sz w:val="20"/>
          <w:szCs w:val="20"/>
          <w:color w:val="auto"/>
        </w:rPr>
      </w:pPr>
    </w:p>
    <w:p>
      <w:pPr>
        <w:ind w:left="232"/>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712" w:hanging="374"/>
        <w:spacing w:after="0"/>
        <w:tabs>
          <w:tab w:leader="none" w:pos="712" w:val="left"/>
        </w:tabs>
        <w:numPr>
          <w:ilvl w:val="2"/>
          <w:numId w:val="50"/>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30" w:lineRule="exact"/>
        <w:rPr>
          <w:rFonts w:ascii="Arial" w:cs="Arial" w:eastAsia="Arial" w:hAnsi="Arial"/>
          <w:sz w:val="18"/>
          <w:szCs w:val="18"/>
          <w:color w:val="auto"/>
        </w:rPr>
      </w:pPr>
    </w:p>
    <w:p>
      <w:pPr>
        <w:ind w:left="712" w:right="80" w:hanging="374"/>
        <w:spacing w:after="0" w:line="291" w:lineRule="auto"/>
        <w:tabs>
          <w:tab w:leader="none" w:pos="712" w:val="left"/>
        </w:tabs>
        <w:numPr>
          <w:ilvl w:val="2"/>
          <w:numId w:val="50"/>
        </w:numPr>
        <w:rPr>
          <w:rFonts w:ascii="Arial" w:cs="Arial" w:eastAsia="Arial" w:hAnsi="Arial"/>
          <w:sz w:val="16"/>
          <w:szCs w:val="16"/>
          <w:color w:val="auto"/>
        </w:rPr>
      </w:pPr>
      <w:r>
        <w:rPr>
          <w:rFonts w:ascii="Arial" w:cs="Arial" w:eastAsia="Arial" w:hAnsi="Arial"/>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w:t>
      </w:r>
    </w:p>
    <w:p>
      <w:pPr>
        <w:ind w:left="712" w:right="160"/>
        <w:spacing w:after="0" w:line="255" w:lineRule="auto"/>
        <w:rPr>
          <w:rFonts w:ascii="Arial" w:cs="Arial" w:eastAsia="Arial" w:hAnsi="Arial"/>
          <w:sz w:val="16"/>
          <w:szCs w:val="16"/>
          <w:color w:val="auto"/>
        </w:rPr>
      </w:pPr>
      <w:r>
        <w:rPr>
          <w:rFonts w:ascii="Arial" w:cs="Arial" w:eastAsia="Arial" w:hAnsi="Arial"/>
          <w:sz w:val="18"/>
          <w:szCs w:val="18"/>
          <w:color w:val="auto"/>
        </w:rPr>
        <w:t>(3)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2" w:lineRule="exact"/>
        <w:rPr>
          <w:rFonts w:ascii="Arial" w:cs="Arial" w:eastAsia="Arial" w:hAnsi="Arial"/>
          <w:sz w:val="16"/>
          <w:szCs w:val="16"/>
          <w:color w:val="auto"/>
        </w:rPr>
      </w:pPr>
    </w:p>
    <w:p>
      <w:pPr>
        <w:ind w:left="-8" w:right="340" w:firstLine="233"/>
        <w:spacing w:after="0" w:line="277" w:lineRule="auto"/>
        <w:tabs>
          <w:tab w:leader="none" w:pos="4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62" w:lineRule="exact"/>
        <w:rPr>
          <w:rFonts w:ascii="Arial" w:cs="Arial" w:eastAsia="Arial" w:hAnsi="Arial"/>
          <w:sz w:val="18"/>
          <w:szCs w:val="18"/>
          <w:color w:val="auto"/>
        </w:rPr>
      </w:pPr>
    </w:p>
    <w:p>
      <w:pPr>
        <w:ind w:left="-8" w:right="60" w:firstLine="233"/>
        <w:spacing w:after="0" w:line="342" w:lineRule="auto"/>
        <w:tabs>
          <w:tab w:leader="none" w:pos="4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“Fair Market Value” means the average of the highest and lowest sales price per share of Common Stock as of a particular date on the New York Stock Exchange, or if there shall have been no such sale so reported on that date, on the last preceding date on which such a sale was so reported.</w:t>
      </w:r>
    </w:p>
    <w:p>
      <w:pPr>
        <w:spacing w:after="0" w:line="15" w:lineRule="exact"/>
        <w:rPr>
          <w:rFonts w:ascii="Arial" w:cs="Arial" w:eastAsia="Arial" w:hAnsi="Arial"/>
          <w:sz w:val="16"/>
          <w:szCs w:val="16"/>
          <w:color w:val="auto"/>
        </w:rPr>
      </w:pPr>
    </w:p>
    <w:p>
      <w:pPr>
        <w:ind w:left="-8" w:right="160" w:firstLine="233"/>
        <w:spacing w:after="0" w:line="291" w:lineRule="auto"/>
        <w:tabs>
          <w:tab w:leader="none" w:pos="442" w:val="left"/>
        </w:tabs>
        <w:numPr>
          <w:ilvl w:val="1"/>
          <w:numId w:val="51"/>
        </w:numPr>
        <w:rPr>
          <w:rFonts w:ascii="Arial" w:cs="Arial" w:eastAsia="Arial" w:hAnsi="Arial"/>
          <w:sz w:val="16"/>
          <w:szCs w:val="16"/>
          <w:color w:val="auto"/>
        </w:rPr>
      </w:pPr>
      <w:r>
        <w:rPr>
          <w:rFonts w:ascii="Arial" w:cs="Arial" w:eastAsia="Arial" w:hAnsi="Arial"/>
          <w:sz w:val="16"/>
          <w:szCs w:val="16"/>
          <w:color w:val="auto"/>
        </w:rPr>
        <w:t>“Misconduct”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w:t>
      </w:r>
    </w:p>
    <w:p>
      <w:pPr>
        <w:ind w:left="-8" w:right="300" w:firstLine="8"/>
        <w:spacing w:after="0" w:line="261" w:lineRule="auto"/>
        <w:tabs>
          <w:tab w:leader="none" w:pos="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75" w:lineRule="exact"/>
        <w:rPr>
          <w:rFonts w:ascii="Arial" w:cs="Arial" w:eastAsia="Arial" w:hAnsi="Arial"/>
          <w:sz w:val="18"/>
          <w:szCs w:val="18"/>
          <w:color w:val="auto"/>
        </w:rPr>
      </w:pPr>
    </w:p>
    <w:p>
      <w:pPr>
        <w:jc w:val="both"/>
        <w:ind w:left="-8" w:right="120" w:firstLine="233"/>
        <w:spacing w:after="0" w:line="264" w:lineRule="auto"/>
        <w:tabs>
          <w:tab w:leader="none" w:pos="4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30" w:name="page31"/>
    <w:bookmarkEnd w:id="30"/>
    <w:p>
      <w:pPr>
        <w:ind w:left="-233" w:right="80" w:firstLine="233"/>
        <w:spacing w:after="0" w:line="255" w:lineRule="auto"/>
        <w:tabs>
          <w:tab w:leader="none" w:pos="2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85" w:lineRule="exact"/>
        <w:rPr>
          <w:rFonts w:ascii="Arial" w:cs="Arial" w:eastAsia="Arial" w:hAnsi="Arial"/>
          <w:sz w:val="18"/>
          <w:szCs w:val="18"/>
          <w:color w:val="auto"/>
        </w:rPr>
      </w:pPr>
    </w:p>
    <w:p>
      <w:pPr>
        <w:ind w:left="-233" w:firstLine="233"/>
        <w:spacing w:after="0" w:line="259" w:lineRule="auto"/>
        <w:tabs>
          <w:tab w:leader="none" w:pos="2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8" w:lineRule="exact"/>
        <w:rPr>
          <w:rFonts w:ascii="Arial" w:cs="Arial" w:eastAsia="Arial" w:hAnsi="Arial"/>
          <w:sz w:val="18"/>
          <w:szCs w:val="18"/>
          <w:color w:val="auto"/>
        </w:rPr>
      </w:pPr>
    </w:p>
    <w:p>
      <w:pPr>
        <w:ind w:left="207" w:hanging="207"/>
        <w:spacing w:after="0"/>
        <w:tabs>
          <w:tab w:leader="none" w:pos="2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“Trading Day” means a day on which the New York Stock Exchange is open for trading for its regular trading sessions.</w:t>
      </w:r>
    </w:p>
    <w:p>
      <w:pPr>
        <w:spacing w:after="0" w:line="117" w:lineRule="exact"/>
        <w:rPr>
          <w:sz w:val="20"/>
          <w:szCs w:val="20"/>
          <w:color w:val="auto"/>
        </w:rPr>
      </w:pPr>
    </w:p>
    <w:p>
      <w:pPr>
        <w:ind w:left="267" w:hanging="267"/>
        <w:spacing w:after="0"/>
        <w:tabs>
          <w:tab w:leader="none" w:pos="26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sz w:val="20"/>
          <w:szCs w:val="20"/>
          <w:color w:val="auto"/>
        </w:rPr>
      </w:pPr>
    </w:p>
    <w:p>
      <w:pPr>
        <w:ind w:left="-233" w:right="200" w:firstLine="233"/>
        <w:spacing w:after="0" w:line="273" w:lineRule="auto"/>
        <w:tabs>
          <w:tab w:leader="none" w:pos="237" w:val="left"/>
        </w:tabs>
        <w:numPr>
          <w:ilvl w:val="0"/>
          <w:numId w:val="55"/>
        </w:numPr>
        <w:rPr>
          <w:rFonts w:ascii="Arial" w:cs="Arial" w:eastAsia="Arial" w:hAnsi="Arial"/>
          <w:sz w:val="17"/>
          <w:szCs w:val="17"/>
          <w:color w:val="auto"/>
        </w:rPr>
      </w:pPr>
      <w:r>
        <w:rPr>
          <w:rFonts w:ascii="Arial" w:cs="Arial" w:eastAsia="Arial" w:hAnsi="Arial"/>
          <w:sz w:val="17"/>
          <w:szCs w:val="17"/>
          <w:color w:val="auto"/>
        </w:rPr>
        <w:t>Employee understands that the Options have been granted pursuant to the terms of the Plan, and the Award and this Agreement are in all respect governed by the Plan and subject to all of the terms and provisions thereof, whether such terms and provisions are incorporated in this Agreement by reference or are expressly cited. Any inconsistency between the Agreement and the Plan shall be resolved in favor of the Plan. Employee hereby acknowledges that he has received, reviewed and accepted the terms and conditions applicable to this Agreement. Employee hereby accepts such terms and conditions, subject to the provisions of the Plan and administrative interpretations. Employee further agrees that such terms and conditions will control this Agreement, notwithstanding any provisions in any employment agreement or in any prior awards.</w:t>
      </w:r>
    </w:p>
    <w:p>
      <w:pPr>
        <w:spacing w:after="0" w:line="70" w:lineRule="exact"/>
        <w:rPr>
          <w:rFonts w:ascii="Arial" w:cs="Arial" w:eastAsia="Arial" w:hAnsi="Arial"/>
          <w:sz w:val="17"/>
          <w:szCs w:val="17"/>
          <w:color w:val="auto"/>
        </w:rPr>
      </w:pPr>
    </w:p>
    <w:p>
      <w:pPr>
        <w:ind w:left="-233" w:right="740" w:firstLine="233"/>
        <w:spacing w:after="0" w:line="277" w:lineRule="auto"/>
        <w:tabs>
          <w:tab w:leader="none" w:pos="2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Options.</w:t>
      </w:r>
    </w:p>
    <w:p>
      <w:pPr>
        <w:spacing w:after="0" w:line="62" w:lineRule="exact"/>
        <w:rPr>
          <w:rFonts w:ascii="Arial" w:cs="Arial" w:eastAsia="Arial" w:hAnsi="Arial"/>
          <w:sz w:val="18"/>
          <w:szCs w:val="18"/>
          <w:color w:val="auto"/>
        </w:rPr>
      </w:pPr>
    </w:p>
    <w:p>
      <w:pPr>
        <w:ind w:left="-233" w:right="80" w:firstLine="233"/>
        <w:spacing w:after="0" w:line="277" w:lineRule="auto"/>
        <w:tabs>
          <w:tab w:leader="none" w:pos="23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62" w:lineRule="exact"/>
        <w:rPr>
          <w:sz w:val="20"/>
          <w:szCs w:val="20"/>
          <w:color w:val="auto"/>
        </w:rPr>
      </w:pPr>
    </w:p>
    <w:p>
      <w:pPr>
        <w:ind w:left="-233" w:right="280" w:firstLine="233"/>
        <w:spacing w:after="0" w:line="277"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the Award of Options hereunder not be subject to Code Section 409A and that this Agreement not result in an unfavorable tax consequences to Employee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372745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31" w:name="page32"/>
    <w:bookmarkEnd w:id="31"/>
    <w:p>
      <w:pPr>
        <w:ind w:right="240"/>
        <w:spacing w:after="0" w:line="257" w:lineRule="auto"/>
        <w:rPr>
          <w:sz w:val="20"/>
          <w:szCs w:val="20"/>
          <w:color w:val="auto"/>
        </w:rPr>
      </w:pPr>
      <w:r>
        <w:rPr>
          <w:rFonts w:ascii="Arial" w:cs="Arial" w:eastAsia="Arial" w:hAnsi="Arial"/>
          <w:sz w:val="18"/>
          <w:szCs w:val="18"/>
          <w:color w:val="auto"/>
        </w:rPr>
        <w:t>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paragraph 19 does not create an obligation on the part of Company to modify this Agreement and does not guarantee that the amounts or benefits owed under the Agreement will not be subject to interest and penalties under Code Section 409A.</w:t>
      </w:r>
    </w:p>
    <w:p>
      <w:pPr>
        <w:spacing w:after="0" w:line="80" w:lineRule="exact"/>
        <w:rPr>
          <w:sz w:val="20"/>
          <w:szCs w:val="20"/>
          <w:color w:val="auto"/>
        </w:rPr>
      </w:pPr>
    </w:p>
    <w:p>
      <w:pPr>
        <w:jc w:val="both"/>
        <w:ind w:right="20" w:firstLine="233"/>
        <w:spacing w:after="0" w:line="259" w:lineRule="auto"/>
        <w:tabs>
          <w:tab w:leader="none" w:pos="49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deliver any documents related to the Options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78" w:lineRule="exact"/>
        <w:rPr>
          <w:rFonts w:ascii="Arial" w:cs="Arial" w:eastAsia="Arial" w:hAnsi="Arial"/>
          <w:sz w:val="18"/>
          <w:szCs w:val="18"/>
          <w:color w:val="auto"/>
        </w:rPr>
      </w:pPr>
    </w:p>
    <w:p>
      <w:pPr>
        <w:ind w:firstLine="233"/>
        <w:spacing w:after="0" w:line="288" w:lineRule="auto"/>
        <w:tabs>
          <w:tab w:leader="none" w:pos="4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61" w:lineRule="exact"/>
        <w:rPr>
          <w:rFonts w:ascii="Arial" w:cs="Arial" w:eastAsia="Arial" w:hAnsi="Arial"/>
          <w:sz w:val="16"/>
          <w:szCs w:val="16"/>
          <w:color w:val="auto"/>
        </w:rPr>
      </w:pPr>
    </w:p>
    <w:p>
      <w:pPr>
        <w:ind w:right="60" w:firstLine="233"/>
        <w:spacing w:after="0" w:line="312" w:lineRule="auto"/>
        <w:tabs>
          <w:tab w:leader="none" w:pos="4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38" w:lineRule="exact"/>
        <w:rPr>
          <w:rFonts w:ascii="Arial" w:cs="Arial" w:eastAsia="Arial" w:hAnsi="Arial"/>
          <w:sz w:val="16"/>
          <w:szCs w:val="16"/>
          <w:color w:val="auto"/>
        </w:rPr>
      </w:pPr>
    </w:p>
    <w:p>
      <w:pPr>
        <w:ind w:left="500" w:hanging="267"/>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2" w:name="page33"/>
    <w:bookmarkEnd w:id="32"/>
    <w:p>
      <w:pPr>
        <w:ind w:firstLine="225"/>
        <w:spacing w:after="0" w:line="277"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/s/ Jay Romans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Accepted by electronic confirmation</w:t>
      </w:r>
    </w:p>
    <w:p>
      <w:pPr>
        <w:sectPr>
          <w:pgSz w:w="11900" w:h="16838" w:orient="portrait"/>
          <w:cols w:equalWidth="0" w:num="1">
            <w:col w:w="11180"/>
          </w:cols>
          <w:pgMar w:left="240" w:top="935" w:right="4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This Amendment to Employment Agreement (this “Amendment”) is entered into between Waste Management, Inc. (the “Company”) and Jim Trevathan (“Executive”), effective as of January 1, 2011.</w:t>
      </w:r>
    </w:p>
    <w:p>
      <w:pPr>
        <w:spacing w:after="0" w:line="62"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WHEREAS, the Company and the Executive have previously entered into that certain Employment Agreement dated June 1, 2000, as amended by the First Amendment to Employment Agreement dated October 20, 2004 (the “Agreement”); and</w:t>
      </w:r>
    </w:p>
    <w:p>
      <w:pPr>
        <w:spacing w:after="0" w:line="62"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WHEREAS, Section 15 of the Agreement provides that the Agreement may be amended only by a written agreement signed by the parties to the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parties hereto hereby approve and adopt this Amendment to the Agreement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The text of Section 4(b) of the Agreement is deleted and the following language is placed in lieu thereof:</w:t>
      </w:r>
    </w:p>
    <w:p>
      <w:pPr>
        <w:spacing w:after="0" w:line="11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Annual Bonus.</w:t>
      </w:r>
      <w:r>
        <w:rPr>
          <w:rFonts w:ascii="Arial" w:cs="Arial" w:eastAsia="Arial" w:hAnsi="Arial"/>
          <w:sz w:val="18"/>
          <w:szCs w:val="18"/>
          <w:color w:val="auto"/>
        </w:rPr>
        <w:t xml:space="preserve"> Executive will continue to participate in the Company’s annual incentive compensation plan, as established by the Management Development and Compensation Committee of the Board (the “Compensation Committee”) from time to time. Beginning January 1, 2011 and continuing for the remainder of the Employment Period, Executive’s target annual bonus will be seventy-five percent (75%) of his Base Salary in effect for such year (the “Target Bonus”), and his actual annual bonus may range from 0% to 150% of Base Salary (</w:t>
      </w:r>
      <w:r>
        <w:rPr>
          <w:rFonts w:ascii="Arial" w:cs="Arial" w:eastAsia="Arial" w:hAnsi="Arial"/>
          <w:sz w:val="18"/>
          <w:szCs w:val="18"/>
          <w:i w:val="1"/>
          <w:iCs w:val="1"/>
          <w:color w:val="auto"/>
        </w:rPr>
        <w:t>i.e</w:t>
      </w:r>
      <w:r>
        <w:rPr>
          <w:rFonts w:ascii="Arial" w:cs="Arial" w:eastAsia="Arial" w:hAnsi="Arial"/>
          <w:sz w:val="18"/>
          <w:szCs w:val="18"/>
          <w:color w:val="auto"/>
        </w:rPr>
        <w:t>., a maximum possible bonus of two times the Target Bonus). The amount of such annual bonus, if any, will be based upon (i) the achievement of certain financial performance goals, as may be established and approved by the Compensation Committee, and (ii) the achievement of personal performance goals as may be established by Executive’s immediate supervisor.”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Except as amended, the Agreement shall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240"/>
        <w:spacing w:after="0"/>
        <w:rPr>
          <w:sz w:val="20"/>
          <w:szCs w:val="20"/>
          <w:color w:val="auto"/>
        </w:rPr>
      </w:pPr>
      <w:r>
        <w:rPr>
          <w:rFonts w:ascii="Arial" w:cs="Arial" w:eastAsia="Arial" w:hAnsi="Arial"/>
          <w:sz w:val="16"/>
          <w:szCs w:val="16"/>
          <w:color w:val="auto"/>
        </w:rPr>
        <w:t>IN WITNESS WHEREOF, the parties have duly executed this Amendment effective as of the date first specified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Jim Trevathan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Jim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P. Steiner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936"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This Amendment to Employment Agreement (this “Amendment”) is entered into between Waste Management, Inc. (the “Company”) and Duane C. Woods (“Executive”), effective as of January 1, 2011.</w:t>
      </w:r>
    </w:p>
    <w:p>
      <w:pPr>
        <w:spacing w:after="0" w:line="6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WHEREAS, the Company and the Executive have previously entered into that certain Employment Agreement dated October 20, 2004, as amended (the “Agreement”); and</w:t>
      </w:r>
    </w:p>
    <w:p>
      <w:pPr>
        <w:spacing w:after="0" w:line="62"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WHEREAS, Section 19 of the Agreement provides that the Agreement may be amended only by a written agreement signed by the parties to the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parties hereto hereby approve and adopt this Amendment to the Agreement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The text of Section 4(b) of the Agreement is deleted and the following language is placed in lieu thereof:</w:t>
      </w:r>
    </w:p>
    <w:p>
      <w:pPr>
        <w:spacing w:after="0" w:line="11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Annual Bonus.</w:t>
      </w:r>
      <w:r>
        <w:rPr>
          <w:rFonts w:ascii="Arial" w:cs="Arial" w:eastAsia="Arial" w:hAnsi="Arial"/>
          <w:sz w:val="18"/>
          <w:szCs w:val="18"/>
          <w:color w:val="auto"/>
        </w:rPr>
        <w:t xml:space="preserve"> Executive will continue to participate in the Company’s annual incentive compensation plan, as established by the Management Development and Compensation Committee of the Board (the “Compensation Committee”) from time to time. Beginning January 1, 2011 and continuing for the remainder of the Employment Period, Executive’s target annual bonus will be seventy-five percent (75%) of his Base Salary in effect for such year (the “Target Bonus”), and his actual annual bonus may range from 0% to 150% of Base Salary (</w:t>
      </w:r>
      <w:r>
        <w:rPr>
          <w:rFonts w:ascii="Arial" w:cs="Arial" w:eastAsia="Arial" w:hAnsi="Arial"/>
          <w:sz w:val="18"/>
          <w:szCs w:val="18"/>
          <w:i w:val="1"/>
          <w:iCs w:val="1"/>
          <w:color w:val="auto"/>
        </w:rPr>
        <w:t>i.e</w:t>
      </w:r>
      <w:r>
        <w:rPr>
          <w:rFonts w:ascii="Arial" w:cs="Arial" w:eastAsia="Arial" w:hAnsi="Arial"/>
          <w:sz w:val="18"/>
          <w:szCs w:val="18"/>
          <w:color w:val="auto"/>
        </w:rPr>
        <w:t>., a maximum possible bonus of two times the Target Bonus). The amount of such annual bonus, if any, will be based upon (i) the achievement of certain financial performance goals, as may be established and approved by the Compensation Committee, and (ii) the achievement of personal performance goals as may be established by Executive’s immediate supervisor.”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Except as amended, the Agreement shall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240"/>
        <w:spacing w:after="0"/>
        <w:rPr>
          <w:sz w:val="20"/>
          <w:szCs w:val="20"/>
          <w:color w:val="auto"/>
        </w:rPr>
      </w:pPr>
      <w:r>
        <w:rPr>
          <w:rFonts w:ascii="Arial" w:cs="Arial" w:eastAsia="Arial" w:hAnsi="Arial"/>
          <w:sz w:val="16"/>
          <w:szCs w:val="16"/>
          <w:color w:val="auto"/>
        </w:rPr>
        <w:t>IN WITNESS WHEREOF, the parties have duly executed this Amendment effective as of the date first specified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Duane C. Woods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Duane C.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P. Steiner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1."/>
      <w:numFmt w:val="decimal"/>
      <w:start w:val="1"/>
    </w:lvl>
    <w:lvl w:ilvl="1">
      <w:lvlJc w:val="left"/>
      <w:lvlText w:val="(%2)"/>
      <w:numFmt w:val="lowerLetter"/>
      <w:start w:val="1"/>
    </w:lvl>
  </w:abstractNum>
  <w:abstractNum w:abstractNumId="3">
    <w:nsid w:val="1E7FF521"/>
    <w:multiLevelType w:val="hybridMultilevel"/>
    <w:lvl w:ilvl="0">
      <w:lvlJc w:val="left"/>
      <w:lvlText w:val="%1"/>
      <w:numFmt w:val="decimal"/>
      <w:start w:val="1"/>
    </w:lvl>
    <w:lvl w:ilvl="1">
      <w:lvlJc w:val="left"/>
      <w:lvlText w:val="(%2)"/>
      <w:numFmt w:val="lowerLetter"/>
      <w:start w:val="2"/>
    </w:lvl>
  </w:abstractNum>
  <w:abstractNum w:abstractNumId="4">
    <w:nsid w:val="7C3DBD3D"/>
    <w:multiLevelType w:val="hybridMultilevel"/>
    <w:lvl w:ilvl="0">
      <w:lvlJc w:val="left"/>
      <w:lvlText w:val="%1."/>
      <w:numFmt w:val="decimal"/>
      <w:start w:val="4"/>
    </w:lvl>
    <w:lvl w:ilvl="1">
      <w:lvlJc w:val="left"/>
      <w:lvlText w:val="%2"/>
      <w:numFmt w:val="lowerLetter"/>
      <w:start w:val="1"/>
    </w:lvl>
  </w:abstractNum>
  <w:abstractNum w:abstractNumId="5">
    <w:nsid w:val="737B8DDC"/>
    <w:multiLevelType w:val="hybridMultilevel"/>
    <w:lvl w:ilvl="0">
      <w:lvlJc w:val="left"/>
      <w:lvlText w:val="%1."/>
      <w:numFmt w:val="decimal"/>
      <w:start w:val="6"/>
    </w:lvl>
    <w:lvl w:ilvl="1">
      <w:lvlJc w:val="left"/>
      <w:lvlText w:val="(%2)"/>
      <w:numFmt w:val="lowerLetter"/>
      <w:start w:val="34"/>
    </w:lvl>
    <w:lvl w:ilvl="2">
      <w:lvlJc w:val="left"/>
      <w:lvlText w:val="(%3)"/>
      <w:numFmt w:val="lowerLetter"/>
      <w:start w:val="1"/>
    </w:lvl>
  </w:abstractNum>
  <w:abstractNum w:abstractNumId="6">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22221A7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
    <w:nsid w:val="4516DDE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9">
    <w:nsid w:val="3006C83E"/>
    <w:multiLevelType w:val="hybridMultilevel"/>
    <w:lvl w:ilvl="0">
      <w:lvlJc w:val="left"/>
      <w:lvlText w:val="(%1)"/>
      <w:numFmt w:val="lowerRoman"/>
      <w:start w:val="2"/>
    </w:lvl>
  </w:abstractNum>
  <w:abstractNum w:abstractNumId="10">
    <w:nsid w:val="614FD4A1"/>
    <w:multiLevelType w:val="hybridMultilevel"/>
    <w:lvl w:ilvl="0">
      <w:lvlJc w:val="left"/>
      <w:lvlText w:val="%1."/>
      <w:numFmt w:val="decimal"/>
      <w:start w:val="10"/>
    </w:lvl>
  </w:abstractNum>
  <w:abstractNum w:abstractNumId="11">
    <w:nsid w:val="419AC241"/>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2">
    <w:nsid w:val="5577F8E1"/>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3">
    <w:nsid w:val="440BADFC"/>
    <w:multiLevelType w:val="hybridMultilevel"/>
    <w:lvl w:ilvl="0">
      <w:lvlJc w:val="left"/>
      <w:lvlText w:val="%1."/>
      <w:numFmt w:val="decimal"/>
      <w:start w:val="13"/>
    </w:lvl>
    <w:lvl w:ilvl="1">
      <w:lvlJc w:val="left"/>
      <w:lvlText w:val="(%2)"/>
      <w:numFmt w:val="lowerLetter"/>
      <w:start w:val="1"/>
    </w:lvl>
  </w:abstractNum>
  <w:abstractNum w:abstractNumId="14">
    <w:nsid w:val="5072367"/>
    <w:multiLevelType w:val="hybridMultilevel"/>
    <w:lvl w:ilvl="0">
      <w:lvlJc w:val="left"/>
      <w:lvlText w:val="%1."/>
      <w:numFmt w:val="decimal"/>
      <w:start w:val="16"/>
    </w:lvl>
    <w:lvl w:ilvl="1">
      <w:lvlJc w:val="left"/>
      <w:lvlText w:val="(%2)"/>
      <w:numFmt w:val="lowerLetter"/>
      <w:start w:val="1"/>
    </w:lvl>
  </w:abstractNum>
  <w:abstractNum w:abstractNumId="15">
    <w:nsid w:val="3804823E"/>
    <w:multiLevelType w:val="hybridMultilevel"/>
    <w:lvl w:ilvl="0">
      <w:lvlJc w:val="left"/>
      <w:lvlText w:val="%1"/>
      <w:numFmt w:val="decimal"/>
      <w:start w:val="1"/>
    </w:lvl>
    <w:lvl w:ilvl="1">
      <w:lvlJc w:val="left"/>
      <w:lvlText w:val="(%2)"/>
      <w:numFmt w:val="lowerLetter"/>
      <w:start w:val="2"/>
    </w:lvl>
  </w:abstractNum>
  <w:abstractNum w:abstractNumId="16">
    <w:nsid w:val="77465F01"/>
    <w:multiLevelType w:val="hybridMultilevel"/>
    <w:lvl w:ilvl="0">
      <w:lvlJc w:val="left"/>
      <w:lvlText w:val="%1."/>
      <w:numFmt w:val="decimal"/>
      <w:start w:val="21"/>
    </w:lvl>
    <w:lvl w:ilvl="1">
      <w:lvlJc w:val="left"/>
      <w:lvlText w:val="(%2)"/>
      <w:numFmt w:val="lowerLetter"/>
      <w:start w:val="1"/>
    </w:lvl>
  </w:abstractNum>
  <w:abstractNum w:abstractNumId="17">
    <w:nsid w:val="7724C67E"/>
    <w:multiLevelType w:val="hybridMultilevel"/>
    <w:lvl w:ilvl="0">
      <w:lvlJc w:val="left"/>
      <w:lvlText w:val="(%1)"/>
      <w:numFmt w:val="lowerLetter"/>
      <w:start w:val="2"/>
    </w:lvl>
  </w:abstractNum>
  <w:abstractNum w:abstractNumId="18">
    <w:nsid w:val="5C482A97"/>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19">
    <w:nsid w:val="2463B9EA"/>
    <w:multiLevelType w:val="hybridMultilevel"/>
    <w:lvl w:ilvl="0">
      <w:lvlJc w:val="left"/>
      <w:lvlText w:val="%1"/>
      <w:numFmt w:val="lowerLetter"/>
      <w:start w:val="1"/>
    </w:lvl>
    <w:lvl w:ilvl="1">
      <w:lvlJc w:val="left"/>
      <w:lvlText w:val="(%2)"/>
      <w:numFmt w:val="upperLetter"/>
      <w:start w:val="1"/>
    </w:lvl>
  </w:abstractNum>
  <w:abstractNum w:abstractNumId="20">
    <w:nsid w:val="5E884ADC"/>
    <w:multiLevelType w:val="hybridMultilevel"/>
    <w:lvl w:ilvl="0">
      <w:lvlJc w:val="left"/>
      <w:lvlText w:val="(%1)"/>
      <w:numFmt w:val="lowerLetter"/>
      <w:start w:val="6"/>
    </w:lvl>
    <w:lvl w:ilvl="1">
      <w:lvlJc w:val="left"/>
      <w:lvlText w:val="%2"/>
      <w:numFmt w:val="upperLetter"/>
      <w:start w:val="1"/>
    </w:lvl>
  </w:abstractNum>
  <w:abstractNum w:abstractNumId="21">
    <w:nsid w:val="51EAD36B"/>
    <w:multiLevelType w:val="hybridMultilevel"/>
    <w:lvl w:ilvl="0">
      <w:lvlJc w:val="left"/>
      <w:lvlText w:val="(%1)"/>
      <w:numFmt w:val="lowerLetter"/>
      <w:start w:val="11"/>
    </w:lvl>
  </w:abstractNum>
  <w:abstractNum w:abstractNumId="22">
    <w:nsid w:val="2D517796"/>
    <w:multiLevelType w:val="hybridMultilevel"/>
    <w:lvl w:ilvl="0">
      <w:lvlJc w:val="left"/>
      <w:lvlText w:val="(%1)"/>
      <w:numFmt w:val="lowerLetter"/>
      <w:start w:val="14"/>
    </w:lvl>
  </w:abstractNum>
  <w:abstractNum w:abstractNumId="23">
    <w:nsid w:val="580BD78F"/>
    <w:multiLevelType w:val="hybridMultilevel"/>
    <w:lvl w:ilvl="0">
      <w:lvlJc w:val="left"/>
      <w:lvlText w:val="%1"/>
      <w:numFmt w:val="decimal"/>
      <w:start w:val="1"/>
    </w:lvl>
    <w:lvl w:ilvl="1">
      <w:lvlJc w:val="left"/>
      <w:lvlText w:val="(%2)"/>
      <w:numFmt w:val="lowerLetter"/>
      <w:start w:val="20"/>
    </w:lvl>
  </w:abstractNum>
  <w:abstractNum w:abstractNumId="24">
    <w:nsid w:val="153EA438"/>
    <w:multiLevelType w:val="hybridMultilevel"/>
    <w:lvl w:ilvl="0">
      <w:lvlJc w:val="left"/>
      <w:lvlText w:val="%1."/>
      <w:numFmt w:val="decimal"/>
      <w:start w:val="25"/>
    </w:lvl>
    <w:lvl w:ilvl="1">
      <w:lvlJc w:val="left"/>
      <w:lvlText w:val="(%2)"/>
      <w:numFmt w:val="lowerLetter"/>
      <w:start w:val="1"/>
    </w:lvl>
  </w:abstractNum>
  <w:abstractNum w:abstractNumId="25">
    <w:nsid w:val="3855585C"/>
    <w:multiLevelType w:val="hybridMultilevel"/>
    <w:lvl w:ilvl="0">
      <w:lvlJc w:val="left"/>
      <w:lvlText w:val="%1."/>
      <w:numFmt w:val="decimal"/>
      <w:start w:val="26"/>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lowerLetter"/>
      <w:start w:val="7"/>
    </w:lvl>
  </w:abstractNum>
  <w:abstractNum w:abstractNumId="29">
    <w:nsid w:val="1D4ED43B"/>
    <w:multiLevelType w:val="hybridMultilevel"/>
    <w:lvl w:ilvl="0">
      <w:lvlJc w:val="left"/>
      <w:lvlText w:val="%1."/>
      <w:numFmt w:val="decimal"/>
      <w:start w:val="4"/>
    </w:lvl>
  </w:abstractNum>
  <w:abstractNum w:abstractNumId="30">
    <w:nsid w:val="725A06FB"/>
    <w:multiLevelType w:val="hybridMultilevel"/>
    <w:lvl w:ilvl="0">
      <w:lvlJc w:val="left"/>
      <w:lvlText w:val="(%1)"/>
      <w:numFmt w:val="lowerLetter"/>
      <w:start w:val="1"/>
    </w:lvl>
    <w:lvl w:ilvl="1">
      <w:lvlJc w:val="left"/>
      <w:lvlText w:val="(%2)"/>
      <w:numFmt w:val="lowerRoman"/>
      <w:start w:val="1"/>
    </w:lvl>
  </w:abstractNum>
  <w:abstractNum w:abstractNumId="31">
    <w:nsid w:val="2CD89A32"/>
    <w:multiLevelType w:val="hybridMultilevel"/>
    <w:lvl w:ilvl="0">
      <w:lvlJc w:val="left"/>
      <w:lvlText w:val="(%1)"/>
      <w:numFmt w:val="lowerRoman"/>
      <w:start w:val="4"/>
    </w:lvl>
  </w:abstractNum>
  <w:abstractNum w:abstractNumId="32">
    <w:nsid w:val="57E4CCAF"/>
    <w:multiLevelType w:val="hybridMultilevel"/>
    <w:lvl w:ilvl="0">
      <w:lvlJc w:val="left"/>
      <w:lvlText w:val="%1"/>
      <w:numFmt w:val="lowerLetter"/>
      <w:start w:val="1"/>
    </w:lvl>
    <w:lvl w:ilvl="1">
      <w:lvlJc w:val="left"/>
      <w:lvlText w:val="(%2)"/>
      <w:numFmt w:val="lowerRoman"/>
      <w:start w:val="7"/>
    </w:lvl>
  </w:abstractNum>
  <w:abstractNum w:abstractNumId="33">
    <w:nsid w:val="7A6D8D3C"/>
    <w:multiLevelType w:val="hybridMultilevel"/>
    <w:lvl w:ilvl="0">
      <w:lvlJc w:val="left"/>
      <w:lvlText w:val="(%1)"/>
      <w:numFmt w:val="lowerLetter"/>
      <w:start w:val="3"/>
    </w:lvl>
    <w:lvl w:ilvl="1">
      <w:lvlJc w:val="left"/>
      <w:lvlText w:val="%2"/>
      <w:numFmt w:val="lowerRoman"/>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decimal"/>
      <w:start w:val="6"/>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decimal"/>
      <w:start w:val="7"/>
    </w:lvl>
    <w:lvl w:ilvl="1">
      <w:lvlJc w:val="left"/>
      <w:lvlText w:val="(%2)"/>
      <w:numFmt w:val="lowerLetter"/>
      <w:start w:val="1"/>
    </w:lvl>
  </w:abstractNum>
  <w:abstractNum w:abstractNumId="39">
    <w:nsid w:val="32FFF902"/>
    <w:multiLevelType w:val="hybridMultilevel"/>
    <w:lvl w:ilvl="0">
      <w:lvlJc w:val="left"/>
      <w:lvlText w:val="%1"/>
      <w:numFmt w:val="decimal"/>
      <w:start w:val="1"/>
    </w:lvl>
    <w:lvl w:ilvl="1">
      <w:lvlJc w:val="left"/>
      <w:lvlText w:val="(%2)"/>
      <w:numFmt w:val="lowerLetter"/>
      <w:start w:val="2"/>
    </w:lvl>
  </w:abstractNum>
  <w:abstractNum w:abstractNumId="40">
    <w:nsid w:val="684A481A"/>
    <w:multiLevelType w:val="hybridMultilevel"/>
    <w:lvl w:ilvl="0">
      <w:lvlJc w:val="left"/>
      <w:lvlText w:val="%1."/>
      <w:numFmt w:val="decimal"/>
      <w:start w:val="10"/>
    </w:lvl>
    <w:lvl w:ilvl="1">
      <w:lvlJc w:val="left"/>
      <w:lvlText w:val="%2"/>
      <w:numFmt w:val="lowerLetter"/>
      <w:start w:val="1"/>
    </w:lvl>
  </w:abstractNum>
  <w:abstractNum w:abstractNumId="41">
    <w:nsid w:val="579478FE"/>
    <w:multiLevelType w:val="hybridMultilevel"/>
    <w:lvl w:ilvl="0">
      <w:lvlJc w:val="left"/>
      <w:lvlText w:val="%1"/>
      <w:numFmt w:val="decimal"/>
      <w:start w:val="1"/>
    </w:lvl>
    <w:lvl w:ilvl="1">
      <w:lvlJc w:val="left"/>
      <w:lvlText w:val="(%2)"/>
      <w:numFmt w:val="lowerLetter"/>
      <w:start w:val="1"/>
    </w:lvl>
  </w:abstractNum>
  <w:abstractNum w:abstractNumId="42">
    <w:nsid w:val="749ABB43"/>
    <w:multiLevelType w:val="hybridMultilevel"/>
    <w:lvl w:ilvl="0">
      <w:lvlJc w:val="left"/>
      <w:lvlText w:val="%1."/>
      <w:numFmt w:val="decimal"/>
      <w:start w:val="11"/>
    </w:lvl>
    <w:lvl w:ilvl="1">
      <w:lvlJc w:val="left"/>
      <w:lvlText w:val="%2"/>
      <w:numFmt w:val="lowerLetter"/>
      <w:start w:val="1"/>
    </w:lvl>
  </w:abstractNum>
  <w:abstractNum w:abstractNumId="43">
    <w:nsid w:val="3DC240FB"/>
    <w:multiLevelType w:val="hybridMultilevel"/>
    <w:lvl w:ilvl="0">
      <w:lvlJc w:val="left"/>
      <w:lvlText w:val="%1."/>
      <w:numFmt w:val="decimal"/>
      <w:start w:val="12"/>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decimal"/>
      <w:start w:val="14"/>
    </w:lvl>
  </w:abstractNum>
  <w:abstractNum w:abstractNumId="47">
    <w:nsid w:val="12E685F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8">
    <w:nsid w:val="70C6A529"/>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49">
    <w:nsid w:val="520EEDD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50">
    <w:nsid w:val="374A3FE6"/>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51">
    <w:nsid w:val="4F4EF005"/>
    <w:multiLevelType w:val="hybridMultilevel"/>
    <w:lvl w:ilvl="0">
      <w:lvlJc w:val="left"/>
      <w:lvlText w:val="(%1)"/>
      <w:numFmt w:val="lowerLetter"/>
      <w:start w:val="61"/>
    </w:lvl>
    <w:lvl w:ilvl="1">
      <w:lvlJc w:val="left"/>
      <w:lvlText w:val="(%2)"/>
      <w:numFmt w:val="lowerLetter"/>
      <w:start w:val="7"/>
    </w:lvl>
    <w:lvl w:ilvl="2">
      <w:lvlJc w:val="left"/>
      <w:lvlText w:val="%3"/>
      <w:numFmt w:val="upperLetter"/>
      <w:start w:val="1"/>
    </w:lvl>
  </w:abstractNum>
  <w:abstractNum w:abstractNumId="52">
    <w:nsid w:val="23F9C13C"/>
    <w:multiLevelType w:val="hybridMultilevel"/>
    <w:lvl w:ilvl="0">
      <w:lvlJc w:val="left"/>
      <w:lvlText w:val="(%1)"/>
      <w:numFmt w:val="lowerLetter"/>
      <w:start w:val="8"/>
    </w:lvl>
  </w:abstractNum>
  <w:abstractNum w:abstractNumId="53">
    <w:nsid w:val="649BB77C"/>
    <w:multiLevelType w:val="hybridMultilevel"/>
    <w:lvl w:ilvl="0">
      <w:lvlJc w:val="left"/>
      <w:lvlText w:val="%1."/>
      <w:numFmt w:val="decimal"/>
      <w:start w:val="18"/>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9"/>
    </w:lvl>
  </w:abstractNum>
  <w:abstractNum w:abstractNumId="56">
    <w:nsid w:val="1CF10FD8"/>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2019-12-10T08:23:36Z</dcterms:created>
  <dcterms:modified xsi:type="dcterms:W3CDTF">2019-12-10T08:23:36Z</dcterms:modified>
</cp:coreProperties>
</file>