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333-137526</w:t>
      </w:r>
    </w:p>
    <w:p>
      <w:pPr>
        <w:spacing w:after="0" w:line="32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CALCULATION OF REGISTRATION FEE</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500" w:type="dxa"/>
            <w:vAlign w:val="bottom"/>
            <w:tcBorders>
              <w:top w:val="single" w:sz="8" w:color="auto"/>
              <w:bottom w:val="single" w:sz="8" w:color="auto"/>
              <w:right w:val="single" w:sz="8" w:color="auto"/>
            </w:tcBorders>
          </w:tcPr>
          <w:p>
            <w:pPr>
              <w:spacing w:after="0"/>
              <w:rPr>
                <w:sz w:val="3"/>
                <w:szCs w:val="3"/>
                <w:color w:val="auto"/>
              </w:rPr>
            </w:pPr>
          </w:p>
        </w:tc>
        <w:tc>
          <w:tcPr>
            <w:tcW w:w="1820" w:type="dxa"/>
            <w:vAlign w:val="bottom"/>
            <w:tcBorders>
              <w:top w:val="single" w:sz="8" w:color="auto"/>
              <w:bottom w:val="single" w:sz="8" w:color="auto"/>
              <w:right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650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Maximum Aggregate</w:t>
            </w:r>
          </w:p>
        </w:tc>
        <w:tc>
          <w:tcPr>
            <w:tcW w:w="15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38"/>
        </w:trPr>
        <w:tc>
          <w:tcPr>
            <w:tcW w:w="20" w:type="dxa"/>
            <w:vAlign w:val="bottom"/>
          </w:tcPr>
          <w:p>
            <w:pPr>
              <w:spacing w:after="0"/>
              <w:rPr>
                <w:sz w:val="20"/>
                <w:szCs w:val="20"/>
                <w:color w:val="auto"/>
              </w:rPr>
            </w:pPr>
          </w:p>
        </w:tc>
        <w:tc>
          <w:tcPr>
            <w:tcW w:w="650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 of Securities to be Offered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5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6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6.10% Senior Notes due 2018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$600,000,000</w:t>
            </w: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$23,580</w:t>
            </w:r>
          </w:p>
        </w:tc>
      </w:tr>
      <w:tr>
        <w:trPr>
          <w:trHeight w:val="210"/>
        </w:trPr>
        <w:tc>
          <w:tcPr>
            <w:tcW w:w="6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Guarantee of Senior Notes</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$600,000,000</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1200" w:right="300" w:hanging="270"/>
        <w:spacing w:after="0" w:line="236" w:lineRule="auto"/>
        <w:tabs>
          <w:tab w:leader="none" w:pos="1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fee of $23,580 is calculated in accordance with Rule 457(r) of the Securities Act of 1933, as amended. Pursuant to Rule 457(p) under the Securities Act of 1933, as amended, a portion of the previously paid registration fee with respect to the proposed offering of unsold securities registered under Registration Statement on Form S-3 (Registration No. 333-80063) initially filed with the Securities Exchange Commission on June 4, 1999 is being applied to offset the $23,580 registration fee in its entirety. Accordingly, no filing fee is being paid at this time.</w:t>
      </w:r>
    </w:p>
    <w:p>
      <w:pPr>
        <w:spacing w:after="0" w:line="15" w:lineRule="exact"/>
        <w:rPr>
          <w:rFonts w:ascii="Times New Roman" w:cs="Times New Roman" w:eastAsia="Times New Roman" w:hAnsi="Times New Roman"/>
          <w:sz w:val="14"/>
          <w:szCs w:val="14"/>
          <w:color w:val="auto"/>
        </w:rPr>
      </w:pPr>
    </w:p>
    <w:p>
      <w:pPr>
        <w:ind w:left="1200" w:hanging="270"/>
        <w:spacing w:after="0"/>
        <w:tabs>
          <w:tab w:leader="none" w:pos="1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457(n), no separate fee for the guarantee is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18" w:right="10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Prospectus Dated September 22, 2006)</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29"/>
          <w:szCs w:val="29"/>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107950</wp:posOffset>
            </wp:positionV>
            <wp:extent cx="126936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29"/>
          <w:szCs w:val="29"/>
          <w:b w:val="1"/>
          <w:bCs w:val="1"/>
          <w:color w:val="auto"/>
        </w:rPr>
        <w:t>6.10% Senior Notes due 2018</w:t>
      </w:r>
    </w:p>
    <w:p>
      <w:pPr>
        <w:spacing w:after="0" w:line="151" w:lineRule="exact"/>
        <w:rPr>
          <w:sz w:val="20"/>
          <w:szCs w:val="20"/>
          <w:color w:val="auto"/>
        </w:rPr>
      </w:pPr>
    </w:p>
    <w:p>
      <w:pPr>
        <w:ind w:left="460" w:right="1060" w:firstLine="312"/>
        <w:spacing w:after="0" w:line="282" w:lineRule="auto"/>
        <w:rPr>
          <w:sz w:val="20"/>
          <w:szCs w:val="20"/>
          <w:color w:val="auto"/>
        </w:rPr>
      </w:pPr>
      <w:r>
        <w:rPr>
          <w:rFonts w:ascii="Times New Roman" w:cs="Times New Roman" w:eastAsia="Times New Roman" w:hAnsi="Times New Roman"/>
          <w:sz w:val="18"/>
          <w:szCs w:val="18"/>
          <w:color w:val="auto"/>
        </w:rPr>
        <w:t>The notes will bear interest at the rate of 6.10% per year. Interest on the notes will accrue from March 6, 2008 and will be payable on March 15 and September 15 of each year, beginning September 15, 2008. The notes will mature on March 15, 2018.</w:t>
      </w:r>
    </w:p>
    <w:p>
      <w:pPr>
        <w:spacing w:after="0" w:line="67" w:lineRule="exact"/>
        <w:rPr>
          <w:sz w:val="20"/>
          <w:szCs w:val="20"/>
          <w:color w:val="auto"/>
        </w:rPr>
      </w:pPr>
    </w:p>
    <w:p>
      <w:pPr>
        <w:jc w:val="both"/>
        <w:ind w:left="460" w:right="640" w:firstLine="312"/>
        <w:spacing w:after="0" w:line="266" w:lineRule="auto"/>
        <w:rPr>
          <w:sz w:val="20"/>
          <w:szCs w:val="20"/>
          <w:color w:val="auto"/>
        </w:rPr>
      </w:pPr>
      <w:r>
        <w:rPr>
          <w:rFonts w:ascii="Times New Roman" w:cs="Times New Roman" w:eastAsia="Times New Roman" w:hAnsi="Times New Roman"/>
          <w:sz w:val="18"/>
          <w:szCs w:val="18"/>
          <w:color w:val="auto"/>
        </w:rPr>
        <w:t>The notes will be the senior obligations of Waste Management, Inc. and will be fully and unconditionally guaranteed by our wholly-owned subsidiary Waste Management Holdings, Inc. The notes will rank equally with all of our other senior indebtedness. The indenture under which we are issuing the notes does not restrict our ability to incur additional senior indebtedness.</w:t>
      </w:r>
    </w:p>
    <w:p>
      <w:pPr>
        <w:spacing w:after="0" w:line="82" w:lineRule="exact"/>
        <w:rPr>
          <w:sz w:val="20"/>
          <w:szCs w:val="20"/>
          <w:color w:val="auto"/>
        </w:rPr>
      </w:pPr>
    </w:p>
    <w:p>
      <w:pPr>
        <w:ind w:left="460" w:right="1000" w:firstLine="312"/>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at the redemption prices described beginning on page S-14. If a change of control triggering event as described on page S-17 occurs, we may be required to offer to purchase the notes from holders.</w:t>
      </w:r>
    </w:p>
    <w:p>
      <w:pPr>
        <w:spacing w:after="0" w:line="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See “Risk Factors” beginning on page S-3 of this prospectus supplement.</w:t>
      </w:r>
    </w:p>
    <w:p>
      <w:pPr>
        <w:spacing w:after="0" w:line="135" w:lineRule="exact"/>
        <w:rPr>
          <w:sz w:val="20"/>
          <w:szCs w:val="20"/>
          <w:color w:val="auto"/>
        </w:rPr>
      </w:pPr>
    </w:p>
    <w:p>
      <w:pPr>
        <w:jc w:val="both"/>
        <w:ind w:left="460" w:right="800" w:firstLine="312"/>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80645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Price to Public(1)</w:t>
            </w:r>
          </w:p>
        </w:tc>
        <w:tc>
          <w:tcPr>
            <w:tcW w:w="2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Underwriting Discount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Proceeds to Us</w:t>
            </w:r>
          </w:p>
        </w:tc>
      </w:tr>
      <w:tr>
        <w:trPr>
          <w:trHeight w:val="20"/>
        </w:trPr>
        <w:tc>
          <w:tcPr>
            <w:tcW w:w="5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 Note</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99.598%</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98.948%</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$597,588,000</w:t>
            </w:r>
          </w:p>
        </w:tc>
        <w:tc>
          <w:tcPr>
            <w:tcW w:w="360" w:type="dxa"/>
            <w:vAlign w:val="bottom"/>
          </w:tcPr>
          <w:p>
            <w:pPr>
              <w:spacing w:after="0"/>
              <w:rPr>
                <w:sz w:val="20"/>
                <w:szCs w:val="20"/>
                <w:color w:val="auto"/>
              </w:rPr>
            </w:pPr>
          </w:p>
        </w:tc>
        <w:tc>
          <w:tcPr>
            <w:tcW w:w="2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$3,900,000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$593,688,000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77470</wp:posOffset>
            </wp:positionV>
            <wp:extent cx="591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(1)  Plus accrued interest from March 6, 2008 if delivery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92075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460" w:right="800" w:firstLine="312"/>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notes to investors on or about March 6, 2008 only in book-entry form through the facilities of The Depository Trust Company and its participants, including Euroclear and Clearstream Luxembourg.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80" w:type="dxa"/>
            <w:vAlign w:val="bottom"/>
            <w:gridSpan w:val="2"/>
          </w:tcPr>
          <w:p>
            <w:pPr>
              <w:jc w:val="center"/>
              <w:ind w:left="339"/>
              <w:spacing w:after="0"/>
              <w:rPr>
                <w:sz w:val="20"/>
                <w:szCs w:val="20"/>
                <w:color w:val="auto"/>
              </w:rPr>
            </w:pPr>
            <w:r>
              <w:rPr>
                <w:rFonts w:ascii="Arial" w:cs="Arial" w:eastAsia="Arial" w:hAnsi="Arial"/>
                <w:sz w:val="16"/>
                <w:szCs w:val="16"/>
                <w:i w:val="1"/>
                <w:iCs w:val="1"/>
                <w:color w:val="auto"/>
              </w:rPr>
              <w:t>Joint Book-Running and Joint Lead Managers</w:t>
            </w:r>
          </w:p>
        </w:tc>
        <w:tc>
          <w:tcPr>
            <w:tcW w:w="20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12"/>
        </w:trPr>
        <w:tc>
          <w:tcPr>
            <w:tcW w:w="4380" w:type="dxa"/>
            <w:vAlign w:val="bottom"/>
            <w:gridSpan w:val="3"/>
          </w:tcPr>
          <w:p>
            <w:pPr>
              <w:ind w:left="460"/>
              <w:spacing w:after="0"/>
              <w:rPr>
                <w:sz w:val="20"/>
                <w:szCs w:val="20"/>
                <w:color w:val="auto"/>
              </w:rPr>
            </w:pPr>
            <w:r>
              <w:rPr>
                <w:rFonts w:ascii="Arial" w:cs="Arial" w:eastAsia="Arial" w:hAnsi="Arial"/>
                <w:sz w:val="23"/>
                <w:szCs w:val="23"/>
                <w:b w:val="1"/>
                <w:bCs w:val="1"/>
                <w:color w:val="auto"/>
              </w:rPr>
              <w:t>Banc of America Securities LLC</w:t>
            </w:r>
          </w:p>
        </w:tc>
        <w:tc>
          <w:tcPr>
            <w:tcW w:w="2960" w:type="dxa"/>
            <w:vAlign w:val="bottom"/>
          </w:tcPr>
          <w:p>
            <w:pPr>
              <w:ind w:left="780"/>
              <w:spacing w:after="0"/>
              <w:rPr>
                <w:sz w:val="20"/>
                <w:szCs w:val="20"/>
                <w:color w:val="auto"/>
              </w:rPr>
            </w:pPr>
            <w:r>
              <w:rPr>
                <w:rFonts w:ascii="Arial" w:cs="Arial" w:eastAsia="Arial" w:hAnsi="Arial"/>
                <w:sz w:val="23"/>
                <w:szCs w:val="23"/>
                <w:b w:val="1"/>
                <w:bCs w:val="1"/>
                <w:color w:val="auto"/>
              </w:rPr>
              <w:t>JPMorgan</w:t>
            </w:r>
          </w:p>
        </w:tc>
        <w:tc>
          <w:tcPr>
            <w:tcW w:w="4080" w:type="dxa"/>
            <w:vAlign w:val="bottom"/>
            <w:gridSpan w:val="2"/>
          </w:tcPr>
          <w:p>
            <w:pPr>
              <w:ind w:left="900"/>
              <w:spacing w:after="0"/>
              <w:rPr>
                <w:sz w:val="20"/>
                <w:szCs w:val="20"/>
                <w:color w:val="auto"/>
              </w:rPr>
            </w:pPr>
            <w:r>
              <w:rPr>
                <w:rFonts w:ascii="Arial" w:cs="Arial" w:eastAsia="Arial" w:hAnsi="Arial"/>
                <w:sz w:val="23"/>
                <w:szCs w:val="23"/>
                <w:b w:val="1"/>
                <w:bCs w:val="1"/>
                <w:color w:val="auto"/>
              </w:rPr>
              <w:t>RBS Greenwich Capital</w:t>
            </w:r>
          </w:p>
        </w:tc>
      </w:tr>
      <w:tr>
        <w:trPr>
          <w:trHeight w:val="406"/>
        </w:trPr>
        <w:tc>
          <w:tcPr>
            <w:tcW w:w="1980" w:type="dxa"/>
            <w:vAlign w:val="bottom"/>
          </w:tcPr>
          <w:p>
            <w:pPr>
              <w:ind w:left="480"/>
              <w:spacing w:after="0"/>
              <w:rPr>
                <w:sz w:val="20"/>
                <w:szCs w:val="20"/>
                <w:color w:val="auto"/>
              </w:rPr>
            </w:pPr>
            <w:r>
              <w:rPr>
                <w:rFonts w:ascii="Arial" w:cs="Arial" w:eastAsia="Arial" w:hAnsi="Arial"/>
                <w:sz w:val="16"/>
                <w:szCs w:val="16"/>
                <w:b w:val="1"/>
                <w:bCs w:val="1"/>
                <w:color w:val="auto"/>
              </w:rPr>
              <w:t>Barclays Capital</w:t>
            </w:r>
          </w:p>
        </w:tc>
        <w:tc>
          <w:tcPr>
            <w:tcW w:w="1580" w:type="dxa"/>
            <w:vAlign w:val="bottom"/>
          </w:tcPr>
          <w:p>
            <w:pPr>
              <w:ind w:left="240"/>
              <w:spacing w:after="0"/>
              <w:rPr>
                <w:sz w:val="20"/>
                <w:szCs w:val="20"/>
                <w:color w:val="auto"/>
              </w:rPr>
            </w:pPr>
            <w:r>
              <w:rPr>
                <w:rFonts w:ascii="Arial" w:cs="Arial" w:eastAsia="Arial" w:hAnsi="Arial"/>
                <w:sz w:val="16"/>
                <w:szCs w:val="16"/>
                <w:b w:val="1"/>
                <w:bCs w:val="1"/>
                <w:color w:val="auto"/>
              </w:rPr>
              <w:t>BNP PARIBAS</w:t>
            </w:r>
          </w:p>
        </w:tc>
        <w:tc>
          <w:tcPr>
            <w:tcW w:w="820" w:type="dxa"/>
            <w:vAlign w:val="bottom"/>
          </w:tcPr>
          <w:p>
            <w:pPr>
              <w:ind w:left="260"/>
              <w:spacing w:after="0"/>
              <w:rPr>
                <w:sz w:val="20"/>
                <w:szCs w:val="20"/>
                <w:color w:val="auto"/>
              </w:rPr>
            </w:pPr>
            <w:r>
              <w:rPr>
                <w:rFonts w:ascii="Arial" w:cs="Arial" w:eastAsia="Arial" w:hAnsi="Arial"/>
                <w:sz w:val="16"/>
                <w:szCs w:val="16"/>
                <w:b w:val="1"/>
                <w:bCs w:val="1"/>
                <w:color w:val="auto"/>
              </w:rPr>
              <w:t>Citi</w:t>
            </w:r>
          </w:p>
        </w:tc>
        <w:tc>
          <w:tcPr>
            <w:tcW w:w="2960" w:type="dxa"/>
            <w:vAlign w:val="bottom"/>
          </w:tcPr>
          <w:p>
            <w:pPr>
              <w:jc w:val="center"/>
              <w:ind w:right="261"/>
              <w:spacing w:after="0"/>
              <w:rPr>
                <w:sz w:val="20"/>
                <w:szCs w:val="20"/>
                <w:color w:val="auto"/>
              </w:rPr>
            </w:pPr>
            <w:r>
              <w:rPr>
                <w:rFonts w:ascii="Arial" w:cs="Arial" w:eastAsia="Arial" w:hAnsi="Arial"/>
                <w:sz w:val="16"/>
                <w:szCs w:val="16"/>
                <w:b w:val="1"/>
                <w:bCs w:val="1"/>
                <w:color w:val="auto"/>
              </w:rPr>
              <w:t>Deutsche Bank Securities</w:t>
            </w:r>
          </w:p>
        </w:tc>
        <w:tc>
          <w:tcPr>
            <w:tcW w:w="2080" w:type="dxa"/>
            <w:vAlign w:val="bottom"/>
          </w:tcPr>
          <w:p>
            <w:pPr>
              <w:ind w:left="40"/>
              <w:spacing w:after="0"/>
              <w:rPr>
                <w:sz w:val="20"/>
                <w:szCs w:val="20"/>
                <w:color w:val="auto"/>
              </w:rPr>
            </w:pPr>
            <w:r>
              <w:rPr>
                <w:rFonts w:ascii="Arial" w:cs="Arial" w:eastAsia="Arial" w:hAnsi="Arial"/>
                <w:sz w:val="16"/>
                <w:szCs w:val="16"/>
                <w:b w:val="1"/>
                <w:bCs w:val="1"/>
                <w:color w:val="auto"/>
              </w:rPr>
              <w:t>Goldman, Sachs &amp; Co.</w:t>
            </w:r>
          </w:p>
        </w:tc>
        <w:tc>
          <w:tcPr>
            <w:tcW w:w="2000" w:type="dxa"/>
            <w:vAlign w:val="bottom"/>
          </w:tcPr>
          <w:p>
            <w:pPr>
              <w:ind w:left="320"/>
              <w:spacing w:after="0"/>
              <w:rPr>
                <w:sz w:val="20"/>
                <w:szCs w:val="20"/>
                <w:color w:val="auto"/>
              </w:rPr>
            </w:pPr>
            <w:r>
              <w:rPr>
                <w:rFonts w:ascii="Arial" w:cs="Arial" w:eastAsia="Arial" w:hAnsi="Arial"/>
                <w:sz w:val="16"/>
                <w:szCs w:val="16"/>
                <w:b w:val="1"/>
                <w:bCs w:val="1"/>
                <w:color w:val="auto"/>
              </w:rPr>
              <w:t>Scotia Capital</w:t>
            </w:r>
          </w:p>
        </w:tc>
      </w:tr>
      <w:tr>
        <w:trPr>
          <w:trHeight w:val="272"/>
        </w:trPr>
        <w:tc>
          <w:tcPr>
            <w:tcW w:w="1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March 3, 2008</w:t>
            </w:r>
          </w:p>
        </w:tc>
        <w:tc>
          <w:tcPr>
            <w:tcW w:w="1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32"/>
        </w:trPr>
        <w:tc>
          <w:tcPr>
            <w:tcW w:w="198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spacing w:after="0"/>
              <w:rPr>
                <w:sz w:val="20"/>
                <w:szCs w:val="20"/>
                <w:color w:val="auto"/>
              </w:rPr>
            </w:pPr>
          </w:p>
        </w:tc>
        <w:tc>
          <w:tcPr>
            <w:tcW w:w="2960" w:type="dxa"/>
            <w:vAlign w:val="bottom"/>
            <w:tcBorders>
              <w:bottom w:val="single" w:sz="8" w:color="808080"/>
            </w:tcBorders>
          </w:tcPr>
          <w:p>
            <w:pPr>
              <w:spacing w:after="0"/>
              <w:rPr>
                <w:sz w:val="20"/>
                <w:szCs w:val="20"/>
                <w:color w:val="auto"/>
              </w:rPr>
            </w:pPr>
          </w:p>
        </w:tc>
        <w:tc>
          <w:tcPr>
            <w:tcW w:w="2080" w:type="dxa"/>
            <w:vAlign w:val="bottom"/>
            <w:tcBorders>
              <w:bottom w:val="single" w:sz="8" w:color="808080"/>
            </w:tcBorders>
          </w:tcPr>
          <w:p>
            <w:pPr>
              <w:spacing w:after="0"/>
              <w:rPr>
                <w:sz w:val="20"/>
                <w:szCs w:val="20"/>
                <w:color w:val="auto"/>
              </w:rPr>
            </w:pPr>
          </w:p>
        </w:tc>
        <w:tc>
          <w:tcPr>
            <w:tcW w:w="20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ind w:left="700" w:right="820" w:firstLine="298"/>
        <w:spacing w:after="0" w:line="269" w:lineRule="auto"/>
        <w:rPr>
          <w:sz w:val="20"/>
          <w:szCs w:val="20"/>
          <w:color w:val="auto"/>
        </w:rPr>
      </w:pPr>
      <w:r>
        <w:rPr>
          <w:rFonts w:ascii="Times New Roman" w:cs="Times New Roman" w:eastAsia="Times New Roman" w:hAnsi="Times New Roman"/>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authorized anyone to provide you with additional or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58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34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auto"/>
              </w:rPr>
              <w:t>Prospectus Supplement</w:t>
            </w:r>
          </w:p>
        </w:tc>
        <w:tc>
          <w:tcPr>
            <w:tcW w:w="6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3340" w:type="dxa"/>
            <w:vAlign w:val="bottom"/>
            <w:gridSpan w:val="20"/>
            <w:vMerge w:val="continue"/>
          </w:tcPr>
          <w:p>
            <w:pPr>
              <w:spacing w:after="0"/>
              <w:rPr>
                <w:sz w:val="20"/>
                <w:szCs w:val="20"/>
                <w:color w:val="auto"/>
              </w:rPr>
            </w:pPr>
          </w:p>
        </w:tc>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3340" w:type="dxa"/>
            <w:vAlign w:val="bottom"/>
            <w:gridSpan w:val="20"/>
          </w:tcPr>
          <w:p>
            <w:pPr>
              <w:spacing w:after="0" w:line="176" w:lineRule="exact"/>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Summary</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S-1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Risk Factors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rPr>
              <w:t>S-3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14">
              <w:r>
                <w:rPr>
                  <w:rFonts w:ascii="Times New Roman" w:cs="Times New Roman" w:eastAsia="Times New Roman" w:hAnsi="Times New Roman"/>
                  <w:sz w:val="16"/>
                  <w:szCs w:val="16"/>
                  <w:color w:val="0000EE"/>
                </w:rPr>
                <w:t>Use of Proceeds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S-10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15">
              <w:r>
                <w:rPr>
                  <w:rFonts w:ascii="Times New Roman" w:cs="Times New Roman" w:eastAsia="Times New Roman" w:hAnsi="Times New Roman"/>
                  <w:sz w:val="16"/>
                  <w:szCs w:val="16"/>
                  <w:color w:val="0000EE"/>
                </w:rPr>
                <w:t>Ratio of Earnings to Fixed Charges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S-11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920" w:type="dxa"/>
            <w:vAlign w:val="bottom"/>
            <w:tcBorders>
              <w:top w:val="single" w:sz="8" w:color="0000EE"/>
              <w:bottom w:val="single" w:sz="8" w:color="0000EE"/>
            </w:tcBorders>
            <w:gridSpan w:val="6"/>
          </w:tcPr>
          <w:p>
            <w:pPr>
              <w:spacing w:after="0" w:line="183" w:lineRule="exact"/>
              <w:rPr>
                <w:rFonts w:ascii="Times New Roman" w:cs="Times New Roman" w:eastAsia="Times New Roman" w:hAnsi="Times New Roman"/>
                <w:sz w:val="16"/>
                <w:szCs w:val="16"/>
                <w:color w:val="0000EE"/>
              </w:rPr>
            </w:pPr>
            <w:hyperlink w:anchor="page16">
              <w:r>
                <w:rPr>
                  <w:rFonts w:ascii="Times New Roman" w:cs="Times New Roman" w:eastAsia="Times New Roman" w:hAnsi="Times New Roman"/>
                  <w:sz w:val="16"/>
                  <w:szCs w:val="16"/>
                  <w:color w:val="0000EE"/>
                </w:rPr>
                <w:t>Capitalization</w:t>
              </w:r>
            </w:hyperlink>
          </w:p>
        </w:tc>
        <w:tc>
          <w:tcPr>
            <w:tcW w:w="1360" w:type="dxa"/>
            <w:vAlign w:val="bottom"/>
            <w:tcBorders>
              <w:top w:val="single" w:sz="8" w:color="0000EE"/>
            </w:tcBorders>
            <w:gridSpan w:val="12"/>
          </w:tcPr>
          <w:p>
            <w:pPr>
              <w:spacing w:after="0"/>
              <w:rPr>
                <w:sz w:val="15"/>
                <w:szCs w:val="15"/>
                <w:color w:val="auto"/>
              </w:rPr>
            </w:pPr>
          </w:p>
        </w:tc>
        <w:tc>
          <w:tcPr>
            <w:tcW w:w="1060" w:type="dxa"/>
            <w:vAlign w:val="bottom"/>
            <w:gridSpan w:val="2"/>
          </w:tcPr>
          <w:p>
            <w:pPr>
              <w:spacing w:after="0"/>
              <w:rPr>
                <w:sz w:val="15"/>
                <w:szCs w:val="15"/>
                <w:color w:val="auto"/>
              </w:rPr>
            </w:pPr>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S-12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Description of Notes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S-13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340" w:type="dxa"/>
            <w:vAlign w:val="bottom"/>
            <w:tcBorders>
              <w:top w:val="single" w:sz="8" w:color="0000EE"/>
            </w:tcBorders>
            <w:gridSpan w:val="9"/>
          </w:tcPr>
          <w:p>
            <w:pPr>
              <w:spacing w:after="0" w:line="183" w:lineRule="exact"/>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Underwriting</w:t>
              </w:r>
            </w:hyperlink>
          </w:p>
        </w:tc>
        <w:tc>
          <w:tcPr>
            <w:tcW w:w="2000" w:type="dxa"/>
            <w:vAlign w:val="bottom"/>
            <w:gridSpan w:val="11"/>
          </w:tcPr>
          <w:p>
            <w:pPr>
              <w:spacing w:after="0"/>
              <w:rPr>
                <w:sz w:val="15"/>
                <w:szCs w:val="15"/>
                <w:color w:val="auto"/>
              </w:rPr>
            </w:pPr>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S-24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w w:val="98"/>
              </w:rPr>
            </w:pPr>
            <w:hyperlink w:anchor="page30">
              <w:r>
                <w:rPr>
                  <w:rFonts w:ascii="Times New Roman" w:cs="Times New Roman" w:eastAsia="Times New Roman" w:hAnsi="Times New Roman"/>
                  <w:sz w:val="16"/>
                  <w:szCs w:val="16"/>
                  <w:color w:val="0000EE"/>
                  <w:w w:val="98"/>
                </w:rPr>
                <w:t>Legal Matters</w:t>
              </w:r>
            </w:hyperlink>
          </w:p>
        </w:tc>
        <w:tc>
          <w:tcPr>
            <w:tcW w:w="2440" w:type="dxa"/>
            <w:vAlign w:val="bottom"/>
            <w:gridSpan w:val="15"/>
          </w:tcPr>
          <w:p>
            <w:pPr>
              <w:spacing w:after="0"/>
              <w:rPr>
                <w:sz w:val="15"/>
                <w:szCs w:val="15"/>
                <w:color w:val="auto"/>
              </w:rPr>
            </w:pPr>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S-26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Experts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99"/>
              </w:rPr>
              <w:t>S-26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tcPr>
          <w:p>
            <w:pPr>
              <w:spacing w:after="0"/>
              <w:rPr>
                <w:sz w:val="24"/>
                <w:szCs w:val="24"/>
                <w:color w:val="auto"/>
              </w:rPr>
            </w:pPr>
          </w:p>
        </w:tc>
        <w:tc>
          <w:tcPr>
            <w:tcW w:w="33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Prospectus</w:t>
            </w:r>
          </w:p>
        </w:tc>
        <w:tc>
          <w:tcPr>
            <w:tcW w:w="6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00" w:type="dxa"/>
            <w:vAlign w:val="bottom"/>
            <w:tcBorders>
              <w:bottom w:val="single" w:sz="8" w:color="0000EE"/>
            </w:tcBorders>
            <w:gridSpan w:val="15"/>
          </w:tcPr>
          <w:p>
            <w:pPr>
              <w:spacing w:after="0" w:line="176" w:lineRule="exact"/>
              <w:rPr>
                <w:rFonts w:ascii="Times New Roman" w:cs="Times New Roman" w:eastAsia="Times New Roman" w:hAnsi="Times New Roman"/>
                <w:sz w:val="16"/>
                <w:szCs w:val="16"/>
                <w:color w:val="0000EE"/>
                <w:w w:val="99"/>
              </w:rPr>
            </w:pPr>
            <w:hyperlink w:anchor="page33">
              <w:r>
                <w:rPr>
                  <w:rFonts w:ascii="Times New Roman" w:cs="Times New Roman" w:eastAsia="Times New Roman" w:hAnsi="Times New Roman"/>
                  <w:sz w:val="16"/>
                  <w:szCs w:val="16"/>
                  <w:color w:val="0000EE"/>
                  <w:w w:val="99"/>
                </w:rPr>
                <w:t>Forward-Looking Statements</w:t>
              </w:r>
            </w:hyperlink>
          </w:p>
        </w:tc>
        <w:tc>
          <w:tcPr>
            <w:tcW w:w="1440" w:type="dxa"/>
            <w:vAlign w:val="bottom"/>
            <w:gridSpan w:val="5"/>
          </w:tcPr>
          <w:p>
            <w:pPr>
              <w:spacing w:after="0"/>
              <w:rPr>
                <w:sz w:val="15"/>
                <w:szCs w:val="15"/>
                <w:color w:val="auto"/>
              </w:rPr>
            </w:pPr>
          </w:p>
        </w:tc>
        <w:tc>
          <w:tcPr>
            <w:tcW w:w="65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420" w:type="dxa"/>
            <w:vAlign w:val="bottom"/>
            <w:tcBorders>
              <w:bottom w:val="single" w:sz="8" w:color="0000EE"/>
            </w:tcBorders>
            <w:gridSpan w:val="10"/>
          </w:tcPr>
          <w:p>
            <w:pPr>
              <w:spacing w:after="0" w:line="183" w:lineRule="exact"/>
              <w:rPr>
                <w:rFonts w:ascii="Times New Roman" w:cs="Times New Roman" w:eastAsia="Times New Roman" w:hAnsi="Times New Roman"/>
                <w:sz w:val="16"/>
                <w:szCs w:val="16"/>
                <w:color w:val="0000EE"/>
                <w:w w:val="99"/>
              </w:rPr>
            </w:pPr>
            <w:hyperlink w:anchor="page34">
              <w:r>
                <w:rPr>
                  <w:rFonts w:ascii="Times New Roman" w:cs="Times New Roman" w:eastAsia="Times New Roman" w:hAnsi="Times New Roman"/>
                  <w:sz w:val="16"/>
                  <w:szCs w:val="16"/>
                  <w:color w:val="0000EE"/>
                  <w:w w:val="99"/>
                </w:rPr>
                <w:t>About this Prospectus</w:t>
              </w:r>
            </w:hyperlink>
          </w:p>
        </w:tc>
        <w:tc>
          <w:tcPr>
            <w:tcW w:w="1920" w:type="dxa"/>
            <w:vAlign w:val="bottom"/>
            <w:gridSpan w:val="10"/>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780" w:type="dxa"/>
            <w:vAlign w:val="bottom"/>
            <w:tcBorders>
              <w:bottom w:val="single" w:sz="8" w:color="0000EE"/>
            </w:tcBorders>
            <w:gridSpan w:val="13"/>
          </w:tcPr>
          <w:p>
            <w:pPr>
              <w:spacing w:after="0" w:line="183" w:lineRule="exact"/>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Incorporation by Reference</w:t>
              </w:r>
            </w:hyperlink>
          </w:p>
        </w:tc>
        <w:tc>
          <w:tcPr>
            <w:tcW w:w="1560" w:type="dxa"/>
            <w:vAlign w:val="bottom"/>
            <w:gridSpan w:val="7"/>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2580" w:type="dxa"/>
            <w:vAlign w:val="bottom"/>
            <w:tcBorders>
              <w:bottom w:val="single" w:sz="8" w:color="0000EE"/>
            </w:tcBorders>
            <w:gridSpan w:val="19"/>
          </w:tcPr>
          <w:p>
            <w:pPr>
              <w:spacing w:after="0" w:line="183" w:lineRule="exact"/>
              <w:rPr>
                <w:rFonts w:ascii="Times New Roman" w:cs="Times New Roman" w:eastAsia="Times New Roman" w:hAnsi="Times New Roman"/>
                <w:sz w:val="16"/>
                <w:szCs w:val="16"/>
                <w:color w:val="0000EE"/>
                <w:w w:val="99"/>
              </w:rPr>
            </w:pPr>
            <w:hyperlink w:anchor="page36">
              <w:r>
                <w:rPr>
                  <w:rFonts w:ascii="Times New Roman" w:cs="Times New Roman" w:eastAsia="Times New Roman" w:hAnsi="Times New Roman"/>
                  <w:sz w:val="16"/>
                  <w:szCs w:val="16"/>
                  <w:color w:val="0000EE"/>
                  <w:w w:val="99"/>
                </w:rPr>
                <w:t>Where You Can Find More Information</w:t>
              </w:r>
            </w:hyperlink>
          </w:p>
        </w:tc>
        <w:tc>
          <w:tcPr>
            <w:tcW w:w="760" w:type="dxa"/>
            <w:vAlign w:val="bottom"/>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920" w:type="dxa"/>
            <w:vAlign w:val="bottom"/>
            <w:tcBorders>
              <w:bottom w:val="single" w:sz="8" w:color="0000EE"/>
            </w:tcBorders>
            <w:gridSpan w:val="6"/>
          </w:tcPr>
          <w:p>
            <w:pPr>
              <w:spacing w:after="0" w:line="183" w:lineRule="exact"/>
              <w:rPr>
                <w:rFonts w:ascii="Times New Roman" w:cs="Times New Roman" w:eastAsia="Times New Roman" w:hAnsi="Times New Roman"/>
                <w:sz w:val="16"/>
                <w:szCs w:val="16"/>
                <w:color w:val="0000EE"/>
                <w:w w:val="98"/>
              </w:rPr>
            </w:pPr>
            <w:hyperlink w:anchor="page36">
              <w:r>
                <w:rPr>
                  <w:rFonts w:ascii="Times New Roman" w:cs="Times New Roman" w:eastAsia="Times New Roman" w:hAnsi="Times New Roman"/>
                  <w:sz w:val="16"/>
                  <w:szCs w:val="16"/>
                  <w:color w:val="0000EE"/>
                  <w:w w:val="98"/>
                </w:rPr>
                <w:t>The Company</w:t>
              </w:r>
            </w:hyperlink>
          </w:p>
        </w:tc>
        <w:tc>
          <w:tcPr>
            <w:tcW w:w="2420" w:type="dxa"/>
            <w:vAlign w:val="bottom"/>
            <w:gridSpan w:val="14"/>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Ratio of Earnings to Fixed Charges</w:t>
              </w:r>
            </w:hyperlink>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2280" w:type="dxa"/>
            <w:vAlign w:val="bottom"/>
            <w:tcBorders>
              <w:top w:val="single" w:sz="8" w:color="0000EE"/>
            </w:tcBorders>
            <w:gridSpan w:val="18"/>
          </w:tcPr>
          <w:p>
            <w:pPr>
              <w:spacing w:after="0" w:line="183"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Use of Proceeds</w:t>
              </w:r>
            </w:hyperlink>
          </w:p>
        </w:tc>
        <w:tc>
          <w:tcPr>
            <w:tcW w:w="1060" w:type="dxa"/>
            <w:vAlign w:val="bottom"/>
            <w:gridSpan w:val="2"/>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Description of Debt Securities</w:t>
              </w:r>
            </w:hyperlink>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w w:val="99"/>
              </w:rPr>
            </w:pPr>
            <w:hyperlink w:anchor="page45">
              <w:r>
                <w:rPr>
                  <w:rFonts w:ascii="Times New Roman" w:cs="Times New Roman" w:eastAsia="Times New Roman" w:hAnsi="Times New Roman"/>
                  <w:sz w:val="16"/>
                  <w:szCs w:val="16"/>
                  <w:color w:val="0000EE"/>
                  <w:w w:val="99"/>
                </w:rPr>
                <w:t>Description of Guarantees</w:t>
              </w:r>
            </w:hyperlink>
          </w:p>
        </w:tc>
        <w:tc>
          <w:tcPr>
            <w:tcW w:w="260" w:type="dxa"/>
            <w:vAlign w:val="bottom"/>
            <w:tcBorders>
              <w:top w:val="single" w:sz="8" w:color="0000EE"/>
            </w:tcBorders>
            <w:gridSpan w:val="4"/>
          </w:tcPr>
          <w:p>
            <w:pPr>
              <w:spacing w:after="0"/>
              <w:rPr>
                <w:sz w:val="15"/>
                <w:szCs w:val="15"/>
                <w:color w:val="auto"/>
              </w:rPr>
            </w:pPr>
          </w:p>
        </w:tc>
        <w:tc>
          <w:tcPr>
            <w:tcW w:w="1380" w:type="dxa"/>
            <w:vAlign w:val="bottom"/>
            <w:gridSpan w:val="4"/>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45">
              <w:r>
                <w:rPr>
                  <w:rFonts w:ascii="Times New Roman" w:cs="Times New Roman" w:eastAsia="Times New Roman" w:hAnsi="Times New Roman"/>
                  <w:sz w:val="16"/>
                  <w:szCs w:val="16"/>
                  <w:color w:val="0000EE"/>
                </w:rPr>
                <w:t>Description of Capital Stock</w:t>
              </w:r>
            </w:hyperlink>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2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w:anchor="page47">
              <w:r>
                <w:rPr>
                  <w:rFonts w:ascii="Times New Roman" w:cs="Times New Roman" w:eastAsia="Times New Roman" w:hAnsi="Times New Roman"/>
                  <w:sz w:val="16"/>
                  <w:szCs w:val="16"/>
                  <w:color w:val="0000EE"/>
                </w:rPr>
                <w:t>Description of Other Securities</w:t>
              </w:r>
            </w:hyperlink>
          </w:p>
        </w:tc>
        <w:tc>
          <w:tcPr>
            <w:tcW w:w="1320" w:type="dxa"/>
            <w:vAlign w:val="bottom"/>
            <w:gridSpan w:val="3"/>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47">
              <w:r>
                <w:rPr>
                  <w:rFonts w:ascii="Times New Roman" w:cs="Times New Roman" w:eastAsia="Times New Roman" w:hAnsi="Times New Roman"/>
                  <w:sz w:val="16"/>
                  <w:szCs w:val="16"/>
                  <w:color w:val="0000EE"/>
                </w:rPr>
                <w:t>Plan of Distribution</w:t>
              </w:r>
            </w:hyperlink>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52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Selling Securityholders</w:t>
              </w:r>
            </w:hyperlink>
          </w:p>
        </w:tc>
        <w:tc>
          <w:tcPr>
            <w:tcW w:w="1820" w:type="dxa"/>
            <w:vAlign w:val="bottom"/>
            <w:gridSpan w:val="9"/>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w w:val="98"/>
              </w:rPr>
            </w:pPr>
            <w:hyperlink w:anchor="page49">
              <w:r>
                <w:rPr>
                  <w:rFonts w:ascii="Times New Roman" w:cs="Times New Roman" w:eastAsia="Times New Roman" w:hAnsi="Times New Roman"/>
                  <w:sz w:val="16"/>
                  <w:szCs w:val="16"/>
                  <w:color w:val="0000EE"/>
                  <w:w w:val="98"/>
                </w:rPr>
                <w:t>Legal Matters</w:t>
              </w:r>
            </w:hyperlink>
          </w:p>
        </w:tc>
        <w:tc>
          <w:tcPr>
            <w:tcW w:w="2440" w:type="dxa"/>
            <w:vAlign w:val="bottom"/>
            <w:gridSpan w:val="15"/>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Experts</w:t>
              </w:r>
            </w:hyperlink>
          </w:p>
        </w:tc>
        <w:tc>
          <w:tcPr>
            <w:tcW w:w="65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60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4" w:right="239"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213360</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22" w:lineRule="exact"/>
        <w:rPr>
          <w:sz w:val="20"/>
          <w:szCs w:val="20"/>
          <w:color w:val="auto"/>
        </w:rPr>
      </w:pPr>
    </w:p>
    <w:p>
      <w:pPr>
        <w:ind w:left="920" w:right="30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85" w:lineRule="exact"/>
        <w:rPr>
          <w:sz w:val="20"/>
          <w:szCs w:val="20"/>
          <w:color w:val="auto"/>
        </w:rPr>
      </w:pPr>
    </w:p>
    <w:p>
      <w:pPr>
        <w:ind w:left="92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supplement, the terms “Waste Management,” “we,” “us” or “our” refer to Waste Management, Inc. and its subsidiaries, taken as a whole, unless the context clearly indicates otherwise.</w:t>
      </w:r>
    </w:p>
    <w:p>
      <w:pPr>
        <w:spacing w:after="0" w:line="27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About Waste Management</w:t>
      </w:r>
    </w:p>
    <w:p>
      <w:pPr>
        <w:spacing w:after="0" w:line="135" w:lineRule="exact"/>
        <w:rPr>
          <w:sz w:val="20"/>
          <w:szCs w:val="20"/>
          <w:color w:val="auto"/>
        </w:rPr>
      </w:pPr>
    </w:p>
    <w:p>
      <w:pPr>
        <w:ind w:left="920" w:right="140" w:firstLine="397"/>
        <w:spacing w:after="0" w:line="256" w:lineRule="auto"/>
        <w:rPr>
          <w:sz w:val="20"/>
          <w:szCs w:val="20"/>
          <w:color w:val="auto"/>
        </w:rPr>
      </w:pPr>
      <w:r>
        <w:rPr>
          <w:rFonts w:ascii="Times New Roman" w:cs="Times New Roman" w:eastAsia="Times New Roman" w:hAnsi="Times New Roman"/>
          <w:sz w:val="18"/>
          <w:szCs w:val="18"/>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Our principal offices are located at 1001 Fannin Street, Suite 4000, Houston, Texas 77002. Our telephone number at that address is</w:t>
      </w:r>
    </w:p>
    <w:p>
      <w:pPr>
        <w:spacing w:after="0" w:line="27" w:lineRule="exact"/>
        <w:rPr>
          <w:sz w:val="20"/>
          <w:szCs w:val="20"/>
          <w:color w:val="auto"/>
        </w:rPr>
      </w:pPr>
    </w:p>
    <w:p>
      <w:pPr>
        <w:ind w:left="920" w:right="200" w:firstLine="2"/>
        <w:spacing w:after="0" w:line="254" w:lineRule="auto"/>
        <w:tabs>
          <w:tab w:leader="none" w:pos="13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“WMI.”</w:t>
      </w:r>
    </w:p>
    <w:p>
      <w:pPr>
        <w:spacing w:after="0" w:line="3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6" w:lineRule="auto"/>
        <w:rPr>
          <w:sz w:val="20"/>
          <w:szCs w:val="20"/>
          <w:color w:val="auto"/>
        </w:rPr>
      </w:pPr>
      <w:r>
        <w:rPr>
          <w:rFonts w:ascii="Times New Roman" w:cs="Times New Roman" w:eastAsia="Times New Roman" w:hAnsi="Times New Roman"/>
          <w:sz w:val="18"/>
          <w:szCs w:val="18"/>
          <w:color w:val="auto"/>
        </w:rPr>
        <w:t>Waste Management Holdings, Inc., which we refer to in this prospectus supplement as “WM Holdings,” is a direct wholly-owned subsidiary of Waste Management. WM Holdings is a holding company, the only assets of which are the equity interests of our operating subsidiaries.</w:t>
      </w:r>
    </w:p>
    <w:p>
      <w:pPr>
        <w:sectPr>
          <w:pgSz w:w="11900" w:h="16838" w:orient="portrait"/>
          <w:cols w:equalWidth="0" w:num="1">
            <w:col w:w="10800"/>
          </w:cols>
          <w:pgMar w:left="240" w:top="415"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48"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Waste Management, Inc.</w:t>
      </w:r>
    </w:p>
    <w:p>
      <w:pPr>
        <w:spacing w:after="0" w:line="117"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7"/>
          <w:szCs w:val="17"/>
          <w:color w:val="auto"/>
        </w:rPr>
        <w:t>$600 million principal amount of 6.10% Senior Notes due 2018, subject to our</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right to issue additional notes of this series in the future.</w:t>
      </w:r>
    </w:p>
    <w:p>
      <w:pPr>
        <w:spacing w:after="0" w:line="99"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Subsidiary Guarantee</w:t>
      </w:r>
      <w:r>
        <w:rPr>
          <w:sz w:val="20"/>
          <w:szCs w:val="20"/>
          <w:color w:val="auto"/>
        </w:rPr>
        <w:tab/>
      </w:r>
      <w:r>
        <w:rPr>
          <w:rFonts w:ascii="Times New Roman" w:cs="Times New Roman" w:eastAsia="Times New Roman" w:hAnsi="Times New Roman"/>
          <w:sz w:val="17"/>
          <w:szCs w:val="17"/>
          <w:color w:val="auto"/>
        </w:rPr>
        <w:t>WM Holdings will fully and unconditionally guarantee, on a senior unsecured</w:t>
      </w:r>
    </w:p>
    <w:p>
      <w:pPr>
        <w:spacing w:after="0" w:line="27" w:lineRule="exact"/>
        <w:rPr>
          <w:sz w:val="20"/>
          <w:szCs w:val="20"/>
          <w:color w:val="auto"/>
        </w:rPr>
      </w:pPr>
    </w:p>
    <w:p>
      <w:pPr>
        <w:ind w:left="4900" w:right="60"/>
        <w:spacing w:after="0" w:line="255" w:lineRule="auto"/>
        <w:rPr>
          <w:sz w:val="20"/>
          <w:szCs w:val="20"/>
          <w:color w:val="auto"/>
        </w:rPr>
      </w:pPr>
      <w:r>
        <w:rPr>
          <w:rFonts w:ascii="Times New Roman" w:cs="Times New Roman" w:eastAsia="Times New Roman" w:hAnsi="Times New Roman"/>
          <w:sz w:val="18"/>
          <w:szCs w:val="18"/>
          <w:color w:val="auto"/>
        </w:rPr>
        <w:t>basis, the full and prompt payment of the principal and any premium and interest on the notes, when and as it becomes due and payable, whether at maturity or otherwise.</w:t>
      </w:r>
    </w:p>
    <w:p>
      <w:pPr>
        <w:spacing w:after="0" w:line="78"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Maturity Date</w:t>
      </w:r>
      <w:r>
        <w:rPr>
          <w:sz w:val="20"/>
          <w:szCs w:val="20"/>
          <w:color w:val="auto"/>
        </w:rPr>
        <w:tab/>
      </w:r>
      <w:r>
        <w:rPr>
          <w:rFonts w:ascii="Times New Roman" w:cs="Times New Roman" w:eastAsia="Times New Roman" w:hAnsi="Times New Roman"/>
          <w:sz w:val="17"/>
          <w:szCs w:val="17"/>
          <w:color w:val="auto"/>
        </w:rPr>
        <w:t>March 15, 2018</w:t>
      </w:r>
    </w:p>
    <w:p>
      <w:pPr>
        <w:spacing w:after="0" w:line="117"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Interest Rate</w:t>
      </w:r>
      <w:r>
        <w:rPr>
          <w:sz w:val="20"/>
          <w:szCs w:val="20"/>
          <w:color w:val="auto"/>
        </w:rPr>
        <w:tab/>
      </w:r>
      <w:r>
        <w:rPr>
          <w:rFonts w:ascii="Times New Roman" w:cs="Times New Roman" w:eastAsia="Times New Roman" w:hAnsi="Times New Roman"/>
          <w:sz w:val="17"/>
          <w:szCs w:val="17"/>
          <w:color w:val="auto"/>
        </w:rPr>
        <w:t>6.10%</w:t>
      </w:r>
    </w:p>
    <w:p>
      <w:pPr>
        <w:spacing w:after="0" w:line="117"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7"/>
          <w:szCs w:val="17"/>
          <w:color w:val="auto"/>
        </w:rPr>
        <w:t>March 15 and September 15 of each year, commencing September 15, 2008</w:t>
      </w:r>
    </w:p>
    <w:p>
      <w:pPr>
        <w:spacing w:after="0" w:line="117"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7"/>
          <w:szCs w:val="17"/>
          <w:color w:val="auto"/>
        </w:rPr>
        <w:t>We may elect to redeem and repay any or all of the notes at any time in minimum</w:t>
      </w:r>
    </w:p>
    <w:p>
      <w:pPr>
        <w:spacing w:after="0" w:line="27" w:lineRule="exact"/>
        <w:rPr>
          <w:sz w:val="20"/>
          <w:szCs w:val="20"/>
          <w:color w:val="auto"/>
        </w:rPr>
      </w:pPr>
    </w:p>
    <w:p>
      <w:pPr>
        <w:ind w:left="4900"/>
        <w:spacing w:after="0" w:line="253" w:lineRule="auto"/>
        <w:rPr>
          <w:sz w:val="20"/>
          <w:szCs w:val="20"/>
          <w:color w:val="auto"/>
        </w:rPr>
      </w:pPr>
      <w:r>
        <w:rPr>
          <w:rFonts w:ascii="Times New Roman" w:cs="Times New Roman" w:eastAsia="Times New Roman" w:hAnsi="Times New Roman"/>
          <w:sz w:val="18"/>
          <w:szCs w:val="18"/>
          <w:color w:val="auto"/>
        </w:rPr>
        <w:t>principal amounts of $2,000 or any integral of $1,000 in excess thereof. We will pay an amount equal to the greater of 100% of the principal amount of the notes redeemed and repaid, or the sum of the present values of the remaining scheduled payments of principal and interest on the notes, as described on page S-14 of this prospectus supplement. We will also pay accrued interest to the redemption date.</w:t>
      </w:r>
    </w:p>
    <w:p>
      <w:pPr>
        <w:spacing w:after="0" w:line="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Please read “Description of Notes — Optional Redemption.”</w:t>
      </w:r>
    </w:p>
    <w:p>
      <w:pPr>
        <w:spacing w:after="0" w:line="117"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Change of Control Offer</w:t>
      </w:r>
      <w:r>
        <w:rPr>
          <w:sz w:val="20"/>
          <w:szCs w:val="20"/>
          <w:color w:val="auto"/>
        </w:rPr>
        <w:tab/>
      </w:r>
      <w:r>
        <w:rPr>
          <w:rFonts w:ascii="Times New Roman" w:cs="Times New Roman" w:eastAsia="Times New Roman" w:hAnsi="Times New Roman"/>
          <w:sz w:val="18"/>
          <w:szCs w:val="18"/>
          <w:color w:val="auto"/>
        </w:rPr>
        <w:t>If a change of control triggering event as described on page S-17 occurs, each</w:t>
      </w:r>
    </w:p>
    <w:p>
      <w:pPr>
        <w:spacing w:after="0" w:line="27" w:lineRule="exact"/>
        <w:rPr>
          <w:sz w:val="20"/>
          <w:szCs w:val="20"/>
          <w:color w:val="auto"/>
        </w:rPr>
      </w:pPr>
    </w:p>
    <w:p>
      <w:pPr>
        <w:ind w:left="4900" w:right="220"/>
        <w:spacing w:after="0" w:line="254" w:lineRule="auto"/>
        <w:rPr>
          <w:sz w:val="20"/>
          <w:szCs w:val="20"/>
          <w:color w:val="auto"/>
        </w:rPr>
      </w:pPr>
      <w:r>
        <w:rPr>
          <w:rFonts w:ascii="Times New Roman" w:cs="Times New Roman" w:eastAsia="Times New Roman" w:hAnsi="Times New Roman"/>
          <w:sz w:val="18"/>
          <w:szCs w:val="18"/>
          <w:color w:val="auto"/>
        </w:rPr>
        <w:t>holder of the notes may require us to purchase all or a portion of such holder’s notes at a price equal to 101% of the principal amount, plus accrued interest, if any, to the date of purchase. See “Description of Notes — Change of Control Offer.”</w:t>
      </w:r>
    </w:p>
    <w:p>
      <w:pPr>
        <w:spacing w:after="0" w:line="78"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Ranking</w:t>
      </w:r>
      <w:r>
        <w:rPr>
          <w:sz w:val="20"/>
          <w:szCs w:val="20"/>
          <w:color w:val="auto"/>
        </w:rPr>
        <w:tab/>
      </w:r>
      <w:r>
        <w:rPr>
          <w:rFonts w:ascii="Times New Roman" w:cs="Times New Roman" w:eastAsia="Times New Roman" w:hAnsi="Times New Roman"/>
          <w:sz w:val="18"/>
          <w:szCs w:val="18"/>
          <w:color w:val="auto"/>
        </w:rPr>
        <w:t>The notes and the guarantee will constitute the senior unsecured debt of Waste</w:t>
      </w:r>
    </w:p>
    <w:p>
      <w:pPr>
        <w:spacing w:after="0" w:line="27" w:lineRule="exact"/>
        <w:rPr>
          <w:sz w:val="20"/>
          <w:szCs w:val="20"/>
          <w:color w:val="auto"/>
        </w:rPr>
      </w:pPr>
    </w:p>
    <w:p>
      <w:pPr>
        <w:ind w:left="4900" w:right="40"/>
        <w:spacing w:after="0" w:line="255" w:lineRule="auto"/>
        <w:rPr>
          <w:sz w:val="20"/>
          <w:szCs w:val="20"/>
          <w:color w:val="auto"/>
        </w:rPr>
      </w:pPr>
      <w:r>
        <w:rPr>
          <w:rFonts w:ascii="Times New Roman" w:cs="Times New Roman" w:eastAsia="Times New Roman" w:hAnsi="Times New Roman"/>
          <w:sz w:val="18"/>
          <w:szCs w:val="18"/>
          <w:color w:val="auto"/>
        </w:rPr>
        <w:t>Management, Inc. and WM Holdings, respectively, and will rank equally with all of our and its other existing and future senior indebtedness from time to time outstanding.</w:t>
      </w:r>
    </w:p>
    <w:p>
      <w:pPr>
        <w:spacing w:after="0" w:line="78"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Covenants</w:t>
      </w:r>
      <w:r>
        <w:rPr>
          <w:sz w:val="20"/>
          <w:szCs w:val="20"/>
          <w:color w:val="auto"/>
        </w:rPr>
        <w:tab/>
      </w:r>
      <w:r>
        <w:rPr>
          <w:rFonts w:ascii="Times New Roman" w:cs="Times New Roman" w:eastAsia="Times New Roman" w:hAnsi="Times New Roman"/>
          <w:sz w:val="18"/>
          <w:szCs w:val="18"/>
          <w:color w:val="auto"/>
        </w:rPr>
        <w:t>We will issue the notes under an indenture containing covenants for your benefit.</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These covenants restrict our ability, with certain exceptions, to:</w:t>
      </w:r>
    </w:p>
    <w:p>
      <w:pPr>
        <w:spacing w:after="0" w:line="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create, incur or assume debt secured by liens;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engage in sale and leaseback transactions; and</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merge, consolidate or transfer all or substantially all of our assets.</w:t>
      </w:r>
    </w:p>
    <w:p>
      <w:pPr>
        <w:spacing w:after="0" w:line="117"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expect the net proceeds from the offering of the notes to be approximately</w:t>
      </w:r>
    </w:p>
    <w:p>
      <w:pPr>
        <w:spacing w:after="0" w:line="27" w:lineRule="exact"/>
        <w:rPr>
          <w:sz w:val="20"/>
          <w:szCs w:val="20"/>
          <w:color w:val="auto"/>
        </w:rPr>
      </w:pPr>
    </w:p>
    <w:p>
      <w:pPr>
        <w:ind w:left="4900" w:right="180"/>
        <w:spacing w:after="0" w:line="254" w:lineRule="auto"/>
        <w:rPr>
          <w:sz w:val="20"/>
          <w:szCs w:val="20"/>
          <w:color w:val="auto"/>
        </w:rPr>
      </w:pPr>
      <w:r>
        <w:rPr>
          <w:rFonts w:ascii="Times New Roman" w:cs="Times New Roman" w:eastAsia="Times New Roman" w:hAnsi="Times New Roman"/>
          <w:sz w:val="18"/>
          <w:szCs w:val="18"/>
          <w:color w:val="auto"/>
        </w:rPr>
        <w:t>$593.0 million, after deducting underwriting discounts and commissions and estimated expenses of the offering that we will pay. These net proceeds will be used to retire our debt securities, borrowings under our revolving credit facility and for general corporate purposes. For more details, see “Use of Proceeds.”</w:t>
      </w:r>
    </w:p>
    <w:p>
      <w:pPr>
        <w:spacing w:after="0" w:line="78" w:lineRule="exact"/>
        <w:rPr>
          <w:sz w:val="20"/>
          <w:szCs w:val="20"/>
          <w:color w:val="auto"/>
        </w:rPr>
      </w:pPr>
    </w:p>
    <w:p>
      <w:pPr>
        <w:ind w:left="920"/>
        <w:spacing w:after="0"/>
        <w:tabs>
          <w:tab w:leader="none" w:pos="4880" w:val="left"/>
        </w:tabs>
        <w:rPr>
          <w:sz w:val="20"/>
          <w:szCs w:val="20"/>
          <w:color w:val="auto"/>
        </w:rPr>
      </w:pPr>
      <w:r>
        <w:rPr>
          <w:rFonts w:ascii="Times New Roman" w:cs="Times New Roman" w:eastAsia="Times New Roman" w:hAnsi="Times New Roman"/>
          <w:sz w:val="18"/>
          <w:szCs w:val="18"/>
          <w:color w:val="auto"/>
        </w:rPr>
        <w:t>Trustee</w:t>
      </w:r>
      <w:r>
        <w:rPr>
          <w:sz w:val="20"/>
          <w:szCs w:val="20"/>
          <w:color w:val="auto"/>
        </w:rPr>
        <w:tab/>
      </w:r>
      <w:r>
        <w:rPr>
          <w:rFonts w:ascii="Times New Roman" w:cs="Times New Roman" w:eastAsia="Times New Roman" w:hAnsi="Times New Roman"/>
          <w:sz w:val="18"/>
          <w:szCs w:val="18"/>
          <w:color w:val="auto"/>
        </w:rPr>
        <w:t>The Bank of New York Trust Company, N.A.</w:t>
      </w:r>
    </w:p>
    <w:p>
      <w:pPr>
        <w:sectPr>
          <w:pgSz w:w="11900" w:h="16838" w:orient="portrait"/>
          <w:cols w:equalWidth="0" w:num="1">
            <w:col w:w="10780"/>
          </w:cols>
          <w:pgMar w:left="240" w:top="41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5" w:right="87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RISK FACTORS</w:t>
      </w:r>
    </w:p>
    <w:p>
      <w:pPr>
        <w:spacing w:after="0" w:line="122" w:lineRule="exact"/>
        <w:rPr>
          <w:sz w:val="20"/>
          <w:szCs w:val="20"/>
          <w:color w:val="auto"/>
        </w:rPr>
      </w:pPr>
    </w:p>
    <w:p>
      <w:pPr>
        <w:ind w:left="700" w:right="4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impair our business operations. The events discussed in the risk factors below may occur. If they do, our business, results of operations or financial condition could be materially adversely affected. In such an instance, the trading price of our securities, including the notes, could decline and you might lose all or part of your investment.</w:t>
      </w:r>
    </w:p>
    <w:p>
      <w:pPr>
        <w:spacing w:after="0" w:line="3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As of December 31, 2007, our operating subsidiaries had approximately $3.3 billion of indebtedness, excluding inter-company loans. Any inability to pay amounts to us, whether by reason of financial difficulties or other restrictions, could have a material adverse effect on our ability to service and repay our debt, including the notes.</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indebtedness.</w:t>
      </w:r>
    </w:p>
    <w:p>
      <w:pPr>
        <w:spacing w:after="0" w:line="13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We have substantial indebtedness. At December 31, 2007, our ratio of total debt to total capitalization was approximately 59% and our total consolidated indebtedness as of December 31, 2007 was approximately $8.3 billion. As of December 31, 2007, as adjusted to give effect to the issuance of the notes and the application of the net proceeds from the issuance, we would have had an aggregate of $8.4 billion of consolidated indebtedness. Our annual debt service obligations vary due to differing maturities on all of our debt instruments; however, our total interest expense for the twelve months ended December 31, 2007 was approximately $543 million. A 1% increase in interest rates for our variable rate instruments, including our interest rate swap agreements, would increase our forecasted interest expense for 2008 by approximately 6.0%, or $31 million. Such an increase would cause our coverage ratio, which is one of our debt covenants and is calculated as consolidated net income plus interest and income taxes over interest expense, to decrease from 4.1 to 1 to 3.9 to 1 for the year ended December 31, 2007. Although such an interest rate increase would also affect our other debt covenants, we would still be in compliance with all of these covenants, including the coverage ratio covenant. However, any more substantial increases in interest rates for our variable rate instruments could affect our compliance with our debt covenants, liquidity and ability to service our debt, including making payments on the notes.</w:t>
      </w:r>
    </w:p>
    <w:p>
      <w:pPr>
        <w:spacing w:after="0" w:line="96" w:lineRule="exact"/>
        <w:rPr>
          <w:sz w:val="20"/>
          <w:szCs w:val="20"/>
          <w:color w:val="auto"/>
        </w:rPr>
      </w:pPr>
    </w:p>
    <w:p>
      <w:pPr>
        <w:ind w:left="700" w:right="340" w:firstLine="397"/>
        <w:spacing w:after="0" w:line="261" w:lineRule="auto"/>
        <w:rPr>
          <w:sz w:val="20"/>
          <w:szCs w:val="20"/>
          <w:color w:val="auto"/>
        </w:rPr>
      </w:pPr>
      <w:r>
        <w:rPr>
          <w:rFonts w:ascii="Times New Roman" w:cs="Times New Roman" w:eastAsia="Times New Roman" w:hAnsi="Times New Roman"/>
          <w:sz w:val="18"/>
          <w:szCs w:val="18"/>
          <w:color w:val="auto"/>
        </w:rPr>
        <w:t>The degree to which we are leveraged could adversely affect our ability to obtain additional financing and could make us more vulnerable to industry downturns or competitive pressures, all of which could materially adversely affect our ability to meet our debt service obligations. Additionally, our indentures do not limit the amount of future indebtedness that we can create, incur, assume or guarantee. The incurrence of additional debt could exacerbate any risks associated with our liquidity.</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 of the notes.</w:t>
      </w:r>
    </w:p>
    <w:p>
      <w:pPr>
        <w:spacing w:after="0" w:line="135"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Our obligations under the notes will be guaranteed by our wholly-owned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w:t>
      </w:r>
    </w:p>
    <w:p>
      <w:pPr>
        <w:spacing w:after="0" w:line="3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4" w:lineRule="auto"/>
        <w:rPr>
          <w:sz w:val="20"/>
          <w:szCs w:val="20"/>
          <w:color w:val="auto"/>
        </w:rPr>
      </w:pPr>
      <w:r>
        <w:rPr>
          <w:rFonts w:ascii="Times New Roman" w:cs="Times New Roman" w:eastAsia="Times New Roman" w:hAnsi="Times New Roman"/>
          <w:sz w:val="17"/>
          <w:szCs w:val="17"/>
          <w:color w:val="auto"/>
        </w:rPr>
        <w:t>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in order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83" w:lineRule="exact"/>
        <w:rPr>
          <w:sz w:val="20"/>
          <w:szCs w:val="20"/>
          <w:color w:val="auto"/>
        </w:rPr>
      </w:pPr>
    </w:p>
    <w:p>
      <w:pPr>
        <w:ind w:left="7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64"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86"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notes.</w:t>
      </w:r>
    </w:p>
    <w:p>
      <w:pPr>
        <w:spacing w:after="0" w:line="135"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The notes will be a new issuance of securities. There is no existing active trading market for the notes, and a market may never develop. We do not currently intend to apply for listing of the notes on any securities exchange or quotation of the notes on any dealer quotation system. If a market does not develop, you may be unable to resell the notes for a long time, if at all. If the notes are traded after their initial issuance, they may trade at a discount from their initial offering price. Factors that could cause the notes to trade at a discount are:</w:t>
      </w:r>
    </w:p>
    <w:p>
      <w:pPr>
        <w:spacing w:after="0" w:line="89" w:lineRule="exact"/>
        <w:rPr>
          <w:sz w:val="20"/>
          <w:szCs w:val="20"/>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then prevailing interest rates;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credit worthiness based on our business, operating results or financial condition;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markets for similar securities;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general economic conditions.</w:t>
      </w:r>
    </w:p>
    <w:p>
      <w:pPr>
        <w:spacing w:after="0" w:line="34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ind w:left="7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64" w:lineRule="exact"/>
        <w:rPr>
          <w:sz w:val="20"/>
          <w:szCs w:val="20"/>
          <w:color w:val="auto"/>
        </w:rPr>
      </w:pPr>
    </w:p>
    <w:p>
      <w:pPr>
        <w:ind w:left="700" w:right="100" w:firstLine="397"/>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costs, our income from operations could be lower than expected.</w:t>
      </w:r>
    </w:p>
    <w:p>
      <w:pPr>
        <w:spacing w:after="0" w:line="135"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In recent years, we have implemented several profit improvement initiatives aimed at lowering our costs and enhancing our revenues, and we continue to seek ways to reduce our selling, general and administrative and operating expenses. While generally we have been successful in managing our costs, including subcontractor costs and the effect of fuel price increases, our initiatives may not be sufficient. Even as our revenues increase, if we are unable to control variable costs or increases to our fixed costs in the future, we will be unable to maintain or expand our margins.</w:t>
      </w:r>
    </w:p>
    <w:p>
      <w:pPr>
        <w:spacing w:after="0" w:line="193" w:lineRule="exact"/>
        <w:rPr>
          <w:sz w:val="20"/>
          <w:szCs w:val="20"/>
          <w:color w:val="auto"/>
        </w:rPr>
      </w:pPr>
    </w:p>
    <w:p>
      <w:pPr>
        <w:ind w:left="70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successfully implement our plans and strategies to improve margins and increase our income from operations.</w:t>
      </w:r>
    </w:p>
    <w:p>
      <w:pPr>
        <w:spacing w:after="0" w:line="64"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We have announced several programs and strategies that we have implemented or planned to improve our margins and operating results. For example, except when prohibited by contract, we have implemented price increases and environmental fees, and we continue our fuel surcharge programs, all of which have increased our internal revenue growth. The loss of volumes as a result of price increases may negatively affect our cash flows or results of operations. Additionally,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implement our plans for any reason, many of which are out of our control, we may not see the expected improvements in our income from operations or our operating margins.</w:t>
      </w:r>
    </w:p>
    <w:p>
      <w:pPr>
        <w:spacing w:after="0" w:line="195" w:lineRule="exact"/>
        <w:rPr>
          <w:sz w:val="20"/>
          <w:szCs w:val="20"/>
          <w:color w:val="auto"/>
        </w:rPr>
      </w:pPr>
    </w:p>
    <w:p>
      <w:pPr>
        <w:ind w:left="7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and changes in general and local economic conditions cause our quarterly results to fluctuate, and prior performance is not necessarily indicative of our future results.</w:t>
      </w:r>
    </w:p>
    <w:p>
      <w:pPr>
        <w:spacing w:after="0" w:line="64"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95" w:lineRule="exact"/>
        <w:rPr>
          <w:sz w:val="20"/>
          <w:szCs w:val="20"/>
          <w:color w:val="auto"/>
        </w:rPr>
      </w:pPr>
    </w:p>
    <w:p>
      <w:pPr>
        <w:ind w:left="700" w:right="100" w:firstLine="397"/>
        <w:spacing w:after="0" w:line="255" w:lineRule="auto"/>
        <w:rPr>
          <w:sz w:val="20"/>
          <w:szCs w:val="20"/>
          <w:color w:val="auto"/>
        </w:rPr>
      </w:pPr>
      <w:r>
        <w:rPr>
          <w:rFonts w:ascii="Times New Roman" w:cs="Times New Roman" w:eastAsia="Times New Roman" w:hAnsi="Times New Roman"/>
          <w:sz w:val="18"/>
          <w:szCs w:val="18"/>
          <w:color w:val="auto"/>
        </w:rPr>
        <w:t>Our business is affected by changes in national and general economic factors that are also outside of our control, including interest rates and consumer confidence. We have $2.9 billion of debt as of December 31, 2007 that is exposed to changes in market interest rates because of the combined impact of our variable rate tax-exempt bonds and our interest rate swap agreements. Therefore, any increase in interest rates can significantly increase our expenses. Additionally, although our services are of an essential nature, a weak economy generally results in decreases in volumes of waste generated, which decreases our revenues. We also face risks related to other adverse external factors, such as the ability of our insurers to meet their commitments in a timely manner and the effect that significant claims or litigation against insurance companies may have on such ability.</w:t>
      </w:r>
    </w:p>
    <w:p>
      <w:pPr>
        <w:spacing w:after="0" w:line="95" w:lineRule="exact"/>
        <w:rPr>
          <w:sz w:val="20"/>
          <w:szCs w:val="20"/>
          <w:color w:val="auto"/>
        </w:rPr>
      </w:pPr>
    </w:p>
    <w:p>
      <w:pPr>
        <w:ind w:left="700" w:right="180" w:firstLine="397"/>
        <w:spacing w:after="0" w:line="282" w:lineRule="auto"/>
        <w:rPr>
          <w:sz w:val="20"/>
          <w:szCs w:val="20"/>
          <w:color w:val="auto"/>
        </w:rPr>
      </w:pPr>
      <w:r>
        <w:rPr>
          <w:rFonts w:ascii="Times New Roman" w:cs="Times New Roman" w:eastAsia="Times New Roman" w:hAnsi="Times New Roman"/>
          <w:sz w:val="18"/>
          <w:szCs w:val="18"/>
          <w:color w:val="auto"/>
        </w:rPr>
        <w:t>Any of the factors described above could materially adversely affect our results of operations and cash flows. Additionally, due to these and other factors, operating results in any interim period are not necessarily</w:t>
      </w:r>
    </w:p>
    <w:p>
      <w:pPr>
        <w:spacing w:after="0" w:line="3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indicative of operating results for an entire year, and operating results for any historical period are not necessarily indicative of operating results for a future period.</w:t>
      </w:r>
    </w:p>
    <w:p>
      <w:pPr>
        <w:spacing w:after="0" w:line="171" w:lineRule="exact"/>
        <w:rPr>
          <w:sz w:val="20"/>
          <w:szCs w:val="20"/>
          <w:color w:val="auto"/>
        </w:rPr>
      </w:pPr>
    </w:p>
    <w:p>
      <w:pPr>
        <w:ind w:left="70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64" w:lineRule="exact"/>
        <w:rPr>
          <w:sz w:val="20"/>
          <w:szCs w:val="20"/>
          <w:color w:val="auto"/>
        </w:rPr>
      </w:pPr>
    </w:p>
    <w:p>
      <w:pPr>
        <w:ind w:left="700" w:right="140" w:firstLine="397"/>
        <w:spacing w:after="0" w:line="256" w:lineRule="auto"/>
        <w:rPr>
          <w:sz w:val="20"/>
          <w:szCs w:val="20"/>
          <w:color w:val="auto"/>
        </w:rPr>
      </w:pPr>
      <w:r>
        <w:rPr>
          <w:rFonts w:ascii="Times New Roman" w:cs="Times New Roman" w:eastAsia="Times New Roman" w:hAnsi="Times New Roman"/>
          <w:sz w:val="18"/>
          <w:szCs w:val="18"/>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93" w:lineRule="exact"/>
        <w:rPr>
          <w:sz w:val="20"/>
          <w:szCs w:val="20"/>
          <w:color w:val="auto"/>
        </w:rPr>
      </w:pPr>
    </w:p>
    <w:p>
      <w:pPr>
        <w:ind w:left="700" w:right="640" w:firstLine="397"/>
        <w:spacing w:after="0" w:line="313" w:lineRule="auto"/>
        <w:rPr>
          <w:sz w:val="20"/>
          <w:szCs w:val="20"/>
          <w:color w:val="auto"/>
        </w:rPr>
      </w:pPr>
      <w:r>
        <w:rPr>
          <w:rFonts w:ascii="Times New Roman" w:cs="Times New Roman" w:eastAsia="Times New Roman" w:hAnsi="Times New Roman"/>
          <w:sz w:val="17"/>
          <w:szCs w:val="17"/>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44" w:lineRule="exact"/>
        <w:rPr>
          <w:sz w:val="20"/>
          <w:szCs w:val="20"/>
          <w:color w:val="auto"/>
        </w:rPr>
      </w:pPr>
    </w:p>
    <w:p>
      <w:pPr>
        <w:ind w:left="1300" w:right="540" w:hanging="202"/>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53" w:lineRule="exact"/>
        <w:rPr>
          <w:rFonts w:ascii="Times New Roman" w:cs="Times New Roman" w:eastAsia="Times New Roman" w:hAnsi="Times New Roman"/>
          <w:sz w:val="18"/>
          <w:szCs w:val="18"/>
          <w:color w:val="auto"/>
        </w:rPr>
      </w:pPr>
    </w:p>
    <w:p>
      <w:pPr>
        <w:ind w:left="1300" w:hanging="202"/>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2"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6" w:lineRule="exact"/>
        <w:rPr>
          <w:sz w:val="20"/>
          <w:szCs w:val="20"/>
          <w:color w:val="auto"/>
        </w:rPr>
      </w:pPr>
    </w:p>
    <w:p>
      <w:pPr>
        <w:ind w:left="7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64"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86" w:lineRule="exact"/>
        <w:rPr>
          <w:sz w:val="20"/>
          <w:szCs w:val="20"/>
          <w:color w:val="auto"/>
        </w:rPr>
      </w:pPr>
    </w:p>
    <w:p>
      <w:pPr>
        <w:ind w:left="1300" w:hanging="20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siting and constructing new waste disposal, transfer or processing facilities or expanding existing facilities;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regulations or levies on collection and disposal prices, rates and volumes;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bans on disposal or transportation of out-of-state waste or certain categories of waste;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regarding the disposal of solid waste</w:t>
      </w:r>
    </w:p>
    <w:p>
      <w:pPr>
        <w:spacing w:after="0" w:line="131"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2"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In order to develop, expand or operate a landfill or other waste management facility, we must have various facility permits and other governmental approvals, including those relating to zoning, environmental</w:t>
      </w:r>
    </w:p>
    <w:p>
      <w:pPr>
        <w:spacing w:after="0" w:line="3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82" w:lineRule="auto"/>
        <w:rPr>
          <w:sz w:val="20"/>
          <w:szCs w:val="20"/>
          <w:color w:val="auto"/>
        </w:rPr>
      </w:pPr>
      <w:r>
        <w:rPr>
          <w:rFonts w:ascii="Times New Roman" w:cs="Times New Roman" w:eastAsia="Times New Roman" w:hAnsi="Times New Roman"/>
          <w:sz w:val="18"/>
          <w:szCs w:val="18"/>
          <w:color w:val="auto"/>
        </w:rPr>
        <w:t>protection and land use. The permits and approvals are often difficult, time consuming and costly to obtain and could contain conditions that limit our operations.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Governmental authorities may enact climate change regulations that could increase our costs to operate.</w:t>
      </w:r>
    </w:p>
    <w:p>
      <w:pPr>
        <w:spacing w:after="0" w:line="135"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Environmental advocacy groups and regulatory agencies in the United States have been focusing considerable attention on the emissions of greenhouse gases and their potential role in climate change. The adoption of laws and regulations to implement controls of greenhouse gases, including the imposition of fees or taxes, could adversely affect our collection and disposal operations. Additionally, certain of the states in which we operate are contemplating air pollution control regulations that are more stringent than existing and proposed federal regulations. Changing environmental regulations could require us to take any number of actions, including the purchase of emission allowances or installation of additional pollution control technology, and could make some operations less profitable, which could adversely affect our results of operations.</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Significant shortages in fuel supply or increases in fuel prices will increase our operating expenses.</w:t>
      </w:r>
    </w:p>
    <w:p>
      <w:pPr>
        <w:spacing w:after="0" w:line="135"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In the past two years, the year-over-year changes in the average quarterly fuel prices have ranged from an increase of 28% to a decrease of 5%.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202" w:lineRule="exact"/>
        <w:rPr>
          <w:sz w:val="20"/>
          <w:szCs w:val="20"/>
          <w:color w:val="auto"/>
        </w:rPr>
      </w:pPr>
    </w:p>
    <w:p>
      <w:pPr>
        <w:ind w:left="700"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41"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To the extent our insurers were unable to meet their obligations, or our own obligations for claims were more than we estimated, there could be a material adverse effect to our financial results.</w:t>
      </w:r>
    </w:p>
    <w:p>
      <w:pPr>
        <w:spacing w:after="0" w:line="95" w:lineRule="exact"/>
        <w:rPr>
          <w:sz w:val="20"/>
          <w:szCs w:val="20"/>
          <w:color w:val="auto"/>
        </w:rPr>
      </w:pPr>
    </w:p>
    <w:p>
      <w:pPr>
        <w:ind w:left="700" w:firstLine="397"/>
        <w:spacing w:after="0" w:line="273" w:lineRule="auto"/>
        <w:rPr>
          <w:sz w:val="20"/>
          <w:szCs w:val="20"/>
          <w:color w:val="auto"/>
        </w:rPr>
      </w:pPr>
      <w:r>
        <w:rPr>
          <w:rFonts w:ascii="Times New Roman" w:cs="Times New Roman" w:eastAsia="Times New Roman" w:hAnsi="Times New Roman"/>
          <w:sz w:val="17"/>
          <w:szCs w:val="17"/>
          <w:color w:val="auto"/>
        </w:rPr>
        <w:t>In addition, to fulfill our financial assurance obligations with respect to environmental closure and post-closure liabilities, we generally obtain letters of credit or surety bonds, rely on insurance, including captive insurance, or fund trust and escrow accounts. We currently have in place all financial assurance instruments necessary for our operations. We do not anticipate any unmanageable difficulty in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possibility of development and expansion projects or pending acquisitions not being completed or certain other events could result in a material charge against our earnings.</w:t>
      </w:r>
    </w:p>
    <w:p>
      <w:pPr>
        <w:spacing w:after="0" w:line="64"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we capitalize certain expenditures and advances relating to disposal site development, expansion projects, acquisitions, software development costs and other projects. If a facility or operation is permanently shut down or determined to be impaired, a pending acquisition is not completed, a development or expansion project is not completed or is determined to be impaired, we will charge against earnings any unamortized capitalized expenditures and advances relating to such facility, acquisition or project. We reduce the charge against earnings by any portion of the capitalized costs that we estimate will be recoverable, through sale or otherwise.</w:t>
      </w:r>
    </w:p>
    <w:p>
      <w:pPr>
        <w:spacing w:after="0" w:line="93"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In future periods, we may be required to incur charges against earnings in accordance with this policy, or due to other events that cause impairments. Any such charges could have a material adverse effect on our results of operations.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revenues will fluctuate based on changes in commodity prices.</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In the past two years, the year-over-year changes in the quarterly average market prices for OCC ranged from a decrease of as much as 34% to an increase of as much as 83%. The same comparisons for ONP have ranged from a decrease of as much as 16% to an increase of as much as 47%. These fluctuations can affect future operating income and cash flows. Additionally, our recycling operations offer rebates to suppliers, based on the market prices of commodities we buy to process for resale. Therefore, even if we experience higher revenues based on increased market prices for commodities, the rebates we pay will also increase.</w:t>
      </w:r>
    </w:p>
    <w:p>
      <w:pPr>
        <w:spacing w:after="0" w:line="91"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fluctuations do not have a significant effect on these operations in the short-term. However, as those agreements expire and are up for renewal, changes in market prices may affect our revenues. Additionally, revenues from our independent power production plants can be affected by price fluctuations. In the past two years, the year-over-year changes in the average quarterly electricity prices have increased or decreased by as much as 5%.</w:t>
      </w:r>
    </w:p>
    <w:p>
      <w:pPr>
        <w:spacing w:after="0" w:line="199" w:lineRule="exact"/>
        <w:rPr>
          <w:sz w:val="20"/>
          <w:szCs w:val="20"/>
          <w:color w:val="auto"/>
        </w:rPr>
      </w:pPr>
    </w:p>
    <w:p>
      <w:pPr>
        <w:ind w:left="70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alternatives to landfill disposal and waste-to-energy facilities could reduce our ability to operate at full capacity.</w:t>
      </w:r>
    </w:p>
    <w:p>
      <w:pPr>
        <w:spacing w:after="0" w:line="64"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Efforts by labor unions to organize our employees could increase our operating expenses.</w:t>
      </w:r>
    </w:p>
    <w:p>
      <w:pPr>
        <w:spacing w:after="0" w:line="135"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work stoppages, including strikes, could</w:t>
      </w: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82" w:lineRule="auto"/>
        <w:rPr>
          <w:sz w:val="20"/>
          <w:szCs w:val="20"/>
          <w:color w:val="auto"/>
        </w:rPr>
      </w:pPr>
      <w:r>
        <w:rPr>
          <w:rFonts w:ascii="Times New Roman" w:cs="Times New Roman" w:eastAsia="Times New Roman" w:hAnsi="Times New Roman"/>
          <w:sz w:val="18"/>
          <w:szCs w:val="18"/>
          <w:color w:val="auto"/>
        </w:rPr>
        <w:t>ensue. Depending on the type and duration of any labor disruptions, our operating expenses could increase significantly, which could adversely affect our financial condition, results of operations and cash flows.</w:t>
      </w:r>
    </w:p>
    <w:p>
      <w:pPr>
        <w:spacing w:after="0" w:line="171" w:lineRule="exact"/>
        <w:rPr>
          <w:sz w:val="20"/>
          <w:szCs w:val="20"/>
          <w:color w:val="auto"/>
        </w:rPr>
      </w:pPr>
    </w:p>
    <w:p>
      <w:pPr>
        <w:ind w:left="70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pending or future litigation or governmental proceedings could result in material adverse consequences, including judgments or settlements.</w:t>
      </w:r>
    </w:p>
    <w:p>
      <w:pPr>
        <w:spacing w:after="0" w:line="64"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technology in our operations and if our technology fails, our business could be adversely affected.</w:t>
      </w:r>
    </w:p>
    <w:p>
      <w:pPr>
        <w:spacing w:after="0" w:line="135" w:lineRule="exact"/>
        <w:rPr>
          <w:sz w:val="20"/>
          <w:szCs w:val="20"/>
          <w:color w:val="auto"/>
        </w:rPr>
      </w:pPr>
    </w:p>
    <w:p>
      <w:pPr>
        <w:ind w:left="700" w:right="20" w:firstLine="397"/>
        <w:spacing w:after="0" w:line="273" w:lineRule="auto"/>
        <w:rPr>
          <w:sz w:val="20"/>
          <w:szCs w:val="20"/>
          <w:color w:val="auto"/>
        </w:rPr>
      </w:pPr>
      <w:r>
        <w:rPr>
          <w:rFonts w:ascii="Times New Roman" w:cs="Times New Roman" w:eastAsia="Times New Roman" w:hAnsi="Times New Roman"/>
          <w:sz w:val="17"/>
          <w:szCs w:val="17"/>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new revenue management application that we had been piloting throughout 2007, resulting in the termination of the pilot while we determine how to proceed on an enterprise-wide basis. The termination of the pilot may lead to additional costs and expenses, which could be material. Additionally, the delay in implementing a new, enterprise-wide revenue management system may negatively affect our ability to improve our operating margins. Finally, there can be no assurances that our issues related to the licensed application will not ultimately result in an impairment charge, which could be material.</w:t>
      </w:r>
    </w:p>
    <w:p>
      <w:pPr>
        <w:spacing w:after="0" w:line="78" w:lineRule="exact"/>
        <w:rPr>
          <w:sz w:val="20"/>
          <w:szCs w:val="20"/>
          <w:color w:val="auto"/>
        </w:rPr>
      </w:pPr>
    </w:p>
    <w:p>
      <w:pPr>
        <w:ind w:left="700" w:right="620" w:firstLine="397"/>
        <w:spacing w:after="0" w:line="282" w:lineRule="auto"/>
        <w:rPr>
          <w:sz w:val="20"/>
          <w:szCs w:val="20"/>
          <w:color w:val="auto"/>
        </w:rPr>
      </w:pPr>
      <w:r>
        <w:rPr>
          <w:rFonts w:ascii="Times New Roman" w:cs="Times New Roman" w:eastAsia="Times New Roman" w:hAnsi="Times New Roman"/>
          <w:sz w:val="18"/>
          <w:szCs w:val="18"/>
          <w:color w:val="auto"/>
        </w:rPr>
        <w:t>Additionally, any systems failures could impede our ability to timely collect and report financial results in accordance with applicable law and regulations.</w:t>
      </w:r>
    </w:p>
    <w:p>
      <w:pPr>
        <w:spacing w:after="0" w:line="171" w:lineRule="exact"/>
        <w:rPr>
          <w:sz w:val="20"/>
          <w:szCs w:val="20"/>
          <w:color w:val="auto"/>
        </w:rPr>
      </w:pPr>
    </w:p>
    <w:p>
      <w:pPr>
        <w:ind w:left="70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adverse impacts on our reported results of operations as a result of adopting new accounting standards or interpretations.</w:t>
      </w:r>
    </w:p>
    <w:p>
      <w:pPr>
        <w:spacing w:after="0" w:line="64" w:lineRule="exact"/>
        <w:rPr>
          <w:sz w:val="20"/>
          <w:szCs w:val="20"/>
          <w:color w:val="auto"/>
        </w:rPr>
      </w:pPr>
    </w:p>
    <w:p>
      <w:pPr>
        <w:ind w:left="700" w:right="20" w:firstLine="397"/>
        <w:spacing w:after="0" w:line="313" w:lineRule="auto"/>
        <w:rPr>
          <w:sz w:val="20"/>
          <w:szCs w:val="20"/>
          <w:color w:val="auto"/>
        </w:rPr>
      </w:pPr>
      <w:r>
        <w:rPr>
          <w:rFonts w:ascii="Times New Roman" w:cs="Times New Roman" w:eastAsia="Times New Roman" w:hAnsi="Times New Roman"/>
          <w:sz w:val="17"/>
          <w:szCs w:val="17"/>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Unforeseen circumstances could result in a need for additional capital.</w:t>
      </w:r>
    </w:p>
    <w:p>
      <w:pPr>
        <w:spacing w:after="0" w:line="135" w:lineRule="exact"/>
        <w:rPr>
          <w:sz w:val="20"/>
          <w:szCs w:val="20"/>
          <w:color w:val="auto"/>
        </w:rPr>
      </w:pPr>
    </w:p>
    <w:p>
      <w:pPr>
        <w:ind w:left="700" w:firstLine="397"/>
        <w:spacing w:after="0" w:line="272" w:lineRule="auto"/>
        <w:rPr>
          <w:sz w:val="20"/>
          <w:szCs w:val="20"/>
          <w:color w:val="auto"/>
        </w:rPr>
      </w:pPr>
      <w:r>
        <w:rPr>
          <w:rFonts w:ascii="Times New Roman" w:cs="Times New Roman" w:eastAsia="Times New Roman" w:hAnsi="Times New Roman"/>
          <w:sz w:val="17"/>
          <w:szCs w:val="17"/>
          <w:color w:val="auto"/>
        </w:rPr>
        <w:t>We currently expect to meet our anticipated cash needs for capital expenditures, acquisitions and other cash expenditures with our cash flows from operations and, to the extent necessary, additional financings. However, materially adverse events could reduce our cash flows from operations. Our Board of Directors has approved a capital allocation program that provides for up to $1.4 billion in aggregate dividend payments and share repurchases during 2008 and recently announced that it expects future quarterly dividend payments, when declared by the Board of Directors, to be $0.27 per share. If our cash flows from operations were negatively affected, we could be forced to reduce capital expenditures, acquisition activity, share repurchase activity or dividend declarations. In these circumstances we instead may elect to incur more indebtedness. If we made such an election, there can be no assurances that we would be able to obtain additional financings on acceptable terms. In these circumstances, we would likely use our revolving credit facility to meet our cash needs.</w:t>
      </w:r>
    </w:p>
    <w:p>
      <w:pPr>
        <w:spacing w:after="0" w:line="78" w:lineRule="exact"/>
        <w:rPr>
          <w:sz w:val="20"/>
          <w:szCs w:val="20"/>
          <w:color w:val="auto"/>
        </w:rPr>
      </w:pPr>
    </w:p>
    <w:p>
      <w:pPr>
        <w:jc w:val="both"/>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3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USE OF PROCEEDS</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We expect the net proceeds from the offering of the notes to be approximately $593.0 million, after deducting discounts to the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underwriters and estimated expenses of the offering that we will pay. We intend to use the net proceeds to retire approximately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$244 million principal amount of 8.75% Senior Notes due 2018 that become callable in May 2008 at a redemption price equal to par;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repay approximately $250 million of currently outstanding borrowings under our revolving credit facility that were incurred in late 2007</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working capital and general corporate purposes; and use the remainder for general corporate purposes. Borrowings under our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revolving credit facility have various maturities through March 25, 2008, and currently bear interest at a weighted average rate of 4.7%.</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Pending application of the offering proceeds as described, we will temporarily invest the proceeds in short-term investments.</w:t>
      </w:r>
    </w:p>
    <w:p>
      <w:pPr>
        <w:spacing w:after="0" w:line="112" w:lineRule="exact"/>
        <w:rPr>
          <w:sz w:val="20"/>
          <w:szCs w:val="20"/>
          <w:color w:val="auto"/>
        </w:rPr>
      </w:pPr>
    </w:p>
    <w:p>
      <w:pPr>
        <w:ind w:left="700" w:right="20" w:firstLine="397"/>
        <w:spacing w:after="0" w:line="282" w:lineRule="auto"/>
        <w:rPr>
          <w:sz w:val="20"/>
          <w:szCs w:val="20"/>
          <w:color w:val="auto"/>
        </w:rPr>
      </w:pPr>
      <w:r>
        <w:rPr>
          <w:rFonts w:ascii="Times New Roman" w:cs="Times New Roman" w:eastAsia="Times New Roman" w:hAnsi="Times New Roman"/>
          <w:sz w:val="18"/>
          <w:szCs w:val="18"/>
          <w:color w:val="auto"/>
        </w:rPr>
        <w:t>Affiliates of some of the underwriters are lenders under our revolving credit facility and will receive a share of the proceeds of this offering as a result of our repayment of outstanding indebtedness under our revolving credit facility. See “Underwriting.”</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5" w:right="11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3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86"/>
        </w:trPr>
        <w:tc>
          <w:tcPr>
            <w:tcW w:w="13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4120" w:type="dxa"/>
            <w:vAlign w:val="bottom"/>
            <w:gridSpan w:val="3"/>
          </w:tcPr>
          <w:p>
            <w:pPr>
              <w:ind w:left="34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2"/>
        </w:trPr>
        <w:tc>
          <w:tcPr>
            <w:tcW w:w="8520" w:type="dxa"/>
            <w:vAlign w:val="bottom"/>
            <w:gridSpan w:val="8"/>
          </w:tcPr>
          <w:p>
            <w:pPr>
              <w:ind w:left="1080"/>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420" w:type="dxa"/>
            <w:vAlign w:val="bottom"/>
            <w:tcBorders>
              <w:bottom w:val="single" w:sz="8" w:color="auto"/>
            </w:tcBorders>
          </w:tcPr>
          <w:p>
            <w:pPr>
              <w:spacing w:after="0"/>
              <w:rPr>
                <w:sz w:val="24"/>
                <w:szCs w:val="24"/>
                <w:color w:val="auto"/>
              </w:rPr>
            </w:pPr>
          </w:p>
        </w:tc>
      </w:tr>
      <w:tr>
        <w:trPr>
          <w:trHeight w:val="210"/>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3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r>
      <w:tr>
        <w:trPr>
          <w:trHeight w:val="264"/>
        </w:trPr>
        <w:tc>
          <w:tcPr>
            <w:tcW w:w="3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440" w:type="dxa"/>
            <w:vAlign w:val="bottom"/>
          </w:tcPr>
          <w:p>
            <w:pPr>
              <w:spacing w:after="0"/>
              <w:rPr>
                <w:sz w:val="22"/>
                <w:szCs w:val="22"/>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4.0x</w:t>
            </w:r>
          </w:p>
        </w:tc>
        <w:tc>
          <w:tcPr>
            <w:tcW w:w="12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3.2x</w:t>
            </w:r>
          </w:p>
        </w:tc>
        <w:tc>
          <w:tcPr>
            <w:tcW w:w="38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3.5x</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We have computed the ratio of earnings to fixed charges by dividing earnings available for fixed charges by fixed charges. For this purpose, earnings available for fixed charges consist of earnings before taxes, cumulative effects of changes in accounting principles, losses in equity investments, minority interest expense and fixed charges. Fixed charges consist of total interest, whether expensed or capitalized, and the portion of our operating lease rental expense that represents an interest factor.</w:t>
      </w:r>
    </w:p>
    <w:p>
      <w:pPr>
        <w:spacing w:after="0" w:line="3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05" w:right="11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24"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as of December 31, 2007 and as adjusted to give effect to the offering of the notes and the application of the net proceeds as described under “Use of Proceeds.” It is important that you read the following information along with the consolidated financial statements and notes thereto incorporated by reference in this prospectus supplement and the accompanying prospectus. See “Where You Can Find More Information.”</w:t>
      </w:r>
    </w:p>
    <w:p>
      <w:pPr>
        <w:spacing w:after="0" w:line="41"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(weighted average interest rate of 5.4% at December 31, 2007)(a)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credit facility (weighted average interest rate of 5.3% at December 31, 2007)(b)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and debentures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Maturing through 2032, interest rates ranging from 5.0% to 8.75% (weighted average interest rate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7.0% at December 31, 2007)(c)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6.10% Senior Notes due 2018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2039, fixed and variable interest rates ranging from 2.9% to 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 of 4.4% at December 31, 2007)(d)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Tax-exempt project bonds, principal payable in periodic installments, maturing through 2027, fixed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variable interest rates ranging from 3.5% to 9.3% (weighted average interest rate of 5.3%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2007)(e)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and other, maturing through 2036, interest rates up to 12%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1,500,000,000 shares authorized; 630,282,461 shares issued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at cost, 130,163,692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Total debt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0" w:right="80" w:hanging="262"/>
        <w:spacing w:after="0" w:line="261" w:lineRule="auto"/>
        <w:tabs>
          <w:tab w:leader="none" w:pos="1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 billion revolving credit facility that matures August 17, 2011. The As Adjusted amount is pro forma as of December 31, 2007. In the first quarter of 2008, we repaid this $50 million of borrowings outstanding as of December 31, 2007.</w:t>
      </w:r>
    </w:p>
    <w:p>
      <w:pPr>
        <w:ind w:left="1200" w:right="160" w:hanging="270"/>
        <w:spacing w:after="0" w:line="261" w:lineRule="auto"/>
        <w:tabs>
          <w:tab w:leader="none" w:pos="1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Waste Management of Canada Corporation, our wholly-owned subsidiary, is party to a Cdn $340 million credit facility with a maturity of November 2012 that is guaranteed by us.</w:t>
      </w:r>
    </w:p>
    <w:p>
      <w:pPr>
        <w:ind w:left="1200" w:right="140" w:hanging="262"/>
        <w:spacing w:after="0"/>
        <w:tabs>
          <w:tab w:leader="none" w:pos="1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 $244 million of 8.75% Senior Notes due 2018 that we expect to call in May 2008 was $255 million as of December 31, 2007. The difference between the carrying value and par value of this debt obligation is related to hedge accounting for interest rate swaps. The difference is currently recognized ratably as a reduction in interest expense through the scheduled maturity of this debt in May 2018. Upon redemption of the 8.75% Senior Notes due 2018 in May 2008, the remaining unamortized balance, which is currently expected to be approximately $10 million, will be recognized as a reduction to interest expense.</w:t>
      </w:r>
    </w:p>
    <w:p>
      <w:pPr>
        <w:spacing w:after="0" w:line="152" w:lineRule="exact"/>
        <w:rPr>
          <w:rFonts w:ascii="Times New Roman" w:cs="Times New Roman" w:eastAsia="Times New Roman" w:hAnsi="Times New Roman"/>
          <w:sz w:val="14"/>
          <w:szCs w:val="14"/>
          <w:color w:val="auto"/>
        </w:rPr>
      </w:pPr>
    </w:p>
    <w:p>
      <w:pPr>
        <w:ind w:left="1200" w:right="240" w:hanging="270"/>
        <w:spacing w:after="0" w:line="241" w:lineRule="auto"/>
        <w:tabs>
          <w:tab w:leader="none" w:pos="1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4" w:lineRule="exact"/>
        <w:rPr>
          <w:rFonts w:ascii="Times New Roman" w:cs="Times New Roman" w:eastAsia="Times New Roman" w:hAnsi="Times New Roman"/>
          <w:sz w:val="14"/>
          <w:szCs w:val="14"/>
          <w:color w:val="auto"/>
        </w:rPr>
      </w:pPr>
    </w:p>
    <w:p>
      <w:pPr>
        <w:ind w:left="1200" w:right="160" w:hanging="262"/>
        <w:spacing w:after="0" w:line="262" w:lineRule="auto"/>
        <w:tabs>
          <w:tab w:leader="none" w:pos="1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project bonds are used primarily by our Wheelabrator Group, which owns and operates waste-to-energy facilities and independent power production plants, to finance the development of the waste-to-energy facilities.</w:t>
      </w:r>
    </w:p>
    <w:p>
      <w:pPr>
        <w:spacing w:after="0" w:line="3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24" w:lineRule="exact"/>
        <w:rPr>
          <w:sz w:val="20"/>
          <w:szCs w:val="20"/>
          <w:color w:val="auto"/>
        </w:rPr>
      </w:pPr>
    </w:p>
    <w:p>
      <w:pPr>
        <w:jc w:val="both"/>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The notes are a new series of debt securities described in the accompanying prospectus that will be issued under an Indenture dated as of September 10, 1997, between us and The Bank of New York Trust Company, N.A. (the current successor to Texas Commerce Bank National Association), as Trustee. We will issue the notes pursuant to a resolution of our Board of Directors and accompanying officers’ certificate setting forth the specific terms applicable to the notes.</w:t>
      </w:r>
    </w:p>
    <w:p>
      <w:pPr>
        <w:spacing w:after="0" w:line="86"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The Notes. </w:t>
      </w:r>
      <w:r>
        <w:rPr>
          <w:rFonts w:ascii="Times New Roman" w:cs="Times New Roman" w:eastAsia="Times New Roman" w:hAnsi="Times New Roman"/>
          <w:sz w:val="18"/>
          <w:szCs w:val="18"/>
          <w:color w:val="auto"/>
        </w:rPr>
        <w:t>The notes:</w:t>
      </w:r>
    </w:p>
    <w:p>
      <w:pPr>
        <w:spacing w:after="0" w:line="133" w:lineRule="exact"/>
        <w:rPr>
          <w:sz w:val="20"/>
          <w:szCs w:val="20"/>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our general unsecured, senior obligations;</w:t>
      </w:r>
    </w:p>
    <w:p>
      <w:pPr>
        <w:spacing w:after="0" w:line="117" w:lineRule="exact"/>
        <w:rPr>
          <w:rFonts w:ascii="Times New Roman" w:cs="Times New Roman" w:eastAsia="Times New Roman" w:hAnsi="Times New Roman"/>
          <w:sz w:val="18"/>
          <w:szCs w:val="18"/>
          <w:color w:val="auto"/>
        </w:rPr>
      </w:pPr>
    </w:p>
    <w:p>
      <w:pPr>
        <w:ind w:left="1300" w:right="60" w:hanging="202"/>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new series of debt securities issued under the Indenture and will be initially limited to an aggregate principal amount of $600 million;</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March 15, 2018;</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unconditionally guaranteed by our wholly-owned subsidiary WM Holdings;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the benefit of any sinking fund;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minimum denominations of $2,000 and integral multiples of $1,000 in excess thereof; and</w:t>
      </w:r>
    </w:p>
    <w:p>
      <w:pPr>
        <w:spacing w:after="0" w:line="117" w:lineRule="exact"/>
        <w:rPr>
          <w:rFonts w:ascii="Times New Roman" w:cs="Times New Roman" w:eastAsia="Times New Roman" w:hAnsi="Times New Roman"/>
          <w:sz w:val="18"/>
          <w:szCs w:val="18"/>
          <w:color w:val="auto"/>
        </w:rPr>
      </w:pPr>
    </w:p>
    <w:p>
      <w:pPr>
        <w:jc w:val="both"/>
        <w:ind w:left="1300" w:right="20" w:hanging="202"/>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Interest on the notes will:</w:t>
      </w:r>
    </w:p>
    <w:p>
      <w:pPr>
        <w:spacing w:after="0" w:line="133" w:lineRule="exact"/>
        <w:rPr>
          <w:sz w:val="20"/>
          <w:szCs w:val="20"/>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at the rate of 6.10% per annum;</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March 6, 2008 or the most recent interest payment date;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March 15 and September 15 of each year, beginning on September 15, 2008;</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on the March 1 and September 1 immediately preceding the related interest payment dates;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35" w:lineRule="exact"/>
        <w:rPr>
          <w:sz w:val="20"/>
          <w:szCs w:val="20"/>
          <w:color w:val="auto"/>
        </w:rPr>
      </w:pPr>
    </w:p>
    <w:p>
      <w:pPr>
        <w:ind w:left="700" w:right="260" w:firstLine="397"/>
        <w:spacing w:after="0" w:line="258" w:lineRule="auto"/>
        <w:rPr>
          <w:sz w:val="20"/>
          <w:szCs w:val="20"/>
          <w:color w:val="auto"/>
        </w:rPr>
      </w:pPr>
      <w:r>
        <w:rPr>
          <w:rFonts w:ascii="Times New Roman" w:cs="Times New Roman" w:eastAsia="Times New Roman" w:hAnsi="Times New Roman"/>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on behalf (for the benefit of) of The Bank of New York Trust Company, N.A., located at 101 Barclay Street, Floor 21 West, New York, New York 10286).</w:t>
      </w:r>
    </w:p>
    <w:p>
      <w:pPr>
        <w:spacing w:after="0" w:line="89"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w:t>
      </w: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82" w:lineRule="auto"/>
        <w:rPr>
          <w:sz w:val="20"/>
          <w:szCs w:val="20"/>
          <w:color w:val="auto"/>
        </w:rPr>
      </w:pPr>
      <w:r>
        <w:rPr>
          <w:rFonts w:ascii="Times New Roman" w:cs="Times New Roman" w:eastAsia="Times New Roman" w:hAnsi="Times New Roman"/>
          <w:sz w:val="18"/>
          <w:szCs w:val="18"/>
          <w:color w:val="auto"/>
        </w:rPr>
        <w:t>trust office of The Bank of New York, on behalf (for the benefit of) of The Bank of New York Trust Company, N.A., or by check mailed directly to registered holders at their registered addresses or by wire transfer to an account designated by a registered holder.</w:t>
      </w:r>
    </w:p>
    <w:p>
      <w:pPr>
        <w:spacing w:after="0" w:line="13"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35"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The notes will be redeemable and repayable, at our option, at any time in whole, or from time to time in part, at a price equal to the greater of:</w:t>
      </w:r>
    </w:p>
    <w:p>
      <w:pPr>
        <w:spacing w:after="0" w:line="67" w:lineRule="exact"/>
        <w:rPr>
          <w:sz w:val="20"/>
          <w:szCs w:val="20"/>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 repaid; or</w:t>
      </w:r>
    </w:p>
    <w:p>
      <w:pPr>
        <w:spacing w:after="0" w:line="63" w:lineRule="exact"/>
        <w:rPr>
          <w:rFonts w:ascii="Times New Roman" w:cs="Times New Roman" w:eastAsia="Times New Roman" w:hAnsi="Times New Roman"/>
          <w:sz w:val="18"/>
          <w:szCs w:val="18"/>
          <w:color w:val="auto"/>
        </w:rPr>
      </w:pPr>
    </w:p>
    <w:p>
      <w:pPr>
        <w:ind w:left="1300" w:right="140" w:hanging="202"/>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(at the rate in effect on the date of calculation of the redemption price) on the notes (exclusive of interest accrued to the date of redemption) discounted to the date of redemption on a semi-annual basis (assuming a 360-day year consisting of twelve 30-day months) at the applicable Treasury Yield plus 40 basis points;</w:t>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37"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4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purposes of determining the optional redemption price, the following definitions are applicable:</w:t>
      </w:r>
    </w:p>
    <w:p>
      <w:pPr>
        <w:spacing w:after="0" w:line="75" w:lineRule="exact"/>
        <w:rPr>
          <w:sz w:val="20"/>
          <w:szCs w:val="20"/>
          <w:color w:val="auto"/>
        </w:rPr>
      </w:pPr>
    </w:p>
    <w:p>
      <w:pPr>
        <w:ind w:left="700" w:right="260" w:firstLine="3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Yield</w:t>
      </w:r>
      <w:r>
        <w:rPr>
          <w:rFonts w:ascii="Times New Roman" w:cs="Times New Roman" w:eastAsia="Times New Roman" w:hAnsi="Times New Roman"/>
          <w:sz w:val="18"/>
          <w:szCs w:val="18"/>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31" w:lineRule="exact"/>
        <w:rPr>
          <w:sz w:val="20"/>
          <w:szCs w:val="20"/>
          <w:color w:val="auto"/>
        </w:rPr>
      </w:pPr>
    </w:p>
    <w:p>
      <w:pPr>
        <w:jc w:val="both"/>
        <w:ind w:left="700" w:right="40" w:firstLine="397"/>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Comparable Treasury Issue</w:t>
      </w:r>
      <w:r>
        <w:rPr>
          <w:rFonts w:ascii="Times New Roman" w:cs="Times New Roman" w:eastAsia="Times New Roman" w:hAnsi="Times New Roman"/>
          <w:sz w:val="17"/>
          <w:szCs w:val="17"/>
          <w:color w:val="auto"/>
        </w:rPr>
        <w:t>” means the United States Treasury security selected by an Independent Investment Banker as having a maturity comparable to 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34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Investment Banker</w:t>
      </w:r>
      <w:r>
        <w:rPr>
          <w:rFonts w:ascii="Times New Roman" w:cs="Times New Roman" w:eastAsia="Times New Roman" w:hAnsi="Times New Roman"/>
          <w:sz w:val="18"/>
          <w:szCs w:val="18"/>
          <w:color w:val="auto"/>
        </w:rPr>
        <w:t>” means any of Banc of America Securities LLC, J.P. Morgan 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86"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(a) the bid price for the Comparable Treasury 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9"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(i) each of Banc of America Securities LLC, J.P. Morgan Securities Inc. and Greenwich Capital Markets, Inc. (and their respective successors), unless any of them ceases to be a primary U.S. government securities dealer in New York City (a “Primary Treasury Dealer”), in which case we will substitute therefore another Primary Treasury Dealer, and (ii) any other Primary Treasury Dealer selected by us.</w:t>
      </w:r>
    </w:p>
    <w:p>
      <w:pPr>
        <w:spacing w:after="0" w:line="86"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for the notes, an average, as determined by the Trustee, of the bid and asked prices for the Comparable Treasury Issue for the notes (expressed in each case as a percentage of its principal amount) quoted in writing to the Trustee by the Reference Treasury Dealer at 5:00 p.m., New York City time, on the third business day preceding such redemption date.</w:t>
      </w:r>
    </w:p>
    <w:p>
      <w:pPr>
        <w:spacing w:after="0" w:line="88" w:lineRule="exact"/>
        <w:rPr>
          <w:sz w:val="20"/>
          <w:szCs w:val="20"/>
          <w:color w:val="auto"/>
        </w:rPr>
      </w:pPr>
    </w:p>
    <w:p>
      <w:pPr>
        <w:ind w:left="700" w:right="420" w:firstLine="397"/>
        <w:spacing w:after="0" w:line="282" w:lineRule="auto"/>
        <w:rPr>
          <w:sz w:val="20"/>
          <w:szCs w:val="20"/>
          <w:color w:val="auto"/>
        </w:rPr>
      </w:pPr>
      <w:r>
        <w:rPr>
          <w:rFonts w:ascii="Times New Roman" w:cs="Times New Roman" w:eastAsia="Times New Roman" w:hAnsi="Times New Roman"/>
          <w:sz w:val="18"/>
          <w:szCs w:val="18"/>
          <w:color w:val="auto"/>
        </w:rPr>
        <w:t>Except as set forth above, the notes will not be redeemable by us prior to maturity and will not be entitled to the benefit of any sinking fund.</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35" w:lineRule="exact"/>
        <w:rPr>
          <w:sz w:val="20"/>
          <w:szCs w:val="20"/>
          <w:color w:val="auto"/>
        </w:rPr>
      </w:pPr>
    </w:p>
    <w:p>
      <w:pPr>
        <w:ind w:left="700" w:right="400" w:firstLine="397"/>
        <w:spacing w:after="0" w:line="282" w:lineRule="auto"/>
        <w:rPr>
          <w:sz w:val="20"/>
          <w:szCs w:val="20"/>
          <w:color w:val="auto"/>
        </w:rPr>
      </w:pPr>
      <w:r>
        <w:rPr>
          <w:rFonts w:ascii="Times New Roman" w:cs="Times New Roman" w:eastAsia="Times New Roman" w:hAnsi="Times New Roman"/>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35" w:lineRule="exact"/>
        <w:rPr>
          <w:sz w:val="20"/>
          <w:szCs w:val="20"/>
          <w:color w:val="auto"/>
        </w:rPr>
      </w:pPr>
    </w:p>
    <w:p>
      <w:pPr>
        <w:jc w:val="both"/>
        <w:ind w:left="700" w:right="320" w:firstLine="397"/>
        <w:spacing w:after="0" w:line="266"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2" w:lineRule="exact"/>
        <w:rPr>
          <w:sz w:val="20"/>
          <w:szCs w:val="20"/>
          <w:color w:val="auto"/>
        </w:rPr>
      </w:pPr>
    </w:p>
    <w:p>
      <w:pPr>
        <w:ind w:left="1780" w:hanging="309"/>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80" w:right="60" w:firstLine="372"/>
        <w:spacing w:after="0" w:line="266" w:lineRule="auto"/>
        <w:tabs>
          <w:tab w:leader="none" w:pos="21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81" w:lineRule="exact"/>
        <w:rPr>
          <w:rFonts w:ascii="Times New Roman" w:cs="Times New Roman" w:eastAsia="Times New Roman" w:hAnsi="Times New Roman"/>
          <w:sz w:val="18"/>
          <w:szCs w:val="18"/>
          <w:color w:val="auto"/>
        </w:rPr>
      </w:pPr>
    </w:p>
    <w:p>
      <w:pPr>
        <w:ind w:left="1480" w:right="20" w:firstLine="372"/>
        <w:spacing w:after="0" w:line="256" w:lineRule="auto"/>
        <w:tabs>
          <w:tab w:leader="none" w:pos="21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the notes to the date of such deposit (in the case of notes already due and payable) or to the date of stated maturity or redemption, as the case may be;</w:t>
      </w:r>
    </w:p>
    <w:p>
      <w:pPr>
        <w:spacing w:after="0" w:line="93"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and</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380" w:firstLine="391"/>
        <w:spacing w:after="0" w:line="282" w:lineRule="auto"/>
        <w:tabs>
          <w:tab w:leader="none" w:pos="17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35"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67"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82"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claims of trade payables.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92" w:lineRule="exact"/>
        <w:rPr>
          <w:sz w:val="20"/>
          <w:szCs w:val="20"/>
          <w:color w:val="auto"/>
        </w:rPr>
      </w:pPr>
    </w:p>
    <w:p>
      <w:pPr>
        <w:ind w:left="700" w:right="560" w:firstLine="397"/>
        <w:spacing w:after="0" w:line="261" w:lineRule="auto"/>
        <w:rPr>
          <w:sz w:val="20"/>
          <w:szCs w:val="20"/>
          <w:color w:val="auto"/>
        </w:rPr>
      </w:pPr>
      <w:r>
        <w:rPr>
          <w:rFonts w:ascii="Times New Roman" w:cs="Times New Roman" w:eastAsia="Times New Roman" w:hAnsi="Times New Roman"/>
          <w:sz w:val="18"/>
          <w:szCs w:val="18"/>
          <w:color w:val="auto"/>
        </w:rPr>
        <w:t>As of December 31, 2007, our operating subsidiaries had approximately $3.3 billion of indebtedness and WM Holdings had approximately $889 million of indebtedness (excluding guarantees of $4.2 billion of our senior debt), in each case excluding intercompany loans. As of December 31, 2007, as adjusted to give effect to the issuance of the notes and the application of the net proceeds from the issuance, we would have had an aggregate of $8.4 billion of consolidated indebtedness.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135" w:lineRule="exact"/>
        <w:rPr>
          <w:sz w:val="20"/>
          <w:szCs w:val="20"/>
          <w:color w:val="auto"/>
        </w:rPr>
      </w:pPr>
    </w:p>
    <w:p>
      <w:pPr>
        <w:ind w:left="700" w:right="20" w:firstLine="397"/>
        <w:spacing w:after="0" w:line="281" w:lineRule="auto"/>
        <w:rPr>
          <w:sz w:val="20"/>
          <w:szCs w:val="20"/>
          <w:color w:val="auto"/>
        </w:rPr>
      </w:pPr>
      <w:r>
        <w:rPr>
          <w:rFonts w:ascii="Times New Roman" w:cs="Times New Roman" w:eastAsia="Times New Roman" w:hAnsi="Times New Roman"/>
          <w:sz w:val="17"/>
          <w:szCs w:val="17"/>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70" w:lineRule="exact"/>
        <w:rPr>
          <w:sz w:val="20"/>
          <w:szCs w:val="20"/>
          <w:color w:val="auto"/>
        </w:rPr>
      </w:pPr>
    </w:p>
    <w:p>
      <w:pPr>
        <w:ind w:left="700" w:right="140" w:firstLine="397"/>
        <w:spacing w:after="0" w:line="282" w:lineRule="auto"/>
        <w:rPr>
          <w:sz w:val="20"/>
          <w:szCs w:val="20"/>
          <w:color w:val="auto"/>
        </w:rPr>
      </w:pPr>
      <w:r>
        <w:rPr>
          <w:rFonts w:ascii="Times New Roman" w:cs="Times New Roman" w:eastAsia="Times New Roman" w:hAnsi="Times New Roman"/>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67" w:lineRule="exact"/>
        <w:rPr>
          <w:sz w:val="20"/>
          <w:szCs w:val="20"/>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Waste Management or its successor;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Waste Management or its successor into WM Holdings;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notes; or</w:t>
      </w:r>
    </w:p>
    <w:p>
      <w:pPr>
        <w:spacing w:after="0" w:line="117" w:lineRule="exact"/>
        <w:rPr>
          <w:rFonts w:ascii="Times New Roman" w:cs="Times New Roman" w:eastAsia="Times New Roman" w:hAnsi="Times New Roman"/>
          <w:sz w:val="18"/>
          <w:szCs w:val="18"/>
          <w:color w:val="auto"/>
        </w:rPr>
      </w:pPr>
    </w:p>
    <w:p>
      <w:pPr>
        <w:ind w:left="1300" w:hanging="202"/>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35"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such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93" w:lineRule="exact"/>
        <w:rPr>
          <w:sz w:val="20"/>
          <w:szCs w:val="20"/>
          <w:color w:val="auto"/>
        </w:rPr>
      </w:pPr>
    </w:p>
    <w:p>
      <w:pPr>
        <w:ind w:left="700" w:right="160" w:firstLine="397"/>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117" w:lineRule="exact"/>
        <w:rPr>
          <w:rFonts w:ascii="Times New Roman" w:cs="Times New Roman" w:eastAsia="Times New Roman" w:hAnsi="Times New Roman"/>
          <w:sz w:val="18"/>
          <w:szCs w:val="18"/>
          <w:color w:val="auto"/>
        </w:rPr>
      </w:pPr>
    </w:p>
    <w:p>
      <w:pPr>
        <w:ind w:left="1300" w:right="520" w:hanging="202"/>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300" w:right="600" w:hanging="202"/>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67"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89" w:lineRule="exact"/>
        <w:rPr>
          <w:sz w:val="20"/>
          <w:szCs w:val="20"/>
          <w:color w:val="auto"/>
        </w:rPr>
      </w:pPr>
    </w:p>
    <w:p>
      <w:pPr>
        <w:ind w:left="700" w:right="140" w:firstLine="397"/>
        <w:spacing w:after="0" w:line="256" w:lineRule="auto"/>
        <w:rPr>
          <w:sz w:val="20"/>
          <w:szCs w:val="20"/>
          <w:color w:val="auto"/>
        </w:rPr>
      </w:pPr>
      <w:r>
        <w:rPr>
          <w:rFonts w:ascii="Times New Roman" w:cs="Times New Roman" w:eastAsia="Times New Roman" w:hAnsi="Times New Roman"/>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129"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w:t>
      </w:r>
    </w:p>
    <w:p>
      <w:pPr>
        <w:spacing w:after="0" w:line="37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8"/>
          <w:szCs w:val="18"/>
          <w:color w:val="auto"/>
        </w:rPr>
        <w:t>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93"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we become a direct or indirect wholly-owned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xml:space="preserve"> means the occurrence of both a change of control and a rating event.</w:t>
      </w:r>
    </w:p>
    <w:p>
      <w:pPr>
        <w:spacing w:after="0" w:line="131" w:lineRule="exact"/>
        <w:rPr>
          <w:sz w:val="20"/>
          <w:szCs w:val="20"/>
          <w:color w:val="auto"/>
        </w:rPr>
      </w:pPr>
    </w:p>
    <w:p>
      <w:pPr>
        <w:ind w:left="700" w:right="160" w:firstLine="3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directors”</w:t>
      </w:r>
      <w:r>
        <w:rPr>
          <w:rFonts w:ascii="Times New Roman" w:cs="Times New Roman" w:eastAsia="Times New Roman" w:hAnsi="Times New Roman"/>
          <w:sz w:val="18"/>
          <w:szCs w:val="18"/>
          <w:color w:val="auto"/>
        </w:rPr>
        <w:t xml:space="preserve">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xml:space="preserve"> means Fitch Inc. and its successors.</w:t>
      </w:r>
    </w:p>
    <w:p>
      <w:pPr>
        <w:spacing w:after="0" w:line="131" w:lineRule="exact"/>
        <w:rPr>
          <w:sz w:val="20"/>
          <w:szCs w:val="20"/>
          <w:color w:val="auto"/>
        </w:rPr>
      </w:pPr>
    </w:p>
    <w:p>
      <w:pPr>
        <w:ind w:left="700" w:right="80" w:firstLine="39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xml:space="preserve">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xml:space="preserve"> means Moody’s Investors Service, Inc. and its successors.</w:t>
      </w:r>
    </w:p>
    <w:p>
      <w:pPr>
        <w:spacing w:after="0" w:line="131" w:lineRule="exact"/>
        <w:rPr>
          <w:sz w:val="20"/>
          <w:szCs w:val="20"/>
          <w:color w:val="auto"/>
        </w:rPr>
      </w:pPr>
    </w:p>
    <w:p>
      <w:pPr>
        <w:ind w:left="700" w:right="160" w:firstLine="3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xml:space="preserve"> means (1) each of Fitch, Moody’s and S&amp;P and (2) if any of Fitch, Moody’s or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86" w:lineRule="exact"/>
        <w:rPr>
          <w:sz w:val="20"/>
          <w:szCs w:val="20"/>
          <w:color w:val="auto"/>
        </w:rPr>
      </w:pPr>
    </w:p>
    <w:p>
      <w:pPr>
        <w:ind w:left="700" w:right="80" w:firstLine="3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xml:space="preserve">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xml:space="preserve"> means Standard &amp; Poor’s Ratings Services, a division of The McGraw-Hill Companies, Inc., and its successors.</w:t>
      </w:r>
    </w:p>
    <w:p>
      <w:pPr>
        <w:spacing w:after="0" w:line="131" w:lineRule="exact"/>
        <w:rPr>
          <w:sz w:val="20"/>
          <w:szCs w:val="20"/>
          <w:color w:val="auto"/>
        </w:rPr>
      </w:pPr>
    </w:p>
    <w:p>
      <w:pPr>
        <w:ind w:left="700" w:right="260" w:firstLine="39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xml:space="preserve">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debt secured by liens;</w:t>
      </w:r>
    </w:p>
    <w:p>
      <w:pPr>
        <w:spacing w:after="0" w:line="6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6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35" w:lineRule="exact"/>
        <w:rPr>
          <w:sz w:val="20"/>
          <w:szCs w:val="20"/>
          <w:color w:val="auto"/>
        </w:rPr>
      </w:pPr>
    </w:p>
    <w:p>
      <w:pPr>
        <w:ind w:left="700" w:firstLine="397"/>
        <w:spacing w:after="0" w:line="281" w:lineRule="auto"/>
        <w:rPr>
          <w:sz w:val="20"/>
          <w:szCs w:val="20"/>
          <w:color w:val="auto"/>
        </w:rPr>
      </w:pPr>
      <w:r>
        <w:rPr>
          <w:rFonts w:ascii="Times New Roman" w:cs="Times New Roman" w:eastAsia="Times New Roman" w:hAnsi="Times New Roman"/>
          <w:sz w:val="17"/>
          <w:szCs w:val="17"/>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135"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 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92"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3"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DTC has advised us and the underwriters as follows:</w:t>
      </w:r>
    </w:p>
    <w:p>
      <w:pPr>
        <w:spacing w:after="0" w:line="131" w:lineRule="exact"/>
        <w:rPr>
          <w:sz w:val="20"/>
          <w:szCs w:val="20"/>
          <w:color w:val="auto"/>
        </w:rPr>
      </w:pPr>
    </w:p>
    <w:p>
      <w:pPr>
        <w:ind w:left="1300" w:right="460" w:hanging="202"/>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300" w:right="420"/>
        <w:spacing w:after="0" w:line="282" w:lineRule="auto"/>
        <w:rPr>
          <w:sz w:val="20"/>
          <w:szCs w:val="20"/>
          <w:color w:val="auto"/>
        </w:rPr>
      </w:pPr>
      <w:r>
        <w:rPr>
          <w:rFonts w:ascii="Times New Roman" w:cs="Times New Roman" w:eastAsia="Times New Roman" w:hAnsi="Times New Roman"/>
          <w:sz w:val="18"/>
          <w:szCs w:val="18"/>
          <w:color w:val="auto"/>
        </w:rPr>
        <w:t>System, a “clearing corporation” within the meaning of the New York Uniform Commercial Code, and a “clearing agency” registered pursuant to the provisions of Section 17A of the Securities Exchange Act of 1934, as amended.</w:t>
      </w:r>
    </w:p>
    <w:p>
      <w:pPr>
        <w:spacing w:after="0" w:line="67" w:lineRule="exact"/>
        <w:rPr>
          <w:sz w:val="20"/>
          <w:szCs w:val="20"/>
          <w:color w:val="auto"/>
        </w:rPr>
      </w:pPr>
    </w:p>
    <w:p>
      <w:pPr>
        <w:ind w:left="1300" w:right="20" w:hanging="202"/>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1" w:lineRule="exact"/>
        <w:rPr>
          <w:rFonts w:ascii="Times New Roman" w:cs="Times New Roman" w:eastAsia="Times New Roman" w:hAnsi="Times New Roman"/>
          <w:sz w:val="18"/>
          <w:szCs w:val="18"/>
          <w:color w:val="auto"/>
        </w:rPr>
      </w:pPr>
    </w:p>
    <w:p>
      <w:pPr>
        <w:ind w:left="1300" w:hanging="202"/>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71" w:lineRule="exact"/>
        <w:rPr>
          <w:rFonts w:ascii="Times New Roman" w:cs="Times New Roman" w:eastAsia="Times New Roman" w:hAnsi="Times New Roman"/>
          <w:sz w:val="18"/>
          <w:szCs w:val="18"/>
          <w:color w:val="auto"/>
        </w:rPr>
      </w:pPr>
    </w:p>
    <w:p>
      <w:pPr>
        <w:ind w:left="1300" w:right="80" w:hanging="202"/>
        <w:spacing w:after="0" w:line="313"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is owned by The Depository Trust &amp; Clearing Corporation, which is owned by a number of its direct participants and by The New York Stock Exchange, Inc., The American Stock Exchange LLC and the Financial Industry Regulatory Authority, Inc.</w:t>
      </w:r>
    </w:p>
    <w:p>
      <w:pPr>
        <w:spacing w:after="0" w:line="30" w:lineRule="exact"/>
        <w:rPr>
          <w:rFonts w:ascii="Times New Roman" w:cs="Times New Roman" w:eastAsia="Times New Roman" w:hAnsi="Times New Roman"/>
          <w:sz w:val="17"/>
          <w:szCs w:val="17"/>
          <w:color w:val="auto"/>
        </w:rPr>
      </w:pPr>
    </w:p>
    <w:p>
      <w:pPr>
        <w:ind w:left="1300" w:hanging="20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Securities and Exchange Commission.</w:t>
      </w:r>
    </w:p>
    <w:p>
      <w:pPr>
        <w:spacing w:after="0" w:line="131"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91"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93"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2" w:lineRule="exact"/>
        <w:rPr>
          <w:sz w:val="20"/>
          <w:szCs w:val="20"/>
          <w:color w:val="auto"/>
        </w:rPr>
      </w:pPr>
    </w:p>
    <w:p>
      <w:pPr>
        <w:jc w:val="both"/>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2"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86" w:lineRule="exact"/>
        <w:rPr>
          <w:sz w:val="20"/>
          <w:szCs w:val="20"/>
          <w:color w:val="auto"/>
        </w:rPr>
      </w:pPr>
    </w:p>
    <w:p>
      <w:pPr>
        <w:ind w:left="700" w:right="740" w:firstLine="397"/>
        <w:spacing w:after="0" w:line="282"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82" w:lineRule="auto"/>
        <w:rPr>
          <w:sz w:val="20"/>
          <w:szCs w:val="20"/>
          <w:color w:val="auto"/>
        </w:rPr>
      </w:pPr>
      <w:r>
        <w:rPr>
          <w:rFonts w:ascii="Times New Roman" w:cs="Times New Roman" w:eastAsia="Times New Roman" w:hAnsi="Times New Roman"/>
          <w:sz w:val="18"/>
          <w:szCs w:val="18"/>
          <w:color w:val="auto"/>
        </w:rPr>
        <w:t>record date. The omnibus proxy assigns Cede &amp; Co.’s consenting or voting rights to those direct DTC participants to whose accounts the notes are credited on the record date (identified in a listing attached to the omnibus proxy).</w:t>
      </w:r>
    </w:p>
    <w:p>
      <w:pPr>
        <w:spacing w:after="0" w:line="67" w:lineRule="exact"/>
        <w:rPr>
          <w:sz w:val="20"/>
          <w:szCs w:val="20"/>
          <w:color w:val="auto"/>
        </w:rPr>
      </w:pPr>
    </w:p>
    <w:p>
      <w:pPr>
        <w:ind w:left="700" w:right="160" w:firstLine="397"/>
        <w:spacing w:after="0" w:line="271" w:lineRule="auto"/>
        <w:rPr>
          <w:sz w:val="20"/>
          <w:szCs w:val="20"/>
          <w:color w:val="auto"/>
        </w:rPr>
      </w:pPr>
      <w:r>
        <w:rPr>
          <w:rFonts w:ascii="Times New Roman" w:cs="Times New Roman" w:eastAsia="Times New Roman" w:hAnsi="Times New Roman"/>
          <w:sz w:val="17"/>
          <w:szCs w:val="17"/>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80" w:lineRule="exact"/>
        <w:rPr>
          <w:sz w:val="20"/>
          <w:szCs w:val="20"/>
          <w:color w:val="auto"/>
        </w:rPr>
      </w:pPr>
    </w:p>
    <w:p>
      <w:pPr>
        <w:ind w:left="700" w:firstLine="397"/>
        <w:spacing w:after="0" w:line="281" w:lineRule="auto"/>
        <w:rPr>
          <w:sz w:val="20"/>
          <w:szCs w:val="20"/>
          <w:color w:val="auto"/>
        </w:rPr>
      </w:pPr>
      <w:r>
        <w:rPr>
          <w:rFonts w:ascii="Times New Roman" w:cs="Times New Roman" w:eastAsia="Times New Roman" w:hAnsi="Times New Roman"/>
          <w:sz w:val="17"/>
          <w:szCs w:val="17"/>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70"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86" w:lineRule="exact"/>
        <w:rPr>
          <w:sz w:val="20"/>
          <w:szCs w:val="20"/>
          <w:color w:val="auto"/>
        </w:rPr>
      </w:pPr>
    </w:p>
    <w:p>
      <w:pPr>
        <w:ind w:left="700" w:right="440" w:firstLine="397"/>
        <w:spacing w:after="0" w:line="313" w:lineRule="auto"/>
        <w:rPr>
          <w:sz w:val="20"/>
          <w:szCs w:val="20"/>
          <w:color w:val="auto"/>
        </w:rPr>
      </w:pPr>
      <w:r>
        <w:rPr>
          <w:rFonts w:ascii="Times New Roman" w:cs="Times New Roman" w:eastAsia="Times New Roman" w:hAnsi="Times New Roman"/>
          <w:sz w:val="17"/>
          <w:szCs w:val="17"/>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135"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Transactions may now be settled through Euroclear in many currencies, including United States dollars and Japanese yen. Euroclear provides various other services, including securities lending and borrowing and interfaces with domestic markets in several countries generally similar to the arrangements for cross-market transfers with DTC.</w:t>
      </w:r>
    </w:p>
    <w:p>
      <w:pPr>
        <w:spacing w:after="0" w:line="93" w:lineRule="exact"/>
        <w:rPr>
          <w:sz w:val="20"/>
          <w:szCs w:val="20"/>
          <w:color w:val="auto"/>
        </w:rPr>
      </w:pPr>
    </w:p>
    <w:p>
      <w:pPr>
        <w:ind w:left="700" w:right="160" w:firstLine="397"/>
        <w:spacing w:after="0" w:line="255"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 plc, a U.K. corporation, or the “Euroclear Clearance System.” The Euroclear Operator conducts all operations, and all Euroclear securities clearance accounts and Euroclear cash accounts are accounts with the Euroclear Operator, not Euroclear Clearance System. The Euroclear Clearance System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91"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67" w:lineRule="exact"/>
        <w:rPr>
          <w:sz w:val="20"/>
          <w:szCs w:val="20"/>
          <w:color w:val="auto"/>
        </w:rPr>
      </w:pPr>
    </w:p>
    <w:p>
      <w:pPr>
        <w:ind w:left="700" w:right="120" w:firstLine="397"/>
        <w:spacing w:after="0" w:line="282"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82" w:lineRule="auto"/>
        <w:rPr>
          <w:sz w:val="20"/>
          <w:szCs w:val="20"/>
          <w:color w:val="auto"/>
        </w:rPr>
      </w:pPr>
      <w:r>
        <w:rPr>
          <w:rFonts w:ascii="Times New Roman" w:cs="Times New Roman" w:eastAsia="Times New Roman" w:hAnsi="Times New Roman"/>
          <w:sz w:val="18"/>
          <w:szCs w:val="18"/>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67" w:lineRule="exact"/>
        <w:rPr>
          <w:sz w:val="20"/>
          <w:szCs w:val="20"/>
          <w:color w:val="auto"/>
        </w:rPr>
      </w:pPr>
    </w:p>
    <w:p>
      <w:pPr>
        <w:jc w:val="both"/>
        <w:ind w:left="700" w:right="300" w:firstLine="397"/>
        <w:spacing w:after="0" w:line="266"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2" w:lineRule="exact"/>
        <w:rPr>
          <w:sz w:val="20"/>
          <w:szCs w:val="20"/>
          <w:color w:val="auto"/>
        </w:rPr>
      </w:pPr>
    </w:p>
    <w:p>
      <w:pPr>
        <w:ind w:left="700" w:right="400" w:firstLine="397"/>
        <w:spacing w:after="0" w:line="313" w:lineRule="auto"/>
        <w:rPr>
          <w:sz w:val="20"/>
          <w:szCs w:val="20"/>
          <w:color w:val="auto"/>
        </w:rPr>
      </w:pPr>
      <w:r>
        <w:rPr>
          <w:rFonts w:ascii="Times New Roman" w:cs="Times New Roman" w:eastAsia="Times New Roman" w:hAnsi="Times New Roman"/>
          <w:sz w:val="17"/>
          <w:szCs w:val="17"/>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44"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93" w:lineRule="exact"/>
        <w:rPr>
          <w:sz w:val="20"/>
          <w:szCs w:val="20"/>
          <w:color w:val="auto"/>
        </w:rPr>
      </w:pPr>
    </w:p>
    <w:p>
      <w:pPr>
        <w:ind w:left="700" w:right="140" w:firstLine="397"/>
        <w:spacing w:after="0" w:line="261"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86"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3" w:lineRule="exact"/>
        <w:rPr>
          <w:sz w:val="20"/>
          <w:szCs w:val="20"/>
          <w:color w:val="auto"/>
        </w:rPr>
      </w:pPr>
    </w:p>
    <w:p>
      <w:pPr>
        <w:ind w:left="700" w:right="180" w:firstLine="397"/>
        <w:spacing w:after="0" w:line="261"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91" w:lineRule="exact"/>
        <w:rPr>
          <w:sz w:val="20"/>
          <w:szCs w:val="20"/>
          <w:color w:val="auto"/>
        </w:rPr>
      </w:pPr>
    </w:p>
    <w:p>
      <w:pPr>
        <w:jc w:val="both"/>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61" w:lineRule="auto"/>
        <w:rPr>
          <w:sz w:val="20"/>
          <w:szCs w:val="20"/>
          <w:color w:val="auto"/>
        </w:rPr>
      </w:pPr>
      <w:r>
        <w:rPr>
          <w:rFonts w:ascii="Times New Roman" w:cs="Times New Roman" w:eastAsia="Times New Roman" w:hAnsi="Times New Roman"/>
          <w:sz w:val="18"/>
          <w:szCs w:val="18"/>
          <w:color w:val="auto"/>
        </w:rPr>
        <w:t>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6" w:lineRule="exact"/>
        <w:rPr>
          <w:sz w:val="20"/>
          <w:szCs w:val="20"/>
          <w:color w:val="auto"/>
        </w:rPr>
      </w:pPr>
    </w:p>
    <w:p>
      <w:pPr>
        <w:ind w:left="700" w:right="420" w:firstLine="397"/>
        <w:spacing w:after="0" w:line="282"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67"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93"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86"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93" w:lineRule="exact"/>
        <w:rPr>
          <w:sz w:val="20"/>
          <w:szCs w:val="20"/>
          <w:color w:val="auto"/>
        </w:rPr>
      </w:pPr>
    </w:p>
    <w:p>
      <w:pPr>
        <w:jc w:val="both"/>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5" w:right="11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24"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Banc of America Securities LLC, Greenwich Capital Markets, Inc. and J.P. Morgan Securities Inc. are acting as joint book-running and joint lead managers of the offering and as representatives of the underwriters named below.</w:t>
      </w:r>
    </w:p>
    <w:p>
      <w:pPr>
        <w:spacing w:after="0" w:line="13" w:lineRule="exact"/>
        <w:rPr>
          <w:sz w:val="20"/>
          <w:szCs w:val="20"/>
          <w:color w:val="auto"/>
        </w:rPr>
      </w:pPr>
    </w:p>
    <w:p>
      <w:pPr>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0" w:type="dxa"/>
            <w:vAlign w:val="bottom"/>
          </w:tcPr>
          <w:p>
            <w:pPr>
              <w:spacing w:after="0"/>
              <w:rPr>
                <w:sz w:val="21"/>
                <w:szCs w:val="21"/>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 of America Securities LLC</w:t>
            </w:r>
          </w:p>
        </w:tc>
        <w:tc>
          <w:tcPr>
            <w:tcW w:w="3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Greenwich Capital Markets, Inc.</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Inc.</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00" w:right="280" w:firstLine="397"/>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2" w:lineRule="exact"/>
        <w:rPr>
          <w:sz w:val="20"/>
          <w:szCs w:val="20"/>
          <w:color w:val="auto"/>
        </w:rPr>
      </w:pPr>
    </w:p>
    <w:p>
      <w:pPr>
        <w:ind w:left="700" w:right="120" w:firstLine="397"/>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concessions.</w:t>
      </w:r>
    </w:p>
    <w:p>
      <w:pPr>
        <w:spacing w:after="0" w:line="89"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93" w:lineRule="exact"/>
        <w:rPr>
          <w:sz w:val="20"/>
          <w:szCs w:val="20"/>
          <w:color w:val="auto"/>
        </w:rPr>
      </w:pPr>
    </w:p>
    <w:p>
      <w:pPr>
        <w:ind w:left="700" w:right="440" w:firstLine="397"/>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2"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We estimate that our total expenses for this offering will be $650,000.</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40" w:firstLine="397"/>
        <w:spacing w:after="0" w:line="313" w:lineRule="auto"/>
        <w:rPr>
          <w:sz w:val="20"/>
          <w:szCs w:val="20"/>
          <w:color w:val="auto"/>
        </w:rPr>
      </w:pPr>
      <w:r>
        <w:rPr>
          <w:rFonts w:ascii="Times New Roman" w:cs="Times New Roman" w:eastAsia="Times New Roman" w:hAnsi="Times New Roman"/>
          <w:sz w:val="17"/>
          <w:szCs w:val="17"/>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44" w:lineRule="exact"/>
        <w:rPr>
          <w:sz w:val="20"/>
          <w:szCs w:val="20"/>
          <w:color w:val="auto"/>
        </w:rPr>
      </w:pPr>
    </w:p>
    <w:p>
      <w:pPr>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67"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bonds to the public in that Relevant Member State prior to the publication of a prospectus in relation to the bonds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bonds to the public in that Relevant Member State at any time:(a)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Prospectus Directive) subject to obtaining the prior consent of the manager for any such offer; or (d) in any other circumstances which do not require the publication by us of a prospectus pursuant to Article 3 of the Prospectus Directive. For the purposes of this provision, the term “offer of bonds to the public” in relation to any bonds in any Relevant Member State means the communication in any form and by any means of sufficient information of the terms of the offer and the bonds to be offered so as to enable an investor to decide to purchase or subscribe for bonds,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99" w:lineRule="exact"/>
        <w:rPr>
          <w:sz w:val="20"/>
          <w:szCs w:val="20"/>
          <w:color w:val="auto"/>
        </w:rPr>
      </w:pPr>
    </w:p>
    <w:p>
      <w:pPr>
        <w:ind w:left="700" w:right="140" w:firstLine="397"/>
        <w:spacing w:after="0" w:line="277" w:lineRule="auto"/>
        <w:rPr>
          <w:sz w:val="20"/>
          <w:szCs w:val="20"/>
          <w:color w:val="auto"/>
        </w:rPr>
      </w:pPr>
      <w:r>
        <w:rPr>
          <w:rFonts w:ascii="Times New Roman" w:cs="Times New Roman" w:eastAsia="Times New Roman" w:hAnsi="Times New Roman"/>
          <w:sz w:val="17"/>
          <w:szCs w:val="17"/>
          <w:color w:val="auto"/>
        </w:rPr>
        <w:t>Each underwriter has also agreed that: (i) it has complied and will comply with all applicable provisions of the Financial Services and Markets Act 2000 (“FSMA”) with respect to anything done by it in relation to the bonds in, from or otherwise involving the United Kingdom; (ii) and it has only communicated, or caused to be communicated, and will only communicate, or cause to be communicated, any invitation or inducement to engage in investment activity (within the meaning of Section 21 of the FSMA) received by it in connection with the issue or sale of the bonds in circumstances in which Section 21(1) of the FMSA does not apply to us.</w:t>
      </w:r>
    </w:p>
    <w:p>
      <w:pPr>
        <w:spacing w:after="0" w:line="74"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Certain of the underwriters or their affiliates have performed investment banking, commercial banking and advisory services for us from time to time for which they have received customary fees and expenses. The underwriters may, from time to time, engage in transactions with and perform services for us in the ordinary course of their business. Affiliates of Banc of America Securities LLC and J.P. Morgan Securities Inc. serve as Syndication Agents, Lead Arrangers, Joint Bookrunners and lenders under our revolving credit facility and affiliates of Barclays Capital Inc., BNP Paribas Securities Corp., Citigroup Global Markets Inc., Deutsche Bank Securities Inc., Goldman, Sachs &amp; Co., Scotia Capital (USA) Inc. and Greenwich Capital Markets, Inc. serve as lenders under our revolving credit facility. These affiliates of the underwriters will receive a portion of the proceeds from this offering as a result of our repayment of $250 million of outstanding indebtedness thereunder, which may in aggregate be more than 10% of the net proceeds of this offering. Accordingly, this offering is being conducted in accordance with the requirements of Rule 2710(h) of the Conduct Rules of the Financial Industry Regulatory Authority, Inc. Affiliates of Banc of America Securities LLC, J.P. Morgan Securities Inc., BNP Paribas Securities Corp. and Scotia Capital (USA) Inc. also serve as lenders under Waste Management of Canada Corporation’s credit facility.</w:t>
      </w:r>
    </w:p>
    <w:p>
      <w:pPr>
        <w:spacing w:after="0" w:line="3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LEGAL MATTERS</w:t>
      </w:r>
    </w:p>
    <w:p>
      <w:pPr>
        <w:spacing w:after="0" w:line="124"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EXPERTS</w:t>
      </w:r>
    </w:p>
    <w:p>
      <w:pPr>
        <w:spacing w:after="0" w:line="124"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Waste Management, Inc. appearing in Waste Management, Inc.’s Annual Report on Form 10-K for the fiscal year ended December 31, 2007 as of December 31, 2007, 2006 and 2005 and for each of the years in the three-year period ended December 31, 2007 incorporated by reference in this prospectus supplement and the accompanying prospectus have been audited by Ernst &amp; Young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165735</wp:posOffset>
            </wp:positionV>
            <wp:extent cx="126936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819"/>
        <w:spacing w:after="0"/>
        <w:rPr>
          <w:sz w:val="20"/>
          <w:szCs w:val="20"/>
          <w:color w:val="auto"/>
        </w:rPr>
      </w:pPr>
      <w:r>
        <w:rPr>
          <w:rFonts w:ascii="Arial" w:cs="Arial" w:eastAsia="Arial" w:hAnsi="Arial"/>
          <w:sz w:val="32"/>
          <w:szCs w:val="32"/>
          <w:b w:val="1"/>
          <w:bCs w:val="1"/>
          <w:color w:val="auto"/>
        </w:rPr>
        <w:t>WASTE MANAGEMENT, INC.</w:t>
      </w:r>
    </w:p>
    <w:p>
      <w:pPr>
        <w:spacing w:after="0" w:line="135"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COMMON STOCK</w:t>
      </w:r>
    </w:p>
    <w:p>
      <w:pPr>
        <w:jc w:val="center"/>
        <w:ind w:right="-819"/>
        <w:spacing w:after="0"/>
        <w:rPr>
          <w:sz w:val="20"/>
          <w:szCs w:val="20"/>
          <w:color w:val="auto"/>
        </w:rPr>
      </w:pPr>
      <w:r>
        <w:rPr>
          <w:rFonts w:ascii="Arial" w:cs="Arial" w:eastAsia="Arial" w:hAnsi="Arial"/>
          <w:sz w:val="27"/>
          <w:szCs w:val="27"/>
          <w:b w:val="1"/>
          <w:bCs w:val="1"/>
          <w:color w:val="auto"/>
        </w:rPr>
        <w:t>PREFERRED STOCK</w:t>
      </w:r>
    </w:p>
    <w:p>
      <w:pPr>
        <w:jc w:val="center"/>
        <w:ind w:right="-819"/>
        <w:spacing w:after="0"/>
        <w:rPr>
          <w:sz w:val="20"/>
          <w:szCs w:val="20"/>
          <w:color w:val="auto"/>
        </w:rPr>
      </w:pPr>
      <w:r>
        <w:rPr>
          <w:rFonts w:ascii="Arial" w:cs="Arial" w:eastAsia="Arial" w:hAnsi="Arial"/>
          <w:sz w:val="27"/>
          <w:szCs w:val="27"/>
          <w:b w:val="1"/>
          <w:bCs w:val="1"/>
          <w:color w:val="auto"/>
        </w:rPr>
        <w:t>WARRANTS</w:t>
      </w:r>
    </w:p>
    <w:p>
      <w:pPr>
        <w:jc w:val="center"/>
        <w:ind w:right="-819"/>
        <w:spacing w:after="0"/>
        <w:rPr>
          <w:sz w:val="20"/>
          <w:szCs w:val="20"/>
          <w:color w:val="auto"/>
        </w:rPr>
      </w:pPr>
      <w:r>
        <w:rPr>
          <w:rFonts w:ascii="Arial" w:cs="Arial" w:eastAsia="Arial" w:hAnsi="Arial"/>
          <w:sz w:val="27"/>
          <w:szCs w:val="27"/>
          <w:b w:val="1"/>
          <w:bCs w:val="1"/>
          <w:color w:val="auto"/>
        </w:rPr>
        <w:t>GUARANTEES</w:t>
      </w:r>
    </w:p>
    <w:p>
      <w:pPr>
        <w:jc w:val="center"/>
        <w:ind w:right="-819"/>
        <w:spacing w:after="0"/>
        <w:rPr>
          <w:sz w:val="20"/>
          <w:szCs w:val="20"/>
          <w:color w:val="auto"/>
        </w:rPr>
      </w:pPr>
      <w:r>
        <w:rPr>
          <w:rFonts w:ascii="Arial" w:cs="Arial" w:eastAsia="Arial" w:hAnsi="Arial"/>
          <w:sz w:val="27"/>
          <w:szCs w:val="27"/>
          <w:b w:val="1"/>
          <w:bCs w:val="1"/>
          <w:color w:val="auto"/>
        </w:rPr>
        <w:t>UNITS</w:t>
      </w:r>
    </w:p>
    <w:p>
      <w:pPr>
        <w:spacing w:after="0" w:line="105" w:lineRule="exact"/>
        <w:rPr>
          <w:sz w:val="20"/>
          <w:szCs w:val="20"/>
          <w:color w:val="auto"/>
        </w:rPr>
      </w:pPr>
    </w:p>
    <w:p>
      <w:pPr>
        <w:ind w:left="700" w:right="400" w:firstLine="397"/>
        <w:spacing w:after="0" w:line="282"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67" w:lineRule="exact"/>
        <w:rPr>
          <w:sz w:val="20"/>
          <w:szCs w:val="20"/>
          <w:color w:val="auto"/>
        </w:rPr>
      </w:pPr>
    </w:p>
    <w:p>
      <w:pPr>
        <w:jc w:val="both"/>
        <w:ind w:left="700" w:firstLine="397"/>
        <w:spacing w:after="0" w:line="266"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“WMI.”</w:t>
      </w:r>
    </w:p>
    <w:p>
      <w:pPr>
        <w:spacing w:after="0" w:line="131" w:lineRule="exact"/>
        <w:rPr>
          <w:sz w:val="20"/>
          <w:szCs w:val="20"/>
          <w:color w:val="auto"/>
        </w:rPr>
      </w:pPr>
    </w:p>
    <w:p>
      <w:pPr>
        <w:ind w:left="700" w:right="280" w:firstLine="397"/>
        <w:spacing w:after="0" w:line="282" w:lineRule="auto"/>
        <w:rPr>
          <w:sz w:val="20"/>
          <w:szCs w:val="20"/>
          <w:color w:val="auto"/>
        </w:rPr>
      </w:pPr>
      <w:r>
        <w:rPr>
          <w:rFonts w:ascii="Times New Roman" w:cs="Times New Roman" w:eastAsia="Times New Roman" w:hAnsi="Times New Roman"/>
          <w:sz w:val="18"/>
          <w:szCs w:val="18"/>
          <w:color w:val="auto"/>
        </w:rPr>
        <w:t>You should consider carefully the risk factors included in our periodic reports filed with the SEC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71755</wp:posOffset>
            </wp:positionV>
            <wp:extent cx="16376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21" w:lineRule="exact"/>
        <w:rPr>
          <w:sz w:val="20"/>
          <w:szCs w:val="20"/>
          <w:color w:val="auto"/>
        </w:rPr>
      </w:pPr>
    </w:p>
    <w:p>
      <w:pPr>
        <w:ind w:left="700" w:right="48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62230</wp:posOffset>
            </wp:positionV>
            <wp:extent cx="16376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This prospectus is dated September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00" w:right="840" w:firstLine="298"/>
        <w:spacing w:after="0" w:line="276" w:lineRule="auto"/>
        <w:rPr>
          <w:sz w:val="20"/>
          <w:szCs w:val="20"/>
          <w:color w:val="auto"/>
        </w:rPr>
      </w:pPr>
      <w:r>
        <w:rPr>
          <w:rFonts w:ascii="Times New Roman" w:cs="Times New Roman" w:eastAsia="Times New Roman" w:hAnsi="Times New Roman"/>
          <w:sz w:val="16"/>
          <w:szCs w:val="16"/>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90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9"/>
              </w:rPr>
            </w:pPr>
            <w:hyperlink w:anchor="page33">
              <w:r>
                <w:rPr>
                  <w:rFonts w:ascii="Times New Roman" w:cs="Times New Roman" w:eastAsia="Times New Roman" w:hAnsi="Times New Roman"/>
                  <w:sz w:val="16"/>
                  <w:szCs w:val="16"/>
                  <w:color w:val="0000EE"/>
                  <w:w w:val="99"/>
                </w:rPr>
                <w:t>Forward-Looking Statements</w:t>
              </w:r>
            </w:hyperlink>
          </w:p>
        </w:tc>
        <w:tc>
          <w:tcPr>
            <w:tcW w:w="4240" w:type="dxa"/>
            <w:vAlign w:val="bottom"/>
            <w:gridSpan w:val="5"/>
          </w:tcPr>
          <w:p>
            <w:pPr>
              <w:spacing w:after="0"/>
              <w:rPr>
                <w:sz w:val="16"/>
                <w:szCs w:val="16"/>
                <w:color w:val="auto"/>
              </w:rPr>
            </w:pPr>
          </w:p>
        </w:tc>
        <w:tc>
          <w:tcPr>
            <w:tcW w:w="458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1</w:t>
            </w:r>
          </w:p>
        </w:tc>
      </w:tr>
      <w:tr>
        <w:trPr>
          <w:trHeight w:val="183"/>
        </w:trPr>
        <w:tc>
          <w:tcPr>
            <w:tcW w:w="70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3" w:lineRule="exact"/>
              <w:rPr>
                <w:rFonts w:ascii="Times New Roman" w:cs="Times New Roman" w:eastAsia="Times New Roman" w:hAnsi="Times New Roman"/>
                <w:sz w:val="16"/>
                <w:szCs w:val="16"/>
                <w:color w:val="0000EE"/>
                <w:w w:val="99"/>
              </w:rPr>
            </w:pPr>
            <w:hyperlink w:anchor="page34">
              <w:r>
                <w:rPr>
                  <w:rFonts w:ascii="Times New Roman" w:cs="Times New Roman" w:eastAsia="Times New Roman" w:hAnsi="Times New Roman"/>
                  <w:sz w:val="16"/>
                  <w:szCs w:val="16"/>
                  <w:color w:val="0000EE"/>
                  <w:w w:val="99"/>
                </w:rPr>
                <w:t>About this Prospectus</w:t>
              </w:r>
            </w:hyperlink>
          </w:p>
        </w:tc>
        <w:tc>
          <w:tcPr>
            <w:tcW w:w="4720" w:type="dxa"/>
            <w:vAlign w:val="bottom"/>
            <w:gridSpan w:val="10"/>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2</w:t>
            </w:r>
          </w:p>
        </w:tc>
      </w:tr>
      <w:tr>
        <w:trPr>
          <w:trHeight w:val="183"/>
        </w:trPr>
        <w:tc>
          <w:tcPr>
            <w:tcW w:w="700" w:type="dxa"/>
            <w:vAlign w:val="bottom"/>
          </w:tcPr>
          <w:p>
            <w:pPr>
              <w:spacing w:after="0"/>
              <w:rPr>
                <w:sz w:val="15"/>
                <w:szCs w:val="15"/>
                <w:color w:val="auto"/>
              </w:rPr>
            </w:pPr>
          </w:p>
        </w:tc>
        <w:tc>
          <w:tcPr>
            <w:tcW w:w="178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Incorporation by Reference</w:t>
              </w:r>
            </w:hyperlink>
          </w:p>
        </w:tc>
        <w:tc>
          <w:tcPr>
            <w:tcW w:w="4360" w:type="dxa"/>
            <w:vAlign w:val="bottom"/>
            <w:gridSpan w:val="7"/>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3</w:t>
            </w:r>
          </w:p>
        </w:tc>
      </w:tr>
      <w:tr>
        <w:trPr>
          <w:trHeight w:val="183"/>
        </w:trPr>
        <w:tc>
          <w:tcPr>
            <w:tcW w:w="700" w:type="dxa"/>
            <w:vAlign w:val="bottom"/>
          </w:tcPr>
          <w:p>
            <w:pPr>
              <w:spacing w:after="0"/>
              <w:rPr>
                <w:sz w:val="15"/>
                <w:szCs w:val="15"/>
                <w:color w:val="auto"/>
              </w:rPr>
            </w:pPr>
          </w:p>
        </w:tc>
        <w:tc>
          <w:tcPr>
            <w:tcW w:w="258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w w:val="99"/>
              </w:rPr>
            </w:pPr>
            <w:hyperlink w:anchor="page36">
              <w:r>
                <w:rPr>
                  <w:rFonts w:ascii="Times New Roman" w:cs="Times New Roman" w:eastAsia="Times New Roman" w:hAnsi="Times New Roman"/>
                  <w:sz w:val="16"/>
                  <w:szCs w:val="16"/>
                  <w:color w:val="0000EE"/>
                  <w:w w:val="99"/>
                </w:rPr>
                <w:t>Where You Can Find More Information</w:t>
              </w:r>
            </w:hyperlink>
          </w:p>
        </w:tc>
        <w:tc>
          <w:tcPr>
            <w:tcW w:w="3560" w:type="dxa"/>
            <w:vAlign w:val="bottom"/>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4</w:t>
            </w:r>
          </w:p>
        </w:tc>
      </w:tr>
      <w:tr>
        <w:trPr>
          <w:trHeight w:val="183"/>
        </w:trPr>
        <w:tc>
          <w:tcPr>
            <w:tcW w:w="70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w w:val="98"/>
              </w:rPr>
            </w:pPr>
            <w:hyperlink w:anchor="page36">
              <w:r>
                <w:rPr>
                  <w:rFonts w:ascii="Times New Roman" w:cs="Times New Roman" w:eastAsia="Times New Roman" w:hAnsi="Times New Roman"/>
                  <w:sz w:val="16"/>
                  <w:szCs w:val="16"/>
                  <w:color w:val="0000EE"/>
                  <w:w w:val="98"/>
                </w:rPr>
                <w:t>The Company</w:t>
              </w:r>
            </w:hyperlink>
          </w:p>
        </w:tc>
        <w:tc>
          <w:tcPr>
            <w:tcW w:w="5220" w:type="dxa"/>
            <w:vAlign w:val="bottom"/>
            <w:gridSpan w:val="1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4</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Ratio of Earnings to Fixed Charges</w:t>
              </w:r>
            </w:hyperlink>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5</w:t>
            </w:r>
          </w:p>
        </w:tc>
      </w:tr>
      <w:tr>
        <w:trPr>
          <w:trHeight w:val="183"/>
        </w:trPr>
        <w:tc>
          <w:tcPr>
            <w:tcW w:w="700" w:type="dxa"/>
            <w:vAlign w:val="bottom"/>
          </w:tcPr>
          <w:p>
            <w:pPr>
              <w:spacing w:after="0"/>
              <w:rPr>
                <w:sz w:val="15"/>
                <w:szCs w:val="15"/>
                <w:color w:val="auto"/>
              </w:rPr>
            </w:pPr>
          </w:p>
        </w:tc>
        <w:tc>
          <w:tcPr>
            <w:tcW w:w="2280" w:type="dxa"/>
            <w:vAlign w:val="bottom"/>
            <w:tcBorders>
              <w:top w:val="single" w:sz="8" w:color="0000EE"/>
            </w:tcBorders>
            <w:gridSpan w:val="14"/>
          </w:tcPr>
          <w:p>
            <w:pPr>
              <w:spacing w:after="0" w:line="183"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Use of Proceeds</w:t>
              </w:r>
            </w:hyperlink>
          </w:p>
        </w:tc>
        <w:tc>
          <w:tcPr>
            <w:tcW w:w="3860" w:type="dxa"/>
            <w:vAlign w:val="bottom"/>
            <w:gridSpan w:val="2"/>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Description of Debt Securities</w:t>
              </w:r>
            </w:hyperlink>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5</w:t>
            </w:r>
          </w:p>
        </w:tc>
      </w:tr>
      <w:tr>
        <w:trPr>
          <w:trHeight w:val="183"/>
        </w:trPr>
        <w:tc>
          <w:tcPr>
            <w:tcW w:w="70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8"/>
          </w:tcPr>
          <w:p>
            <w:pPr>
              <w:spacing w:after="0" w:line="183" w:lineRule="exact"/>
              <w:rPr>
                <w:rFonts w:ascii="Times New Roman" w:cs="Times New Roman" w:eastAsia="Times New Roman" w:hAnsi="Times New Roman"/>
                <w:sz w:val="16"/>
                <w:szCs w:val="16"/>
                <w:color w:val="0000EE"/>
                <w:w w:val="99"/>
              </w:rPr>
            </w:pPr>
            <w:hyperlink w:anchor="page45">
              <w:r>
                <w:rPr>
                  <w:rFonts w:ascii="Times New Roman" w:cs="Times New Roman" w:eastAsia="Times New Roman" w:hAnsi="Times New Roman"/>
                  <w:sz w:val="16"/>
                  <w:szCs w:val="16"/>
                  <w:color w:val="0000EE"/>
                  <w:w w:val="99"/>
                </w:rPr>
                <w:t>Description of Guarantees</w:t>
              </w:r>
            </w:hyperlink>
          </w:p>
        </w:tc>
        <w:tc>
          <w:tcPr>
            <w:tcW w:w="260" w:type="dxa"/>
            <w:vAlign w:val="bottom"/>
            <w:tcBorders>
              <w:top w:val="single" w:sz="8" w:color="0000EE"/>
            </w:tcBorders>
            <w:gridSpan w:val="4"/>
          </w:tcPr>
          <w:p>
            <w:pPr>
              <w:spacing w:after="0"/>
              <w:rPr>
                <w:sz w:val="15"/>
                <w:szCs w:val="15"/>
                <w:color w:val="auto"/>
              </w:rPr>
            </w:pPr>
          </w:p>
        </w:tc>
        <w:tc>
          <w:tcPr>
            <w:tcW w:w="4180" w:type="dxa"/>
            <w:vAlign w:val="bottom"/>
            <w:gridSpan w:val="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13</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Times New Roman" w:cs="Times New Roman" w:eastAsia="Times New Roman" w:hAnsi="Times New Roman"/>
                <w:sz w:val="16"/>
                <w:szCs w:val="16"/>
                <w:color w:val="0000EE"/>
              </w:rPr>
            </w:pPr>
            <w:hyperlink w:anchor="page45">
              <w:r>
                <w:rPr>
                  <w:rFonts w:ascii="Times New Roman" w:cs="Times New Roman" w:eastAsia="Times New Roman" w:hAnsi="Times New Roman"/>
                  <w:sz w:val="16"/>
                  <w:szCs w:val="16"/>
                  <w:color w:val="0000EE"/>
                </w:rPr>
                <w:t>Description of Capital Stock</w:t>
              </w:r>
            </w:hyperlink>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13</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20" w:type="dxa"/>
            <w:vAlign w:val="bottom"/>
            <w:tcBorders>
              <w:bottom w:val="single" w:sz="8" w:color="0000EE"/>
            </w:tcBorders>
            <w:gridSpan w:val="13"/>
          </w:tcPr>
          <w:p>
            <w:pPr>
              <w:spacing w:after="0" w:line="183" w:lineRule="exact"/>
              <w:rPr>
                <w:rFonts w:ascii="Times New Roman" w:cs="Times New Roman" w:eastAsia="Times New Roman" w:hAnsi="Times New Roman"/>
                <w:sz w:val="16"/>
                <w:szCs w:val="16"/>
                <w:color w:val="0000EE"/>
              </w:rPr>
            </w:pPr>
            <w:hyperlink w:anchor="page47">
              <w:r>
                <w:rPr>
                  <w:rFonts w:ascii="Times New Roman" w:cs="Times New Roman" w:eastAsia="Times New Roman" w:hAnsi="Times New Roman"/>
                  <w:sz w:val="16"/>
                  <w:szCs w:val="16"/>
                  <w:color w:val="0000EE"/>
                </w:rPr>
                <w:t>Description of Other Securities</w:t>
              </w:r>
            </w:hyperlink>
          </w:p>
        </w:tc>
        <w:tc>
          <w:tcPr>
            <w:tcW w:w="4120" w:type="dxa"/>
            <w:vAlign w:val="bottom"/>
            <w:gridSpan w:val="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15</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Times New Roman" w:cs="Times New Roman" w:eastAsia="Times New Roman" w:hAnsi="Times New Roman"/>
                <w:sz w:val="16"/>
                <w:szCs w:val="16"/>
                <w:color w:val="0000EE"/>
              </w:rPr>
            </w:pPr>
            <w:hyperlink w:anchor="page47">
              <w:r>
                <w:rPr>
                  <w:rFonts w:ascii="Times New Roman" w:cs="Times New Roman" w:eastAsia="Times New Roman" w:hAnsi="Times New Roman"/>
                  <w:sz w:val="16"/>
                  <w:szCs w:val="16"/>
                  <w:color w:val="0000EE"/>
                </w:rPr>
                <w:t>Plan of Distribution</w:t>
              </w:r>
            </w:hyperlink>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520" w:type="dxa"/>
            <w:vAlign w:val="bottom"/>
            <w:tcBorders>
              <w:bottom w:val="single" w:sz="8" w:color="0000EE"/>
            </w:tcBorders>
            <w:gridSpan w:val="7"/>
          </w:tcPr>
          <w:p>
            <w:pPr>
              <w:spacing w:after="0" w:line="183" w:lineRule="exact"/>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Selling Securityholders</w:t>
              </w:r>
            </w:hyperlink>
          </w:p>
        </w:tc>
        <w:tc>
          <w:tcPr>
            <w:tcW w:w="4620" w:type="dxa"/>
            <w:vAlign w:val="bottom"/>
            <w:gridSpan w:val="9"/>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17</w:t>
            </w: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2"/>
          </w:tcPr>
          <w:p>
            <w:pPr>
              <w:spacing w:after="0" w:line="183" w:lineRule="exact"/>
              <w:rPr>
                <w:rFonts w:ascii="Times New Roman" w:cs="Times New Roman" w:eastAsia="Times New Roman" w:hAnsi="Times New Roman"/>
                <w:sz w:val="16"/>
                <w:szCs w:val="16"/>
                <w:color w:val="0000EE"/>
                <w:w w:val="98"/>
              </w:rPr>
            </w:pPr>
            <w:hyperlink w:anchor="page49">
              <w:r>
                <w:rPr>
                  <w:rFonts w:ascii="Times New Roman" w:cs="Times New Roman" w:eastAsia="Times New Roman" w:hAnsi="Times New Roman"/>
                  <w:sz w:val="16"/>
                  <w:szCs w:val="16"/>
                  <w:color w:val="0000EE"/>
                  <w:w w:val="98"/>
                </w:rPr>
                <w:t>Legal Matters</w:t>
              </w:r>
            </w:hyperlink>
          </w:p>
        </w:tc>
        <w:tc>
          <w:tcPr>
            <w:tcW w:w="5240" w:type="dxa"/>
            <w:vAlign w:val="bottom"/>
            <w:gridSpan w:val="1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17</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Experts</w:t>
              </w:r>
            </w:hyperlink>
          </w:p>
        </w:tc>
        <w:tc>
          <w:tcPr>
            <w:tcW w:w="4580" w:type="dxa"/>
            <w:vAlign w:val="bottom"/>
          </w:tcPr>
          <w:p>
            <w:pPr>
              <w:jc w:val="right"/>
              <w:ind w:right="759"/>
              <w:spacing w:after="0" w:line="183" w:lineRule="exact"/>
              <w:rPr>
                <w:sz w:val="20"/>
                <w:szCs w:val="20"/>
                <w:color w:val="auto"/>
              </w:rPr>
            </w:pPr>
            <w:r>
              <w:rPr>
                <w:rFonts w:ascii="Times New Roman" w:cs="Times New Roman" w:eastAsia="Times New Roman" w:hAnsi="Times New Roman"/>
                <w:sz w:val="16"/>
                <w:szCs w:val="16"/>
                <w:color w:val="auto"/>
              </w:rPr>
              <w:t>17</w:t>
            </w:r>
          </w:p>
        </w:tc>
      </w:tr>
      <w:tr>
        <w:trPr>
          <w:trHeight w:val="247"/>
        </w:trPr>
        <w:tc>
          <w:tcPr>
            <w:tcW w:w="700" w:type="dxa"/>
            <w:vAlign w:val="bottom"/>
            <w:tcBorders>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560" w:type="dxa"/>
            <w:vAlign w:val="bottom"/>
            <w:tcBorders>
              <w:bottom w:val="single" w:sz="8" w:color="808080"/>
            </w:tcBorders>
          </w:tcPr>
          <w:p>
            <w:pPr>
              <w:spacing w:after="0"/>
              <w:rPr>
                <w:sz w:val="21"/>
                <w:szCs w:val="21"/>
                <w:color w:val="auto"/>
              </w:rPr>
            </w:pPr>
          </w:p>
        </w:tc>
        <w:tc>
          <w:tcPr>
            <w:tcW w:w="45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FORWARD-LOOKING STATEMENTS</w:t>
      </w:r>
    </w:p>
    <w:p>
      <w:pPr>
        <w:spacing w:after="0" w:line="124" w:lineRule="exact"/>
        <w:rPr>
          <w:sz w:val="20"/>
          <w:szCs w:val="20"/>
          <w:color w:val="auto"/>
        </w:rPr>
      </w:pPr>
    </w:p>
    <w:p>
      <w:pPr>
        <w:ind w:left="700" w:right="160" w:firstLine="397"/>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9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SEC filings, including the report on Form 10-K for the year ended December 31, 2005.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the following:</w:t>
      </w:r>
    </w:p>
    <w:p>
      <w:pPr>
        <w:spacing w:after="0" w:line="95" w:lineRule="exact"/>
        <w:rPr>
          <w:sz w:val="20"/>
          <w:szCs w:val="20"/>
          <w:color w:val="auto"/>
        </w:rPr>
      </w:pPr>
    </w:p>
    <w:p>
      <w:pPr>
        <w:jc w:val="both"/>
        <w:ind w:left="1300" w:right="120" w:hanging="202"/>
        <w:spacing w:after="0" w:line="313"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30" w:lineRule="exact"/>
        <w:rPr>
          <w:rFonts w:ascii="Times New Roman" w:cs="Times New Roman" w:eastAsia="Times New Roman" w:hAnsi="Times New Roman"/>
          <w:sz w:val="17"/>
          <w:szCs w:val="17"/>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or expand margins if we are unable to control costs;</w:t>
      </w:r>
    </w:p>
    <w:p>
      <w:pPr>
        <w:spacing w:after="0" w:line="117" w:lineRule="exact"/>
        <w:rPr>
          <w:rFonts w:ascii="Times New Roman" w:cs="Times New Roman" w:eastAsia="Times New Roman" w:hAnsi="Times New Roman"/>
          <w:sz w:val="18"/>
          <w:szCs w:val="18"/>
          <w:color w:val="auto"/>
        </w:rPr>
      </w:pPr>
    </w:p>
    <w:p>
      <w:pPr>
        <w:ind w:left="1300" w:right="74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or retain qualified personnel, including licensed commercial drivers and truck maintenance professionals;</w:t>
      </w:r>
    </w:p>
    <w:p>
      <w:pPr>
        <w:spacing w:after="0" w:line="53" w:lineRule="exact"/>
        <w:rPr>
          <w:rFonts w:ascii="Times New Roman" w:cs="Times New Roman" w:eastAsia="Times New Roman" w:hAnsi="Times New Roman"/>
          <w:sz w:val="18"/>
          <w:szCs w:val="18"/>
          <w:color w:val="auto"/>
        </w:rPr>
      </w:pPr>
    </w:p>
    <w:p>
      <w:pPr>
        <w:ind w:left="1300" w:right="480" w:hanging="202"/>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68" w:lineRule="exact"/>
        <w:rPr>
          <w:rFonts w:ascii="Times New Roman" w:cs="Times New Roman" w:eastAsia="Times New Roman" w:hAnsi="Times New Roman"/>
          <w:sz w:val="18"/>
          <w:szCs w:val="18"/>
          <w:color w:val="auto"/>
        </w:rPr>
      </w:pPr>
    </w:p>
    <w:p>
      <w:pPr>
        <w:ind w:left="1300" w:right="36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price increases or fuel supply shortages may increase our expenses, including our tax expense if Section 45K credits are phased out due to continued high crude oil prices;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commodity prices may have negative effects on our operating revenues and expenses;</w:t>
      </w:r>
    </w:p>
    <w:p>
      <w:pPr>
        <w:spacing w:after="0" w:line="117" w:lineRule="exact"/>
        <w:rPr>
          <w:rFonts w:ascii="Times New Roman" w:cs="Times New Roman" w:eastAsia="Times New Roman" w:hAnsi="Times New Roman"/>
          <w:sz w:val="18"/>
          <w:szCs w:val="18"/>
          <w:color w:val="auto"/>
        </w:rPr>
      </w:pPr>
    </w:p>
    <w:p>
      <w:pPr>
        <w:ind w:left="1300" w:right="64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inflation and resulting higher interest rates may have negative effects on the economy, which could result in decreases in volumes of waste generated and increases in our financing costs and other expenses </w:t>
      </w:r>
      <w:r>
        <w:rPr>
          <w:rFonts w:ascii="Times New Roman" w:cs="Times New Roman" w:eastAsia="Times New Roman" w:hAnsi="Times New Roman"/>
          <w:sz w:val="18"/>
          <w:szCs w:val="18"/>
          <w:i w:val="1"/>
          <w:iCs w:val="1"/>
          <w:color w:val="auto"/>
        </w:rPr>
        <w:t>;</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of our insurers to meet their obligations may cause our expenses to increase;</w:t>
      </w:r>
    </w:p>
    <w:p>
      <w:pPr>
        <w:spacing w:after="0" w:line="117" w:lineRule="exact"/>
        <w:rPr>
          <w:rFonts w:ascii="Times New Roman" w:cs="Times New Roman" w:eastAsia="Times New Roman" w:hAnsi="Times New Roman"/>
          <w:sz w:val="18"/>
          <w:szCs w:val="18"/>
          <w:color w:val="auto"/>
        </w:rPr>
      </w:pPr>
    </w:p>
    <w:p>
      <w:pPr>
        <w:ind w:left="1300" w:right="18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cause our quarter to quarter results to fluctuate, and extremely harsh weather or natural disasters may cause us to shut down operations;</w:t>
      </w:r>
    </w:p>
    <w:p>
      <w:pPr>
        <w:spacing w:after="0" w:line="53" w:lineRule="exact"/>
        <w:rPr>
          <w:rFonts w:ascii="Times New Roman" w:cs="Times New Roman" w:eastAsia="Times New Roman" w:hAnsi="Times New Roman"/>
          <w:sz w:val="18"/>
          <w:szCs w:val="18"/>
          <w:color w:val="auto"/>
        </w:rPr>
      </w:pPr>
    </w:p>
    <w:p>
      <w:pPr>
        <w:ind w:left="1300" w:right="78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site remediation requirements, final capping, closure and post-closure obligations, compliance and regulatory developments may increase our expenses or reduce revenues;</w:t>
      </w:r>
    </w:p>
    <w:p>
      <w:pPr>
        <w:spacing w:after="0" w:line="53" w:lineRule="exact"/>
        <w:rPr>
          <w:rFonts w:ascii="Times New Roman" w:cs="Times New Roman" w:eastAsia="Times New Roman" w:hAnsi="Times New Roman"/>
          <w:sz w:val="18"/>
          <w:szCs w:val="18"/>
          <w:color w:val="auto"/>
        </w:rPr>
      </w:pPr>
    </w:p>
    <w:p>
      <w:pPr>
        <w:ind w:left="1300" w:right="86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may negatively impact our business by, among other things, increasing the cost to comply with regulatory requirements and the potential liabilities associated with disposal operations;</w:t>
      </w:r>
    </w:p>
    <w:p>
      <w:pPr>
        <w:spacing w:after="0" w:line="53" w:lineRule="exact"/>
        <w:rPr>
          <w:rFonts w:ascii="Times New Roman" w:cs="Times New Roman" w:eastAsia="Times New Roman" w:hAnsi="Times New Roman"/>
          <w:sz w:val="18"/>
          <w:szCs w:val="18"/>
          <w:color w:val="auto"/>
        </w:rPr>
      </w:pPr>
    </w:p>
    <w:p>
      <w:pPr>
        <w:ind w:left="1300" w:right="26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permits needed to open, operate, and/or expand our facilities, our results of operations will be negatively impacted;</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202"/>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bans on disposal or transportation of out-of-state or cross-border waste or certain categories of waste can increase our expenses and reduce our revenues;</w:t>
      </w:r>
    </w:p>
    <w:p>
      <w:pPr>
        <w:spacing w:after="0" w:line="53" w:lineRule="exact"/>
        <w:rPr>
          <w:rFonts w:ascii="Times New Roman" w:cs="Times New Roman" w:eastAsia="Times New Roman" w:hAnsi="Times New Roman"/>
          <w:sz w:val="18"/>
          <w:szCs w:val="18"/>
          <w:color w:val="auto"/>
        </w:rPr>
      </w:pPr>
    </w:p>
    <w:p>
      <w:pPr>
        <w:ind w:left="1300" w:right="520" w:hanging="202"/>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as a result of shut-down operations, uncompleted development or expansion projects or other events may negatively affect earnings;</w:t>
      </w:r>
    </w:p>
    <w:p>
      <w:pPr>
        <w:spacing w:after="0" w:line="53" w:lineRule="exact"/>
        <w:rPr>
          <w:rFonts w:ascii="Times New Roman" w:cs="Times New Roman" w:eastAsia="Times New Roman" w:hAnsi="Times New Roman"/>
          <w:sz w:val="18"/>
          <w:szCs w:val="18"/>
          <w:color w:val="auto"/>
        </w:rPr>
      </w:pPr>
    </w:p>
    <w:p>
      <w:pPr>
        <w:ind w:left="1300" w:right="180" w:hanging="202"/>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68" w:lineRule="exact"/>
        <w:rPr>
          <w:rFonts w:ascii="Times New Roman" w:cs="Times New Roman" w:eastAsia="Times New Roman" w:hAnsi="Times New Roman"/>
          <w:sz w:val="18"/>
          <w:szCs w:val="18"/>
          <w:color w:val="auto"/>
        </w:rPr>
      </w:pPr>
    </w:p>
    <w:p>
      <w:pPr>
        <w:ind w:left="1300" w:hanging="202"/>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71"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outcomes of litigation or threatened litigation or governmental proceedings may increase our costs or limit our ability to conduct or expand our operations;</w:t>
      </w:r>
    </w:p>
    <w:p>
      <w:pPr>
        <w:spacing w:after="0" w:line="53" w:lineRule="exact"/>
        <w:rPr>
          <w:rFonts w:ascii="Times New Roman" w:cs="Times New Roman" w:eastAsia="Times New Roman" w:hAnsi="Times New Roman"/>
          <w:sz w:val="18"/>
          <w:szCs w:val="18"/>
          <w:color w:val="auto"/>
        </w:rPr>
      </w:pPr>
    </w:p>
    <w:p>
      <w:pPr>
        <w:ind w:left="1300" w:right="860" w:hanging="202"/>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errors or problems with implementing and deploying new information technology systems may decrease our efficiencies and increase our costs to operate;</w:t>
      </w:r>
    </w:p>
    <w:p>
      <w:pPr>
        <w:spacing w:after="0" w:line="53" w:lineRule="exact"/>
        <w:rPr>
          <w:rFonts w:ascii="Times New Roman" w:cs="Times New Roman" w:eastAsia="Times New Roman" w:hAnsi="Times New Roman"/>
          <w:sz w:val="18"/>
          <w:szCs w:val="18"/>
          <w:color w:val="auto"/>
        </w:rPr>
      </w:pPr>
    </w:p>
    <w:p>
      <w:pPr>
        <w:ind w:left="1300" w:right="20" w:hanging="202"/>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accounting standards or interpretations may cause fluctuations in quarterly results of operations or adversely impact our results of operations; and</w:t>
      </w:r>
    </w:p>
    <w:p>
      <w:pPr>
        <w:spacing w:after="0" w:line="53" w:lineRule="exact"/>
        <w:rPr>
          <w:rFonts w:ascii="Times New Roman" w:cs="Times New Roman" w:eastAsia="Times New Roman" w:hAnsi="Times New Roman"/>
          <w:sz w:val="18"/>
          <w:szCs w:val="18"/>
          <w:color w:val="auto"/>
        </w:rPr>
      </w:pPr>
    </w:p>
    <w:p>
      <w:pPr>
        <w:ind w:left="1300" w:right="220" w:hanging="202"/>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82"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or developments after the date of this prospectus.</w:t>
      </w:r>
    </w:p>
    <w:p>
      <w:pPr>
        <w:spacing w:after="0" w:line="27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24"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sell any combination of the securities described in this prospectus from time to time up to an indeterminate dollar amount.</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31"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2" w:lineRule="exact"/>
        <w:rPr>
          <w:sz w:val="20"/>
          <w:szCs w:val="20"/>
          <w:color w:val="auto"/>
        </w:rPr>
      </w:pPr>
    </w:p>
    <w:p>
      <w:pPr>
        <w:ind w:left="1300" w:hanging="20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131" w:lineRule="exact"/>
        <w:rPr>
          <w:sz w:val="20"/>
          <w:szCs w:val="20"/>
          <w:color w:val="auto"/>
        </w:rPr>
      </w:pPr>
    </w:p>
    <w:p>
      <w:pPr>
        <w:ind w:left="700" w:right="1120" w:firstLine="397"/>
        <w:spacing w:after="0" w:line="266" w:lineRule="auto"/>
        <w:rPr>
          <w:sz w:val="20"/>
          <w:szCs w:val="20"/>
          <w:color w:val="auto"/>
        </w:rPr>
      </w:pPr>
      <w:r>
        <w:rPr>
          <w:rFonts w:ascii="Times New Roman" w:cs="Times New Roman" w:eastAsia="Times New Roman" w:hAnsi="Times New Roman"/>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 “Documents Incorporated by Reference” and “Where You Can Find More Information.”</w:t>
      </w:r>
    </w:p>
    <w:p>
      <w:pPr>
        <w:spacing w:after="0" w:line="82" w:lineRule="exact"/>
        <w:rPr>
          <w:sz w:val="20"/>
          <w:szCs w:val="20"/>
          <w:color w:val="auto"/>
        </w:rPr>
      </w:pPr>
    </w:p>
    <w:p>
      <w:pPr>
        <w:ind w:left="700" w:right="1020" w:firstLine="397"/>
        <w:spacing w:after="0" w:line="272" w:lineRule="auto"/>
        <w:rPr>
          <w:sz w:val="20"/>
          <w:szCs w:val="20"/>
          <w:color w:val="auto"/>
        </w:rPr>
      </w:pPr>
      <w:r>
        <w:rPr>
          <w:rFonts w:ascii="Times New Roman" w:cs="Times New Roman" w:eastAsia="Times New Roman" w:hAnsi="Times New Roman"/>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spacing w:after="0" w:line="2" w:lineRule="exact"/>
        <w:rPr>
          <w:sz w:val="20"/>
          <w:szCs w:val="20"/>
          <w:color w:val="auto"/>
        </w:rPr>
      </w:pPr>
    </w:p>
    <w:p>
      <w:pPr>
        <w:ind w:left="700" w:right="1140" w:hanging="7"/>
        <w:spacing w:after="0" w:line="261" w:lineRule="auto"/>
        <w:tabs>
          <w:tab w:leader="none" w:pos="9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filings we make with the SEC that are incorporated by reference into this prospectus; or (iii) by any other method as may then be permitted under applicable law, rules or regulations.</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4" w:lineRule="exact"/>
        <w:rPr>
          <w:sz w:val="20"/>
          <w:szCs w:val="20"/>
          <w:color w:val="auto"/>
        </w:rPr>
      </w:pPr>
    </w:p>
    <w:p>
      <w:pPr>
        <w:ind w:left="700" w:right="940" w:firstLine="397"/>
        <w:spacing w:after="0" w:line="261" w:lineRule="auto"/>
        <w:rPr>
          <w:sz w:val="20"/>
          <w:szCs w:val="20"/>
          <w:color w:val="auto"/>
        </w:rPr>
      </w:pPr>
      <w:r>
        <w:rPr>
          <w:rFonts w:ascii="Times New Roman" w:cs="Times New Roman" w:eastAsia="Times New Roman" w:hAnsi="Times New Roman"/>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86" w:lineRule="exact"/>
        <w:rPr>
          <w:sz w:val="20"/>
          <w:szCs w:val="20"/>
          <w:color w:val="auto"/>
        </w:rPr>
      </w:pPr>
    </w:p>
    <w:p>
      <w:pPr>
        <w:ind w:left="700" w:right="920" w:firstLine="397"/>
        <w:spacing w:after="0" w:line="258"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7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SEC Filing (our SEC file number is 1-1254)</w:t>
            </w:r>
          </w:p>
        </w:tc>
        <w:tc>
          <w:tcPr>
            <w:tcW w:w="280" w:type="dxa"/>
            <w:vAlign w:val="bottom"/>
          </w:tcPr>
          <w:p>
            <w:pPr>
              <w:spacing w:after="0"/>
              <w:rPr>
                <w:sz w:val="21"/>
                <w:szCs w:val="21"/>
                <w:color w:val="auto"/>
              </w:rPr>
            </w:pP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0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Annual Report on Form 10-K (including the portions of our proxy statement for our 2006 annual meeting of</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98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stockholders incorporated by reference therein) for the year ended December 31, 2005</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February 21,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2006</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April 27,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2006</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March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April 20,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May 12,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May 18,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May 24,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22,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6,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21,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our Common Stock on Form 8-B</w:t>
            </w: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13, 1995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8760" w:type="dxa"/>
            <w:vAlign w:val="bottom"/>
            <w:gridSpan w:val="3"/>
          </w:tcPr>
          <w:p>
            <w:pPr>
              <w:jc w:val="right"/>
              <w:ind w:right="297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to the end of the offering of the securities.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93"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713-512-6200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auto"/>
        </w:rPr>
        <w:t>www.wm.com</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THE INFORMATION CONTAINED ON OUR WEBSITE DOES NOT CONSTITUTE A PART OF THIS PROSPECTUS.</w:t>
      </w:r>
    </w:p>
    <w:p>
      <w:pPr>
        <w:spacing w:after="0" w:line="344"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4" w:lineRule="exact"/>
        <w:rPr>
          <w:sz w:val="20"/>
          <w:szCs w:val="20"/>
          <w:color w:val="auto"/>
        </w:rPr>
      </w:pPr>
    </w:p>
    <w:p>
      <w:pPr>
        <w:ind w:left="700" w:right="160" w:firstLine="397"/>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89"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29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THE COMPANY</w:t>
      </w:r>
    </w:p>
    <w:p>
      <w:pPr>
        <w:spacing w:after="0" w:line="124"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93" w:lineRule="exact"/>
        <w:rPr>
          <w:sz w:val="20"/>
          <w:szCs w:val="20"/>
          <w:color w:val="auto"/>
        </w:rPr>
      </w:pPr>
    </w:p>
    <w:p>
      <w:pPr>
        <w:ind w:left="700" w:right="140" w:firstLine="397"/>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1001 Fannin Street, Suite 4000, Houston, Texas 77002 and our telephone number is (713) 512-6200.</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6"/>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500" w:type="dxa"/>
            <w:vAlign w:val="bottom"/>
          </w:tcPr>
          <w:p>
            <w:pPr>
              <w:ind w:left="2460"/>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7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6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00" w:type="dxa"/>
            <w:vAlign w:val="bottom"/>
            <w:vMerge w:val="continue"/>
          </w:tcPr>
          <w:p>
            <w:pPr>
              <w:spacing w:after="0"/>
              <w:rPr>
                <w:sz w:val="17"/>
                <w:szCs w:val="17"/>
                <w:color w:val="auto"/>
              </w:rPr>
            </w:pPr>
          </w:p>
        </w:tc>
        <w:tc>
          <w:tcPr>
            <w:tcW w:w="7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before taxes, cumulative effect of changes in accounting principles, losses in equity</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and minority interests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1,253</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1,316</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Fixed charges deducted from income:</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Implicit interest in rents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available for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Implicit interest in rents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3.1x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24"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Unless otherwise indicated in an accompanying prospectus supplement, we intend to use the net proceeds we receive from the sale of securities by us for general corporate purposes, which may include the repayment of indebtedness and our working capital requirements. Unless otherwise specified in the applicable prospectus supplement, we will not receive any proceeds from the sale of securities by selling securityholders.</w:t>
      </w:r>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24" w:lineRule="exact"/>
        <w:rPr>
          <w:sz w:val="20"/>
          <w:szCs w:val="20"/>
          <w:color w:val="auto"/>
        </w:rPr>
      </w:pPr>
    </w:p>
    <w:p>
      <w:pPr>
        <w:ind w:left="700" w:right="200" w:firstLine="397"/>
        <w:spacing w:after="0" w:line="258"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JPMorgan Chase Bank), as trustee. We will issue subordinated debt securities under an indenture dated as of February 1, 1997 among Waste Management, as issuer, and JPMorgan Chase, as trustee. The indentures are substantially identical, except for provisions relating to subordination and covenants.</w:t>
      </w:r>
    </w:p>
    <w:p>
      <w:pPr>
        <w:spacing w:after="0" w:line="89" w:lineRule="exact"/>
        <w:rPr>
          <w:sz w:val="20"/>
          <w:szCs w:val="20"/>
          <w:color w:val="auto"/>
        </w:rPr>
      </w:pPr>
    </w:p>
    <w:p>
      <w:pPr>
        <w:ind w:left="700" w:right="480" w:firstLine="397"/>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indentures, the debt securities and the guarantees below. This summary is not complete. We have filed the senior indenture and the form of subordinated indenture with the SEC as exhibits to the registration statement, and you should read the indentures for provisions that may be important to you.</w:t>
      </w:r>
    </w:p>
    <w:p>
      <w:pPr>
        <w:spacing w:after="0" w:line="29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33" w:lineRule="exact"/>
        <w:rPr>
          <w:sz w:val="20"/>
          <w:szCs w:val="20"/>
          <w:color w:val="auto"/>
        </w:rPr>
      </w:pPr>
    </w:p>
    <w:p>
      <w:pPr>
        <w:ind w:left="700" w:right="22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 indenture, and neither limits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3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right="18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 terms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These terms will include some or all of the following:</w:t>
      </w:r>
    </w:p>
    <w:p>
      <w:pPr>
        <w:spacing w:after="0" w:line="66" w:lineRule="exact"/>
        <w:rPr>
          <w:sz w:val="20"/>
          <w:szCs w:val="20"/>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300" w:right="480" w:hanging="202"/>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the date from which interest will accrue, interest payment dates and record dates for interest payments;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17" w:lineRule="exact"/>
        <w:rPr>
          <w:rFonts w:ascii="Times New Roman" w:cs="Times New Roman" w:eastAsia="Times New Roman" w:hAnsi="Times New Roman"/>
          <w:sz w:val="18"/>
          <w:szCs w:val="18"/>
          <w:color w:val="auto"/>
        </w:rPr>
      </w:pPr>
    </w:p>
    <w:p>
      <w:pPr>
        <w:ind w:left="1300" w:right="500" w:hanging="202"/>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300" w:right="280" w:hanging="202"/>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300" w:right="460" w:hanging="202"/>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or any other entity;</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82"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80" w:lineRule="exact"/>
        <w:rPr>
          <w:sz w:val="20"/>
          <w:szCs w:val="20"/>
          <w:color w:val="auto"/>
        </w:rPr>
      </w:pPr>
    </w:p>
    <w:p>
      <w:pPr>
        <w:ind w:left="700" w:right="90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 involving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or a lease, transfer or disposition of all or substantially all of our assets unless:</w:t>
      </w:r>
    </w:p>
    <w:p>
      <w:pPr>
        <w:spacing w:after="0" w:line="66" w:lineRule="exact"/>
        <w:rPr>
          <w:sz w:val="20"/>
          <w:szCs w:val="20"/>
          <w:color w:val="auto"/>
        </w:rPr>
      </w:pPr>
    </w:p>
    <w:p>
      <w:pPr>
        <w:ind w:left="1100"/>
        <w:spacing w:after="0"/>
        <w:tabs>
          <w:tab w:leader="none" w:pos="1280" w:val="left"/>
        </w:tabs>
        <w:rPr>
          <w:sz w:val="20"/>
          <w:szCs w:val="20"/>
          <w:color w:val="auto"/>
        </w:rPr>
      </w:pPr>
      <w:r>
        <w:rPr>
          <w:rFonts w:ascii="Times New Roman" w:cs="Times New Roman" w:eastAsia="Times New Roman" w:hAnsi="Times New Roman"/>
          <w:sz w:val="18"/>
          <w:szCs w:val="18"/>
          <w:color w:val="auto"/>
        </w:rPr>
        <w:t>•</w:t>
        <w:tab/>
        <w:t>we are the continuing corporation; or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700" w:hanging="202"/>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continuing corporation, the resulting entity or transferee assumes the performance of its covenants and obligations under the indentures and the due and punctual payments on the debt securities; and</w:t>
      </w:r>
    </w:p>
    <w:p>
      <w:pPr>
        <w:spacing w:after="0" w:line="53" w:lineRule="exact"/>
        <w:rPr>
          <w:rFonts w:ascii="Times New Roman" w:cs="Times New Roman" w:eastAsia="Times New Roman" w:hAnsi="Times New Roman"/>
          <w:sz w:val="18"/>
          <w:szCs w:val="18"/>
          <w:color w:val="auto"/>
        </w:rPr>
      </w:pPr>
    </w:p>
    <w:p>
      <w:pPr>
        <w:ind w:left="1300" w:right="100" w:hanging="202"/>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either case, immediately after giving effect to the transaction, no default or event of default would occur and be continuing or would result from the transaction.</w:t>
      </w:r>
    </w:p>
    <w:p>
      <w:pPr>
        <w:spacing w:after="0" w:line="67" w:lineRule="exact"/>
        <w:rPr>
          <w:sz w:val="20"/>
          <w:szCs w:val="20"/>
          <w:color w:val="auto"/>
        </w:rPr>
      </w:pPr>
    </w:p>
    <w:p>
      <w:pPr>
        <w:jc w:val="both"/>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0" w:lineRule="exact"/>
        <w:rPr>
          <w:sz w:val="20"/>
          <w:szCs w:val="20"/>
          <w:color w:val="auto"/>
        </w:rPr>
      </w:pPr>
    </w:p>
    <w:p>
      <w:pPr>
        <w:ind w:left="700" w:right="30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 events of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series of debt securities:</w:t>
      </w:r>
    </w:p>
    <w:p>
      <w:pPr>
        <w:spacing w:after="0" w:line="66" w:lineRule="exact"/>
        <w:rPr>
          <w:sz w:val="20"/>
          <w:szCs w:val="20"/>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that series of debt securities</w:t>
      </w:r>
    </w:p>
    <w:p>
      <w:pPr>
        <w:spacing w:after="0" w:line="117" w:lineRule="exact"/>
        <w:rPr>
          <w:rFonts w:ascii="Times New Roman" w:cs="Times New Roman" w:eastAsia="Times New Roman" w:hAnsi="Times New Roman"/>
          <w:sz w:val="18"/>
          <w:szCs w:val="18"/>
          <w:color w:val="auto"/>
        </w:rPr>
      </w:pPr>
    </w:p>
    <w:p>
      <w:pPr>
        <w:ind w:left="1300" w:right="40" w:hanging="202"/>
        <w:spacing w:after="0" w:line="258"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5"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31"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300" w:right="420" w:hanging="202"/>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67" w:lineRule="exact"/>
        <w:rPr>
          <w:sz w:val="20"/>
          <w:szCs w:val="20"/>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65" w:lineRule="exact"/>
        <w:rPr>
          <w:sz w:val="20"/>
          <w:szCs w:val="20"/>
          <w:color w:val="auto"/>
        </w:rPr>
      </w:pPr>
    </w:p>
    <w:p>
      <w:pPr>
        <w:ind w:left="70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 amount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87" w:lineRule="exact"/>
        <w:rPr>
          <w:sz w:val="20"/>
          <w:szCs w:val="20"/>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17" w:lineRule="exact"/>
        <w:rPr>
          <w:rFonts w:ascii="Times New Roman" w:cs="Times New Roman" w:eastAsia="Times New Roman" w:hAnsi="Times New Roman"/>
          <w:sz w:val="18"/>
          <w:szCs w:val="18"/>
          <w:color w:val="auto"/>
        </w:rPr>
      </w:pPr>
    </w:p>
    <w:p>
      <w:pPr>
        <w:ind w:left="1300" w:right="20" w:hanging="202"/>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117" w:lineRule="exact"/>
        <w:rPr>
          <w:rFonts w:ascii="Times New Roman" w:cs="Times New Roman" w:eastAsia="Times New Roman" w:hAnsi="Times New Roman"/>
          <w:sz w:val="18"/>
          <w:szCs w:val="18"/>
          <w:color w:val="auto"/>
        </w:rPr>
      </w:pPr>
    </w:p>
    <w:p>
      <w:pPr>
        <w:ind w:left="1300" w:right="80" w:hanging="202"/>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2" w:lineRule="exact"/>
        <w:rPr>
          <w:sz w:val="20"/>
          <w:szCs w:val="20"/>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129"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 the indentures.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88" w:lineRule="exact"/>
        <w:rPr>
          <w:sz w:val="20"/>
          <w:szCs w:val="20"/>
          <w:color w:val="auto"/>
        </w:rPr>
      </w:pPr>
    </w:p>
    <w:p>
      <w:pPr>
        <w:ind w:left="1300" w:right="680" w:hanging="202"/>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53" w:lineRule="exact"/>
        <w:rPr>
          <w:rFonts w:ascii="Times New Roman" w:cs="Times New Roman" w:eastAsia="Times New Roman" w:hAnsi="Times New Roman"/>
          <w:sz w:val="18"/>
          <w:szCs w:val="18"/>
          <w:color w:val="auto"/>
        </w:rPr>
      </w:pPr>
    </w:p>
    <w:p>
      <w:pPr>
        <w:ind w:left="1300" w:right="440" w:hanging="202"/>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certain restrictive covenants, and the related events of default will no longer apply (“covenant defeasance”).</w:t>
      </w:r>
    </w:p>
    <w:p>
      <w:pPr>
        <w:spacing w:after="0" w:line="67"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3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Times New Roman" w:cs="Times New Roman" w:eastAsia="Times New Roman" w:hAnsi="Times New Roman"/>
          <w:sz w:val="18"/>
          <w:szCs w:val="18"/>
          <w:color w:val="auto"/>
        </w:rPr>
        <w:t>U.S. federal income tax purposes. If we elect legal defeasance, that opinion of counsel must be based upon a ruling from the U.S. Internal Revenue Service or a change in law to that effect.</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New York law will govern the indentures and the debt securities.</w:t>
      </w:r>
    </w:p>
    <w:p>
      <w:pPr>
        <w:spacing w:after="0" w:line="131" w:lineRule="exact"/>
        <w:rPr>
          <w:sz w:val="20"/>
          <w:szCs w:val="20"/>
          <w:color w:val="auto"/>
        </w:rPr>
      </w:pPr>
    </w:p>
    <w:p>
      <w:pPr>
        <w:ind w:left="700" w:right="3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JPMorgan Chase is the trustee under the senior indenture and the subordinated indenture. JPMorgan Chase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relating to a number of series of debt obligations of Waste Management as of December 31, 2005. JPMorgan Chase and its affiliates perform certain commercial banking services for us for which they receive customary fees and are lenders under our current credit facility.</w:t>
      </w:r>
    </w:p>
    <w:p>
      <w:pPr>
        <w:spacing w:after="0" w:line="88"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86"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80" w:lineRule="exact"/>
        <w:rPr>
          <w:sz w:val="20"/>
          <w:szCs w:val="20"/>
          <w:color w:val="auto"/>
        </w:rPr>
      </w:pPr>
    </w:p>
    <w:p>
      <w:pPr>
        <w:jc w:val="both"/>
        <w:ind w:left="700" w:right="14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 without interest coupons,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88" w:lineRule="exact"/>
        <w:rPr>
          <w:sz w:val="20"/>
          <w:szCs w:val="20"/>
          <w:color w:val="auto"/>
        </w:rPr>
      </w:pPr>
    </w:p>
    <w:p>
      <w:pPr>
        <w:ind w:left="700" w:right="200" w:firstLine="397"/>
        <w:spacing w:after="0" w:line="261"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86"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3" w:lineRule="exact"/>
        <w:rPr>
          <w:rFonts w:ascii="Times New Roman" w:cs="Times New Roman" w:eastAsia="Times New Roman" w:hAnsi="Times New Roman"/>
          <w:sz w:val="18"/>
          <w:szCs w:val="18"/>
          <w:color w:val="auto"/>
        </w:rPr>
      </w:pPr>
    </w:p>
    <w:p>
      <w:pPr>
        <w:ind w:left="1300" w:right="360" w:hanging="202"/>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65" w:lineRule="exact"/>
        <w:rPr>
          <w:sz w:val="20"/>
          <w:szCs w:val="20"/>
          <w:color w:val="auto"/>
        </w:rPr>
      </w:pPr>
    </w:p>
    <w:p>
      <w:pPr>
        <w:ind w:left="70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 on the debt securities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3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300" w:firstLine="397"/>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82" w:lineRule="exact"/>
        <w:rPr>
          <w:sz w:val="20"/>
          <w:szCs w:val="20"/>
          <w:color w:val="auto"/>
        </w:rPr>
      </w:pPr>
    </w:p>
    <w:p>
      <w:pPr>
        <w:ind w:left="700" w:right="140" w:firstLine="397"/>
        <w:spacing w:after="0" w:line="261"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place of payment on the debt securities of that series is authorized or obligated by law, regulation or executive order to remain closed.</w:t>
      </w:r>
    </w:p>
    <w:p>
      <w:pPr>
        <w:spacing w:after="0" w:line="86"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84" w:lineRule="exact"/>
        <w:rPr>
          <w:sz w:val="20"/>
          <w:szCs w:val="20"/>
          <w:color w:val="auto"/>
        </w:rPr>
      </w:pPr>
    </w:p>
    <w:p>
      <w:pPr>
        <w:jc w:val="both"/>
        <w:ind w:left="700" w:right="36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 global debt securities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0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33"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 and will rank equally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9"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 holders of the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35"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2" w:lineRule="exact"/>
        <w:rPr>
          <w:sz w:val="20"/>
          <w:szCs w:val="20"/>
          <w:color w:val="auto"/>
        </w:rPr>
      </w:pPr>
    </w:p>
    <w:p>
      <w:pPr>
        <w:ind w:left="1080" w:right="60" w:firstLine="391"/>
        <w:spacing w:after="0" w:line="282" w:lineRule="auto"/>
        <w:tabs>
          <w:tab w:leader="none" w:pos="17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67"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us or a Restricted Subsidiary;</w:t>
      </w:r>
    </w:p>
    <w:p>
      <w:pPr>
        <w:spacing w:after="0" w:line="130" w:lineRule="exact"/>
        <w:rPr>
          <w:rFonts w:ascii="Times New Roman" w:cs="Times New Roman" w:eastAsia="Times New Roman" w:hAnsi="Times New Roman"/>
          <w:sz w:val="18"/>
          <w:szCs w:val="18"/>
          <w:color w:val="auto"/>
        </w:rPr>
      </w:pPr>
    </w:p>
    <w:p>
      <w:pPr>
        <w:ind w:left="1080" w:right="740" w:firstLine="391"/>
        <w:spacing w:after="0" w:line="282" w:lineRule="auto"/>
        <w:tabs>
          <w:tab w:leader="none" w:pos="17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5" w:lineRule="exact"/>
        <w:rPr>
          <w:rFonts w:ascii="Times New Roman" w:cs="Times New Roman" w:eastAsia="Times New Roman" w:hAnsi="Times New Roman"/>
          <w:sz w:val="18"/>
          <w:szCs w:val="18"/>
          <w:color w:val="auto"/>
        </w:rPr>
      </w:pPr>
    </w:p>
    <w:p>
      <w:pPr>
        <w:ind w:left="1080" w:right="480" w:firstLine="391"/>
        <w:spacing w:after="0" w:line="284" w:lineRule="auto"/>
        <w:tabs>
          <w:tab w:leader="none" w:pos="17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that becomes us in accordance with “</w:t>
      </w:r>
      <w:r>
        <w:rPr>
          <w:rFonts w:ascii="Times New Roman" w:cs="Times New Roman" w:eastAsia="Times New Roman" w:hAnsi="Times New Roman"/>
          <w:sz w:val="18"/>
          <w:szCs w:val="18"/>
          <w:i w:val="1"/>
          <w:iCs w:val="1"/>
          <w:color w:val="auto"/>
        </w:rPr>
        <w:t>Provisions Applicable to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Consolidation, Merger and Sale of Assets</w:t>
      </w:r>
      <w:r>
        <w:rPr>
          <w:rFonts w:ascii="Times New Roman" w:cs="Times New Roman" w:eastAsia="Times New Roman" w:hAnsi="Times New Roman"/>
          <w:sz w:val="18"/>
          <w:szCs w:val="18"/>
          <w:color w:val="auto"/>
        </w:rPr>
        <w:t>,” above;</w:t>
      </w:r>
    </w:p>
    <w:p>
      <w:pPr>
        <w:spacing w:after="0" w:line="3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 liens on assets either:</w:t>
      </w:r>
    </w:p>
    <w:p>
      <w:pPr>
        <w:spacing w:after="0" w:line="131" w:lineRule="exact"/>
        <w:rPr>
          <w:sz w:val="20"/>
          <w:szCs w:val="20"/>
          <w:color w:val="auto"/>
        </w:rPr>
      </w:pPr>
    </w:p>
    <w:p>
      <w:pPr>
        <w:ind w:left="1700" w:hanging="211"/>
        <w:spacing w:after="0"/>
        <w:tabs>
          <w:tab w:leader="none" w:pos="1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b w:val="1"/>
          <w:bCs w:val="1"/>
          <w:color w:val="auto"/>
        </w:rPr>
      </w:pPr>
    </w:p>
    <w:p>
      <w:pPr>
        <w:ind w:left="1700" w:hanging="211"/>
        <w:spacing w:after="0" w:line="261" w:lineRule="auto"/>
        <w:tabs>
          <w:tab w:leader="none" w:pos="1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86" w:lineRule="exact"/>
        <w:rPr>
          <w:sz w:val="20"/>
          <w:szCs w:val="20"/>
          <w:color w:val="auto"/>
        </w:rPr>
      </w:pPr>
    </w:p>
    <w:p>
      <w:pPr>
        <w:ind w:left="1740" w:hanging="269"/>
        <w:spacing w:after="0"/>
        <w:tabs>
          <w:tab w:leader="none" w:pos="1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30"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130"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130" w:lineRule="exact"/>
        <w:rPr>
          <w:rFonts w:ascii="Times New Roman" w:cs="Times New Roman" w:eastAsia="Times New Roman" w:hAnsi="Times New Roman"/>
          <w:sz w:val="18"/>
          <w:szCs w:val="18"/>
          <w:color w:val="auto"/>
        </w:rPr>
      </w:pPr>
    </w:p>
    <w:p>
      <w:pPr>
        <w:ind w:left="1740" w:hanging="269"/>
        <w:spacing w:after="0"/>
        <w:tabs>
          <w:tab w:leader="none" w:pos="1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 faith;</w:t>
      </w:r>
    </w:p>
    <w:p>
      <w:pPr>
        <w:spacing w:after="0" w:line="130" w:lineRule="exact"/>
        <w:rPr>
          <w:rFonts w:ascii="Times New Roman" w:cs="Times New Roman" w:eastAsia="Times New Roman" w:hAnsi="Times New Roman"/>
          <w:sz w:val="18"/>
          <w:szCs w:val="18"/>
          <w:color w:val="auto"/>
        </w:rPr>
      </w:pPr>
    </w:p>
    <w:p>
      <w:pPr>
        <w:ind w:left="1080" w:right="100" w:firstLine="391"/>
        <w:spacing w:after="0" w:line="282" w:lineRule="auto"/>
        <w:tabs>
          <w:tab w:leader="none" w:pos="17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67"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us or Restricted Subsidiaries in the ordinary course of business;</w:t>
      </w:r>
    </w:p>
    <w:p>
      <w:pPr>
        <w:spacing w:after="0" w:line="130" w:lineRule="exact"/>
        <w:rPr>
          <w:rFonts w:ascii="Times New Roman" w:cs="Times New Roman" w:eastAsia="Times New Roman" w:hAnsi="Times New Roman"/>
          <w:sz w:val="18"/>
          <w:szCs w:val="18"/>
          <w:color w:val="auto"/>
        </w:rPr>
      </w:pPr>
    </w:p>
    <w:p>
      <w:pPr>
        <w:ind w:left="1080" w:right="120" w:firstLine="391"/>
        <w:spacing w:after="0" w:line="282" w:lineRule="auto"/>
        <w:tabs>
          <w:tab w:leader="none" w:pos="17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67" w:lineRule="exact"/>
        <w:rPr>
          <w:rFonts w:ascii="Times New Roman" w:cs="Times New Roman" w:eastAsia="Times New Roman" w:hAnsi="Times New Roman"/>
          <w:sz w:val="18"/>
          <w:szCs w:val="18"/>
          <w:color w:val="auto"/>
        </w:rPr>
      </w:pPr>
    </w:p>
    <w:p>
      <w:pPr>
        <w:ind w:left="1080" w:right="100" w:firstLine="391"/>
        <w:spacing w:after="0" w:line="282" w:lineRule="auto"/>
        <w:tabs>
          <w:tab w:leader="none" w:pos="18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due to deposits to qualify us or a Restricted Subsidiary to do business, maintain self-insurance or obtain the benefit of or comply with laws;</w:t>
      </w:r>
    </w:p>
    <w:p>
      <w:pPr>
        <w:spacing w:after="0" w:line="67"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industrial development, pollution control or other revenue bonds of a domestic government entity;</w:t>
      </w:r>
    </w:p>
    <w:p>
      <w:pPr>
        <w:spacing w:after="0" w:line="130" w:lineRule="exact"/>
        <w:rPr>
          <w:rFonts w:ascii="Times New Roman" w:cs="Times New Roman" w:eastAsia="Times New Roman" w:hAnsi="Times New Roman"/>
          <w:sz w:val="18"/>
          <w:szCs w:val="18"/>
          <w:color w:val="auto"/>
        </w:rPr>
      </w:pPr>
    </w:p>
    <w:p>
      <w:pPr>
        <w:ind w:left="1780" w:hanging="309"/>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30" w:lineRule="exact"/>
        <w:rPr>
          <w:rFonts w:ascii="Times New Roman" w:cs="Times New Roman" w:eastAsia="Times New Roman" w:hAnsi="Times New Roman"/>
          <w:sz w:val="18"/>
          <w:szCs w:val="18"/>
          <w:color w:val="auto"/>
        </w:rPr>
      </w:pPr>
    </w:p>
    <w:p>
      <w:pPr>
        <w:ind w:left="1080" w:right="20" w:firstLine="391"/>
        <w:spacing w:after="0" w:line="282" w:lineRule="auto"/>
        <w:tabs>
          <w:tab w:leader="none" w:pos="17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67" w:lineRule="exact"/>
        <w:rPr>
          <w:sz w:val="20"/>
          <w:szCs w:val="20"/>
          <w:color w:val="auto"/>
        </w:rPr>
      </w:pPr>
    </w:p>
    <w:p>
      <w:pPr>
        <w:ind w:left="700" w:right="60"/>
        <w:spacing w:after="0" w:line="256"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Limitation on Sale/Leaseback Transactions</w:t>
      </w:r>
    </w:p>
    <w:p>
      <w:pPr>
        <w:spacing w:after="0" w:line="135" w:lineRule="exact"/>
        <w:rPr>
          <w:sz w:val="20"/>
          <w:szCs w:val="20"/>
          <w:color w:val="auto"/>
        </w:rPr>
      </w:pPr>
    </w:p>
    <w:p>
      <w:pPr>
        <w:ind w:left="700" w:right="340" w:firstLine="397"/>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67" w:lineRule="exact"/>
        <w:rPr>
          <w:sz w:val="20"/>
          <w:szCs w:val="20"/>
          <w:color w:val="auto"/>
        </w:rPr>
      </w:pPr>
    </w:p>
    <w:p>
      <w:pPr>
        <w:ind w:left="1080" w:right="300" w:firstLine="391"/>
        <w:spacing w:after="0" w:line="266" w:lineRule="auto"/>
        <w:tabs>
          <w:tab w:leader="none" w:pos="17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1" w:lineRule="exact"/>
        <w:rPr>
          <w:rFonts w:ascii="Times New Roman" w:cs="Times New Roman" w:eastAsia="Times New Roman" w:hAnsi="Times New Roman"/>
          <w:sz w:val="18"/>
          <w:szCs w:val="18"/>
          <w:color w:val="auto"/>
        </w:rPr>
      </w:pPr>
    </w:p>
    <w:p>
      <w:pPr>
        <w:ind w:left="1080" w:right="680" w:firstLine="391"/>
        <w:spacing w:after="0" w:line="282" w:lineRule="auto"/>
        <w:tabs>
          <w:tab w:leader="none" w:pos="17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the effective date of any Sale/Leaseback Transaction, we will apply the net proceeds of the Sale/Leaseback Transaction to the voluntary defeasance or retirement of any senior</w:t>
      </w: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debt securities issued under the senior indenture or to the acquisition or capital improvement of a Principal Property.</w:t>
      </w:r>
    </w:p>
    <w:p>
      <w:pPr>
        <w:spacing w:after="0" w:line="131" w:lineRule="exact"/>
        <w:rPr>
          <w:sz w:val="20"/>
          <w:szCs w:val="20"/>
          <w:color w:val="auto"/>
        </w:rPr>
      </w:pPr>
    </w:p>
    <w:p>
      <w:pPr>
        <w:ind w:left="700" w:right="100"/>
        <w:spacing w:after="0" w:line="261"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35"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“Attributable Debt” means the present value of the rental payments during the remaining term of the lease included in the 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9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“Consolidated Net Tangible Assets” means the total amount of assets of Waste Management, Inc. and its consolidated subsidiaries</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less:</w:t>
      </w:r>
    </w:p>
    <w:p>
      <w:pPr>
        <w:spacing w:after="0" w:line="112" w:lineRule="exact"/>
        <w:rPr>
          <w:sz w:val="20"/>
          <w:szCs w:val="20"/>
          <w:color w:val="auto"/>
        </w:rPr>
      </w:pPr>
    </w:p>
    <w:p>
      <w:pPr>
        <w:ind w:left="1300" w:right="120" w:hanging="202"/>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“Indebtedness” means (a) all obligations for borrowed money or on which interest charges are customarily paid, all as shown on the balance sheet of the indebted party and (b) all guarantees of Indebtedness.</w:t>
      </w:r>
    </w:p>
    <w:p>
      <w:pPr>
        <w:spacing w:after="0" w:line="67"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“Restricted Subsidiary” means any Subsidiary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82" w:lineRule="exact"/>
        <w:rPr>
          <w:sz w:val="20"/>
          <w:szCs w:val="20"/>
          <w:color w:val="auto"/>
        </w:rPr>
      </w:pPr>
    </w:p>
    <w:p>
      <w:pPr>
        <w:ind w:left="700" w:right="280" w:firstLine="397"/>
        <w:spacing w:after="0" w:line="256" w:lineRule="auto"/>
        <w:rPr>
          <w:sz w:val="20"/>
          <w:szCs w:val="20"/>
          <w:color w:val="auto"/>
        </w:rPr>
      </w:pPr>
      <w:r>
        <w:rPr>
          <w:rFonts w:ascii="Times New Roman" w:cs="Times New Roman" w:eastAsia="Times New Roman" w:hAnsi="Times New Roman"/>
          <w:sz w:val="18"/>
          <w:szCs w:val="18"/>
          <w:color w:val="auto"/>
        </w:rPr>
        <w:t>“Principal Property”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3" w:lineRule="exact"/>
        <w:rPr>
          <w:sz w:val="20"/>
          <w:szCs w:val="20"/>
          <w:color w:val="auto"/>
        </w:rPr>
      </w:pPr>
    </w:p>
    <w:p>
      <w:pPr>
        <w:ind w:left="700" w:right="140" w:firstLine="397"/>
        <w:spacing w:after="0" w:line="266" w:lineRule="auto"/>
        <w:rPr>
          <w:sz w:val="20"/>
          <w:szCs w:val="20"/>
          <w:color w:val="auto"/>
        </w:rPr>
      </w:pPr>
      <w:r>
        <w:rPr>
          <w:rFonts w:ascii="Times New Roman" w:cs="Times New Roman" w:eastAsia="Times New Roman" w:hAnsi="Times New Roman"/>
          <w:sz w:val="18"/>
          <w:szCs w:val="18"/>
          <w:color w:val="auto"/>
        </w:rPr>
        <w:t>“Sale/Leaseback Transaction” means any arrangement with anyone under which we or our Restricted Subsidiaries lease any Principal Property that we or such Restricted Subsidiary has sold or transferred or will sell or transfer to that person. This term excludes the following:</w:t>
      </w:r>
    </w:p>
    <w:p>
      <w:pPr>
        <w:spacing w:after="0" w:line="82" w:lineRule="exact"/>
        <w:rPr>
          <w:sz w:val="20"/>
          <w:szCs w:val="20"/>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31"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“Subsidiary” means an entity at least a majority of the outstanding voting stock of which is owned, directly or indirectly, by us or by one or more other Subsidiaries, or by us and one or more other Subsidiaries.</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33" w:lineRule="exact"/>
        <w:rPr>
          <w:sz w:val="20"/>
          <w:szCs w:val="20"/>
          <w:color w:val="auto"/>
        </w:rPr>
      </w:pPr>
    </w:p>
    <w:p>
      <w:pPr>
        <w:ind w:left="700" w:right="4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 equally with or senior to our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subordinated debt that may be outstanding from time to time.</w:t>
      </w:r>
    </w:p>
    <w:p>
      <w:pPr>
        <w:spacing w:after="0" w:line="64" w:lineRule="exact"/>
        <w:rPr>
          <w:sz w:val="20"/>
          <w:szCs w:val="20"/>
          <w:color w:val="auto"/>
        </w:rPr>
      </w:pPr>
    </w:p>
    <w:p>
      <w:pPr>
        <w:ind w:left="70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 interest on the subordinated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0"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24"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86"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86" w:lineRule="exact"/>
        <w:rPr>
          <w:sz w:val="20"/>
          <w:szCs w:val="20"/>
          <w:color w:val="auto"/>
        </w:rPr>
      </w:pPr>
    </w:p>
    <w:p>
      <w:pPr>
        <w:jc w:val="both"/>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DESCRIPTION OF CAPITAL STOCK</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700" w:right="160" w:firstLine="397"/>
        <w:spacing w:after="0" w:line="289" w:lineRule="auto"/>
        <w:rPr>
          <w:sz w:val="20"/>
          <w:szCs w:val="20"/>
          <w:color w:val="auto"/>
        </w:rPr>
      </w:pPr>
      <w:r>
        <w:rPr>
          <w:rFonts w:ascii="Times New Roman" w:cs="Times New Roman" w:eastAsia="Times New Roman" w:hAnsi="Times New Roman"/>
          <w:sz w:val="17"/>
          <w:szCs w:val="17"/>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64"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of which 534,480,615 shares were outstanding at September 20, 2006. We are also authorized to issue 10,000,000 shares of preferred stock, none of which were outstanding on that date.</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3" w:lineRule="exact"/>
        <w:rPr>
          <w:sz w:val="20"/>
          <w:szCs w:val="20"/>
          <w:color w:val="auto"/>
        </w:rPr>
      </w:pPr>
    </w:p>
    <w:p>
      <w:pPr>
        <w:ind w:left="700" w:right="22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are entitled to receive dividends when declared by our Board of Directors. In certain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stockholders may not receive dividends until we satisfy our obligations to any preferred stockholders.</w:t>
      </w:r>
    </w:p>
    <w:p>
      <w:pPr>
        <w:spacing w:after="0" w:line="64" w:lineRule="exact"/>
        <w:rPr>
          <w:sz w:val="20"/>
          <w:szCs w:val="20"/>
          <w:color w:val="auto"/>
        </w:rPr>
      </w:pPr>
    </w:p>
    <w:p>
      <w:pPr>
        <w:ind w:left="700" w:right="14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share of common stock is entitled to one vote in the election of directors and in each other matter we may ask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to vote on. Common stockholders do not have cumulative voting</w:t>
      </w:r>
    </w:p>
    <w:p>
      <w:pPr>
        <w:spacing w:after="0" w:line="3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520"/>
        <w:spacing w:after="0" w:line="282" w:lineRule="auto"/>
        <w:rPr>
          <w:sz w:val="20"/>
          <w:szCs w:val="20"/>
          <w:color w:val="auto"/>
        </w:rPr>
      </w:pPr>
      <w:r>
        <w:rPr>
          <w:rFonts w:ascii="Times New Roman" w:cs="Times New Roman" w:eastAsia="Times New Roman" w:hAnsi="Times New Roman"/>
          <w:sz w:val="18"/>
          <w:szCs w:val="18"/>
          <w:color w:val="auto"/>
        </w:rPr>
        <w:t>rights. Accordingly, the holders of a majority of shares voting for the election of directors can elect all of the directors standing for election.</w:t>
      </w:r>
    </w:p>
    <w:p>
      <w:pPr>
        <w:spacing w:after="0" w:line="65" w:lineRule="exact"/>
        <w:rPr>
          <w:sz w:val="20"/>
          <w:szCs w:val="20"/>
          <w:color w:val="auto"/>
        </w:rPr>
      </w:pPr>
    </w:p>
    <w:p>
      <w:pPr>
        <w:ind w:left="700" w:right="2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hereby will also be, upon issuance and sale, validly issued, fully paid and non-assessable.</w:t>
      </w:r>
    </w:p>
    <w:p>
      <w:pPr>
        <w:spacing w:after="0" w:line="64" w:lineRule="exact"/>
        <w:rPr>
          <w:sz w:val="20"/>
          <w:szCs w:val="20"/>
          <w:color w:val="auto"/>
        </w:rPr>
      </w:pPr>
    </w:p>
    <w:p>
      <w:pPr>
        <w:ind w:left="70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 voluntarily, common stockholders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ratably in the assets remaining after we pay our creditors and any preferred stockholders.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 “WMI.”</w:t>
      </w:r>
    </w:p>
    <w:p>
      <w:pPr>
        <w:spacing w:after="0" w:line="131" w:lineRule="exact"/>
        <w:rPr>
          <w:sz w:val="20"/>
          <w:szCs w:val="20"/>
          <w:color w:val="auto"/>
        </w:rPr>
      </w:pPr>
    </w:p>
    <w:p>
      <w:pPr>
        <w:ind w:left="700" w:right="72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Mellon Investor Services in South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Hackensack, New Jersey.</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35"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35" w:lineRule="exact"/>
        <w:rPr>
          <w:sz w:val="20"/>
          <w:szCs w:val="20"/>
          <w:color w:val="auto"/>
        </w:rPr>
      </w:pPr>
    </w:p>
    <w:p>
      <w:pPr>
        <w:ind w:left="700" w:right="280" w:firstLine="397"/>
        <w:spacing w:after="0" w:line="289" w:lineRule="auto"/>
        <w:rPr>
          <w:sz w:val="20"/>
          <w:szCs w:val="20"/>
          <w:color w:val="auto"/>
        </w:rPr>
      </w:pPr>
      <w:r>
        <w:rPr>
          <w:rFonts w:ascii="Times New Roman" w:cs="Times New Roman" w:eastAsia="Times New Roman" w:hAnsi="Times New Roman"/>
          <w:sz w:val="17"/>
          <w:szCs w:val="17"/>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40" w:firstLine="397"/>
        <w:spacing w:after="0" w:line="313" w:lineRule="auto"/>
        <w:rPr>
          <w:sz w:val="20"/>
          <w:szCs w:val="20"/>
          <w:color w:val="auto"/>
        </w:rPr>
      </w:pPr>
      <w:r>
        <w:rPr>
          <w:rFonts w:ascii="Times New Roman" w:cs="Times New Roman" w:eastAsia="Times New Roman" w:hAnsi="Times New Roman"/>
          <w:sz w:val="17"/>
          <w:szCs w:val="17"/>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44"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2" w:lineRule="exact"/>
        <w:rPr>
          <w:sz w:val="20"/>
          <w:szCs w:val="20"/>
          <w:color w:val="auto"/>
        </w:rPr>
      </w:pPr>
    </w:p>
    <w:p>
      <w:pPr>
        <w:ind w:left="1300" w:right="160" w:hanging="202"/>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corporation’s board of directors approved either the business combination or the transaction in which the stockholder became an Interested Stockholder; or</w:t>
      </w:r>
    </w:p>
    <w:p>
      <w:pPr>
        <w:spacing w:after="0" w:line="53" w:lineRule="exact"/>
        <w:rPr>
          <w:rFonts w:ascii="Times New Roman" w:cs="Times New Roman" w:eastAsia="Times New Roman" w:hAnsi="Times New Roman"/>
          <w:sz w:val="18"/>
          <w:szCs w:val="18"/>
          <w:color w:val="auto"/>
        </w:rPr>
      </w:pPr>
    </w:p>
    <w:p>
      <w:pPr>
        <w:ind w:left="1300" w:right="160" w:hanging="202"/>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2" w:lineRule="exact"/>
        <w:rPr>
          <w:sz w:val="20"/>
          <w:szCs w:val="20"/>
          <w:color w:val="auto"/>
        </w:rPr>
      </w:pPr>
    </w:p>
    <w:p>
      <w:pPr>
        <w:ind w:left="700" w:right="200" w:firstLine="397"/>
        <w:spacing w:after="0" w:line="282" w:lineRule="auto"/>
        <w:rPr>
          <w:sz w:val="20"/>
          <w:szCs w:val="20"/>
          <w:color w:val="auto"/>
        </w:rPr>
      </w:pPr>
      <w:r>
        <w:rPr>
          <w:rFonts w:ascii="Times New Roman" w:cs="Times New Roman" w:eastAsia="Times New Roman" w:hAnsi="Times New Roman"/>
          <w:sz w:val="18"/>
          <w:szCs w:val="18"/>
          <w:color w:val="auto"/>
        </w:rPr>
        <w:t>Section 203 defines the term “business combination” to include mergers, asset sales and other transactions resulting in a financial benefit to the Interested Stockholder.</w:t>
      </w:r>
    </w:p>
    <w:p>
      <w:pPr>
        <w:spacing w:after="0" w:line="67"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may elect not to be governed by Section 203. Such an election would be effective 12 months after its adoption.</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firstLine="397"/>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82"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89"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2" w:lineRule="exact"/>
        <w:rPr>
          <w:sz w:val="20"/>
          <w:szCs w:val="20"/>
          <w:color w:val="auto"/>
        </w:rPr>
      </w:pPr>
    </w:p>
    <w:p>
      <w:pPr>
        <w:ind w:left="700" w:right="440" w:firstLine="397"/>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9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24"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PLAN OF DISTRIBUTION</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31"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discounts. If such dealers or agents were deemed to be underwriters, they may be subject to statutory liabilities under the Securities Act.</w:t>
      </w:r>
    </w:p>
    <w:p>
      <w:pPr>
        <w:spacing w:after="0" w:line="131"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89"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92" w:lineRule="exact"/>
        <w:rPr>
          <w:sz w:val="20"/>
          <w:szCs w:val="20"/>
          <w:color w:val="auto"/>
        </w:rPr>
      </w:pPr>
    </w:p>
    <w:p>
      <w:pPr>
        <w:jc w:val="both"/>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82"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86" w:lineRule="exact"/>
        <w:rPr>
          <w:sz w:val="20"/>
          <w:szCs w:val="20"/>
          <w:color w:val="auto"/>
        </w:rPr>
      </w:pPr>
    </w:p>
    <w:p>
      <w:pPr>
        <w:ind w:left="700" w:right="480" w:firstLine="397"/>
        <w:spacing w:after="0" w:line="258"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89" w:lineRule="exact"/>
        <w:rPr>
          <w:sz w:val="20"/>
          <w:szCs w:val="20"/>
          <w:color w:val="auto"/>
        </w:rPr>
      </w:pPr>
    </w:p>
    <w:p>
      <w:pPr>
        <w:ind w:left="700" w:right="20" w:firstLine="397"/>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67" w:lineRule="exact"/>
        <w:rPr>
          <w:sz w:val="20"/>
          <w:szCs w:val="20"/>
          <w:color w:val="auto"/>
        </w:rPr>
      </w:pPr>
    </w:p>
    <w:p>
      <w:pPr>
        <w:ind w:left="700" w:right="100" w:firstLine="397"/>
        <w:spacing w:after="0" w:line="256"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93"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SELLING SECURITYHOLDERS</w:t>
      </w:r>
    </w:p>
    <w:p>
      <w:pPr>
        <w:spacing w:after="0" w:line="124" w:lineRule="exact"/>
        <w:rPr>
          <w:sz w:val="20"/>
          <w:szCs w:val="20"/>
          <w:color w:val="auto"/>
        </w:rPr>
      </w:pPr>
    </w:p>
    <w:p>
      <w:pPr>
        <w:ind w:left="700" w:right="620" w:firstLine="397"/>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7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24" w:lineRule="exact"/>
        <w:rPr>
          <w:sz w:val="20"/>
          <w:szCs w:val="20"/>
          <w:color w:val="auto"/>
        </w:rPr>
      </w:pPr>
    </w:p>
    <w:p>
      <w:pPr>
        <w:ind w:left="700" w:right="360" w:firstLine="397"/>
        <w:spacing w:after="0" w:line="282"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7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24"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Waste Management, Inc. appearing in Waste Management, Inc.’s Annual Report (Form 10-K) for the year ended December 31, 2005 (including the schedule appearing therein), and Waste Management, Inc.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3020060</wp:posOffset>
            </wp:positionV>
            <wp:extent cx="1269365"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sectPr>
      <w:pgSz w:w="11900" w:h="16838" w:orient="portrait"/>
      <w:cols w:equalWidth="0" w:num="1">
        <w:col w:w="10219"/>
      </w:cols>
      <w:pgMar w:left="240" w:top="4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713"/>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lvl w:ilvl="1">
      <w:lvlJc w:val="left"/>
      <w:lvlText w:val="(%2)"/>
      <w:numFmt w:val="lowerLetter"/>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Roman"/>
      <w:start w:val="2"/>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6"/>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2019-12-11T14:43:41Z</dcterms:created>
  <dcterms:modified xsi:type="dcterms:W3CDTF">2019-12-11T14:43:41Z</dcterms:modified>
</cp:coreProperties>
</file>