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(Mark One)</w:t>
      </w:r>
    </w:p>
    <w:p>
      <w:pPr>
        <w:spacing w:after="0" w:line="14" w:lineRule="exact"/>
        <w:rPr>
          <w:sz w:val="20"/>
          <w:szCs w:val="20"/>
          <w:color w:val="auto"/>
        </w:rPr>
      </w:pPr>
    </w:p>
    <w:p>
      <w:pPr>
        <w:ind w:left="1540" w:hanging="721"/>
        <w:spacing w:after="0"/>
        <w:tabs>
          <w:tab w:leader="none" w:pos="15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AND EXCHANGE ACT OF 1934</w:t>
      </w:r>
    </w:p>
    <w:p>
      <w:pPr>
        <w:spacing w:after="0" w:line="6" w:lineRule="exact"/>
        <w:rPr>
          <w:sz w:val="20"/>
          <w:szCs w:val="20"/>
          <w:color w:val="auto"/>
        </w:rPr>
      </w:pPr>
    </w:p>
    <w:p>
      <w:pPr>
        <w:ind w:left="1540"/>
        <w:spacing w:after="0"/>
        <w:rPr>
          <w:sz w:val="20"/>
          <w:szCs w:val="20"/>
          <w:color w:val="auto"/>
        </w:rPr>
      </w:pPr>
      <w:r>
        <w:rPr>
          <w:rFonts w:ascii="Arial" w:cs="Arial" w:eastAsia="Arial" w:hAnsi="Arial"/>
          <w:sz w:val="13"/>
          <w:szCs w:val="13"/>
          <w:b w:val="1"/>
          <w:bCs w:val="1"/>
          <w:color w:val="auto"/>
        </w:rPr>
        <w:t>For the fiscal year ended December 31, 2010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5" w:lineRule="exact"/>
        <w:rPr>
          <w:sz w:val="20"/>
          <w:szCs w:val="20"/>
          <w:color w:val="auto"/>
        </w:rPr>
      </w:pPr>
    </w:p>
    <w:p>
      <w:pPr>
        <w:ind w:left="1540" w:hanging="691"/>
        <w:spacing w:after="0"/>
        <w:tabs>
          <w:tab w:leader="none" w:pos="1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AND EXCHANGE ACT OF 1934</w:t>
      </w:r>
    </w:p>
    <w:tbl>
      <w:tblPr>
        <w:tblLayout w:type="fixed"/>
        <w:tblInd w:w="340" w:type="dxa"/>
        <w:tblCellMar>
          <w:top w:w="0" w:type="dxa"/>
          <w:left w:w="0" w:type="dxa"/>
          <w:bottom w:w="0" w:type="dxa"/>
          <w:right w:w="0" w:type="dxa"/>
        </w:tblCellMar>
      </w:tblPr>
      <w:tr>
        <w:trPr>
          <w:trHeight w:val="169"/>
        </w:trPr>
        <w:tc>
          <w:tcPr>
            <w:tcW w:w="3140" w:type="dxa"/>
            <w:vAlign w:val="bottom"/>
          </w:tcPr>
          <w:p>
            <w:pPr>
              <w:ind w:left="1200"/>
              <w:spacing w:after="0"/>
              <w:rPr>
                <w:sz w:val="20"/>
                <w:szCs w:val="20"/>
                <w:color w:val="auto"/>
              </w:rPr>
            </w:pPr>
            <w:r>
              <w:rPr>
                <w:rFonts w:ascii="Arial" w:cs="Arial" w:eastAsia="Arial" w:hAnsi="Arial"/>
                <w:sz w:val="13"/>
                <w:szCs w:val="13"/>
                <w:b w:val="1"/>
                <w:bCs w:val="1"/>
                <w:color w:val="auto"/>
              </w:rPr>
              <w:t>For the transition period from</w:t>
            </w:r>
          </w:p>
        </w:tc>
        <w:tc>
          <w:tcPr>
            <w:tcW w:w="3920" w:type="dxa"/>
            <w:vAlign w:val="bottom"/>
            <w:gridSpan w:val="3"/>
          </w:tcPr>
          <w:p>
            <w:pPr>
              <w:ind w:left="80"/>
              <w:spacing w:after="0"/>
              <w:rPr>
                <w:sz w:val="20"/>
                <w:szCs w:val="20"/>
                <w:color w:val="auto"/>
              </w:rPr>
            </w:pPr>
            <w:r>
              <w:rPr>
                <w:rFonts w:ascii="Arial" w:cs="Arial" w:eastAsia="Arial" w:hAnsi="Arial"/>
                <w:sz w:val="13"/>
                <w:szCs w:val="13"/>
                <w:b w:val="1"/>
                <w:bCs w:val="1"/>
                <w:color w:val="auto"/>
              </w:rPr>
              <w:t>to</w:t>
            </w:r>
          </w:p>
        </w:tc>
        <w:tc>
          <w:tcPr>
            <w:tcW w:w="3720" w:type="dxa"/>
            <w:vAlign w:val="bottom"/>
          </w:tcPr>
          <w:p>
            <w:pPr>
              <w:spacing w:after="0"/>
              <w:rPr>
                <w:sz w:val="14"/>
                <w:szCs w:val="14"/>
                <w:color w:val="auto"/>
              </w:rPr>
            </w:pPr>
          </w:p>
        </w:tc>
      </w:tr>
      <w:tr>
        <w:trPr>
          <w:trHeight w:val="222"/>
        </w:trPr>
        <w:tc>
          <w:tcPr>
            <w:tcW w:w="3140" w:type="dxa"/>
            <w:vAlign w:val="bottom"/>
          </w:tcPr>
          <w:p>
            <w:pPr>
              <w:spacing w:after="0"/>
              <w:rPr>
                <w:sz w:val="19"/>
                <w:szCs w:val="19"/>
                <w:color w:val="auto"/>
              </w:rPr>
            </w:pPr>
          </w:p>
        </w:tc>
        <w:tc>
          <w:tcPr>
            <w:tcW w:w="3920" w:type="dxa"/>
            <w:vAlign w:val="bottom"/>
            <w:gridSpan w:val="3"/>
          </w:tcPr>
          <w:p>
            <w:pPr>
              <w:jc w:val="center"/>
              <w:ind w:left="525"/>
              <w:spacing w:after="0"/>
              <w:rPr>
                <w:sz w:val="20"/>
                <w:szCs w:val="20"/>
                <w:color w:val="auto"/>
              </w:rPr>
            </w:pPr>
            <w:r>
              <w:rPr>
                <w:rFonts w:ascii="Arial" w:cs="Arial" w:eastAsia="Arial" w:hAnsi="Arial"/>
                <w:sz w:val="13"/>
                <w:szCs w:val="13"/>
                <w:b w:val="1"/>
                <w:bCs w:val="1"/>
                <w:color w:val="auto"/>
                <w:w w:val="90"/>
              </w:rPr>
              <w:t>Commission file number 1-12154</w:t>
            </w:r>
          </w:p>
        </w:tc>
        <w:tc>
          <w:tcPr>
            <w:tcW w:w="3720" w:type="dxa"/>
            <w:vAlign w:val="bottom"/>
          </w:tcPr>
          <w:p>
            <w:pPr>
              <w:spacing w:after="0"/>
              <w:rPr>
                <w:sz w:val="19"/>
                <w:szCs w:val="19"/>
                <w:color w:val="auto"/>
              </w:rPr>
            </w:pPr>
          </w:p>
        </w:tc>
      </w:tr>
      <w:tr>
        <w:trPr>
          <w:trHeight w:val="382"/>
        </w:trPr>
        <w:tc>
          <w:tcPr>
            <w:tcW w:w="3140" w:type="dxa"/>
            <w:vAlign w:val="bottom"/>
          </w:tcPr>
          <w:p>
            <w:pPr>
              <w:spacing w:after="0"/>
              <w:rPr>
                <w:sz w:val="24"/>
                <w:szCs w:val="24"/>
                <w:color w:val="auto"/>
              </w:rPr>
            </w:pPr>
          </w:p>
        </w:tc>
        <w:tc>
          <w:tcPr>
            <w:tcW w:w="3920" w:type="dxa"/>
            <w:vAlign w:val="bottom"/>
            <w:gridSpan w:val="3"/>
          </w:tcPr>
          <w:p>
            <w:pPr>
              <w:jc w:val="center"/>
              <w:ind w:left="505"/>
              <w:spacing w:after="0"/>
              <w:rPr>
                <w:sz w:val="20"/>
                <w:szCs w:val="20"/>
                <w:color w:val="auto"/>
              </w:rPr>
            </w:pPr>
            <w:r>
              <w:rPr>
                <w:rFonts w:ascii="Arial" w:cs="Arial" w:eastAsia="Arial" w:hAnsi="Arial"/>
                <w:sz w:val="31"/>
                <w:szCs w:val="31"/>
                <w:b w:val="1"/>
                <w:bCs w:val="1"/>
                <w:color w:val="auto"/>
                <w:w w:val="92"/>
              </w:rPr>
              <w:t>Waste Management, Inc.</w:t>
            </w:r>
          </w:p>
        </w:tc>
        <w:tc>
          <w:tcPr>
            <w:tcW w:w="3720" w:type="dxa"/>
            <w:vAlign w:val="bottom"/>
          </w:tcPr>
          <w:p>
            <w:pPr>
              <w:spacing w:after="0"/>
              <w:rPr>
                <w:sz w:val="24"/>
                <w:szCs w:val="24"/>
                <w:color w:val="auto"/>
              </w:rPr>
            </w:pPr>
          </w:p>
        </w:tc>
      </w:tr>
      <w:tr>
        <w:trPr>
          <w:trHeight w:val="131"/>
        </w:trPr>
        <w:tc>
          <w:tcPr>
            <w:tcW w:w="3140" w:type="dxa"/>
            <w:vAlign w:val="bottom"/>
          </w:tcPr>
          <w:p>
            <w:pPr>
              <w:spacing w:after="0"/>
              <w:rPr>
                <w:sz w:val="11"/>
                <w:szCs w:val="11"/>
                <w:color w:val="auto"/>
              </w:rPr>
            </w:pPr>
          </w:p>
        </w:tc>
        <w:tc>
          <w:tcPr>
            <w:tcW w:w="3920" w:type="dxa"/>
            <w:vAlign w:val="bottom"/>
            <w:gridSpan w:val="3"/>
          </w:tcPr>
          <w:p>
            <w:pPr>
              <w:jc w:val="center"/>
              <w:ind w:left="505"/>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3720" w:type="dxa"/>
            <w:vAlign w:val="bottom"/>
          </w:tcPr>
          <w:p>
            <w:pPr>
              <w:spacing w:after="0"/>
              <w:rPr>
                <w:sz w:val="11"/>
                <w:szCs w:val="11"/>
                <w:color w:val="auto"/>
              </w:rPr>
            </w:pPr>
          </w:p>
        </w:tc>
      </w:tr>
      <w:tr>
        <w:trPr>
          <w:trHeight w:val="193"/>
        </w:trPr>
        <w:tc>
          <w:tcPr>
            <w:tcW w:w="3140" w:type="dxa"/>
            <w:vAlign w:val="bottom"/>
          </w:tcPr>
          <w:p>
            <w:pPr>
              <w:jc w:val="center"/>
              <w:ind w:left="2099"/>
              <w:spacing w:after="0"/>
              <w:rPr>
                <w:sz w:val="20"/>
                <w:szCs w:val="20"/>
                <w:color w:val="auto"/>
              </w:rPr>
            </w:pPr>
            <w:r>
              <w:rPr>
                <w:rFonts w:ascii="Arial" w:cs="Arial" w:eastAsia="Arial" w:hAnsi="Arial"/>
                <w:sz w:val="13"/>
                <w:szCs w:val="13"/>
                <w:b w:val="1"/>
                <w:bCs w:val="1"/>
                <w:color w:val="auto"/>
                <w:w w:val="94"/>
              </w:rPr>
              <w:t>Delaware</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720" w:type="dxa"/>
            <w:vAlign w:val="bottom"/>
          </w:tcPr>
          <w:p>
            <w:pPr>
              <w:jc w:val="right"/>
              <w:ind w:right="2260"/>
              <w:spacing w:after="0"/>
              <w:rPr>
                <w:sz w:val="20"/>
                <w:szCs w:val="20"/>
                <w:color w:val="auto"/>
              </w:rPr>
            </w:pPr>
            <w:r>
              <w:rPr>
                <w:rFonts w:ascii="Arial" w:cs="Arial" w:eastAsia="Arial" w:hAnsi="Arial"/>
                <w:sz w:val="13"/>
                <w:szCs w:val="13"/>
                <w:b w:val="1"/>
                <w:bCs w:val="1"/>
                <w:color w:val="auto"/>
              </w:rPr>
              <w:t>73-1309529</w:t>
            </w:r>
          </w:p>
        </w:tc>
      </w:tr>
      <w:tr>
        <w:trPr>
          <w:trHeight w:val="108"/>
        </w:trPr>
        <w:tc>
          <w:tcPr>
            <w:tcW w:w="7060" w:type="dxa"/>
            <w:vAlign w:val="bottom"/>
            <w:gridSpan w:val="4"/>
          </w:tcPr>
          <w:p>
            <w:pPr>
              <w:jc w:val="center"/>
              <w:ind w:right="1760"/>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3720" w:type="dxa"/>
            <w:vAlign w:val="bottom"/>
          </w:tcPr>
          <w:p>
            <w:pPr>
              <w:jc w:val="center"/>
              <w:ind w:right="1480"/>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7060" w:type="dxa"/>
            <w:vAlign w:val="bottom"/>
            <w:gridSpan w:val="4"/>
          </w:tcPr>
          <w:p>
            <w:pPr>
              <w:jc w:val="center"/>
              <w:ind w:right="1760"/>
              <w:spacing w:after="0"/>
              <w:rPr>
                <w:sz w:val="20"/>
                <w:szCs w:val="20"/>
                <w:color w:val="auto"/>
              </w:rPr>
            </w:pPr>
            <w:r>
              <w:rPr>
                <w:rFonts w:ascii="Arial" w:cs="Arial" w:eastAsia="Arial" w:hAnsi="Arial"/>
                <w:sz w:val="10"/>
                <w:szCs w:val="10"/>
                <w:i w:val="1"/>
                <w:iCs w:val="1"/>
                <w:color w:val="auto"/>
                <w:w w:val="99"/>
              </w:rPr>
              <w:t>incorporation or organization)</w:t>
            </w:r>
          </w:p>
        </w:tc>
        <w:tc>
          <w:tcPr>
            <w:tcW w:w="3720" w:type="dxa"/>
            <w:vAlign w:val="bottom"/>
          </w:tcPr>
          <w:p>
            <w:pPr>
              <w:jc w:val="center"/>
              <w:ind w:right="1500"/>
              <w:spacing w:after="0"/>
              <w:rPr>
                <w:sz w:val="20"/>
                <w:szCs w:val="20"/>
                <w:color w:val="auto"/>
              </w:rPr>
            </w:pPr>
            <w:r>
              <w:rPr>
                <w:rFonts w:ascii="Arial" w:cs="Arial" w:eastAsia="Arial" w:hAnsi="Arial"/>
                <w:sz w:val="10"/>
                <w:szCs w:val="10"/>
                <w:i w:val="1"/>
                <w:iCs w:val="1"/>
                <w:color w:val="auto"/>
                <w:w w:val="97"/>
              </w:rPr>
              <w:t>Identification No.)</w:t>
            </w:r>
          </w:p>
        </w:tc>
      </w:tr>
      <w:tr>
        <w:trPr>
          <w:trHeight w:val="193"/>
        </w:trPr>
        <w:tc>
          <w:tcPr>
            <w:tcW w:w="7060" w:type="dxa"/>
            <w:vAlign w:val="bottom"/>
            <w:gridSpan w:val="4"/>
          </w:tcPr>
          <w:p>
            <w:pPr>
              <w:jc w:val="center"/>
              <w:ind w:right="1760"/>
              <w:spacing w:after="0"/>
              <w:rPr>
                <w:sz w:val="20"/>
                <w:szCs w:val="20"/>
                <w:color w:val="auto"/>
              </w:rPr>
            </w:pPr>
            <w:r>
              <w:rPr>
                <w:rFonts w:ascii="Arial" w:cs="Arial" w:eastAsia="Arial" w:hAnsi="Arial"/>
                <w:sz w:val="13"/>
                <w:szCs w:val="13"/>
                <w:b w:val="1"/>
                <w:bCs w:val="1"/>
                <w:color w:val="auto"/>
                <w:w w:val="90"/>
              </w:rPr>
              <w:t>1001 Fannin Street, Suite 4000</w:t>
            </w:r>
          </w:p>
        </w:tc>
        <w:tc>
          <w:tcPr>
            <w:tcW w:w="3720" w:type="dxa"/>
            <w:vAlign w:val="bottom"/>
          </w:tcPr>
          <w:p>
            <w:pPr>
              <w:jc w:val="right"/>
              <w:ind w:right="2420"/>
              <w:spacing w:after="0"/>
              <w:rPr>
                <w:sz w:val="20"/>
                <w:szCs w:val="20"/>
                <w:color w:val="auto"/>
              </w:rPr>
            </w:pPr>
            <w:r>
              <w:rPr>
                <w:rFonts w:ascii="Arial" w:cs="Arial" w:eastAsia="Arial" w:hAnsi="Arial"/>
                <w:sz w:val="13"/>
                <w:szCs w:val="13"/>
                <w:b w:val="1"/>
                <w:bCs w:val="1"/>
                <w:color w:val="auto"/>
              </w:rPr>
              <w:t>77002</w:t>
            </w:r>
          </w:p>
        </w:tc>
      </w:tr>
      <w:tr>
        <w:trPr>
          <w:trHeight w:val="157"/>
        </w:trPr>
        <w:tc>
          <w:tcPr>
            <w:tcW w:w="3140" w:type="dxa"/>
            <w:vAlign w:val="bottom"/>
          </w:tcPr>
          <w:p>
            <w:pPr>
              <w:jc w:val="center"/>
              <w:ind w:left="2099"/>
              <w:spacing w:after="0"/>
              <w:rPr>
                <w:sz w:val="20"/>
                <w:szCs w:val="20"/>
                <w:color w:val="auto"/>
              </w:rPr>
            </w:pPr>
            <w:r>
              <w:rPr>
                <w:rFonts w:ascii="Arial" w:cs="Arial" w:eastAsia="Arial" w:hAnsi="Arial"/>
                <w:sz w:val="13"/>
                <w:szCs w:val="13"/>
                <w:b w:val="1"/>
                <w:bCs w:val="1"/>
                <w:color w:val="auto"/>
                <w:w w:val="88"/>
              </w:rPr>
              <w:t>Houston, Texas</w:t>
            </w: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720" w:type="dxa"/>
            <w:vAlign w:val="bottom"/>
          </w:tcPr>
          <w:p>
            <w:pPr>
              <w:jc w:val="center"/>
              <w:ind w:right="1500"/>
              <w:spacing w:after="0"/>
              <w:rPr>
                <w:sz w:val="20"/>
                <w:szCs w:val="20"/>
                <w:color w:val="auto"/>
              </w:rPr>
            </w:pPr>
            <w:r>
              <w:rPr>
                <w:rFonts w:ascii="Arial" w:cs="Arial" w:eastAsia="Arial" w:hAnsi="Arial"/>
                <w:sz w:val="10"/>
                <w:szCs w:val="10"/>
                <w:i w:val="1"/>
                <w:iCs w:val="1"/>
                <w:color w:val="auto"/>
                <w:w w:val="97"/>
              </w:rPr>
              <w:t>(Zip code)</w:t>
            </w:r>
          </w:p>
        </w:tc>
      </w:tr>
      <w:tr>
        <w:trPr>
          <w:trHeight w:val="131"/>
        </w:trPr>
        <w:tc>
          <w:tcPr>
            <w:tcW w:w="7060" w:type="dxa"/>
            <w:vAlign w:val="bottom"/>
            <w:gridSpan w:val="4"/>
          </w:tcPr>
          <w:p>
            <w:pPr>
              <w:jc w:val="center"/>
              <w:ind w:right="1760"/>
              <w:spacing w:after="0"/>
              <w:rPr>
                <w:sz w:val="20"/>
                <w:szCs w:val="20"/>
                <w:color w:val="auto"/>
              </w:rPr>
            </w:pPr>
            <w:r>
              <w:rPr>
                <w:rFonts w:ascii="Arial" w:cs="Arial" w:eastAsia="Arial" w:hAnsi="Arial"/>
                <w:sz w:val="10"/>
                <w:szCs w:val="10"/>
                <w:i w:val="1"/>
                <w:iCs w:val="1"/>
                <w:color w:val="auto"/>
                <w:w w:val="94"/>
              </w:rPr>
              <w:t>(Address of principal executive offices)</w:t>
            </w:r>
          </w:p>
        </w:tc>
        <w:tc>
          <w:tcPr>
            <w:tcW w:w="3720" w:type="dxa"/>
            <w:vAlign w:val="bottom"/>
          </w:tcPr>
          <w:p>
            <w:pPr>
              <w:spacing w:after="0"/>
              <w:rPr>
                <w:sz w:val="11"/>
                <w:szCs w:val="11"/>
                <w:color w:val="auto"/>
              </w:rPr>
            </w:pPr>
          </w:p>
        </w:tc>
      </w:tr>
      <w:tr>
        <w:trPr>
          <w:trHeight w:val="173"/>
        </w:trPr>
        <w:tc>
          <w:tcPr>
            <w:tcW w:w="3140" w:type="dxa"/>
            <w:vAlign w:val="bottom"/>
          </w:tcPr>
          <w:p>
            <w:pPr>
              <w:spacing w:after="0"/>
              <w:rPr>
                <w:sz w:val="15"/>
                <w:szCs w:val="15"/>
                <w:color w:val="auto"/>
              </w:rPr>
            </w:pPr>
          </w:p>
        </w:tc>
        <w:tc>
          <w:tcPr>
            <w:tcW w:w="3920" w:type="dxa"/>
            <w:vAlign w:val="bottom"/>
            <w:gridSpan w:val="3"/>
          </w:tcPr>
          <w:p>
            <w:pPr>
              <w:jc w:val="center"/>
              <w:ind w:left="505"/>
              <w:spacing w:after="0"/>
              <w:rPr>
                <w:sz w:val="20"/>
                <w:szCs w:val="20"/>
                <w:color w:val="auto"/>
              </w:rPr>
            </w:pPr>
            <w:r>
              <w:rPr>
                <w:rFonts w:ascii="Arial" w:cs="Arial" w:eastAsia="Arial" w:hAnsi="Arial"/>
                <w:sz w:val="10"/>
                <w:szCs w:val="10"/>
                <w:i w:val="1"/>
                <w:iCs w:val="1"/>
                <w:color w:val="auto"/>
                <w:w w:val="94"/>
              </w:rPr>
              <w:t>Registrant’s telephone number, including area code:</w:t>
            </w:r>
          </w:p>
        </w:tc>
        <w:tc>
          <w:tcPr>
            <w:tcW w:w="3720" w:type="dxa"/>
            <w:vAlign w:val="bottom"/>
          </w:tcPr>
          <w:p>
            <w:pPr>
              <w:spacing w:after="0"/>
              <w:rPr>
                <w:sz w:val="15"/>
                <w:szCs w:val="15"/>
                <w:color w:val="auto"/>
              </w:rPr>
            </w:pPr>
          </w:p>
        </w:tc>
      </w:tr>
      <w:tr>
        <w:trPr>
          <w:trHeight w:val="169"/>
        </w:trPr>
        <w:tc>
          <w:tcPr>
            <w:tcW w:w="3140" w:type="dxa"/>
            <w:vAlign w:val="bottom"/>
          </w:tcPr>
          <w:p>
            <w:pPr>
              <w:spacing w:after="0"/>
              <w:rPr>
                <w:sz w:val="14"/>
                <w:szCs w:val="14"/>
                <w:color w:val="auto"/>
              </w:rPr>
            </w:pPr>
          </w:p>
        </w:tc>
        <w:tc>
          <w:tcPr>
            <w:tcW w:w="3920" w:type="dxa"/>
            <w:vAlign w:val="bottom"/>
            <w:gridSpan w:val="3"/>
          </w:tcPr>
          <w:p>
            <w:pPr>
              <w:jc w:val="center"/>
              <w:ind w:left="505"/>
              <w:spacing w:after="0"/>
              <w:rPr>
                <w:sz w:val="20"/>
                <w:szCs w:val="20"/>
                <w:color w:val="auto"/>
              </w:rPr>
            </w:pPr>
            <w:r>
              <w:rPr>
                <w:rFonts w:ascii="Arial" w:cs="Arial" w:eastAsia="Arial" w:hAnsi="Arial"/>
                <w:sz w:val="13"/>
                <w:szCs w:val="13"/>
                <w:b w:val="1"/>
                <w:bCs w:val="1"/>
                <w:color w:val="auto"/>
                <w:w w:val="92"/>
              </w:rPr>
              <w:t>(713) 512-6200</w:t>
            </w:r>
          </w:p>
        </w:tc>
        <w:tc>
          <w:tcPr>
            <w:tcW w:w="3720" w:type="dxa"/>
            <w:vAlign w:val="bottom"/>
          </w:tcPr>
          <w:p>
            <w:pPr>
              <w:spacing w:after="0"/>
              <w:rPr>
                <w:sz w:val="14"/>
                <w:szCs w:val="14"/>
                <w:color w:val="auto"/>
              </w:rPr>
            </w:pPr>
          </w:p>
        </w:tc>
      </w:tr>
      <w:tr>
        <w:trPr>
          <w:trHeight w:val="206"/>
        </w:trPr>
        <w:tc>
          <w:tcPr>
            <w:tcW w:w="3140" w:type="dxa"/>
            <w:vAlign w:val="bottom"/>
          </w:tcPr>
          <w:p>
            <w:pPr>
              <w:spacing w:after="0"/>
              <w:rPr>
                <w:sz w:val="17"/>
                <w:szCs w:val="17"/>
                <w:color w:val="auto"/>
              </w:rPr>
            </w:pPr>
          </w:p>
        </w:tc>
        <w:tc>
          <w:tcPr>
            <w:tcW w:w="3920" w:type="dxa"/>
            <w:vAlign w:val="bottom"/>
            <w:gridSpan w:val="3"/>
          </w:tcPr>
          <w:p>
            <w:pPr>
              <w:jc w:val="center"/>
              <w:ind w:left="525"/>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3720" w:type="dxa"/>
            <w:vAlign w:val="bottom"/>
          </w:tcPr>
          <w:p>
            <w:pPr>
              <w:spacing w:after="0"/>
              <w:rPr>
                <w:sz w:val="17"/>
                <w:szCs w:val="17"/>
                <w:color w:val="auto"/>
              </w:rPr>
            </w:pPr>
          </w:p>
        </w:tc>
      </w:tr>
      <w:tr>
        <w:trPr>
          <w:trHeight w:val="168"/>
        </w:trPr>
        <w:tc>
          <w:tcPr>
            <w:tcW w:w="3140" w:type="dxa"/>
            <w:vAlign w:val="bottom"/>
            <w:tcBorders>
              <w:bottom w:val="single" w:sz="8" w:color="auto"/>
            </w:tcBorders>
          </w:tcPr>
          <w:p>
            <w:pPr>
              <w:jc w:val="center"/>
              <w:ind w:left="2119"/>
              <w:spacing w:after="0"/>
              <w:rPr>
                <w:sz w:val="20"/>
                <w:szCs w:val="20"/>
                <w:color w:val="auto"/>
              </w:rPr>
            </w:pPr>
            <w:r>
              <w:rPr>
                <w:rFonts w:ascii="Arial" w:cs="Arial" w:eastAsia="Arial" w:hAnsi="Arial"/>
                <w:sz w:val="10"/>
                <w:szCs w:val="10"/>
                <w:b w:val="1"/>
                <w:bCs w:val="1"/>
                <w:color w:val="auto"/>
                <w:w w:val="94"/>
              </w:rPr>
              <w:t>Title of Each Class</w:t>
            </w:r>
          </w:p>
        </w:tc>
        <w:tc>
          <w:tcPr>
            <w:tcW w:w="2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jc w:val="center"/>
              <w:ind w:right="1500"/>
              <w:spacing w:after="0"/>
              <w:rPr>
                <w:sz w:val="20"/>
                <w:szCs w:val="20"/>
                <w:color w:val="auto"/>
              </w:rPr>
            </w:pPr>
            <w:r>
              <w:rPr>
                <w:rFonts w:ascii="Arial" w:cs="Arial" w:eastAsia="Arial" w:hAnsi="Arial"/>
                <w:sz w:val="10"/>
                <w:szCs w:val="10"/>
                <w:b w:val="1"/>
                <w:bCs w:val="1"/>
                <w:color w:val="auto"/>
                <w:w w:val="93"/>
              </w:rPr>
              <w:t>Name of Exchange on Which Registered</w:t>
            </w:r>
          </w:p>
        </w:tc>
      </w:tr>
      <w:tr>
        <w:trPr>
          <w:trHeight w:val="185"/>
        </w:trPr>
        <w:tc>
          <w:tcPr>
            <w:tcW w:w="7060" w:type="dxa"/>
            <w:vAlign w:val="bottom"/>
            <w:gridSpan w:val="4"/>
          </w:tcPr>
          <w:p>
            <w:pPr>
              <w:jc w:val="center"/>
              <w:ind w:right="1760"/>
              <w:spacing w:after="0"/>
              <w:rPr>
                <w:sz w:val="20"/>
                <w:szCs w:val="20"/>
                <w:color w:val="auto"/>
              </w:rPr>
            </w:pPr>
            <w:r>
              <w:rPr>
                <w:rFonts w:ascii="Arial" w:cs="Arial" w:eastAsia="Arial" w:hAnsi="Arial"/>
                <w:sz w:val="13"/>
                <w:szCs w:val="13"/>
                <w:color w:val="auto"/>
                <w:w w:val="90"/>
              </w:rPr>
              <w:t>Common Stock, $.01 par value</w:t>
            </w:r>
          </w:p>
        </w:tc>
        <w:tc>
          <w:tcPr>
            <w:tcW w:w="3720" w:type="dxa"/>
            <w:vAlign w:val="bottom"/>
          </w:tcPr>
          <w:p>
            <w:pPr>
              <w:jc w:val="center"/>
              <w:ind w:right="1500"/>
              <w:spacing w:after="0"/>
              <w:rPr>
                <w:sz w:val="20"/>
                <w:szCs w:val="20"/>
                <w:color w:val="auto"/>
              </w:rPr>
            </w:pPr>
            <w:r>
              <w:rPr>
                <w:rFonts w:ascii="Arial" w:cs="Arial" w:eastAsia="Arial" w:hAnsi="Arial"/>
                <w:sz w:val="13"/>
                <w:szCs w:val="13"/>
                <w:color w:val="auto"/>
                <w:w w:val="90"/>
              </w:rPr>
              <w:t>New York Stock Exchange</w:t>
            </w:r>
          </w:p>
        </w:tc>
      </w:tr>
      <w:tr>
        <w:trPr>
          <w:trHeight w:val="262"/>
        </w:trPr>
        <w:tc>
          <w:tcPr>
            <w:tcW w:w="7060" w:type="dxa"/>
            <w:vAlign w:val="bottom"/>
            <w:gridSpan w:val="4"/>
          </w:tcPr>
          <w:p>
            <w:pPr>
              <w:ind w:left="320"/>
              <w:spacing w:after="0" w:line="150" w:lineRule="exact"/>
              <w:rPr>
                <w:sz w:val="20"/>
                <w:szCs w:val="20"/>
                <w:color w:val="auto"/>
              </w:rPr>
            </w:pPr>
            <w:r>
              <w:rPr>
                <w:rFonts w:ascii="Arial" w:cs="Arial" w:eastAsia="Arial" w:hAnsi="Arial"/>
                <w:sz w:val="13"/>
                <w:szCs w:val="13"/>
                <w:color w:val="auto"/>
                <w:w w:val="93"/>
              </w:rPr>
              <w:t xml:space="preserve">Indicate by check mark if the registrant is a well-known seasoned issuer, as defined by Rule 405 of the Securities Act. Yes </w:t>
            </w:r>
            <w:r>
              <w:rPr>
                <w:rFonts w:ascii="MS PGothic" w:cs="MS PGothic" w:eastAsia="MS PGothic" w:hAnsi="MS PGothic"/>
                <w:sz w:val="13"/>
                <w:szCs w:val="13"/>
                <w:color w:val="auto"/>
                <w:w w:val="93"/>
              </w:rPr>
              <w:t>☑</w:t>
            </w:r>
          </w:p>
        </w:tc>
        <w:tc>
          <w:tcPr>
            <w:tcW w:w="3720" w:type="dxa"/>
            <w:vAlign w:val="bottom"/>
          </w:tcPr>
          <w:p>
            <w:pPr>
              <w:ind w:left="20"/>
              <w:spacing w:after="0"/>
              <w:rPr>
                <w:sz w:val="20"/>
                <w:szCs w:val="20"/>
                <w:color w:val="auto"/>
              </w:rPr>
            </w:pPr>
            <w:r>
              <w:rPr>
                <w:rFonts w:ascii="Arial" w:cs="Arial" w:eastAsia="Arial" w:hAnsi="Arial"/>
                <w:sz w:val="13"/>
                <w:szCs w:val="13"/>
                <w:color w:val="auto"/>
              </w:rPr>
              <w:t>No o</w:t>
            </w:r>
          </w:p>
        </w:tc>
      </w:tr>
      <w:tr>
        <w:trPr>
          <w:trHeight w:val="246"/>
        </w:trPr>
        <w:tc>
          <w:tcPr>
            <w:tcW w:w="7060" w:type="dxa"/>
            <w:vAlign w:val="bottom"/>
            <w:gridSpan w:val="4"/>
          </w:tcPr>
          <w:p>
            <w:pPr>
              <w:ind w:left="320"/>
              <w:spacing w:after="0"/>
              <w:rPr>
                <w:sz w:val="20"/>
                <w:szCs w:val="20"/>
                <w:color w:val="auto"/>
              </w:rPr>
            </w:pPr>
            <w:r>
              <w:rPr>
                <w:rFonts w:ascii="Arial" w:cs="Arial" w:eastAsia="Arial" w:hAnsi="Arial"/>
                <w:sz w:val="13"/>
                <w:szCs w:val="13"/>
                <w:color w:val="auto"/>
                <w:w w:val="93"/>
              </w:rPr>
              <w:t>Indicate by check mark if the registrant is not required to file reports pursuant to Section 13 or Section 15(d) of the Act. Yes o</w:t>
            </w:r>
          </w:p>
        </w:tc>
        <w:tc>
          <w:tcPr>
            <w:tcW w:w="3720" w:type="dxa"/>
            <w:vAlign w:val="bottom"/>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65" w:lineRule="exact"/>
        <w:rPr>
          <w:sz w:val="20"/>
          <w:szCs w:val="20"/>
          <w:color w:val="auto"/>
        </w:rPr>
      </w:pPr>
    </w:p>
    <w:p>
      <w:pPr>
        <w:ind w:left="340" w:right="48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620" w:firstLine="324"/>
        <w:spacing w:after="0" w:line="169"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Regulations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340" w:right="920" w:firstLine="324"/>
        <w:spacing w:after="0" w:line="320" w:lineRule="auto"/>
        <w:rPr>
          <w:sz w:val="20"/>
          <w:szCs w:val="20"/>
          <w:color w:val="auto"/>
        </w:rPr>
      </w:pPr>
      <w:r>
        <w:rPr>
          <w:rFonts w:ascii="Arial" w:cs="Arial" w:eastAsia="Arial" w:hAnsi="Arial"/>
          <w:sz w:val="12"/>
          <w:szCs w:val="12"/>
          <w:color w:val="auto"/>
        </w:rPr>
        <w:t>Indicate by check mark if disclosure of delinquent filers pursuant to Item 405 of Regulations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35" w:lineRule="exact"/>
        <w:rPr>
          <w:sz w:val="20"/>
          <w:szCs w:val="20"/>
          <w:color w:val="auto"/>
        </w:rPr>
      </w:pPr>
    </w:p>
    <w:p>
      <w:pPr>
        <w:ind w:left="340" w:right="54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60"/>
          </w:cols>
          <w:pgMar w:left="220" w:top="127" w:right="219" w:bottom="1440" w:gutter="0" w:footer="0" w:header="0"/>
        </w:sectPr>
      </w:pPr>
    </w:p>
    <w:p>
      <w:pPr>
        <w:spacing w:after="0" w:line="15" w:lineRule="exact"/>
        <w:rPr>
          <w:sz w:val="20"/>
          <w:szCs w:val="20"/>
          <w:color w:val="auto"/>
        </w:rPr>
      </w:pPr>
    </w:p>
    <w:p>
      <w:pPr>
        <w:ind w:left="34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Accelerated filer o</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780"/>
        <w:spacing w:after="0"/>
        <w:rPr>
          <w:sz w:val="20"/>
          <w:szCs w:val="20"/>
          <w:color w:val="auto"/>
        </w:rPr>
      </w:pPr>
      <w:r>
        <w:rPr>
          <w:rFonts w:ascii="Arial" w:cs="Arial" w:eastAsia="Arial" w:hAnsi="Arial"/>
          <w:sz w:val="13"/>
          <w:szCs w:val="13"/>
          <w:color w:val="auto"/>
        </w:rPr>
        <w:t>Non-accelerated filer 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9" w:lineRule="exact"/>
        <w:rPr>
          <w:sz w:val="20"/>
          <w:szCs w:val="20"/>
          <w:color w:val="auto"/>
        </w:rPr>
      </w:pPr>
    </w:p>
    <w:p>
      <w:pPr>
        <w:sectPr>
          <w:pgSz w:w="11900" w:h="16838" w:orient="portrait"/>
          <w:cols w:equalWidth="0" w:num="4">
            <w:col w:w="3180" w:space="720"/>
            <w:col w:w="1080" w:space="720"/>
            <w:col w:w="3160" w:space="720"/>
            <w:col w:w="1880"/>
          </w:cols>
          <w:pgMar w:left="220" w:top="127" w:right="21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6420" w:space="160"/>
            <w:col w:w="4880"/>
          </w:cols>
          <w:pgMar w:left="220" w:top="127" w:right="219" w:bottom="1440" w:gutter="0" w:footer="0" w:header="0"/>
          <w:type w:val="continuous"/>
        </w:sectPr>
      </w:pPr>
    </w:p>
    <w:p>
      <w:pPr>
        <w:ind w:left="340" w:right="420" w:firstLine="324"/>
        <w:spacing w:after="0" w:line="264" w:lineRule="auto"/>
        <w:rPr>
          <w:sz w:val="20"/>
          <w:szCs w:val="20"/>
          <w:color w:val="auto"/>
        </w:rPr>
      </w:pPr>
      <w:r>
        <w:rPr>
          <w:rFonts w:ascii="Arial" w:cs="Arial" w:eastAsia="Arial" w:hAnsi="Arial"/>
          <w:sz w:val="13"/>
          <w:szCs w:val="13"/>
          <w:color w:val="auto"/>
        </w:rPr>
        <w:t>The aggregate market value of the voting stock held by non-affiliates of the registrant at June 30, 2010 was approximately $15.0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number of shares of Common Stock, $0.01 par value, of the registrant outstanding at February 10, 2011 was 475,487,984 (excluding treasury shares of 154,794,477).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000" w:type="dxa"/>
            <w:vAlign w:val="bottom"/>
            <w:gridSpan w:val="3"/>
          </w:tcPr>
          <w:p>
            <w:pPr>
              <w:ind w:left="120"/>
              <w:spacing w:after="0"/>
              <w:rPr>
                <w:sz w:val="20"/>
                <w:szCs w:val="20"/>
                <w:color w:val="auto"/>
              </w:rPr>
            </w:pPr>
            <w:r>
              <w:rPr>
                <w:rFonts w:ascii="Arial" w:cs="Arial" w:eastAsia="Arial" w:hAnsi="Arial"/>
                <w:sz w:val="13"/>
                <w:szCs w:val="13"/>
                <w:b w:val="1"/>
                <w:bCs w:val="1"/>
                <w:color w:val="auto"/>
              </w:rPr>
              <w:t>DOCUMENTS INCORPORATED BY REFERENCE</w:t>
            </w:r>
          </w:p>
        </w:tc>
        <w:tc>
          <w:tcPr>
            <w:tcW w:w="340" w:type="dxa"/>
            <w:vAlign w:val="bottom"/>
          </w:tcPr>
          <w:p>
            <w:pPr>
              <w:spacing w:after="0"/>
              <w:rPr>
                <w:sz w:val="14"/>
                <w:szCs w:val="14"/>
                <w:color w:val="auto"/>
              </w:rPr>
            </w:pPr>
          </w:p>
        </w:tc>
      </w:tr>
      <w:tr>
        <w:trPr>
          <w:trHeight w:val="218"/>
        </w:trPr>
        <w:tc>
          <w:tcPr>
            <w:tcW w:w="340" w:type="dxa"/>
            <w:vAlign w:val="bottom"/>
          </w:tcPr>
          <w:p>
            <w:pPr>
              <w:spacing w:after="0"/>
              <w:rPr>
                <w:sz w:val="18"/>
                <w:szCs w:val="18"/>
                <w:color w:val="auto"/>
              </w:rPr>
            </w:pPr>
          </w:p>
        </w:tc>
        <w:tc>
          <w:tcPr>
            <w:tcW w:w="3780" w:type="dxa"/>
            <w:vAlign w:val="bottom"/>
            <w:tcBorders>
              <w:bottom w:val="single" w:sz="8" w:color="auto"/>
            </w:tcBorders>
          </w:tcPr>
          <w:p>
            <w:pPr>
              <w:jc w:val="center"/>
              <w:ind w:left="1459"/>
              <w:spacing w:after="0"/>
              <w:rPr>
                <w:sz w:val="20"/>
                <w:szCs w:val="20"/>
                <w:color w:val="auto"/>
              </w:rPr>
            </w:pPr>
            <w:r>
              <w:rPr>
                <w:rFonts w:ascii="Arial" w:cs="Arial" w:eastAsia="Arial" w:hAnsi="Arial"/>
                <w:sz w:val="10"/>
                <w:szCs w:val="10"/>
                <w:b w:val="1"/>
                <w:bCs w:val="1"/>
                <w:color w:val="auto"/>
                <w:w w:val="93"/>
              </w:rPr>
              <w:t>Document</w:t>
            </w:r>
          </w:p>
        </w:tc>
        <w:tc>
          <w:tcPr>
            <w:tcW w:w="1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Incorporated as to</w:t>
            </w:r>
          </w:p>
        </w:tc>
        <w:tc>
          <w:tcPr>
            <w:tcW w:w="340" w:type="dxa"/>
            <w:vAlign w:val="bottom"/>
          </w:tcPr>
          <w:p>
            <w:pPr>
              <w:spacing w:after="0"/>
              <w:rPr>
                <w:sz w:val="18"/>
                <w:szCs w:val="18"/>
                <w:color w:val="auto"/>
              </w:rPr>
            </w:pPr>
          </w:p>
        </w:tc>
      </w:tr>
      <w:tr>
        <w:trPr>
          <w:trHeight w:val="178"/>
        </w:trPr>
        <w:tc>
          <w:tcPr>
            <w:tcW w:w="340" w:type="dxa"/>
            <w:vAlign w:val="bottom"/>
          </w:tcPr>
          <w:p>
            <w:pPr>
              <w:spacing w:after="0"/>
              <w:rPr>
                <w:sz w:val="15"/>
                <w:szCs w:val="15"/>
                <w:color w:val="auto"/>
              </w:rPr>
            </w:pPr>
          </w:p>
        </w:tc>
        <w:tc>
          <w:tcPr>
            <w:tcW w:w="3780" w:type="dxa"/>
            <w:vAlign w:val="bottom"/>
          </w:tcPr>
          <w:p>
            <w:pPr>
              <w:jc w:val="center"/>
              <w:ind w:left="1459"/>
              <w:spacing w:after="0"/>
              <w:rPr>
                <w:sz w:val="20"/>
                <w:szCs w:val="20"/>
                <w:color w:val="auto"/>
              </w:rPr>
            </w:pPr>
            <w:r>
              <w:rPr>
                <w:rFonts w:ascii="Arial" w:cs="Arial" w:eastAsia="Arial" w:hAnsi="Arial"/>
                <w:sz w:val="13"/>
                <w:szCs w:val="13"/>
                <w:color w:val="auto"/>
                <w:w w:val="92"/>
              </w:rPr>
              <w:t>Proxy Statement for the</w:t>
            </w: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Arial" w:cs="Arial" w:eastAsia="Arial" w:hAnsi="Arial"/>
                <w:sz w:val="13"/>
                <w:szCs w:val="13"/>
                <w:color w:val="auto"/>
                <w:w w:val="93"/>
              </w:rPr>
              <w:t>Part III</w:t>
            </w:r>
          </w:p>
        </w:tc>
        <w:tc>
          <w:tcPr>
            <w:tcW w:w="340" w:type="dxa"/>
            <w:vAlign w:val="bottom"/>
          </w:tcPr>
          <w:p>
            <w:pPr>
              <w:spacing w:after="0"/>
              <w:rPr>
                <w:sz w:val="15"/>
                <w:szCs w:val="15"/>
                <w:color w:val="auto"/>
              </w:rPr>
            </w:pPr>
          </w:p>
        </w:tc>
      </w:tr>
      <w:tr>
        <w:trPr>
          <w:trHeight w:val="165"/>
        </w:trPr>
        <w:tc>
          <w:tcPr>
            <w:tcW w:w="340" w:type="dxa"/>
            <w:vAlign w:val="bottom"/>
          </w:tcPr>
          <w:p>
            <w:pPr>
              <w:spacing w:after="0"/>
              <w:rPr>
                <w:sz w:val="14"/>
                <w:szCs w:val="14"/>
                <w:color w:val="auto"/>
              </w:rPr>
            </w:pPr>
          </w:p>
        </w:tc>
        <w:tc>
          <w:tcPr>
            <w:tcW w:w="3780" w:type="dxa"/>
            <w:vAlign w:val="bottom"/>
          </w:tcPr>
          <w:p>
            <w:pPr>
              <w:jc w:val="center"/>
              <w:ind w:left="1459"/>
              <w:spacing w:after="0"/>
              <w:rPr>
                <w:sz w:val="20"/>
                <w:szCs w:val="20"/>
                <w:color w:val="auto"/>
              </w:rPr>
            </w:pPr>
            <w:r>
              <w:rPr>
                <w:rFonts w:ascii="Arial" w:cs="Arial" w:eastAsia="Arial" w:hAnsi="Arial"/>
                <w:sz w:val="13"/>
                <w:szCs w:val="13"/>
                <w:color w:val="auto"/>
                <w:w w:val="93"/>
              </w:rPr>
              <w:t>2011 Annual Meeting of Stockholders</w:t>
            </w: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09"/>
        </w:trPr>
        <w:tc>
          <w:tcPr>
            <w:tcW w:w="340" w:type="dxa"/>
            <w:vAlign w:val="bottom"/>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r>
      <w:tr>
        <w:trPr>
          <w:trHeight w:val="162"/>
        </w:trPr>
        <w:tc>
          <w:tcPr>
            <w:tcW w:w="34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2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type w:val="continuous"/>
        </w:sectPr>
      </w:pPr>
    </w:p>
    <w:bookmarkStart w:id="2" w:name="page3"/>
    <w:bookmarkEnd w:id="2"/>
    <w:tbl>
      <w:tblPr>
        <w:tblLayout w:type="fixed"/>
        <w:tblInd w:w="34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760" w:type="dxa"/>
            <w:vAlign w:val="bottom"/>
            <w:gridSpan w:val="14"/>
          </w:tcPr>
          <w:p>
            <w:pPr>
              <w:jc w:val="center"/>
              <w:ind w:right="3440"/>
              <w:spacing w:after="0"/>
              <w:rPr>
                <w:sz w:val="20"/>
                <w:szCs w:val="20"/>
                <w:color w:val="auto"/>
              </w:rPr>
            </w:pPr>
            <w:r>
              <w:rPr>
                <w:rFonts w:ascii="Arial" w:cs="Arial" w:eastAsia="Arial" w:hAnsi="Arial"/>
                <w:sz w:val="13"/>
                <w:szCs w:val="13"/>
                <w:b w:val="1"/>
                <w:bCs w:val="1"/>
                <w:color w:val="auto"/>
                <w:w w:val="99"/>
              </w:rPr>
              <w:t>TABLE OF CONTENTS</w:t>
            </w:r>
          </w:p>
        </w:tc>
        <w:tc>
          <w:tcPr>
            <w:tcW w:w="380" w:type="dxa"/>
            <w:vAlign w:val="bottom"/>
          </w:tcPr>
          <w:p>
            <w:pPr>
              <w:spacing w:after="0"/>
              <w:rPr>
                <w:sz w:val="14"/>
                <w:szCs w:val="14"/>
                <w:color w:val="auto"/>
              </w:rPr>
            </w:pPr>
          </w:p>
        </w:tc>
      </w:tr>
      <w:tr>
        <w:trPr>
          <w:trHeight w:val="286"/>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rPr>
              <w:t>Page</w:t>
            </w:r>
          </w:p>
        </w:tc>
      </w:tr>
      <w:tr>
        <w:trPr>
          <w:trHeight w:val="157"/>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9"/>
          </w:tcPr>
          <w:p>
            <w:pPr>
              <w:jc w:val="center"/>
              <w:ind w:right="440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80" w:type="dxa"/>
            <w:vAlign w:val="bottom"/>
          </w:tcPr>
          <w:p>
            <w:pPr>
              <w:spacing w:after="0"/>
              <w:rPr>
                <w:sz w:val="13"/>
                <w:szCs w:val="13"/>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3360" w:type="dxa"/>
            <w:vAlign w:val="bottom"/>
            <w:gridSpan w:val="15"/>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400" w:type="dxa"/>
            <w:vAlign w:val="bottom"/>
            <w:gridSpan w:val="8"/>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4"/>
              </w:rPr>
            </w:pPr>
            <w:hyperlink w:anchor="page15">
              <w:r>
                <w:rPr>
                  <w:rFonts w:ascii="Arial" w:cs="Arial" w:eastAsia="Arial" w:hAnsi="Arial"/>
                  <w:sz w:val="13"/>
                  <w:szCs w:val="13"/>
                  <w:color w:val="0000EE"/>
                  <w:w w:val="94"/>
                </w:rPr>
                <w:t>Item 1A.</w:t>
              </w:r>
            </w:hyperlink>
          </w:p>
        </w:tc>
        <w:tc>
          <w:tcPr>
            <w:tcW w:w="56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5">
              <w:r>
                <w:rPr>
                  <w:rFonts w:ascii="Arial" w:cs="Arial" w:eastAsia="Arial" w:hAnsi="Arial"/>
                  <w:sz w:val="13"/>
                  <w:szCs w:val="13"/>
                  <w:color w:val="0000EE"/>
                  <w:w w:val="88"/>
                </w:rPr>
                <w:t>Risk Factors</w:t>
              </w:r>
            </w:hyperlink>
          </w:p>
        </w:tc>
        <w:tc>
          <w:tcPr>
            <w:tcW w:w="7520" w:type="dxa"/>
            <w:vAlign w:val="bottom"/>
            <w:gridSpan w:val="21"/>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w:t>
            </w:r>
          </w:p>
        </w:tc>
      </w:tr>
      <w:tr>
        <w:trPr>
          <w:trHeight w:val="137"/>
        </w:trPr>
        <w:tc>
          <w:tcPr>
            <w:tcW w:w="460" w:type="dxa"/>
            <w:vAlign w:val="bottom"/>
            <w:gridSpan w:val="2"/>
          </w:tcPr>
          <w:p>
            <w:pPr>
              <w:spacing w:after="0" w:line="138" w:lineRule="exact"/>
              <w:rPr>
                <w:rFonts w:ascii="Arial" w:cs="Arial" w:eastAsia="Arial" w:hAnsi="Arial"/>
                <w:sz w:val="13"/>
                <w:szCs w:val="13"/>
                <w:color w:val="0000EE"/>
                <w:w w:val="90"/>
              </w:rPr>
            </w:pPr>
            <w:hyperlink w:anchor="page23">
              <w:r>
                <w:rPr>
                  <w:rFonts w:ascii="Arial" w:cs="Arial" w:eastAsia="Arial" w:hAnsi="Arial"/>
                  <w:sz w:val="13"/>
                  <w:szCs w:val="13"/>
                  <w:color w:val="0000EE"/>
                  <w:w w:val="90"/>
                </w:rPr>
                <w:t>Item 1B.</w:t>
              </w:r>
            </w:hyperlink>
          </w:p>
        </w:tc>
        <w:tc>
          <w:tcPr>
            <w:tcW w:w="580" w:type="dxa"/>
            <w:vAlign w:val="bottom"/>
            <w:gridSpan w:val="2"/>
          </w:tcPr>
          <w:p>
            <w:pPr>
              <w:spacing w:after="0"/>
              <w:rPr>
                <w:sz w:val="11"/>
                <w:szCs w:val="11"/>
                <w:color w:val="auto"/>
              </w:rPr>
            </w:pPr>
          </w:p>
        </w:tc>
        <w:tc>
          <w:tcPr>
            <w:tcW w:w="8180" w:type="dxa"/>
            <w:vAlign w:val="bottom"/>
            <w:gridSpan w:val="24"/>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Unresolved Staff Comments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21</w:t>
            </w:r>
          </w:p>
        </w:tc>
      </w:tr>
      <w:tr>
        <w:trPr>
          <w:trHeight w:val="137"/>
        </w:trPr>
        <w:tc>
          <w:tcPr>
            <w:tcW w:w="460" w:type="dxa"/>
            <w:vAlign w:val="bottom"/>
            <w:tcBorders>
              <w:top w:val="single" w:sz="8" w:color="0000EE"/>
            </w:tcBorders>
            <w:gridSpan w:val="2"/>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Item 2.</w:t>
              </w:r>
            </w:hyperlink>
          </w:p>
        </w:tc>
        <w:tc>
          <w:tcPr>
            <w:tcW w:w="580" w:type="dxa"/>
            <w:vAlign w:val="bottom"/>
            <w:gridSpan w:val="2"/>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Properties</w:t>
              </w:r>
            </w:hyperlink>
          </w:p>
        </w:tc>
        <w:tc>
          <w:tcPr>
            <w:tcW w:w="6700" w:type="dxa"/>
            <w:vAlign w:val="bottom"/>
            <w:gridSpan w:val="16"/>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21</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Item 3.</w:t>
              </w:r>
            </w:hyperlink>
          </w:p>
        </w:tc>
        <w:tc>
          <w:tcPr>
            <w:tcW w:w="8180" w:type="dxa"/>
            <w:vAlign w:val="bottom"/>
            <w:gridSpan w:val="24"/>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Legal Proceedings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22</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Item 4.</w:t>
              </w:r>
            </w:hyperlink>
          </w:p>
        </w:tc>
        <w:tc>
          <w:tcPr>
            <w:tcW w:w="8180" w:type="dxa"/>
            <w:vAlign w:val="bottom"/>
            <w:gridSpan w:val="24"/>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Reserved</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22</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25">
              <w:r>
                <w:rPr>
                  <w:rFonts w:ascii="Arial" w:cs="Arial" w:eastAsia="Arial" w:hAnsi="Arial"/>
                  <w:sz w:val="13"/>
                  <w:szCs w:val="13"/>
                  <w:b w:val="1"/>
                  <w:bCs w:val="1"/>
                  <w:color w:val="0000EE"/>
                </w:rPr>
                <w:t>PART II</w:t>
              </w:r>
            </w:hyperlink>
          </w:p>
        </w:tc>
        <w:tc>
          <w:tcPr>
            <w:tcW w:w="4360" w:type="dxa"/>
            <w:vAlign w:val="bottom"/>
            <w:gridSpan w:val="7"/>
          </w:tcPr>
          <w:p>
            <w:pPr>
              <w:spacing w:after="0"/>
              <w:rPr>
                <w:sz w:val="22"/>
                <w:szCs w:val="22"/>
                <w:color w:val="auto"/>
              </w:rPr>
            </w:pPr>
          </w:p>
        </w:tc>
        <w:tc>
          <w:tcPr>
            <w:tcW w:w="3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Item 5.</w:t>
              </w:r>
            </w:hyperlink>
          </w:p>
        </w:tc>
        <w:tc>
          <w:tcPr>
            <w:tcW w:w="8180" w:type="dxa"/>
            <w:vAlign w:val="bottom"/>
            <w:gridSpan w:val="24"/>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Market for Registrant’s Common Equity, Related Stockholder Matters and Issuer Purchases of Equity Securities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23</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7">
              <w:r>
                <w:rPr>
                  <w:rFonts w:ascii="Arial" w:cs="Arial" w:eastAsia="Arial" w:hAnsi="Arial"/>
                  <w:sz w:val="13"/>
                  <w:szCs w:val="13"/>
                  <w:color w:val="0000EE"/>
                </w:rPr>
                <w:t>Item 6.</w:t>
              </w:r>
            </w:hyperlink>
          </w:p>
        </w:tc>
        <w:tc>
          <w:tcPr>
            <w:tcW w:w="8180" w:type="dxa"/>
            <w:vAlign w:val="bottom"/>
            <w:gridSpan w:val="24"/>
          </w:tcPr>
          <w:p>
            <w:pPr>
              <w:spacing w:after="0" w:line="138" w:lineRule="exact"/>
              <w:rPr>
                <w:rFonts w:ascii="Arial" w:cs="Arial" w:eastAsia="Arial" w:hAnsi="Arial"/>
                <w:sz w:val="13"/>
                <w:szCs w:val="13"/>
                <w:color w:val="0000EE"/>
              </w:rPr>
            </w:pPr>
            <w:hyperlink w:anchor="page27">
              <w:r>
                <w:rPr>
                  <w:rFonts w:ascii="Arial" w:cs="Arial" w:eastAsia="Arial" w:hAnsi="Arial"/>
                  <w:sz w:val="13"/>
                  <w:szCs w:val="13"/>
                  <w:color w:val="0000EE"/>
                </w:rPr>
                <w:t>Selected Financial Data</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25</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Item 7.</w:t>
              </w:r>
            </w:hyperlink>
          </w:p>
        </w:tc>
        <w:tc>
          <w:tcPr>
            <w:tcW w:w="8180" w:type="dxa"/>
            <w:vAlign w:val="bottom"/>
            <w:gridSpan w:val="24"/>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Management’s Discussion and Analysis of Financial Condition and Results of Operations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26</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4"/>
              </w:rPr>
            </w:pPr>
            <w:hyperlink w:anchor="page62">
              <w:r>
                <w:rPr>
                  <w:rFonts w:ascii="Arial" w:cs="Arial" w:eastAsia="Arial" w:hAnsi="Arial"/>
                  <w:sz w:val="13"/>
                  <w:szCs w:val="13"/>
                  <w:color w:val="0000EE"/>
                  <w:w w:val="94"/>
                </w:rPr>
                <w:t>Item 7A.</w:t>
              </w:r>
            </w:hyperlink>
          </w:p>
        </w:tc>
        <w:tc>
          <w:tcPr>
            <w:tcW w:w="560" w:type="dxa"/>
            <w:vAlign w:val="bottom"/>
          </w:tcPr>
          <w:p>
            <w:pPr>
              <w:spacing w:after="0"/>
              <w:rPr>
                <w:sz w:val="11"/>
                <w:szCs w:val="11"/>
                <w:color w:val="auto"/>
              </w:rPr>
            </w:pPr>
          </w:p>
        </w:tc>
        <w:tc>
          <w:tcPr>
            <w:tcW w:w="8180" w:type="dxa"/>
            <w:vAlign w:val="bottom"/>
            <w:gridSpan w:val="24"/>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Quantitative and Qualitative Disclosures About Market Risk</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60</w:t>
            </w:r>
          </w:p>
        </w:tc>
      </w:tr>
      <w:tr>
        <w:trPr>
          <w:trHeight w:val="137"/>
        </w:trPr>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Item 8.</w:t>
              </w:r>
            </w:hyperlink>
          </w:p>
        </w:tc>
        <w:tc>
          <w:tcPr>
            <w:tcW w:w="560" w:type="dxa"/>
            <w:vAlign w:val="bottom"/>
          </w:tcPr>
          <w:p>
            <w:pPr>
              <w:spacing w:after="0"/>
              <w:rPr>
                <w:sz w:val="11"/>
                <w:szCs w:val="11"/>
                <w:color w:val="auto"/>
              </w:rPr>
            </w:pPr>
          </w:p>
        </w:tc>
        <w:tc>
          <w:tcPr>
            <w:tcW w:w="3160" w:type="dxa"/>
            <w:vAlign w:val="bottom"/>
            <w:tcBorders>
              <w:top w:val="single" w:sz="8" w:color="0000EE"/>
            </w:tcBorders>
            <w:gridSpan w:val="12"/>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Financial Statements and Supplementary Data</w:t>
              </w:r>
            </w:hyperlink>
          </w:p>
        </w:tc>
        <w:tc>
          <w:tcPr>
            <w:tcW w:w="5020" w:type="dxa"/>
            <w:vAlign w:val="bottom"/>
            <w:gridSpan w:val="12"/>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63</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Item 9.</w:t>
              </w:r>
            </w:hyperlink>
          </w:p>
        </w:tc>
        <w:tc>
          <w:tcPr>
            <w:tcW w:w="8180" w:type="dxa"/>
            <w:vAlign w:val="bottom"/>
            <w:gridSpan w:val="24"/>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Changes in and Disagreements with Accountants on Accounting and Financial Disclosure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133</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4"/>
              </w:rPr>
            </w:pPr>
            <w:hyperlink w:anchor="page135">
              <w:r>
                <w:rPr>
                  <w:rFonts w:ascii="Arial" w:cs="Arial" w:eastAsia="Arial" w:hAnsi="Arial"/>
                  <w:sz w:val="13"/>
                  <w:szCs w:val="13"/>
                  <w:color w:val="0000EE"/>
                  <w:w w:val="94"/>
                </w:rPr>
                <w:t>Item 9A.</w:t>
              </w:r>
            </w:hyperlink>
          </w:p>
        </w:tc>
        <w:tc>
          <w:tcPr>
            <w:tcW w:w="560" w:type="dxa"/>
            <w:vAlign w:val="bottom"/>
          </w:tcPr>
          <w:p>
            <w:pPr>
              <w:spacing w:after="0"/>
              <w:rPr>
                <w:sz w:val="11"/>
                <w:szCs w:val="11"/>
                <w:color w:val="auto"/>
              </w:rPr>
            </w:pPr>
          </w:p>
        </w:tc>
        <w:tc>
          <w:tcPr>
            <w:tcW w:w="8180" w:type="dxa"/>
            <w:vAlign w:val="bottom"/>
            <w:gridSpan w:val="24"/>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Controls and Procedures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133</w:t>
            </w:r>
          </w:p>
        </w:tc>
      </w:tr>
      <w:tr>
        <w:trPr>
          <w:trHeight w:val="137"/>
        </w:trPr>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w w:val="94"/>
              </w:rPr>
            </w:pPr>
            <w:hyperlink w:anchor="page135">
              <w:r>
                <w:rPr>
                  <w:rFonts w:ascii="Arial" w:cs="Arial" w:eastAsia="Arial" w:hAnsi="Arial"/>
                  <w:sz w:val="13"/>
                  <w:szCs w:val="13"/>
                  <w:color w:val="0000EE"/>
                  <w:w w:val="94"/>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Other Information</w:t>
              </w:r>
            </w:hyperlink>
          </w:p>
        </w:tc>
        <w:tc>
          <w:tcPr>
            <w:tcW w:w="6900" w:type="dxa"/>
            <w:vAlign w:val="bottom"/>
            <w:gridSpan w:val="18"/>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133</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135">
              <w:r>
                <w:rPr>
                  <w:rFonts w:ascii="Arial" w:cs="Arial" w:eastAsia="Arial" w:hAnsi="Arial"/>
                  <w:sz w:val="13"/>
                  <w:szCs w:val="13"/>
                  <w:b w:val="1"/>
                  <w:bCs w:val="1"/>
                  <w:color w:val="0000EE"/>
                </w:rPr>
                <w:t>PART III</w:t>
              </w:r>
            </w:hyperlink>
          </w:p>
        </w:tc>
        <w:tc>
          <w:tcPr>
            <w:tcW w:w="4320" w:type="dxa"/>
            <w:vAlign w:val="bottom"/>
            <w:gridSpan w:val="5"/>
          </w:tcPr>
          <w:p>
            <w:pPr>
              <w:spacing w:after="0"/>
              <w:rPr>
                <w:sz w:val="22"/>
                <w:szCs w:val="22"/>
                <w:color w:val="auto"/>
              </w:rPr>
            </w:pPr>
          </w:p>
        </w:tc>
        <w:tc>
          <w:tcPr>
            <w:tcW w:w="3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Item 10.</w:t>
              </w:r>
            </w:hyperlink>
          </w:p>
        </w:tc>
        <w:tc>
          <w:tcPr>
            <w:tcW w:w="8180" w:type="dxa"/>
            <w:vAlign w:val="bottom"/>
            <w:gridSpan w:val="24"/>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Directors, Executive Officers and Corporate Governance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133</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Item 11.</w:t>
              </w:r>
            </w:hyperlink>
          </w:p>
        </w:tc>
        <w:tc>
          <w:tcPr>
            <w:tcW w:w="8180" w:type="dxa"/>
            <w:vAlign w:val="bottom"/>
            <w:gridSpan w:val="24"/>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Executive Compensation</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133</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Item 12.</w:t>
              </w:r>
            </w:hyperlink>
          </w:p>
        </w:tc>
        <w:tc>
          <w:tcPr>
            <w:tcW w:w="8180" w:type="dxa"/>
            <w:vAlign w:val="bottom"/>
            <w:gridSpan w:val="24"/>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Security Ownership of Certain Beneficial Owners and Management and Related Stockholder Matters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133</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100" w:type="dxa"/>
            <w:vAlign w:val="bottom"/>
            <w:tcBorders>
              <w:right w:val="single" w:sz="8" w:color="0000EE"/>
            </w:tcBorders>
            <w:gridSpan w:val="9"/>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Item 13.</w:t>
              </w:r>
            </w:hyperlink>
          </w:p>
        </w:tc>
        <w:tc>
          <w:tcPr>
            <w:tcW w:w="8180" w:type="dxa"/>
            <w:vAlign w:val="bottom"/>
            <w:gridSpan w:val="24"/>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Certain Relationships and Related Transactions, and Director Independence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133</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100" w:type="dxa"/>
            <w:vAlign w:val="bottom"/>
            <w:tcBorders>
              <w:right w:val="single" w:sz="8" w:color="0000EE"/>
            </w:tcBorders>
            <w:gridSpan w:val="9"/>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6">
              <w:r>
                <w:rPr>
                  <w:rFonts w:ascii="Arial" w:cs="Arial" w:eastAsia="Arial" w:hAnsi="Arial"/>
                  <w:sz w:val="13"/>
                  <w:szCs w:val="13"/>
                  <w:color w:val="0000EE"/>
                </w:rPr>
                <w:t>Item 14.</w:t>
              </w:r>
            </w:hyperlink>
          </w:p>
        </w:tc>
        <w:tc>
          <w:tcPr>
            <w:tcW w:w="8180" w:type="dxa"/>
            <w:vAlign w:val="bottom"/>
            <w:gridSpan w:val="24"/>
          </w:tcPr>
          <w:p>
            <w:pPr>
              <w:spacing w:after="0" w:line="138" w:lineRule="exact"/>
              <w:rPr>
                <w:rFonts w:ascii="Arial" w:cs="Arial" w:eastAsia="Arial" w:hAnsi="Arial"/>
                <w:sz w:val="13"/>
                <w:szCs w:val="13"/>
                <w:color w:val="0000EE"/>
              </w:rPr>
            </w:pPr>
            <w:hyperlink w:anchor="page136">
              <w:r>
                <w:rPr>
                  <w:rFonts w:ascii="Arial" w:cs="Arial" w:eastAsia="Arial" w:hAnsi="Arial"/>
                  <w:sz w:val="13"/>
                  <w:szCs w:val="13"/>
                  <w:color w:val="0000EE"/>
                </w:rPr>
                <w:t>Principal Accounting Fees and Services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134</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60" w:type="dxa"/>
            <w:vAlign w:val="bottom"/>
            <w:gridSpan w:val="11"/>
          </w:tcPr>
          <w:p>
            <w:pPr>
              <w:jc w:val="center"/>
              <w:ind w:right="4340"/>
              <w:spacing w:after="0"/>
              <w:rPr>
                <w:rFonts w:ascii="Arial" w:cs="Arial" w:eastAsia="Arial" w:hAnsi="Arial"/>
                <w:sz w:val="13"/>
                <w:szCs w:val="13"/>
                <w:b w:val="1"/>
                <w:bCs w:val="1"/>
                <w:color w:val="0000EE"/>
              </w:rPr>
            </w:pPr>
            <w:hyperlink w:anchor="page136">
              <w:r>
                <w:rPr>
                  <w:rFonts w:ascii="Arial" w:cs="Arial" w:eastAsia="Arial" w:hAnsi="Arial"/>
                  <w:sz w:val="13"/>
                  <w:szCs w:val="13"/>
                  <w:b w:val="1"/>
                  <w:bCs w:val="1"/>
                  <w:color w:val="0000EE"/>
                </w:rPr>
                <w:t>PART IV</w:t>
              </w:r>
            </w:hyperlink>
          </w:p>
        </w:tc>
        <w:tc>
          <w:tcPr>
            <w:tcW w:w="3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36">
              <w:r>
                <w:rPr>
                  <w:rFonts w:ascii="Arial" w:cs="Arial" w:eastAsia="Arial" w:hAnsi="Arial"/>
                  <w:sz w:val="13"/>
                  <w:szCs w:val="13"/>
                  <w:color w:val="0000EE"/>
                </w:rPr>
                <w:t>Item 15.</w:t>
              </w:r>
            </w:hyperlink>
          </w:p>
        </w:tc>
        <w:tc>
          <w:tcPr>
            <w:tcW w:w="3340" w:type="dxa"/>
            <w:vAlign w:val="bottom"/>
            <w:gridSpan w:val="14"/>
          </w:tcPr>
          <w:p>
            <w:pPr>
              <w:spacing w:after="0" w:line="138" w:lineRule="exact"/>
              <w:rPr>
                <w:rFonts w:ascii="Arial" w:cs="Arial" w:eastAsia="Arial" w:hAnsi="Arial"/>
                <w:sz w:val="13"/>
                <w:szCs w:val="13"/>
                <w:color w:val="0000EE"/>
              </w:rPr>
            </w:pPr>
            <w:hyperlink w:anchor="page136">
              <w:r>
                <w:rPr>
                  <w:rFonts w:ascii="Arial" w:cs="Arial" w:eastAsia="Arial" w:hAnsi="Arial"/>
                  <w:sz w:val="13"/>
                  <w:szCs w:val="13"/>
                  <w:color w:val="0000EE"/>
                </w:rPr>
                <w:t>Exhibits,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340" w:type="dxa"/>
            <w:vAlign w:val="bottom"/>
            <w:gridSpan w:val="6"/>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134</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EX-4.6</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EX-12.1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EX-21.1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EX-23.1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EX-32.2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INSTANCE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SCHEMA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CALCULATION LINKBASE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LABELS LINKBASE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PRESENTATION LINKBASE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DEFINITION LINKBASE DOCUMENT</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4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as described in Note 20 to the Consolidated Financial Statements.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71"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WM was incorporated in Oklahoma in 1987 under the name “USA Waste Services, Inc.” and was reincorporated as a Delaware company in 1995. In a 1998 merger, the Illinois-based waste services company formerly known as Waste Management, Inc. became a wholly-owned subsidiary of WM and changed its name to Waste Management Holdings, Inc.</w:t>
      </w:r>
    </w:p>
    <w:p>
      <w:pPr>
        <w:ind w:left="680" w:right="140"/>
        <w:spacing w:after="0" w:line="258" w:lineRule="auto"/>
        <w:rPr>
          <w:sz w:val="20"/>
          <w:szCs w:val="20"/>
          <w:color w:val="auto"/>
        </w:rPr>
      </w:pPr>
      <w:r>
        <w:rPr>
          <w:rFonts w:ascii="Arial" w:cs="Arial" w:eastAsia="Arial" w:hAnsi="Arial"/>
          <w:sz w:val="13"/>
          <w:szCs w:val="13"/>
          <w:color w:val="auto"/>
        </w:rPr>
        <w:t>(“WM Holdings”). At the same time, our parent holding company changed its name from USA Waste Services to Waste Management, Inc. Like WM, WM Holdings is a holding company and all operations are conducted by subsidiaries. For detail on the financial position, results of operations and cash flows of WM, WM Holdings and their subsidiaries, see Note 23 to the Consolidated Financial Statements.</w:t>
      </w:r>
    </w:p>
    <w:p>
      <w:pPr>
        <w:spacing w:after="0" w:line="7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7"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 During 2010, our largest customer represented approximately 2% of annual revenues. We employed approximately 42,800 people as of December 31, 2010.</w:t>
      </w:r>
    </w:p>
    <w:p>
      <w:pPr>
        <w:spacing w:after="0" w:line="70"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Through our core waste management services, we own or operate 271 landfill sites, which is the largest network of landfills in our industry. In order to make disposal more practical for larger urban markets, where the distance to landfills or waste-to-energy facilities is typically farther, we manage 294 transfer stations that consolidate, compact and transport waste efficiently and economically. We also use waste to create energy. One method we use involves recovering the naturally occurring gas in landfills for use in the generation of electricity. We also use waste to create energy through a highly efficient combustion process. Our waste-to-energy subsidiary, Wheelabrator Technologies Inc., operates 22 plants that produce clean, renewable energy. We are a leading recycler in North America, handling materials that include paper, cardboard, glass, plastic, metal and electronics. Through our recycling operations, we provide cost-efficient, environmentally sound programs for municipalities, businesses and households across the U.S. and Canada. In addition to traditional waste operations, we are also expanding to increase the service offerings we provide for our customers.</w:t>
      </w:r>
    </w:p>
    <w:p>
      <w:pPr>
        <w:spacing w:after="0" w:line="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Company’s goals are targeted at serving our customers, our employees, the environment, the communities in which we work and our stockholders, and achievement of our goals is intended to meet the needs of a changing industry. The waste industry continues to confront significant changes. In recent years landfill volumes have declined, and customers are increasingly using alternatives to traditional disposal, such as recycling and composting, while also working to reduce the waste they generate. Accomplishment of our goals will grow our Company and allow us to meet the needs of our customers and communities as they, too, Think Green</w:t>
      </w:r>
      <w:r>
        <w:rPr>
          <w:rFonts w:ascii="Arial" w:cs="Arial" w:eastAsia="Arial" w:hAnsi="Arial"/>
          <w:sz w:val="11"/>
          <w:szCs w:val="11"/>
          <w:color w:val="auto"/>
        </w:rPr>
        <w:t>®</w:t>
      </w:r>
      <w:r>
        <w:rPr>
          <w:rFonts w:ascii="Arial" w:cs="Arial" w:eastAsia="Arial" w:hAnsi="Arial"/>
          <w:sz w:val="13"/>
          <w:szCs w:val="13"/>
          <w:color w:val="auto"/>
        </w:rPr>
        <w:t>. We believe that helping our customers achieve their environmental goals will enable us to achieve profitable growth.</w:t>
      </w:r>
    </w:p>
    <w:p>
      <w:pPr>
        <w:spacing w:after="0" w:line="71"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Our strategic focus is centered on three long-term goals: know more about our customers and how to service them than anyone else; use conversion and processing technology to extract more value from the materials we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manage; and continuously improve our operational efficiency. We intend to pursue achievement of our long-term goals in the short-term through efforts to:</w:t>
      </w:r>
    </w:p>
    <w:p>
      <w:pPr>
        <w:spacing w:after="0" w:line="96" w:lineRule="exact"/>
        <w:rPr>
          <w:sz w:val="20"/>
          <w:szCs w:val="20"/>
          <w:color w:val="auto"/>
        </w:rPr>
      </w:pPr>
    </w:p>
    <w:p>
      <w:pPr>
        <w:ind w:left="1280" w:right="102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Grow our markets by implementing customer-focused growth, through customer segmentation and through strategic acquisitions, while maintaining our pricing discipline and increasing the amount of recyclable materials we handle each year;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Grow our customer loyalty, in part through the use of enabling technologies;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Grow into new markets by investing in greener technologies;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Pursue initiatives that improve our operations and cost structure.</w:t>
      </w:r>
    </w:p>
    <w:p>
      <w:pPr>
        <w:spacing w:after="0" w:line="96" w:lineRule="exact"/>
        <w:rPr>
          <w:sz w:val="20"/>
          <w:szCs w:val="20"/>
          <w:color w:val="auto"/>
        </w:rPr>
      </w:pPr>
    </w:p>
    <w:p>
      <w:pPr>
        <w:ind w:left="680" w:right="800" w:firstLine="399"/>
        <w:spacing w:after="0" w:line="258" w:lineRule="auto"/>
        <w:rPr>
          <w:sz w:val="20"/>
          <w:szCs w:val="20"/>
          <w:color w:val="auto"/>
        </w:rPr>
      </w:pPr>
      <w:r>
        <w:rPr>
          <w:rFonts w:ascii="Arial" w:cs="Arial" w:eastAsia="Arial" w:hAnsi="Arial"/>
          <w:sz w:val="13"/>
          <w:szCs w:val="13"/>
          <w:color w:val="auto"/>
        </w:rPr>
        <w:t>We believe that execution of our strategy, including making the investments required by our strategy, will provide long-term value to our stockholders. In addition, we intend to continue to return value to our stockholders through common stock repurchases and dividend payments. In December 2010, we announced that our Board of Directors expects that quarterly dividend payments will be increased to $0.34 per share in 2011, which is an 8% increase from the quarterly dividend we paid in 2010. This will result in an increase in the amount of free cash flow that we expect to pay out as dividends for the eighth consecutive year and is an indication of our ability to generate strong and consistent cash flows. All quarterly dividends will be declared at the discretion of our Board of Directors.</w:t>
      </w:r>
    </w:p>
    <w:p>
      <w:pPr>
        <w:spacing w:after="0" w:line="146" w:lineRule="exact"/>
        <w:rPr>
          <w:sz w:val="20"/>
          <w:szCs w:val="20"/>
          <w:color w:val="auto"/>
        </w:rPr>
      </w:pPr>
    </w:p>
    <w:p>
      <w:pPr>
        <w:jc w:val="right"/>
        <w:ind w:right="10140"/>
        <w:spacing w:after="0"/>
        <w:rPr>
          <w:sz w:val="20"/>
          <w:szCs w:val="20"/>
          <w:color w:val="auto"/>
        </w:rPr>
      </w:pPr>
      <w:r>
        <w:rPr>
          <w:rFonts w:ascii="Arial" w:cs="Arial" w:eastAsia="Arial" w:hAnsi="Arial"/>
          <w:sz w:val="13"/>
          <w:szCs w:val="13"/>
          <w:b w:val="1"/>
          <w:bCs w:val="1"/>
          <w:color w:val="auto"/>
        </w:rPr>
        <w:t>Operations</w:t>
      </w:r>
    </w:p>
    <w:p>
      <w:pPr>
        <w:spacing w:after="0" w:line="100" w:lineRule="exact"/>
        <w:rPr>
          <w:sz w:val="20"/>
          <w:szCs w:val="20"/>
          <w:color w:val="auto"/>
        </w:rPr>
      </w:pPr>
    </w:p>
    <w:p>
      <w:pPr>
        <w:jc w:val="right"/>
        <w:ind w:right="10140"/>
        <w:spacing w:after="0"/>
        <w:rPr>
          <w:sz w:val="20"/>
          <w:szCs w:val="20"/>
          <w:color w:val="auto"/>
        </w:rPr>
      </w:pPr>
      <w:r>
        <w:rPr>
          <w:rFonts w:ascii="Arial" w:cs="Arial" w:eastAsia="Arial" w:hAnsi="Arial"/>
          <w:sz w:val="13"/>
          <w:szCs w:val="13"/>
          <w:b w:val="1"/>
          <w:bCs w:val="1"/>
          <w:i w:val="1"/>
          <w:iCs w:val="1"/>
          <w:color w:val="auto"/>
        </w:rPr>
        <w:t>General</w:t>
      </w:r>
    </w:p>
    <w:p>
      <w:pPr>
        <w:spacing w:after="0" w:line="96" w:lineRule="exact"/>
        <w:rPr>
          <w:sz w:val="20"/>
          <w:szCs w:val="20"/>
          <w:color w:val="auto"/>
        </w:rPr>
      </w:pPr>
    </w:p>
    <w:p>
      <w:pPr>
        <w:ind w:left="680" w:right="920" w:firstLine="399"/>
        <w:spacing w:after="0" w:line="260" w:lineRule="auto"/>
        <w:rPr>
          <w:sz w:val="20"/>
          <w:szCs w:val="20"/>
          <w:color w:val="auto"/>
        </w:rPr>
      </w:pPr>
      <w:r>
        <w:rPr>
          <w:rFonts w:ascii="Arial" w:cs="Arial" w:eastAsia="Arial" w:hAnsi="Arial"/>
          <w:sz w:val="13"/>
          <w:szCs w:val="13"/>
          <w:color w:val="auto"/>
        </w:rPr>
        <w:t>We manage and evaluate our principal operations through five Groups. Our four geographic operating Groups,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 or IPPs. We also provide additional services that are not managed through our five Groups, as described below. These operations are presented in this report as “Other.”</w:t>
      </w:r>
    </w:p>
    <w:p>
      <w:pPr>
        <w:spacing w:after="0" w:line="70"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 xml:space="preserve">The table below shows the total revenues (in millions) contributed annually by each of our Groups, or reportable segments, in the three-year period ended December 31, 2010. More information about our results of operations by reportable segment is included in Note 21 to the Consolidated Financial Statements and in </w:t>
      </w:r>
      <w:r>
        <w:rPr>
          <w:rFonts w:ascii="Arial" w:cs="Arial" w:eastAsia="Arial" w:hAnsi="Arial"/>
          <w:sz w:val="13"/>
          <w:szCs w:val="13"/>
          <w:i w:val="1"/>
          <w:iCs w:val="1"/>
          <w:color w:val="auto"/>
        </w:rPr>
        <w:t>Management’s Discussion and Analysis of Financial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Condition and Results of Operations, </w:t>
      </w:r>
      <w:r>
        <w:rPr>
          <w:rFonts w:ascii="Arial" w:cs="Arial" w:eastAsia="Arial" w:hAnsi="Arial"/>
          <w:sz w:val="13"/>
          <w:szCs w:val="13"/>
          <w:color w:val="auto"/>
        </w:rPr>
        <w:t>included in this report.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460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2,943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Midwest</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3,048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2,855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4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3,461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3,328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Western</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3,173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3,125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3,387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4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889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Other</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963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628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4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(1,962)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(1,946)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4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4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12,515</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11,791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13,388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60" w:type="dxa"/>
            <w:vAlign w:val="bottom"/>
          </w:tcPr>
          <w:p>
            <w:pPr>
              <w:jc w:val="right"/>
              <w:ind w:right="2214"/>
              <w:spacing w:after="0"/>
              <w:rPr>
                <w:sz w:val="20"/>
                <w:szCs w:val="20"/>
                <w:color w:val="auto"/>
              </w:rPr>
            </w:pPr>
            <w:r>
              <w:rPr>
                <w:rFonts w:ascii="Arial" w:cs="Arial" w:eastAsia="Arial" w:hAnsi="Arial"/>
                <w:sz w:val="13"/>
                <w:szCs w:val="13"/>
                <w:color w:val="auto"/>
              </w:rPr>
              <w:t>3</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4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services we provide include collection, landfill (solid and hazardous waste landfills), transfer, waste-to-energy facilities and independent power production plants, recycling and other services, as described below. The following table shows revenues (in millions) contributed by these services for each of the three years indicated:</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8,247</w:t>
            </w:r>
          </w:p>
        </w:tc>
        <w:tc>
          <w:tcPr>
            <w:tcW w:w="8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7,980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8,679</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Landfill</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2,540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2,547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2,955</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1,589</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889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841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912</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1,169</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(1,962)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(1,946)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(2,134)</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12,515</w:t>
            </w:r>
          </w:p>
        </w:tc>
        <w:tc>
          <w:tcPr>
            <w:tcW w:w="8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11,791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13,388</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60" w:firstLine="399"/>
        <w:spacing w:after="0" w:line="320" w:lineRule="auto"/>
        <w:rPr>
          <w:sz w:val="20"/>
          <w:szCs w:val="20"/>
          <w:color w:val="auto"/>
        </w:rPr>
      </w:pPr>
      <w:r>
        <w:rPr>
          <w:rFonts w:ascii="Arial" w:cs="Arial" w:eastAsia="Arial" w:hAnsi="Arial"/>
          <w:sz w:val="12"/>
          <w:szCs w:val="12"/>
          <w:i w:val="1"/>
          <w:iCs w:val="1"/>
          <w:color w:val="auto"/>
        </w:rPr>
        <w:t xml:space="preserve">Collection. </w:t>
      </w:r>
      <w:r>
        <w:rPr>
          <w:rFonts w:ascii="Arial" w:cs="Arial" w:eastAsia="Arial" w:hAnsi="Arial"/>
          <w:sz w:val="12"/>
          <w:szCs w:val="12"/>
          <w:color w:val="auto"/>
        </w:rPr>
        <w:t>Our commitment to customers begins with a vast waste collection network. Collection involves picking up and transporting waste and recyclable materials from where it</w:t>
      </w:r>
      <w:r>
        <w:rPr>
          <w:rFonts w:ascii="Arial" w:cs="Arial" w:eastAsia="Arial" w:hAnsi="Arial"/>
          <w:sz w:val="12"/>
          <w:szCs w:val="12"/>
          <w:i w:val="1"/>
          <w:iCs w:val="1"/>
          <w:color w:val="auto"/>
        </w:rPr>
        <w:t xml:space="preserve"> </w:t>
      </w:r>
      <w:r>
        <w:rPr>
          <w:rFonts w:ascii="Arial" w:cs="Arial" w:eastAsia="Arial" w:hAnsi="Arial"/>
          <w:sz w:val="12"/>
          <w:szCs w:val="12"/>
          <w:color w:val="auto"/>
        </w:rPr>
        <w:t>was generated to a transfer station, material recovery facility (“MRF”) or disposal site. We generally provide collection services under one of two types of arrangements:</w:t>
      </w:r>
    </w:p>
    <w:p>
      <w:pPr>
        <w:spacing w:after="0" w:line="35" w:lineRule="exact"/>
        <w:rPr>
          <w:sz w:val="20"/>
          <w:szCs w:val="20"/>
          <w:color w:val="auto"/>
        </w:rPr>
      </w:pPr>
    </w:p>
    <w:p>
      <w:pPr>
        <w:ind w:left="1280" w:hanging="190"/>
        <w:spacing w:after="0" w:line="285" w:lineRule="auto"/>
        <w:tabs>
          <w:tab w:leader="none" w:pos="1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For commercial and industrial collection services, typically we have a three-year service agreement.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45" w:lineRule="exact"/>
        <w:rPr>
          <w:rFonts w:ascii="Arial" w:cs="Arial" w:eastAsia="Arial" w:hAnsi="Arial"/>
          <w:sz w:val="12"/>
          <w:szCs w:val="12"/>
          <w:color w:val="auto"/>
        </w:rPr>
      </w:pPr>
    </w:p>
    <w:p>
      <w:pPr>
        <w:ind w:left="1280" w:right="40" w:hanging="190"/>
        <w:spacing w:after="0" w:line="260"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five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70"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i w:val="1"/>
          <w:iCs w:val="1"/>
          <w:color w:val="auto"/>
        </w:rPr>
        <w:t xml:space="preserve">Landfill. </w:t>
      </w:r>
      <w:r>
        <w:rPr>
          <w:rFonts w:ascii="Arial" w:cs="Arial" w:eastAsia="Arial" w:hAnsi="Arial"/>
          <w:sz w:val="12"/>
          <w:szCs w:val="12"/>
          <w:color w:val="auto"/>
        </w:rPr>
        <w:t>Landfills are the main depositories for solid waste in North America. At December 31, 2010, we owned or operated 266 solid waste landfills, which represents the largest</w:t>
      </w:r>
      <w:r>
        <w:rPr>
          <w:rFonts w:ascii="Arial" w:cs="Arial" w:eastAsia="Arial" w:hAnsi="Arial"/>
          <w:sz w:val="12"/>
          <w:szCs w:val="12"/>
          <w:i w:val="1"/>
          <w:iCs w:val="1"/>
          <w:color w:val="auto"/>
        </w:rPr>
        <w:t xml:space="preserve"> </w:t>
      </w:r>
      <w:r>
        <w:rPr>
          <w:rFonts w:ascii="Arial" w:cs="Arial" w:eastAsia="Arial" w:hAnsi="Arial"/>
          <w:sz w:val="12"/>
          <w:szCs w:val="12"/>
          <w:color w:val="auto"/>
        </w:rPr>
        <w:t>network of landfills in North America.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the cap of the landfill. These operations are carefully planned to maintain environmentally safe conditions and to maximize the use of the airspace.</w:t>
      </w:r>
    </w:p>
    <w:p>
      <w:pPr>
        <w:spacing w:after="0" w:line="55"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All solid waste management companies must have access to a disposal facility, such as a solid waste landfill. The significant capital requirements of developing and operating a landfill serve as a barrier to landfill ownership and, as a result,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also operate five secure hazardous waste landfills in the United States. 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5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Transfer. </w:t>
      </w:r>
      <w:r>
        <w:rPr>
          <w:rFonts w:ascii="Arial" w:cs="Arial" w:eastAsia="Arial" w:hAnsi="Arial"/>
          <w:sz w:val="13"/>
          <w:szCs w:val="13"/>
          <w:color w:val="auto"/>
        </w:rPr>
        <w:t>At December 31, 2010, we owned or operated 294 transfer stations in North America. We deposit waste at these stations, as do other waste haulers. The solid waste is then</w:t>
      </w:r>
      <w:r>
        <w:rPr>
          <w:rFonts w:ascii="Arial" w:cs="Arial" w:eastAsia="Arial" w:hAnsi="Arial"/>
          <w:sz w:val="13"/>
          <w:szCs w:val="13"/>
          <w:i w:val="1"/>
          <w:iCs w:val="1"/>
          <w:color w:val="auto"/>
        </w:rPr>
        <w:t xml:space="preserve"> </w:t>
      </w:r>
      <w:r>
        <w:rPr>
          <w:rFonts w:ascii="Arial" w:cs="Arial" w:eastAsia="Arial" w:hAnsi="Arial"/>
          <w:sz w:val="13"/>
          <w:szCs w:val="13"/>
          <w:color w:val="auto"/>
        </w:rPr>
        <w:t>consolidated and compacted to reduce the volume and increase the density of the waste and transported by transfer trucks or by rail to disposal sites.</w:t>
      </w:r>
    </w:p>
    <w:p>
      <w:pPr>
        <w:spacing w:after="0" w:line="5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and general market factors.</w:t>
      </w:r>
    </w:p>
    <w:p>
      <w:pPr>
        <w:spacing w:after="0" w:line="59" w:lineRule="exact"/>
        <w:rPr>
          <w:sz w:val="20"/>
          <w:szCs w:val="20"/>
          <w:color w:val="auto"/>
        </w:rPr>
      </w:pPr>
    </w:p>
    <w:p>
      <w:pPr>
        <w:ind w:left="680" w:right="260" w:firstLine="399"/>
        <w:spacing w:after="0" w:line="289" w:lineRule="auto"/>
        <w:rPr>
          <w:sz w:val="20"/>
          <w:szCs w:val="20"/>
          <w:color w:val="auto"/>
        </w:rPr>
      </w:pPr>
      <w:r>
        <w:rPr>
          <w:rFonts w:ascii="Arial" w:cs="Arial" w:eastAsia="Arial" w:hAnsi="Arial"/>
          <w:sz w:val="12"/>
          <w:szCs w:val="12"/>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53"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As of December 31, 2010, we owned or operated 17 waste-to-energy facilities and five independent power production plants which are located in the Northeast, in the</w:t>
      </w:r>
      <w:r>
        <w:rPr>
          <w:rFonts w:ascii="Arial" w:cs="Arial" w:eastAsia="Arial" w:hAnsi="Arial"/>
          <w:sz w:val="13"/>
          <w:szCs w:val="13"/>
          <w:i w:val="1"/>
          <w:iCs w:val="1"/>
          <w:color w:val="auto"/>
        </w:rPr>
        <w:t xml:space="preserve"> </w:t>
      </w:r>
      <w:r>
        <w:rPr>
          <w:rFonts w:ascii="Arial" w:cs="Arial" w:eastAsia="Arial" w:hAnsi="Arial"/>
          <w:sz w:val="13"/>
          <w:szCs w:val="13"/>
          <w:color w:val="auto"/>
        </w:rPr>
        <w:t>Mid-Atlantic, and in Florida, California and Washington.</w:t>
      </w:r>
    </w:p>
    <w:p>
      <w:pPr>
        <w:spacing w:after="0" w:line="59"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At our waste-to-energy facilities, solid waste is burned at high temperatures in specially designed boilers to produce heat that is converted into high-pressure steam. As of December 31, 2010, our waste-to-energy facilities were capable of processing up to 22,300 tons of solid waste each day. In 2010, our waste-to-energy facilities received and processed 7.5 million tons of solid waste, or approximately 20,700 tons per day.</w:t>
      </w:r>
    </w:p>
    <w:p>
      <w:pPr>
        <w:spacing w:after="0" w:line="67" w:lineRule="exact"/>
        <w:rPr>
          <w:sz w:val="20"/>
          <w:szCs w:val="20"/>
          <w:color w:val="auto"/>
        </w:rPr>
      </w:pPr>
    </w:p>
    <w:p>
      <w:pPr>
        <w:jc w:val="both"/>
        <w:ind w:left="680" w:right="160" w:firstLine="399"/>
        <w:spacing w:after="0" w:line="296" w:lineRule="auto"/>
        <w:rPr>
          <w:sz w:val="20"/>
          <w:szCs w:val="20"/>
          <w:color w:val="auto"/>
        </w:rPr>
      </w:pPr>
      <w:r>
        <w:rPr>
          <w:rFonts w:ascii="Arial" w:cs="Arial" w:eastAsia="Arial" w:hAnsi="Arial"/>
          <w:sz w:val="12"/>
          <w:szCs w:val="12"/>
          <w:color w:val="auto"/>
        </w:rPr>
        <w:t>Our IPPs convert various waste and conventional fuels into steam. The plants burn wood waste, anthracite coal waste (culm), tires, landfill gas and natural gas. These facilities are integral to the solid waste industry, disposing of urban wood, waste tires, railroad ties and utility poles. Our anthracite culm facility in Pennsylvania processes the waste materials left over from coal mining operations from over half a century ago. Ash remaining after burning the culm is used to reclaim the land damaged by decades of coal mining.</w:t>
      </w:r>
    </w:p>
    <w:p>
      <w:pPr>
        <w:spacing w:after="0" w:line="5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generate steam at our waste-to-energy and IPP facilities for the production of electricity. We sell the electricity produced at our facilities into wholesale markets, which include investor-owned utilities, power marketers and regional power pools. Some of our facilities also sell steam directly to end users. Fees charged for electricity and steam at our waste-to-energy facilities and IPPs have generally been subject to the terms and conditions of long-term contracts that include interim adjustments to the prices charged for changes in market conditions such as inflation, electricity prices and other general market factors. During 2010 and 2009, several of our long-term energy contracts and short-term pricing arrangements expired, significantly increasing our waste-to-energy revenues’ exposure to volatility attributable to changes in market prices for electricity, which generally correlate with fluctuations in natural gas prices in the markets in which we operate. Our market-price</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 xml:space="preserve">volatility will continue to increase as additional long-term contracts expire. We use short-term “receive fixed, pay variable” electricity commodity swaps to mitigate the variability in our revenues and cash flows caused by fluctuations in the market prices for electricity. Refer to the </w:t>
      </w:r>
      <w:r>
        <w:rPr>
          <w:rFonts w:ascii="Arial" w:cs="Arial" w:eastAsia="Arial" w:hAnsi="Arial"/>
          <w:sz w:val="13"/>
          <w:szCs w:val="13"/>
          <w:i w:val="1"/>
          <w:iCs w:val="1"/>
          <w:color w:val="auto"/>
        </w:rPr>
        <w:t>Quantitative and Qualitative Disclosures About Market Risk</w:t>
      </w:r>
      <w:r>
        <w:rPr>
          <w:rFonts w:ascii="Arial" w:cs="Arial" w:eastAsia="Arial" w:hAnsi="Arial"/>
          <w:sz w:val="13"/>
          <w:szCs w:val="13"/>
          <w:color w:val="auto"/>
        </w:rPr>
        <w:t xml:space="preserve"> section of this report for additional information about the Company’s current considerations related to the management of this market exposure.</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continue to look at opportunities to expand our waste-to-energy business. In 2010, we made two investments which increased the total assets of our Wheelabrator Group by $318 million for the year ended December 31, 2010. In the first quarter of 2010, we paid $142 million to acquire a 40% equity investment in Shanghai Environment Group (“SEG”), a subsidiary of Shanghai Chengtou Holding Co., Ltd. As a joint venture partner in SEG, we will participate in the operation and management of waste-to-energy and other waste services in the Chinese market. SEG will also focus on building new waste-to-energy facilities in China. As of December 31, 2010, SEG owned and operated two waste-to-energy facilities, five landfills and five transfer stations. An additional five waste-to-energy facilities were under construction. Our share of SEG’s earnings are included in “Equity in net losses in unconsolidated entities” in our Consolidated Statement of Operations. In the second quarter of 2010, we paid $150 million for the acquisition of a waste-to-energy facility in Portsmouth, Virginia. Additionally, Wheelabrator is actively pursuing development projects with industry partners and pursuing other opportunities to provide waste-to-energy services in the United Kingdom.</w:t>
      </w:r>
    </w:p>
    <w:p>
      <w:pPr>
        <w:spacing w:after="0" w:line="58"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Recycling. </w:t>
      </w:r>
      <w:r>
        <w:rPr>
          <w:rFonts w:ascii="Arial" w:cs="Arial" w:eastAsia="Arial" w:hAnsi="Arial"/>
          <w:sz w:val="13"/>
          <w:szCs w:val="13"/>
          <w:color w:val="auto"/>
        </w:rPr>
        <w:t>Our recycling operations focus on improving the sustainability and future growth of recycling programs within communities and industries. In 2001, we became the first</w:t>
      </w:r>
      <w:r>
        <w:rPr>
          <w:rFonts w:ascii="Arial" w:cs="Arial" w:eastAsia="Arial" w:hAnsi="Arial"/>
          <w:sz w:val="13"/>
          <w:szCs w:val="13"/>
          <w:i w:val="1"/>
          <w:iCs w:val="1"/>
          <w:color w:val="auto"/>
        </w:rPr>
        <w:t xml:space="preserve"> </w:t>
      </w:r>
      <w:r>
        <w:rPr>
          <w:rFonts w:ascii="Arial" w:cs="Arial" w:eastAsia="Arial" w:hAnsi="Arial"/>
          <w:sz w:val="13"/>
          <w:szCs w:val="13"/>
          <w:color w:val="auto"/>
        </w:rPr>
        <w:t>major solid waste company to focus on residential single-stream recycling, which allows customers to mix recyclable paper, plastic and glass in one bin. Residential single-stream programs have greatly increased the recycling rates. Single-stream recycling is possible through the use of various mechanized screens and optical sorting technologies. We have also been advancing the single-stream recycling programs for commercial applications. Recycling involves the separation of reusable materials from the waste stream for processing and resale or other disposition. Our recycling operations include the following:</w:t>
      </w:r>
    </w:p>
    <w:p>
      <w:pPr>
        <w:spacing w:after="0" w:line="71" w:lineRule="exact"/>
        <w:rPr>
          <w:sz w:val="20"/>
          <w:szCs w:val="20"/>
          <w:color w:val="auto"/>
        </w:rPr>
      </w:pPr>
    </w:p>
    <w:p>
      <w:pPr>
        <w:ind w:left="1080" w:right="40" w:firstLine="383"/>
        <w:spacing w:after="0" w:line="260" w:lineRule="auto"/>
        <w:rPr>
          <w:sz w:val="20"/>
          <w:szCs w:val="20"/>
          <w:color w:val="auto"/>
        </w:rPr>
      </w:pPr>
      <w:r>
        <w:rPr>
          <w:rFonts w:ascii="Arial" w:cs="Arial" w:eastAsia="Arial" w:hAnsi="Arial"/>
          <w:sz w:val="13"/>
          <w:szCs w:val="13"/>
          <w:i w:val="1"/>
          <w:iCs w:val="1"/>
          <w:color w:val="auto"/>
        </w:rPr>
        <w:t xml:space="preserve">Materials processing </w:t>
      </w:r>
      <w:r>
        <w:rPr>
          <w:rFonts w:ascii="Arial" w:cs="Arial" w:eastAsia="Arial" w:hAnsi="Arial"/>
          <w:sz w:val="13"/>
          <w:szCs w:val="13"/>
          <w:color w:val="auto"/>
        </w:rPr>
        <w:t>— Through our collection operations, we collect recyclable materials from residential, commercial and industrial customers and direct these materials to</w:t>
      </w:r>
      <w:r>
        <w:rPr>
          <w:rFonts w:ascii="Arial" w:cs="Arial" w:eastAsia="Arial" w:hAnsi="Arial"/>
          <w:sz w:val="13"/>
          <w:szCs w:val="13"/>
          <w:i w:val="1"/>
          <w:iCs w:val="1"/>
          <w:color w:val="auto"/>
        </w:rPr>
        <w:t xml:space="preserve"> </w:t>
      </w:r>
      <w:r>
        <w:rPr>
          <w:rFonts w:ascii="Arial" w:cs="Arial" w:eastAsia="Arial" w:hAnsi="Arial"/>
          <w:sz w:val="13"/>
          <w:szCs w:val="13"/>
          <w:color w:val="auto"/>
        </w:rPr>
        <w:t>one of our MRFs for processing. We operate 98 MRFs where paper, cardboard, metals, plastics, glass, construction and demolition materials and other recyclable commodities are recovered for resale. We also operate nine secondary processing facilities where recyclable materials can be further processed into raw products used in the manufacturing of consumer goods. Materials processing services include data destruction and automated color sorting.</w:t>
      </w:r>
    </w:p>
    <w:p>
      <w:pPr>
        <w:spacing w:after="0" w:line="70" w:lineRule="exact"/>
        <w:rPr>
          <w:sz w:val="20"/>
          <w:szCs w:val="20"/>
          <w:color w:val="auto"/>
        </w:rPr>
      </w:pPr>
    </w:p>
    <w:p>
      <w:pPr>
        <w:ind w:left="1080" w:right="280" w:firstLine="383"/>
        <w:spacing w:after="0" w:line="276" w:lineRule="auto"/>
        <w:rPr>
          <w:sz w:val="20"/>
          <w:szCs w:val="20"/>
          <w:color w:val="auto"/>
        </w:rPr>
      </w:pPr>
      <w:r>
        <w:rPr>
          <w:rFonts w:ascii="Arial" w:cs="Arial" w:eastAsia="Arial" w:hAnsi="Arial"/>
          <w:sz w:val="13"/>
          <w:szCs w:val="13"/>
          <w:i w:val="1"/>
          <w:iCs w:val="1"/>
          <w:color w:val="auto"/>
        </w:rPr>
        <w:t xml:space="preserve">Plastics materials recycling </w:t>
      </w:r>
      <w:r>
        <w:rPr>
          <w:rFonts w:ascii="Arial" w:cs="Arial" w:eastAsia="Arial" w:hAnsi="Arial"/>
          <w:sz w:val="13"/>
          <w:szCs w:val="13"/>
          <w:color w:val="auto"/>
        </w:rPr>
        <w:t>— Using state-of-the-art sorting and processing technology, we process, inventory and sell plastic commodities making the recycling of such</w:t>
      </w:r>
      <w:r>
        <w:rPr>
          <w:rFonts w:ascii="Arial" w:cs="Arial" w:eastAsia="Arial" w:hAnsi="Arial"/>
          <w:sz w:val="13"/>
          <w:szCs w:val="13"/>
          <w:i w:val="1"/>
          <w:iCs w:val="1"/>
          <w:color w:val="auto"/>
        </w:rPr>
        <w:t xml:space="preserve"> </w:t>
      </w:r>
      <w:r>
        <w:rPr>
          <w:rFonts w:ascii="Arial" w:cs="Arial" w:eastAsia="Arial" w:hAnsi="Arial"/>
          <w:sz w:val="13"/>
          <w:szCs w:val="13"/>
          <w:color w:val="auto"/>
        </w:rPr>
        <w:t>items more cost effective and convenient.</w:t>
      </w:r>
    </w:p>
    <w:p>
      <w:pPr>
        <w:spacing w:after="0" w:line="59" w:lineRule="exact"/>
        <w:rPr>
          <w:sz w:val="20"/>
          <w:szCs w:val="20"/>
          <w:color w:val="auto"/>
        </w:rPr>
      </w:pPr>
    </w:p>
    <w:p>
      <w:pPr>
        <w:ind w:left="1080" w:right="80" w:firstLine="383"/>
        <w:spacing w:after="0" w:line="276" w:lineRule="auto"/>
        <w:rPr>
          <w:sz w:val="20"/>
          <w:szCs w:val="20"/>
          <w:color w:val="auto"/>
        </w:rPr>
      </w:pPr>
      <w:r>
        <w:rPr>
          <w:rFonts w:ascii="Arial" w:cs="Arial" w:eastAsia="Arial" w:hAnsi="Arial"/>
          <w:sz w:val="13"/>
          <w:szCs w:val="13"/>
          <w:i w:val="1"/>
          <w:iCs w:val="1"/>
          <w:color w:val="auto"/>
        </w:rPr>
        <w:t xml:space="preserve">Commodities recycling </w:t>
      </w:r>
      <w:r>
        <w:rPr>
          <w:rFonts w:ascii="Arial" w:cs="Arial" w:eastAsia="Arial" w:hAnsi="Arial"/>
          <w:sz w:val="13"/>
          <w:szCs w:val="13"/>
          <w:color w:val="auto"/>
        </w:rPr>
        <w:t>— We market and resell recyclable commodities to customers world-wide. We manage the marketing of recyclable commodities that are processed in</w:t>
      </w:r>
      <w:r>
        <w:rPr>
          <w:rFonts w:ascii="Arial" w:cs="Arial" w:eastAsia="Arial" w:hAnsi="Arial"/>
          <w:sz w:val="13"/>
          <w:szCs w:val="13"/>
          <w:i w:val="1"/>
          <w:iCs w:val="1"/>
          <w:color w:val="auto"/>
        </w:rPr>
        <w:t xml:space="preserve"> </w:t>
      </w:r>
      <w:r>
        <w:rPr>
          <w:rFonts w:ascii="Arial" w:cs="Arial" w:eastAsia="Arial" w:hAnsi="Arial"/>
          <w:sz w:val="13"/>
          <w:szCs w:val="13"/>
          <w:color w:val="auto"/>
        </w:rPr>
        <w:t>our facilities by maintaining comprehensive service centers that continuously analyze market prices, logistics, market demands and product quality.</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Fees for recycling services are influenced by the type of recyclable commodities being processed, the volume or weight of the recyclable material, degree of processing required, the market value of the recovered material and other market factors.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Some of the recyclable materials processed in our MRFs are purchased from various sources, including third parties and our own operations. The cost per ton of material purchased is based on market prices and the cost to transport the processed goods to our customers to whom we sell such materials. The price we pay for recyclable materials is often referred to as a “rebate.” Rebates generally are based upon the price we receive for sales of processed goods and on market conditions, but in some cases are based on fixed contractual rates or on defined minimum per-ton rates. As a result, changes in commodity prices for recycled fiber can significantly affect our revenues, the rebates we pay to our suppliers and our operating income and margins.</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Other services not managed within our Groups include the following:</w:t>
      </w:r>
    </w:p>
    <w:p>
      <w:pPr>
        <w:spacing w:after="0" w:line="96" w:lineRule="exact"/>
        <w:rPr>
          <w:sz w:val="20"/>
          <w:szCs w:val="20"/>
          <w:color w:val="auto"/>
        </w:rPr>
      </w:pPr>
    </w:p>
    <w:p>
      <w:pPr>
        <w:ind w:left="680" w:right="200" w:firstLine="399"/>
        <w:spacing w:after="0" w:line="282" w:lineRule="auto"/>
        <w:rPr>
          <w:sz w:val="20"/>
          <w:szCs w:val="20"/>
          <w:color w:val="auto"/>
        </w:rPr>
      </w:pPr>
      <w:r>
        <w:rPr>
          <w:rFonts w:ascii="Arial" w:cs="Arial" w:eastAsia="Arial" w:hAnsi="Arial"/>
          <w:sz w:val="12"/>
          <w:szCs w:val="12"/>
          <w:color w:val="auto"/>
        </w:rPr>
        <w:t>We provide recycling brokerage services, which includes managing the marketing of recyclable materials for third parties. The experience of our recycling operations in managing recyclable commodities for our own operations gives us the expertise needed to effectively manage volumes for third parties. Utilizing the resources and knowledge of our recycling operations’ service centers, we can assist customers in marketing and selling their recyclable commodities with little to no capital requirements. We also provide electronics recycling. We recycle discarded computers, communications equipment, and other electronic equipment. Services include the collection, sorting and disassembling of electronics in an effort to reuse or recycle all collected materials. In recent years, we have teamed with major electronics manufacturers to offer comprehensive “take-back” programs of their products to assist the general public in disposing of their old electronics in a convenient and environmentally safe manner.</w:t>
      </w:r>
    </w:p>
    <w:p>
      <w:pPr>
        <w:spacing w:after="0" w:line="57" w:lineRule="exact"/>
        <w:rPr>
          <w:sz w:val="20"/>
          <w:szCs w:val="20"/>
          <w:color w:val="auto"/>
        </w:rPr>
      </w:pPr>
    </w:p>
    <w:p>
      <w:pPr>
        <w:ind w:left="680" w:right="40" w:firstLine="399"/>
        <w:spacing w:after="0" w:line="290" w:lineRule="auto"/>
        <w:rPr>
          <w:sz w:val="20"/>
          <w:szCs w:val="20"/>
          <w:color w:val="auto"/>
        </w:rPr>
      </w:pPr>
      <w:r>
        <w:rPr>
          <w:rFonts w:ascii="Arial" w:cs="Arial" w:eastAsia="Arial" w:hAnsi="Arial"/>
          <w:sz w:val="12"/>
          <w:szCs w:val="12"/>
          <w:color w:val="auto"/>
        </w:rPr>
        <w:t>We provide sustainability services to businesses through our Upstream</w:t>
      </w:r>
      <w:r>
        <w:rPr>
          <w:rFonts w:ascii="Arial" w:cs="Arial" w:eastAsia="Arial" w:hAnsi="Arial"/>
          <w:sz w:val="10"/>
          <w:szCs w:val="10"/>
          <w:color w:val="auto"/>
        </w:rPr>
        <w:t>®</w:t>
      </w:r>
      <w:r>
        <w:rPr>
          <w:rFonts w:ascii="Arial" w:cs="Arial" w:eastAsia="Arial" w:hAnsi="Arial"/>
          <w:sz w:val="12"/>
          <w:szCs w:val="12"/>
          <w:color w:val="auto"/>
        </w:rPr>
        <w:t xml:space="preserve"> and Green Squad</w:t>
      </w:r>
      <w:r>
        <w:rPr>
          <w:rFonts w:ascii="Arial" w:cs="Arial" w:eastAsia="Arial" w:hAnsi="Arial"/>
          <w:sz w:val="10"/>
          <w:szCs w:val="10"/>
          <w:color w:val="auto"/>
        </w:rPr>
        <w:t>®</w:t>
      </w:r>
      <w:r>
        <w:rPr>
          <w:rFonts w:ascii="Arial" w:cs="Arial" w:eastAsia="Arial" w:hAnsi="Arial"/>
          <w:sz w:val="12"/>
          <w:szCs w:val="12"/>
          <w:color w:val="auto"/>
        </w:rPr>
        <w:t xml:space="preserve"> organizations. This includes in-plant services, where our employees work full-time inside our customers’ facilities to provide full-service waste management solutions and consulting services. Our vertically integrated waste management operations enable us to provide customers with full management of their waste. The breadth of our service offerings and the familiarity we have with waste management practices gives us the unique ability to assist customers in minimizing waste they generate, identifying recycling opportunities and determining the most efficient means available for waste collection and disposal.</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develop, operate and promote projects for the beneficial use of landfill gas through our Waste Management Renewable Energy Program. Landfill gas is produced naturally as waste decomposes in a landfill. The methane component of the landfill gas is a readily available, renewable energy source that can be gathered and used beneficially as an alternative to fossil fuel. The EPA endorses landfill gas as a renewable energy resource, in the same category as wind, solar and geothermal resources. At December 31, 2010, landfill gas beneficial use projects were producing commercial quantities of methane gas at 127 of our solid waste landfills. At 97 of these landfills, the processed gas is delivered to electricity generators. The electricity is then sold to public utilities, municipal utilities or power cooperatives. At 21 landfills, the gas is delivered by pipeline to industrial customers as a direct substitute for fossil fuels in industrial processes. At nine landfills, the landfill gas is processed to pipeline-quality natural gas and then sold to natural gas suppliers.</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WM Healthcare Solutions subsidiary offers integrated medical waste services for healthcare facilities, pharmacies and individuals. We provide full-service solutions to facilities to assist them in best practices, identifying waste streams and proper disposal. Our healthcare services also include a sharps mail return program through which individuals can safely dispose of their used syringes and lancets using our MedWaste Tracker system.</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Although by their very nature many waste management services such as collection and disposal are local services, our Strategic Accounts program works with customers whose locations span the United States. Our Strategic Accounts program provides centralized customer service, billing and management of accounts to streamline the administration of customers’ multiple and nationwide locations’ waste management needs.</w:t>
      </w:r>
    </w:p>
    <w:p>
      <w:pPr>
        <w:spacing w:after="0" w:line="67"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We also have begun investing in businesses and technologies that are designed to offer services and solutions ancillary or supplementary to our current operations. These investments include joint ventures, acquisitions and partial ownership interests. The solutions and services include the collection of project waste, including construction debris and household or yard waste, through our Bagster</w:t>
      </w:r>
      <w:r>
        <w:rPr>
          <w:rFonts w:ascii="Arial" w:cs="Arial" w:eastAsia="Arial" w:hAnsi="Arial"/>
          <w:sz w:val="11"/>
          <w:szCs w:val="11"/>
          <w:color w:val="auto"/>
        </w:rPr>
        <w:t>®</w:t>
      </w:r>
      <w:r>
        <w:rPr>
          <w:rFonts w:ascii="Arial" w:cs="Arial" w:eastAsia="Arial" w:hAnsi="Arial"/>
          <w:sz w:val="13"/>
          <w:szCs w:val="13"/>
          <w:color w:val="auto"/>
        </w:rPr>
        <w:t xml:space="preserve"> program; the development, operation and marketing of plasma gasification facilities; operation of a landfill gas-to-liquid natural gas plant; solar powered trash compactors; and organic waste-to-fuel conversion technology. Part of our expansion of services includes offering portable self-storage services; and fluorescent bulb and universal waste mail-back through our LampTracker</w:t>
      </w:r>
      <w:r>
        <w:rPr>
          <w:rFonts w:ascii="Arial" w:cs="Arial" w:eastAsia="Arial" w:hAnsi="Arial"/>
          <w:sz w:val="11"/>
          <w:szCs w:val="11"/>
          <w:color w:val="auto"/>
        </w:rPr>
        <w:t>®</w:t>
      </w:r>
      <w:r>
        <w:rPr>
          <w:rFonts w:ascii="Arial" w:cs="Arial" w:eastAsia="Arial" w:hAnsi="Arial"/>
          <w:sz w:val="13"/>
          <w:szCs w:val="13"/>
          <w:color w:val="auto"/>
        </w:rPr>
        <w:t xml:space="preserve"> program. In addition, at a time when oil prices were low, we decided to pursue investment opportunities that involved acquisition and development of non-working interests in oil and gas producing properties.</w:t>
      </w:r>
    </w:p>
    <w:p>
      <w:pPr>
        <w:spacing w:after="0" w:line="69"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3"/>
          <w:szCs w:val="13"/>
          <w:color w:val="auto"/>
        </w:rPr>
        <w:t>Finally, we rent portable restroom facilities to municipalities and commercial customers under the name Port-o-Let</w:t>
      </w:r>
      <w:r>
        <w:rPr>
          <w:rFonts w:ascii="Arial" w:cs="Arial" w:eastAsia="Arial" w:hAnsi="Arial"/>
          <w:sz w:val="11"/>
          <w:szCs w:val="11"/>
          <w:color w:val="auto"/>
        </w:rPr>
        <w:t>®</w:t>
      </w:r>
      <w:r>
        <w:rPr>
          <w:rFonts w:ascii="Arial" w:cs="Arial" w:eastAsia="Arial" w:hAnsi="Arial"/>
          <w:sz w:val="13"/>
          <w:szCs w:val="13"/>
          <w:color w:val="auto"/>
        </w:rPr>
        <w:t>, we service such facilities and we provide street and parking lot sweeping services.</w:t>
      </w: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The waste industry is very competitive. In North America, the industry consists primarily of two national waste management companies, regional companies and local companies of varying sizes and financial resources, including smaller companies that specialize in certain discrete areas of waste management. We compete with these companies as well as with counties and municipalities that maintain their own waste collection and disposal operations.</w:t>
      </w:r>
    </w:p>
    <w:p>
      <w:pPr>
        <w:spacing w:after="0" w:line="67"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Operating costs, disposal costs and collection fees vary widely throughout the geographic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core business based on pricing and quality of service. We have also begun competing for business based on service offerings. As companies, individuals and communities begin to look for ways to be more sustainable, we are ensuring our customers know about our comprehensive services that go beyond our core business of collecting and disposing of waste.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 Trends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Our operating revenues normally tend to be somewhat higher in the summer months, primarily due to the traditional seasonal increase in the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although we saw a significantly weaker seasonal volume increase during 2009 than we generally experience.</w:t>
      </w:r>
    </w:p>
    <w:p>
      <w:pPr>
        <w:spacing w:after="0" w:line="5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Additionally, certain destructive weather conditions that tend to occur during the second half of the year, such as the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At December 31, 2010, we had approximately 42,800 full-time employees, of which approximately 7,600 were employed in administrative and sales positions and the balance in operations. Approximately 9,300 of our employees are covered by collective bargaining agreements.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Assurance and Insurance Obligations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Assurance</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Municipal and governmental waste service contracts generally require contracting parties to demonstrate financial responsibility for their obligations under the contract. Financial assurance is also a requirement for obtaining or retaining disposal site or transfer station operating permits. Various forms of financial assurance also are required to support variable-rate tax-exempt debt and by regulatory agencies for estimated capping, closure, post-closure and environmental remedial obligations at many of our landfills.</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 The following table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82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2"/>
        </w:trPr>
        <w:tc>
          <w:tcPr>
            <w:tcW w:w="680" w:type="dxa"/>
            <w:vAlign w:val="bottom"/>
          </w:tcPr>
          <w:p>
            <w:pPr>
              <w:spacing w:after="0"/>
              <w:rPr>
                <w:sz w:val="24"/>
                <w:szCs w:val="24"/>
                <w:color w:val="auto"/>
              </w:rPr>
            </w:pPr>
          </w:p>
        </w:tc>
        <w:tc>
          <w:tcPr>
            <w:tcW w:w="8500" w:type="dxa"/>
            <w:vAlign w:val="bottom"/>
            <w:gridSpan w:val="3"/>
          </w:tcPr>
          <w:p>
            <w:pPr>
              <w:spacing w:after="0"/>
              <w:rPr>
                <w:sz w:val="20"/>
                <w:szCs w:val="20"/>
                <w:color w:val="auto"/>
              </w:rPr>
            </w:pPr>
            <w:r>
              <w:rPr>
                <w:rFonts w:ascii="Arial" w:cs="Arial" w:eastAsia="Arial" w:hAnsi="Arial"/>
                <w:sz w:val="13"/>
                <w:szCs w:val="13"/>
                <w:color w:val="auto"/>
              </w:rPr>
              <w:t>summarizes the various forms and dollar amounts (in millions) of financial assurance that we had outstanding as of December 31, 2010: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Surety bonds:</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tcPr>
          <w:p>
            <w:pPr>
              <w:ind w:left="140"/>
              <w:spacing w:after="0"/>
              <w:rPr>
                <w:sz w:val="20"/>
                <w:szCs w:val="20"/>
                <w:color w:val="auto"/>
              </w:rPr>
            </w:pPr>
            <w:r>
              <w:rPr>
                <w:rFonts w:ascii="Arial" w:cs="Arial" w:eastAsia="Arial" w:hAnsi="Arial"/>
                <w:sz w:val="13"/>
                <w:szCs w:val="13"/>
                <w:color w:val="auto"/>
              </w:rPr>
              <w:t>Issued by consolidated subsidiary(a)</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Issued by affiliated entity(b)</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1,025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tcPr>
          <w:p>
            <w:pPr>
              <w:ind w:left="140"/>
              <w:spacing w:after="0"/>
              <w:rPr>
                <w:sz w:val="20"/>
                <w:szCs w:val="20"/>
                <w:color w:val="auto"/>
              </w:rPr>
            </w:pPr>
            <w:r>
              <w:rPr>
                <w:rFonts w:ascii="Arial" w:cs="Arial" w:eastAsia="Arial" w:hAnsi="Arial"/>
                <w:sz w:val="13"/>
                <w:szCs w:val="13"/>
                <w:color w:val="auto"/>
              </w:rPr>
              <w:t>Issued by third-party surety companies</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1,800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surety bonds</w:t>
            </w: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3,046</w:t>
            </w:r>
          </w:p>
        </w:tc>
        <w:tc>
          <w:tcPr>
            <w:tcW w:w="10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tcPr>
          <w:p>
            <w:pPr>
              <w:spacing w:after="0"/>
              <w:rPr>
                <w:sz w:val="20"/>
                <w:szCs w:val="20"/>
                <w:color w:val="auto"/>
              </w:rPr>
            </w:pPr>
            <w:r>
              <w:rPr>
                <w:rFonts w:ascii="Arial" w:cs="Arial" w:eastAsia="Arial" w:hAnsi="Arial"/>
                <w:sz w:val="13"/>
                <w:szCs w:val="13"/>
                <w:color w:val="auto"/>
              </w:rPr>
              <w:t>Letters of credit: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Revolving credit facility(c)</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1,138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tcPr>
          <w:p>
            <w:pPr>
              <w:ind w:left="140"/>
              <w:spacing w:after="0"/>
              <w:rPr>
                <w:sz w:val="20"/>
                <w:szCs w:val="20"/>
                <w:color w:val="auto"/>
              </w:rPr>
            </w:pPr>
            <w:r>
              <w:rPr>
                <w:rFonts w:ascii="Arial" w:cs="Arial" w:eastAsia="Arial" w:hAnsi="Arial"/>
                <w:sz w:val="13"/>
                <w:szCs w:val="13"/>
                <w:color w:val="auto"/>
              </w:rPr>
              <w:t>Letter of credit facilities(d)</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505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Other lines of credit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8500" w:type="dxa"/>
            <w:vAlign w:val="bottom"/>
            <w:gridSpan w:val="3"/>
          </w:tcPr>
          <w:p>
            <w:pPr>
              <w:spacing w:after="0"/>
              <w:rPr>
                <w:sz w:val="20"/>
                <w:szCs w:val="20"/>
                <w:color w:val="auto"/>
              </w:rPr>
            </w:pPr>
            <w:r>
              <w:rPr>
                <w:rFonts w:ascii="Arial" w:cs="Arial" w:eastAsia="Arial" w:hAnsi="Arial"/>
                <w:sz w:val="13"/>
                <w:szCs w:val="13"/>
                <w:color w:val="auto"/>
              </w:rPr>
              <w:t>Total letters of credit</w:t>
            </w: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1,880</w:t>
            </w:r>
          </w:p>
        </w:tc>
        <w:tc>
          <w:tcPr>
            <w:tcW w:w="1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Insurance policies:</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tcPr>
          <w:p>
            <w:pPr>
              <w:ind w:left="140"/>
              <w:spacing w:after="0"/>
              <w:rPr>
                <w:sz w:val="20"/>
                <w:szCs w:val="20"/>
                <w:color w:val="auto"/>
              </w:rPr>
            </w:pPr>
            <w:r>
              <w:rPr>
                <w:rFonts w:ascii="Arial" w:cs="Arial" w:eastAsia="Arial" w:hAnsi="Arial"/>
                <w:sz w:val="13"/>
                <w:szCs w:val="13"/>
                <w:color w:val="auto"/>
              </w:rPr>
              <w:t>Issued by consolidated subsidiary(a)</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1,053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Issued by affiliated entity(b)</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tcPr>
          <w:p>
            <w:pPr>
              <w:ind w:left="140"/>
              <w:spacing w:after="0"/>
              <w:rPr>
                <w:sz w:val="20"/>
                <w:szCs w:val="20"/>
                <w:color w:val="auto"/>
              </w:rPr>
            </w:pPr>
            <w:r>
              <w:rPr>
                <w:rFonts w:ascii="Arial" w:cs="Arial" w:eastAsia="Arial" w:hAnsi="Arial"/>
                <w:sz w:val="13"/>
                <w:szCs w:val="13"/>
                <w:color w:val="auto"/>
              </w:rPr>
              <w:t>Issued by third-party insurance companies</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184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insurance policies</w:t>
            </w: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w:t>
            </w:r>
          </w:p>
        </w:tc>
        <w:tc>
          <w:tcPr>
            <w:tcW w:w="10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tcPr>
          <w:p>
            <w:pPr>
              <w:spacing w:after="0"/>
              <w:rPr>
                <w:sz w:val="20"/>
                <w:szCs w:val="20"/>
                <w:color w:val="auto"/>
              </w:rPr>
            </w:pPr>
            <w:r>
              <w:rPr>
                <w:rFonts w:ascii="Arial" w:cs="Arial" w:eastAsia="Arial" w:hAnsi="Arial"/>
                <w:sz w:val="13"/>
                <w:szCs w:val="13"/>
                <w:color w:val="auto"/>
              </w:rPr>
              <w:t>Funded trust and escrow accounts(e)</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Financial guarantees(f)</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100" w:type="dxa"/>
            <w:vAlign w:val="bottom"/>
            <w:shd w:val="clear" w:color="auto" w:fill="CCEEFF"/>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8500" w:type="dxa"/>
            <w:vAlign w:val="bottom"/>
            <w:gridSpan w:val="3"/>
          </w:tcPr>
          <w:p>
            <w:pPr>
              <w:spacing w:after="0"/>
              <w:rPr>
                <w:sz w:val="20"/>
                <w:szCs w:val="20"/>
                <w:color w:val="auto"/>
              </w:rPr>
            </w:pPr>
            <w:r>
              <w:rPr>
                <w:rFonts w:ascii="Arial" w:cs="Arial" w:eastAsia="Arial" w:hAnsi="Arial"/>
                <w:sz w:val="13"/>
                <w:szCs w:val="13"/>
                <w:color w:val="auto"/>
              </w:rPr>
              <w:t>Total financial assurance</w:t>
            </w:r>
          </w:p>
        </w:tc>
        <w:tc>
          <w:tcPr>
            <w:tcW w:w="14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6,559</w:t>
            </w:r>
          </w:p>
        </w:tc>
        <w:tc>
          <w:tcPr>
            <w:tcW w:w="100" w:type="dxa"/>
            <w:vAlign w:val="bottom"/>
          </w:tcPr>
          <w:p>
            <w:pPr>
              <w:spacing w:after="0"/>
              <w:rPr>
                <w:sz w:val="14"/>
                <w:szCs w:val="14"/>
                <w:color w:val="auto"/>
              </w:rPr>
            </w:pPr>
          </w:p>
        </w:tc>
      </w:tr>
      <w:tr>
        <w:trPr>
          <w:trHeight w:val="108"/>
        </w:trPr>
        <w:tc>
          <w:tcPr>
            <w:tcW w:w="6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80" w:hanging="393"/>
        <w:spacing w:after="0" w:line="264" w:lineRule="auto"/>
        <w:tabs>
          <w:tab w:leader="none" w:pos="10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use surety bonds and insurance policies issued by a wholly-owned insurance subsidiary, National Guaranty Insurance Company of Vermont, the sole business of which is to issue financial assurance to WM and its subsidiaries. National Guaranty Insurance Company is authorized to write up to approximately $1.5 billion in surety bonds or insurance policies for our capping, closure and post-closure requirements, waste collection contracts and other business-related obligations.</w:t>
      </w:r>
    </w:p>
    <w:p>
      <w:pPr>
        <w:spacing w:after="0" w:line="17" w:lineRule="exact"/>
        <w:rPr>
          <w:rFonts w:ascii="Arial" w:cs="Arial" w:eastAsia="Arial" w:hAnsi="Arial"/>
          <w:sz w:val="13"/>
          <w:szCs w:val="13"/>
          <w:color w:val="auto"/>
        </w:rPr>
      </w:pPr>
    </w:p>
    <w:p>
      <w:pPr>
        <w:jc w:val="both"/>
        <w:ind w:left="1080" w:right="40" w:hanging="393"/>
        <w:spacing w:after="0" w:line="335" w:lineRule="auto"/>
        <w:tabs>
          <w:tab w:leader="none" w:pos="1080" w:val="left"/>
        </w:tabs>
        <w:numPr>
          <w:ilvl w:val="0"/>
          <w:numId w:val="5"/>
        </w:numPr>
        <w:rPr>
          <w:rFonts w:ascii="Arial" w:cs="Arial" w:eastAsia="Arial" w:hAnsi="Arial"/>
          <w:sz w:val="11"/>
          <w:szCs w:val="11"/>
          <w:color w:val="auto"/>
        </w:rPr>
      </w:pPr>
      <w:r>
        <w:rPr>
          <w:rFonts w:ascii="Arial" w:cs="Arial" w:eastAsia="Arial" w:hAnsi="Arial"/>
          <w:sz w:val="11"/>
          <w:szCs w:val="11"/>
          <w:color w:val="auto"/>
        </w:rPr>
        <w:t>We hold a noncontrolling financial interest in an entity that we use to obtain financial assurance. Our contractual agreement with this entity does not specifically limit the amounts of surety bonds or insurance that we may obtain, making our financial assurance under this agreement limited only by the guidelines and restrictions of surety and insurance regulations.</w:t>
      </w:r>
    </w:p>
    <w:p>
      <w:pPr>
        <w:ind w:left="1080" w:right="40" w:hanging="393"/>
        <w:spacing w:after="0" w:line="276" w:lineRule="auto"/>
        <w:tabs>
          <w:tab w:leader="none" w:pos="10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WM has a $2.0 billion revolving credit facility that matures in June 2013. At December 31, 2010, we had no outstanding borrowings and $1,138 million of letters of credit issued and supported by the facility. The unused and available credit capacity of the facility was $862 million as of December 31, 2010.</w:t>
      </w:r>
    </w:p>
    <w:p>
      <w:pPr>
        <w:spacing w:after="0" w:line="10" w:lineRule="exact"/>
        <w:rPr>
          <w:rFonts w:ascii="Arial" w:cs="Arial" w:eastAsia="Arial" w:hAnsi="Arial"/>
          <w:sz w:val="13"/>
          <w:szCs w:val="13"/>
          <w:color w:val="auto"/>
        </w:rPr>
      </w:pPr>
    </w:p>
    <w:p>
      <w:pPr>
        <w:ind w:left="1080" w:right="320" w:hanging="393"/>
        <w:spacing w:after="0" w:line="276" w:lineRule="auto"/>
        <w:tabs>
          <w:tab w:leader="none" w:pos="10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have an aggregate committed capacity of $505 million under letter of credit facilities with maturities that extend from June 2013 to June 2015. As of December 31, 2010, no borrowings were outstanding under these letter of credit facilities and we had no unused or available credit capacity.</w:t>
      </w:r>
    </w:p>
    <w:p>
      <w:pPr>
        <w:spacing w:after="0" w:line="10" w:lineRule="exact"/>
        <w:rPr>
          <w:rFonts w:ascii="Arial" w:cs="Arial" w:eastAsia="Arial" w:hAnsi="Arial"/>
          <w:sz w:val="13"/>
          <w:szCs w:val="13"/>
          <w:color w:val="auto"/>
        </w:rPr>
      </w:pPr>
    </w:p>
    <w:p>
      <w:pPr>
        <w:ind w:left="1080" w:right="40" w:hanging="393"/>
        <w:spacing w:after="0" w:line="258" w:lineRule="auto"/>
        <w:tabs>
          <w:tab w:leader="none" w:pos="10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funded trust and escrow accounts generally have been established to support landfill capping, closure, post-closure and environmental remediation obligations and our performance under various operating contracts. Balances maintained in these trust funds and escrow accounts will fluctuate based on (i) changes in statutory requirements; (ii) future deposits made to comply with contractual arrangements; (iii) the ongoing use of funds for qualifying activities; (iv) acquisitions or divestitures of landfills; and (v) changes in the fair value of the financial instruments held in the trust fund or escrow accounts. The assets held in our funded trust and escrow accounts may be drawn and used to meet the obligations for which the trusts and escrows were established.</w:t>
      </w:r>
    </w:p>
    <w:p>
      <w:pPr>
        <w:spacing w:after="0" w:line="22" w:lineRule="exact"/>
        <w:rPr>
          <w:rFonts w:ascii="Arial" w:cs="Arial" w:eastAsia="Arial" w:hAnsi="Arial"/>
          <w:sz w:val="13"/>
          <w:szCs w:val="13"/>
          <w:color w:val="auto"/>
        </w:rPr>
      </w:pPr>
    </w:p>
    <w:p>
      <w:pPr>
        <w:ind w:left="1080" w:right="260" w:hanging="393"/>
        <w:spacing w:after="0" w:line="276" w:lineRule="auto"/>
        <w:tabs>
          <w:tab w:leader="none" w:pos="10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WM provides financial guarantees on behalf of its subsidiaries to municipalities, customers and regulatory authorities. They are provided primarily to support our performance of landfill capping, closure and post-closure activities.</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hanging="393"/>
        <w:spacing w:after="0"/>
        <w:tabs>
          <w:tab w:leader="none" w:pos="108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amount of financial assurance required can, and generally will, differ from the obligation determined and recorded under U.S. generally accepted accounting principles.</w:t>
      </w:r>
    </w:p>
    <w:p>
      <w:pPr>
        <w:spacing w:after="0" w:line="108"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Virtually no claims have been made against our financial assurance instruments in the past, and considering our current financial position, management does not expect there to be claims against these instruments that will have a material adverse effect on our Consolidated Financial Statements. In 2010, we experienced an increase in costs associated with letters of credit as a result of the June 2010 refinancing of our revolving credit facility. We actively monitor our financial assurance needs and optimize the utilization of lower-cost instruments when possible to minimize our costs.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Insurance</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carry a broad range of insurance coverages, including general liability, automobile liability, 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As of December 31, 2010, our general liability insurance program carried self-insurance exposures of up to $2.5 million per incident and our workers’ compensation insurance program carried self-insurance exposures of up to $5 million per incident. As of December 31, 2010, our auto liability insurance program included a per-incident base deductible of $5 million, subject to additional deductibles of $4.8 million in the $5 million to $10 million layer. We do not expect the impact of any known casualty, property, environmental or other contingency to have a material impact on our financial condition, results of operations or cash flows. Our estimated insurance liabilities as of December 31, 2010 are summarized in Note 11 to the Consolidated Financial Statements.</w:t>
      </w:r>
    </w:p>
    <w:p>
      <w:pPr>
        <w:spacing w:after="0" w:line="73"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Directors’ and Officers’ Liability Insurance policy we choose to maintain covers only individual executive liability, often referred to as “Broad Form Side A,” and does not provide corporate reimbursement coverage, often referred to as “Side B.” The Side A policy covers directors and officers directly for loss, including defense costs, when corporate indemnification is unavailable. Side A-only coverage cannot be exhausted by payments to the Company, as the Company is not insured for any money it advances for defense costs or pays as indemnity to the insured directors and officers.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Our business is subject to extensive and evolving federal, state or provincial and local environmental, health, safety and transportation laws and regulations. These laws and regulations are administered by the U.S. EPA and various other federal, state and local environmental, zoning, transportation, land use, health and safety agencies in the United States and various agencies in Canada. Many of these agencies regularly examine our operations to monitor compliance with these laws and regulations and have the power to enforce compliance, obtain injunctions or impose civil or criminal penalties in case of violations.</w:t>
      </w:r>
    </w:p>
    <w:p>
      <w:pPr>
        <w:spacing w:after="0" w:line="7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Because the major component of our business is the collection and disposal of solid waste in an environmentally sound manner, a significant amount of our capital expenditures are related, either directly or indirectly, to environmental protection measures, including compliance with federal, state or provincial and local provisions that regulate the placement of materials into the environment. There are costs associated with siting, design, operations, monitoring, site maintenance, corrective actions, financial assurance, and facility closure and post-closure obligations. In connection with our acquisition, development or expansion of a disposal facility or transfer station, we must often spend considerable time, effort and money to obtain or maintain required permits and approvals. There cannot be any assurances that we will be able to obtain or maintain required governmental approvals. Once obtained, operating permits are subject to renewal, modification, suspension or revocation by the issuing agency. Compliance with these and any future regulatory requirements could require us to make significant capital and operating expenditures. However, most of these expenditures are made in the normal course of business and do not place us at any competitive disadvantage.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primary United States federal statutes affecting our business are summarized below:</w:t>
      </w:r>
    </w:p>
    <w:p>
      <w:pPr>
        <w:spacing w:after="0" w:line="96" w:lineRule="exact"/>
        <w:rPr>
          <w:sz w:val="20"/>
          <w:szCs w:val="20"/>
          <w:color w:val="auto"/>
        </w:rPr>
      </w:pPr>
    </w:p>
    <w:p>
      <w:pPr>
        <w:ind w:left="1280" w:hanging="190"/>
        <w:spacing w:after="0" w:line="289"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Resource Conservation and Recovery Act of 1976, as amended, regulates handling, transporting and disposing of hazardous and non-hazardous waste and delegates authority to states to develop programs to ensure the safe disposal of solid waste. In 1991, the EPA issued its final regulations under Subtitle D of RCRA, which set forth minimum federal performance and design criteria for solid waste landfills. These regulations are typically implemented by the states, although states can impose requirements that are more stringent than the Subtitle D standards. We incur costs in complying with these standards in the ordinary course of our operations.</w:t>
      </w:r>
    </w:p>
    <w:p>
      <w:pPr>
        <w:spacing w:after="0" w:line="43" w:lineRule="exact"/>
        <w:rPr>
          <w:rFonts w:ascii="Arial" w:cs="Arial" w:eastAsia="Arial" w:hAnsi="Arial"/>
          <w:sz w:val="12"/>
          <w:szCs w:val="12"/>
          <w:color w:val="auto"/>
        </w:rPr>
      </w:pPr>
    </w:p>
    <w:p>
      <w:pPr>
        <w:ind w:left="1280" w:hanging="190"/>
        <w:spacing w:after="0" w:line="278"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Comprehensive Environmental Response, Compensation and Liability Act of 1980,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disposal of hazardous substances; it can be based upon the release or threatened release, even as a result of lawful, unintentional and non-negligent action, of hazardous substances as the term is defined by CERCLA and other applicable statutes and regulations.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52" w:lineRule="exact"/>
        <w:rPr>
          <w:rFonts w:ascii="Arial" w:cs="Arial" w:eastAsia="Arial" w:hAnsi="Arial"/>
          <w:sz w:val="12"/>
          <w:szCs w:val="12"/>
          <w:color w:val="auto"/>
        </w:rPr>
      </w:pPr>
    </w:p>
    <w:p>
      <w:pPr>
        <w:ind w:left="1280" w:right="40" w:hanging="190"/>
        <w:spacing w:after="0" w:line="281"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Federal Water Pollution Control Act of 1972, known as the Clean Water Act, regulates the discharge of pollutants into streams, rivers, groundwater, or other surface waters from a variety of sources, including solid and hazardous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that require landfills and other waste-handling facilities to obtain storm water discharge permits. In addition, if a landfill or other facility discharges wastewater through a sewage system to a publicly-owned treatment works, the facility must comply with discharge limits imposed by the treatment works. Also,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48" w:lineRule="exact"/>
        <w:rPr>
          <w:rFonts w:ascii="Arial" w:cs="Arial" w:eastAsia="Arial" w:hAnsi="Arial"/>
          <w:sz w:val="12"/>
          <w:szCs w:val="12"/>
          <w:color w:val="auto"/>
        </w:rPr>
      </w:pPr>
    </w:p>
    <w:p>
      <w:pPr>
        <w:ind w:left="1280" w:hanging="190"/>
        <w:spacing w:after="0" w:line="255"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Clean Air Act of 1970, as amended, provides for increased federal, state and local regulation of the emission of air pollutants. Certain of our operations are subject to the requirements of the Clean Air Act, including large municipal solid waste landfills and large municipal waste-to-energy facilities. Standards have also been imposed on manufacturers of transportation vehicles (including waste collection vehicles). In 1996 the EPA issued new source performance standards and emission guidelines controlling landfill gases from new and existing large landfills. In January 2003, the EPA issued Maximum Achievable Control Technology standards for municipal solid waste landfills subject to the new source performance standards. These regulations impose limits on air emissions from large municipal solid waste landfills, subject most of our large municipal solid waste landfills to certain operating permitting requirements under Title V of the Clean Air Act and, in many instances, require installation of landfill gas collection and control systems to control emissions or to treat and utilize landfill gas on or off-site. In 2010, the EPA issued the Prevention of Significant Deterioration, or PSD, and Title V Greenhouse Gas, or GHG, Tailoring Rule which expanded the EPA’s federal air permitting authority to include the six GHGs, including methane and carbon dioxide. Air permits for new and modified large municipal solid waste landfills, waste-to-energy facilities and landfill gas-to-energy facilities could be impacted, but the degree of impact is incumbent upon the EPA’s final</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line="255" w:lineRule="auto"/>
        <w:rPr>
          <w:sz w:val="20"/>
          <w:szCs w:val="20"/>
          <w:color w:val="auto"/>
        </w:rPr>
      </w:pPr>
      <w:r>
        <w:rPr>
          <w:rFonts w:ascii="Arial" w:cs="Arial" w:eastAsia="Arial" w:hAnsi="Arial"/>
          <w:sz w:val="13"/>
          <w:szCs w:val="13"/>
          <w:color w:val="auto"/>
        </w:rPr>
        <w:t xml:space="preserve">determination on permitting of biogenic GHG emissions (e.g. carbon dioxide) as well as the EPA’s or implementing states’ determinations on what may constitute “Best Available Control Technology” for new projects exceeding certain thresholds. In addition, recent final and proposed reductions in certain National Ambient Air Quality Standards and related PSD increment/significance thresholds could impact the cost, timeliness and availability of air permits for new and modified large municipal solid waste landfills, waste-to-energy facilities and landfill gas-to-energy facilities. In general, controlling emissions involves drilling collection wells into a landfill and routing the gas to a suitable energy recovery system or combustion device. We are currently capturing and utilizing the renewable energy value of landfill gas at 127 of our solid waste landfills. Efforts to curtail the emission of greenhouse gases and to ameliorate the effect of climate change may require our landfills to deploy more stringent emission controls, with resulting capital or operating costs. See Item 1A.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 “The adoption of climate change legislation or regulations restricting emissions of “greenhouse gases” could increase our costs to operate.”</w:t>
      </w:r>
    </w:p>
    <w:p>
      <w:pPr>
        <w:spacing w:after="0" w:line="76" w:lineRule="exact"/>
        <w:rPr>
          <w:sz w:val="20"/>
          <w:szCs w:val="20"/>
          <w:color w:val="auto"/>
        </w:rPr>
      </w:pPr>
    </w:p>
    <w:p>
      <w:pPr>
        <w:jc w:val="both"/>
        <w:ind w:left="1280" w:right="140"/>
        <w:spacing w:after="0" w:line="296" w:lineRule="auto"/>
        <w:rPr>
          <w:sz w:val="20"/>
          <w:szCs w:val="20"/>
          <w:color w:val="auto"/>
        </w:rPr>
      </w:pPr>
      <w:r>
        <w:rPr>
          <w:rFonts w:ascii="Arial" w:cs="Arial" w:eastAsia="Arial" w:hAnsi="Arial"/>
          <w:sz w:val="12"/>
          <w:szCs w:val="12"/>
          <w:color w:val="auto"/>
        </w:rPr>
        <w:t>The EPA has issued new source performance standards and emission guidelines for large and small municipal waste-to-energy facilities, which include stringent emission limits for various pollutants based on Maximum Achievable Control Technology standards. These sources are also subject to operating permit requirements under Title V of the Clean Air Act. The Clean Air Act requires the EPA to review and revise the MACT standards applicable to municipal waste-to-energy facilities every five years.</w:t>
      </w:r>
    </w:p>
    <w:p>
      <w:pPr>
        <w:spacing w:after="0" w:line="50" w:lineRule="exact"/>
        <w:rPr>
          <w:sz w:val="20"/>
          <w:szCs w:val="20"/>
          <w:color w:val="auto"/>
        </w:rPr>
      </w:pPr>
    </w:p>
    <w:p>
      <w:pPr>
        <w:ind w:left="1280" w:right="80" w:hanging="190"/>
        <w:spacing w:after="0" w:line="282" w:lineRule="auto"/>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There are also various state or provincial and local regulations that affect our operations. Sometimes states’ regulations are stricter than federal laws and regulations when not otherwise preempted by federal law. Additionally, our collection and landfill operations could be affected by legislative and regulatory measures requiring or encouraging waste reduction at the source and waste recycling.</w:t>
      </w:r>
    </w:p>
    <w:p>
      <w:pPr>
        <w:spacing w:after="0" w:line="67"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Additionally, several state and local governments have enacted “flow control” regulations, which attempt to require that all waste generated within the state or local jurisdiction be deposited at specific sites. In 1994, the United States Supreme Court ruled that a flow control ordinance that gave preference to a local facility that was privately owned was unconstitutional, but in 2007, the Court ruled that an ordinance directing waste to a facility owned by the local government was constitutional. In addition, from time to time, the United States Congress has considered legislation authorizing states to adopt regulations, restrictions, or taxes on the importation of out-of-state or out-of-jurisdiction waste. The United States Congress’ adoption of legislation allowing restrictions on interstate transportation of out-of-state or out-of-jurisdiction waste or certain types of flow control or the adoption of legislation affecting interstate transportation of waste at the state level could adversely affect our operations. Courts’ interpretation of flow control legislation or the Supreme Court decisions also could adversely affect our solid and hazardous waste management services.</w:t>
      </w:r>
    </w:p>
    <w:p>
      <w:pPr>
        <w:spacing w:after="0" w:line="74"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80"/>
        <w:spacing w:after="0" w:line="276" w:lineRule="auto"/>
        <w:rPr>
          <w:sz w:val="20"/>
          <w:szCs w:val="20"/>
          <w:color w:val="auto"/>
        </w:rPr>
      </w:pPr>
      <w:r>
        <w:rPr>
          <w:rFonts w:ascii="Arial" w:cs="Arial" w:eastAsia="Arial" w:hAnsi="Arial"/>
          <w:sz w:val="13"/>
          <w:szCs w:val="13"/>
          <w:color w:val="auto"/>
        </w:rPr>
        <w:t>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See Note 11 to the Consolidated Financial Statements for disclosures relating to our current assessments of the impact of regulations on our current and future operations.</w:t>
      </w:r>
    </w:p>
    <w:p>
      <w:pPr>
        <w:spacing w:after="0" w:line="18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50"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You should view these statements with caution. These statements are not guarantees of future performance, circumstances or events. They are based on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2011 and beyond.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 economic conditions can directly and adversely affect our revenues and our operating margins.</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business is directly affected by changes in national and general economic factors that are outside of our control, including consumer confidence, interest rates and access to capital markets. A weak economy generally results in decreases in volumes of waste generated, which decreases our revenues. In addition, we have a relatively high fixed-cost structure, which is difficult to quickly adjust to match shifting volume levels. Consumer uncertainty and the loss of consumer confidence may limit the number or amount of services requested by customers and our ability to implement our pricing strategy. In addition to disruption in the credit markets, recent and continuing economic conditions have negatively affected business and consumer spending generally. If our commercial customers do not have access to capital, both our volumes and our ability to increase new business will be negatively impacted.</w:t>
      </w:r>
    </w:p>
    <w:p>
      <w:pPr>
        <w:spacing w:after="0" w:line="134" w:lineRule="exact"/>
        <w:rPr>
          <w:sz w:val="20"/>
          <w:szCs w:val="20"/>
          <w:color w:val="auto"/>
        </w:rPr>
      </w:pPr>
    </w:p>
    <w:p>
      <w:pPr>
        <w:ind w:left="880" w:right="420"/>
        <w:spacing w:after="0" w:line="276" w:lineRule="auto"/>
        <w:rPr>
          <w:sz w:val="20"/>
          <w:szCs w:val="20"/>
          <w:color w:val="auto"/>
        </w:rPr>
      </w:pPr>
      <w:r>
        <w:rPr>
          <w:rFonts w:ascii="Arial" w:cs="Arial" w:eastAsia="Arial" w:hAnsi="Arial"/>
          <w:sz w:val="13"/>
          <w:szCs w:val="13"/>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We encounter intense competition from governmental, quasi-governmental and private sources in all aspects of our operations. In North America, the industry consists primarily of two national waste management companies, regional companies and local companies of varying sizes and financial resources, including smaller companies that specialize in certain discrete areas of waste management.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competitors may reduce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their prices to expand sales volume or to win competitively-bid contracts. When this happens, we may be unable to execute our pricing strategy, resulting in a negative impact to our revenue growth from yield on base business.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implement our business strategy, our financial performance and our growth could be materially and adversely affected.</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Our future financial performance and success are dependent in large part upon our ability to implement our business strategy successfully. We have adopted a business strategy built on three key initiatives: know more about our customers and how to service them than anyone else; use conversion and processing technology to extract more value from the materials we manage; and continuously improve our operational efficiency. In the short-term, we intend to pursue these initiatives through efforts to:</w:t>
      </w:r>
    </w:p>
    <w:p>
      <w:pPr>
        <w:spacing w:after="0" w:line="50" w:lineRule="exact"/>
        <w:rPr>
          <w:sz w:val="20"/>
          <w:szCs w:val="20"/>
          <w:color w:val="auto"/>
        </w:rPr>
      </w:pPr>
    </w:p>
    <w:p>
      <w:pPr>
        <w:ind w:left="1280" w:right="22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Grow our markets by implementing customer-focused growth, through customer segmentation and through strategic acquisitions, while maintaining our pricing discipline and increasing the amount of recyclable materials we handle each year;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Grow our customer loyalty, in part through the use of enabling technologies;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Grow into new markets by investing in greener technologies;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Pursue initiatives that improve our operations and cost structure.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risks involved in pursuing our strategy, including the following:</w:t>
      </w:r>
    </w:p>
    <w:p>
      <w:pPr>
        <w:spacing w:after="0" w:line="96" w:lineRule="exact"/>
        <w:rPr>
          <w:sz w:val="20"/>
          <w:szCs w:val="20"/>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strategy may result in a significant change to our business, and our employees, customers or investors may not embrace and support our strategy.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Customer segmentation is new to our business, and it could result in fragmentation of our efforts, rather than improved customer relationships.</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 efforts to enhance our revenues, we have implemented price increases and environmental fees, and we have continued our fuel surcharge program to offset fuel costs. The loss of volumes as a result of price increases may negatively affect our cash flows or results of operations.</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make strategic acquisitions and invest in greener technologies depends on our ability to identify desirable acquisition or investment targets, negotiate advantageous transactions despite competition for such opportunities, and realize the benefits we expect from those transactions.</w:t>
      </w:r>
    </w:p>
    <w:p>
      <w:pPr>
        <w:spacing w:after="0" w:line="49"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Acquisitions and/or investments may not increase our earnings in the timeframe anticipated, or at all, due to difficulties operating in new markets or providing new service offerings, failure to operate within budget, integration issues, or regulatory issues, among others.</w:t>
      </w:r>
    </w:p>
    <w:p>
      <w:pPr>
        <w:spacing w:after="0" w:line="49"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addition to the risks set forth above, implementation of our business strategy could also be affected by a number of factors beyond our control, such as increased competition, legal developments, government regulation, general economic conditions, increased operating costs or expenses and changes in industry trends. Further,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plan successfully, our operating results may not improve to the extent we anticipate, or at all.</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The seasonal nature of our business and “one-time” special projects cause our results to fluctuate, and prior performance is not necessarily indicative of our future results.</w:t>
      </w:r>
    </w:p>
    <w:p>
      <w:pPr>
        <w:spacing w:after="0" w:line="11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Our operating revenues tend to be somewhat higher in summer months, primarily due to the higher volume of construction and demolition waste. The volumes of industrial and residential waste in certain regions where we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During 2010, our financial results included revenue generated as a result of clean-up efforts in connection with the oil spill along the Gulf Coast and the substantial flooding in Tennessee; however, these special projects have a limited time span.</w:t>
      </w:r>
    </w:p>
    <w:p>
      <w:pPr>
        <w:spacing w:after="0" w:line="55" w:lineRule="exact"/>
        <w:rPr>
          <w:sz w:val="20"/>
          <w:szCs w:val="20"/>
          <w:color w:val="auto"/>
        </w:rPr>
      </w:pPr>
    </w:p>
    <w:p>
      <w:pPr>
        <w:jc w:val="both"/>
        <w:ind w:left="680" w:right="300" w:firstLine="399"/>
        <w:spacing w:after="0" w:line="264" w:lineRule="auto"/>
        <w:rPr>
          <w:sz w:val="20"/>
          <w:szCs w:val="20"/>
          <w:color w:val="auto"/>
        </w:rPr>
      </w:pPr>
      <w:r>
        <w:rPr>
          <w:rFonts w:ascii="Arial" w:cs="Arial" w:eastAsia="Arial" w:hAnsi="Arial"/>
          <w:sz w:val="13"/>
          <w:szCs w:val="13"/>
          <w:color w:val="auto"/>
        </w:rPr>
        <w:t>Certain weather conditions, including severe weather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For these and other reasons, operating results in any interim period are not necessarily indicative of operating results for an entire year, and operating results for any historical period are not necessarily indicative of operating results for a future period.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operations are subject to environmental, health and safety laws and regulations, as well as contractual obligations, that may result in significant liabilities.</w:t>
      </w:r>
    </w:p>
    <w:p>
      <w:pPr>
        <w:spacing w:after="0" w:line="108"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There is risk of incurring significant environmental liabilities in the use, treatment, storage, transfer and disposal of waste materials. Under applicable environmental laws and regulations, we could be liable if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This risk is of particular concern as we execute our growth strategy, partially though acquisitions, because we may be unsuccessful in identifying and assessing potential liabilities during our due diligence investigations. Further, the counterparties in such transactions may be unable to perform their indemnification obligations owed to us. Additionally,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7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the ordinary course of our business, we have in the past, we are currently, and we may in the future, become involved in legal and administrative proceedings relating to land use and environmental laws and regulations. These include proceedings in which:</w:t>
      </w:r>
    </w:p>
    <w:p>
      <w:pPr>
        <w:spacing w:after="0" w:line="59" w:lineRule="exact"/>
        <w:rPr>
          <w:sz w:val="20"/>
          <w:szCs w:val="20"/>
          <w:color w:val="auto"/>
        </w:rPr>
      </w:pPr>
    </w:p>
    <w:p>
      <w:pPr>
        <w:ind w:left="128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49"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local communities, citizen groups,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59"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3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Further, we often enter into contractual arrangements with landowners imposing obligations on us to meet certain regulatory or contractual conditions upon site closure or upon termination of the agreements. Compliance with these arrangements is inherently subject to subjective determinations and may result in disputes, including litigation. Costs to remediate or restore the condition of closed sites may be significant.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b w:val="1"/>
          <w:bCs w:val="1"/>
          <w:i w:val="1"/>
          <w:iCs w:val="1"/>
          <w:color w:val="auto"/>
        </w:rPr>
        <w:t>The waste industry is subject to extensive government regulation, and existing or future regulations may restrict our operations, increase our costs of operations or require us to make additional capital expenditures.</w:t>
      </w:r>
    </w:p>
    <w:p>
      <w:pPr>
        <w:spacing w:after="0" w:line="59"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Stringent government regulations at the federal, state, provincial, and local level in the United States and Canada have a substantial impact on our business, and compliance with such regulations is costly.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50"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limitations on siting and constructing new waste disposal, transfer or processing facilities or on expanding existing facilities;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limitations, regulations or levies on collection and disposal prices, rates and volumes;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waste or certain categories of waste;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mandates regarding the disposal of solid waste, including requirements to recycle rather than landfill certain waste streams.</w:t>
      </w:r>
    </w:p>
    <w:p>
      <w:pPr>
        <w:spacing w:after="0" w:line="96"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12"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1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also have significant financial obligations relating to capping, closure, post-closure and environmental remediation at our existing landfills. We establish accruals for these estimated costs, but we could underestimate such accruals. Environmental regulatory changes could accelerate or increase capping, closure, post-closure and remediation costs, requiring our expenditures to materially exceed our current accruals.</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Various states have enacted, or are considering enacting, laws that restrict the disposal within the state of solid waste generated outside the state. Additionally, several state and local governments have enacted “flow control” regulations, which attempt to require that all waste generated within the state or local jurisdiction be deposited at specific sites. The United States Congress’ adoption of legislation allowing restrictions on interstate transportation of out-of-state or out-of-jurisdiction waste or certain types of flow control or the adoption of legislation affecting interstate transportation of waste at the state level could adversely affect our operations. Courts’ interpretation of flow control legislation or the Supreme Court decisions also could adversely affect our solid and hazardous waste management services.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adoption of climate change legislation or regulations restricting emissions of “greenhouse gases” could increase our costs to operate.</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Efforts to curtail the emission of GHGs, to ameliorate the effect of climate change, continue to advance on the federal, regional, and state level. Our landfill operations emit methane, identified as a GHG. In the 111th Congress, the U.S. House of Representatives passed a bill that would regulate GHGs comprehensively. While the centerpiece of that bill would be a GHG emission allowance cap-and-trade system, neither landfills nor qualifying waste-to-energy plants would be compelled to hold allowances for their GHG emissions. Rather, they would be subject to certain further emission controls to be determined through administrative rule-making. Should comprehensive federal climate change legislation be enacted, we expect it to impose costs on our operations, the materiality of which we cannot predict.</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Absent comprehensive federal legislation to control GHG emissions, the EPA is moving ahead administratively under its existing Clean Air Act authority. In 2010, the EPA published a Prevention of Significant Deterioration (“PSD”) and Title V Greenhouse Gas Tailoring Rule (“PSD tailoring rule”). The rule sets new</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thresholds for GHG emissions that define when Clean Air Act permits are required under the PSD and Title V programs. The EPA’s legal authority to “tailor” statutory thresholds in this rule has been challenged, and the EPA intends to delay regulation of certain emissions pending further regulatory analysis. We cannot predict the final requirements of stationary source rules that might apply to landfills and waste-to-energy facilities as a result of this rulemaking and, accordingly, further developments in this area could have a material effect on our results of operations or cash flows.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 depends on our reputation and the value of our brand.</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believe we have developed a reputation for high-quality service, reliability and social and environmental responsibility, and we believe our brand symbolizes these attributes. The Waste Management brand name, trademarks and logos and our reputation are powerful sales and marketing tools, and we devote significant resources to promoting and protecting them. Adverse publicity, whether or not justified, relating to activities by our operations, employees or agents could tarnish our reputation and reduce the value of our brand. Damage to our reputation and loss of brand equity could reduce demand for our services and thus have an adverse effect on our financial condition, liquidity and results of operations, as well as require additional resources to rebuild our reputation and restore the value of our brand.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shortages in fuel supply or increases in fuel prices will increase our operating expenses.</w:t>
      </w:r>
    </w:p>
    <w:p>
      <w:pPr>
        <w:spacing w:after="0" w:line="96"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The price and supply of fuel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We have seen average quarterly fuel prices increase by as much as 30% on a year-over-year basis and decrease by as much as 47% on a year-over-year basis within the last two years. We need fuel to run our collection and transfer trucks and our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pass-through of the increased costs. Additionally, we are currently party to a pending suit that pertains to our fuel and environmental charge and generally alleges that such charges were not properly disclosed, were unfair, and were contrary to contract. See Note 11 of the Consolidated Financial Statements for more information. Regardless of any offsetting surcharge programs, the increased operating costs will decrease our operating margins.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Some of our customers, including governmental entities, have suffered financial difficulties affecting their credit risk, which could negatively impact our operating results.</w:t>
      </w:r>
    </w:p>
    <w:p>
      <w:pPr>
        <w:spacing w:after="0" w:line="108"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provide service to a number of governmental entities and municipalities, some of which have suffered significant financial difficulties due to the downturn in the U.S. economy and reduced tax revenue. Some of these entities could be unable to pay amounts owed to us or renew contracts with us at previous or increased rates. Many non-governmental customers have also suffered serious financial difficulties, and the inability of our customers to pay us in a timely manner or to pay increased rates could negatively affect our operating results.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the financial difficulties of municipalities could result in a decline in investors’ demand for municipal bonds and a correlating increase in interest rates. As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December 31, 2010, we had $611 million of tax-exempt bonds that are subject to re-pricing on either a daily or a weekly basis through a remarketing process and $405 million of tax-exempt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bonds with term interest rate periods that are subject to re-pricing within the next twelve months. If the weakness in the municipal debt market results in re-pricing of our tax-exempt bonds at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significantly higher interest rates, we will incur increased interest expenses that may negatively affect our operating results and cash flows.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were unable to meet their obligations, or our own obligations for claims were more than we estimated, there could be a material adverse effect to our financial results.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addition, to fulfill our financial assurance obligations with respect to variable-rate tax-exempt debt, capping, closure, post-closure and environmental remediation obligations, we generally obtain letters of credit or surety bonds, rely on insurance, including captive insurance, fund trust and escrow accounts or rely upon WM financial guarantees. We currently have in place all financial assurance instruments necessary for our operations. 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record material charges against our earnings due to any number of events that could cause impairments to our assets.</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In accordance with generally accepted accounting principles,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If we determine a development or expansion project is impaired, we will charge against earnings any unamortized capitalized expenditures and advances relating to such facility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 We may be required to incur charges against earnings if we determine that events such as those described cause impairments. Any such charges could have a material adverse effect on our results of operations.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revenues will fluctuate based on changes in commodity prices.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known as OCC, and old newsprint, or ONP. The fluctuations in the market prices or demand for these commodities can affect our operating income and cash flows negatively, as we experienced in 2008, or positively, as we experienced in 2010. In the fourth quarter of 2008, the monthly market prices for OCC and ONP fell by 79% and 72%, respectively, from their high points within the year. Additionally, the decline in market prices for commodities resulted in a year-over-year decrease in revenue of $447 million in 2009. Increases in the prices of recycling commodities in 2010 resulted in an increase in revenues of $423 million as compared with 2009. Market prices for recyclable commodities have increased significantly from the near-historic lows experienced in late 2008 and early 2009. For the twelve months of 2010, overall commodity</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20"/>
        <w:spacing w:after="0" w:line="260" w:lineRule="auto"/>
        <w:rPr>
          <w:sz w:val="20"/>
          <w:szCs w:val="20"/>
          <w:color w:val="auto"/>
        </w:rPr>
      </w:pPr>
      <w:r>
        <w:rPr>
          <w:rFonts w:ascii="Arial" w:cs="Arial" w:eastAsia="Arial" w:hAnsi="Arial"/>
          <w:sz w:val="13"/>
          <w:szCs w:val="13"/>
          <w:color w:val="auto"/>
        </w:rPr>
        <w:t>prices have increased approximately 57% as compared with 2009. Despite the recent positive trend in commodity prices, these prices may fluctuate substantially and without notice in the future. Additionally, our recycling operations offer rebates to suppliers. Therefore, even if we experience higher revenues based on increased market prices for commodities, the rebates we pay will also increase. In other circumstances, the rebates may be subject to a floor, such that as market prices decrease, any expected profit margins on materials subject to the rebate floor are eliminated.</w:t>
      </w:r>
    </w:p>
    <w:p>
      <w:pPr>
        <w:spacing w:after="0" w:line="70" w:lineRule="exact"/>
        <w:rPr>
          <w:sz w:val="20"/>
          <w:szCs w:val="20"/>
          <w:color w:val="auto"/>
        </w:rPr>
      </w:pPr>
    </w:p>
    <w:p>
      <w:pPr>
        <w:ind w:left="680" w:right="180" w:firstLine="399"/>
        <w:spacing w:after="0" w:line="255" w:lineRule="auto"/>
        <w:rPr>
          <w:sz w:val="20"/>
          <w:szCs w:val="20"/>
          <w:color w:val="auto"/>
        </w:rPr>
      </w:pPr>
      <w:r>
        <w:rPr>
          <w:rFonts w:ascii="Arial" w:cs="Arial" w:eastAsia="Arial" w:hAnsi="Arial"/>
          <w:sz w:val="13"/>
          <w:szCs w:val="13"/>
          <w:color w:val="auto"/>
        </w:rPr>
        <w:t>There are also significant price fluctuations in the price of methane gas, electricity and other energy-related products that are marketed and sold by our landfill gas recovery, waste-to-energy and independent power production plant operations that can significantly impact our revenue from yield provided by such businesses. In most of the markets in which we operate, electricity prices correlate with natural gas prices. For the year ended December 31, 2009, we experienced declines in revenue from yield at our waste-to-energy facilities of $76 million, due to the expiration of certain above-market contracts, resulting in greater exposure to market pricing. During the years ended December 31, 2010, 2009 and 2008, approximately 47%, 46% and 24%, respectively, of the electricity revenue at our waste-to-energy facilities was subject to current market rates. Our waste-to-energy facilities’ exposure to market price volatility will continue to increase as additional long-term contracts expire. We enter into “receive fixed, pay variable” electricity swaps to mitigate the variability in our revenues and cash flows caused by fluctuations in the market prices for electricity. These swaps are generally short-term in nature. Additionally, revenues from our independent power production plants can be affected by price fluctuations. If we are unable to successfully negotiate long-term contracts, or if market prices are at lower levels for sustained periods, our revenues could be adversely affected.</w:t>
      </w:r>
    </w:p>
    <w:p>
      <w:pPr>
        <w:spacing w:after="0" w:line="153"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b w:val="1"/>
          <w:bCs w:val="1"/>
          <w:i w:val="1"/>
          <w:iCs w:val="1"/>
          <w:color w:val="auto"/>
        </w:rPr>
        <w:t>The development and acceptance of alternatives to landfill disposal and waste-to-energy facilities could reduce our ability to operate at full capacity and cause our revenues and operating results to decline.</w:t>
      </w:r>
    </w:p>
    <w:p>
      <w:pPr>
        <w:spacing w:after="0" w:line="59"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Our customers are increasingly diverting waste to alternatives to landfill and waste-to-energy disposal, such as recycling and composting, while also working to reduce the amount of waste they generate. In addition, several state and local governments mandate recycling and waste reduction at the source and prohibit the disposal of certain types of waste, such as yard and food waste, at landfills or waste-to-energy facilities. Where such organic waste is not banned from the landfill or waste-to-energy facility, large customers such as grocery stores and restaurants are choosing to divert their organic waste from landfills. Zero-waste goals (sending no waste to the landfill) have been set by many of North America’s largest companies. Although such mandates and initiatives help to protect our environment, these developments reduce the volume of waste going to landfills and waste-to-energy facilities in certain areas, which may affect our ability to operate our landfills and waste-to-energy facilities at full capacity, as well as affecting the prices that we can charge for landfill disposal and waste-to-energy services. Our landfills and our waste-to-energy facilities currently provide and have historically provided our highest operating margins. If we are not successful in expanding our service offerings and growing lines of businesses to service waste streams that do not go to landfills or waste-to-energy facilities and to provide services for customers that wish to reduce waste entirely, then our revenues and operating results will decline. Additionally, despite the development of new service offerings and lines of business, it is reasonably possible that our revenues and our operating margins could be negatively affected due to disposal alternatives.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operating expenses could increase as a result of labor unions organizing or changes in regulations related to labor unions.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the negotiation of collective bargaining agreements could divert management attention and result in increased operating expenses and lower net income. If we are unable to negotiate acceptable collective bargaining agreements, our operating expenses could increase significantly as a result of work stoppages, including strikes. Any of these matters could adversely affect our financial condition, results of operations and cash flows.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could face significant liabilities for withdrawal from multiemployer pension plans.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have participated in and contributed to various “multiemployer” pension plans administered by employer and union trustees. In renegotiation of collective bargaining agreements with labor unions that participate in these plans, we may decide to discontinue participation in various plans. When we withdraw from plans, we can incur withdrawal liabilities for those plans that have underfunded pension liabilities. Various factors affect our liabilities for a plan’s underfunded status, including the numbers of retirees and active workers in the plan, the ongoing solvency of participating employers, the investment returns obtained on plan assets, and the ratio of our historical participation in such plan to all employers’ historical participation. We reflect any withdrawal liability as an operating expense in our statement of operations and as a liability on our balance sheet.</w:t>
      </w:r>
    </w:p>
    <w:p>
      <w:pPr>
        <w:spacing w:after="0" w:line="55" w:lineRule="exact"/>
        <w:rPr>
          <w:sz w:val="20"/>
          <w:szCs w:val="20"/>
          <w:color w:val="auto"/>
        </w:rPr>
      </w:pPr>
    </w:p>
    <w:p>
      <w:pPr>
        <w:jc w:val="both"/>
        <w:ind w:left="680" w:right="300" w:firstLine="399"/>
        <w:spacing w:after="0" w:line="264" w:lineRule="auto"/>
        <w:rPr>
          <w:sz w:val="20"/>
          <w:szCs w:val="20"/>
          <w:color w:val="auto"/>
        </w:rPr>
      </w:pPr>
      <w:r>
        <w:rPr>
          <w:rFonts w:ascii="Arial" w:cs="Arial" w:eastAsia="Arial" w:hAnsi="Arial"/>
          <w:sz w:val="13"/>
          <w:szCs w:val="13"/>
          <w:color w:val="auto"/>
        </w:rPr>
        <w:t>We have previously withdrawn several employee bargaining units from underfunded multiemployer pension plans, and we recognized related expenses of $26 million in 2010, $9 million in 2009 and $39 million in 2008. We are still negotiating and litigating final resolutions of our withdrawal liability for these previous withdrawals, which could be materially higher than the charges we have recognized.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Currently pending or future litigation or governmental proceedings could result in material adverse consequences, including judgments or settlements.</w:t>
      </w:r>
    </w:p>
    <w:p>
      <w:pPr>
        <w:spacing w:after="0" w:line="96"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increasingly dependent on technology in our operations and if our technology fails, our business could be adversely affected.</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Inabilities and delays in implementing new systems can also affect our ability to realize projected or expected cost savings. Additionally, any systems failures could impede our ability to timely collect and report financial results in accordance with applicable laws and regulations.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not able to develop and protect intellectual property, or if a competitor develops or obtains exclusive rights to a breakthrough technology, our financial results may suffer.</w:t>
      </w:r>
    </w:p>
    <w:p>
      <w:pPr>
        <w:spacing w:after="0" w:line="11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existing and proposed service offerings to customers may require that we develop or license, and protect, new technologies. We may experience difficulties or delays in the research, development, production and/or marketing of new products and services which may negatively impact our operating results and prevent us from recouping or realizing a return on the investments required to bring new products and services to market. Further, protecting our intellectual property rights and combating unlicensed copying and use of intellectual property is difficult, and any inability to obtain or protect new technologies could impact our services to customers and development of new revenue sources. Additionally, a competitor may develop or obtain exclusive rights to a “breakthrough technology” that provides a revolutionary change in traditional waste management. If we have inferior intellectual property to our competitors, our financial results may suffer.</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experience adverse impacts on our reported results of operations as a result of adopting new accounting standards or interpretations.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Our implementation of and compliance with changes in accounting rules, including new accounting rules and interpretations, could adversely affect our reported financial position or operating results or cause unanticipated fluctuations in our reported operating results in future periods.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capital requirements could increase our expenses or cause us to change our growth and development plans.</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Recent economic conditions have reduced our cash flows from operations and could do so in the future. If impacts on our cash flows from operations are significant, we may reduce or suspend capital expenditures, growth activity, dividend declarations or share repurchases. We may choose to incur indebtedness to pay for these activities, and there can be no assurances that we would be able to incur indebtedness on terms we deem acceptable. We also may need to incur indebtedness to refinance scheduled debt maturities, and it is possible that the cost of financing could increase significantly, thereby increasing our expenses and decreasing our net income. Further, our ability to execute our financial strategy and our ability to incur indebtedness depends on our ability to maintain investment grade ratings on our senior debt. The credit rating process is contingent upon a number of factors, many of which are beyond our control. If we were unable to maintain our investment grade credit ratings in the future, our interest expense would increase and our ability to obtain financing on favorable terms could be adversely affected.</w:t>
      </w:r>
    </w:p>
    <w:p>
      <w:pPr>
        <w:spacing w:after="0" w:line="7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Additionally, we have $1.8 billion of debt as of December 31, 2010 that is exposed to changes in market interest rates within the next twelve months because of the combined impact of our tax-exempt bonds, our interest rate swap agreements and borrowings outstanding under our Canadian Credit Facility. Therefore, increases in interest rates can increase our interest expenses which also would lower our net income and decrease our cash flow.</w:t>
      </w:r>
    </w:p>
    <w:p>
      <w:pPr>
        <w:spacing w:after="0" w:line="67" w:lineRule="exact"/>
        <w:rPr>
          <w:sz w:val="20"/>
          <w:szCs w:val="20"/>
          <w:color w:val="auto"/>
        </w:rPr>
      </w:pPr>
    </w:p>
    <w:p>
      <w:pPr>
        <w:jc w:val="both"/>
        <w:ind w:left="680" w:right="100" w:firstLine="399"/>
        <w:spacing w:after="0" w:line="258" w:lineRule="auto"/>
        <w:rPr>
          <w:sz w:val="20"/>
          <w:szCs w:val="20"/>
          <w:color w:val="auto"/>
        </w:rPr>
      </w:pPr>
      <w:r>
        <w:rPr>
          <w:rFonts w:ascii="Arial" w:cs="Arial" w:eastAsia="Arial" w:hAnsi="Arial"/>
          <w:sz w:val="13"/>
          <w:szCs w:val="13"/>
          <w:color w:val="auto"/>
        </w:rPr>
        <w:t>We may use our three-year, $2.0 billion revolving credit facility to meet our cash needs, to the extent available. As of December 31, 2010, we had $1,138 million of letters of credit issued and supported by the facility, leaving an unused and available credit capacity of $862 million. 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Properties.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principal executive offices are in Houston, Texas, where we lease approximately 435,000 square feet under leases expiring at various times through 2020. Our Group offices are in Pennsylvania, Illinois, Georgia, Arizona and New Hampshire. We also have field-based administrative offices in Arizona, Illinois and Texas. We own or lease real property in most locations where we have operations. We have operations in each of the fifty states other than Montana. We also have operations in the District of Columbia, Puerto Rico and throughout Canada.</w:t>
      </w:r>
    </w:p>
    <w:p>
      <w:pPr>
        <w:spacing w:after="0" w:line="70"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 xml:space="preserve">Our principal property and equipment consists of land (primarily landfills and other disposal facilities, transfer stations and bases for collection operations), buildings, vehicles and equipment. We believe that our vehicles, equipment, and operating properties are adequately maintained and sufficient for our current operations. However, we expect to continue to make investments in additional equipment and property for expansion, for replacement of assets, and in connection with future acquisitions. For more information, see </w:t>
      </w:r>
      <w:r>
        <w:rPr>
          <w:rFonts w:ascii="Arial" w:cs="Arial" w:eastAsia="Arial" w:hAnsi="Arial"/>
          <w:sz w:val="13"/>
          <w:szCs w:val="13"/>
          <w:i w:val="1"/>
          <w:iCs w:val="1"/>
          <w:color w:val="auto"/>
        </w:rPr>
        <w:t>Management’s Discussion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Analysis of Financial Condition and Results of Operations </w:t>
      </w:r>
      <w:r>
        <w:rPr>
          <w:rFonts w:ascii="Arial" w:cs="Arial" w:eastAsia="Arial" w:hAnsi="Arial"/>
          <w:sz w:val="13"/>
          <w:szCs w:val="13"/>
          <w:color w:val="auto"/>
        </w:rPr>
        <w:t>included within this report.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various operations at December 31 for the periods noted: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900" w:type="dxa"/>
            <w:vAlign w:val="bottom"/>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r>
      <w:tr>
        <w:trPr>
          <w:trHeight w:val="29"/>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Landfills:</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900" w:type="dxa"/>
            <w:vAlign w:val="bottom"/>
          </w:tcPr>
          <w:p>
            <w:pPr>
              <w:ind w:left="140"/>
              <w:spacing w:after="0"/>
              <w:rPr>
                <w:sz w:val="20"/>
                <w:szCs w:val="20"/>
                <w:color w:val="auto"/>
              </w:rPr>
            </w:pPr>
            <w:r>
              <w:rPr>
                <w:rFonts w:ascii="Arial" w:cs="Arial" w:eastAsia="Arial" w:hAnsi="Arial"/>
                <w:sz w:val="13"/>
                <w:szCs w:val="13"/>
                <w:color w:val="auto"/>
              </w:rPr>
              <w:t>Owned</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210</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211</w:t>
            </w:r>
          </w:p>
        </w:tc>
      </w:tr>
      <w:tr>
        <w:trPr>
          <w:trHeight w:val="157"/>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Operated through lease agreements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w:t>
            </w:r>
          </w:p>
        </w:tc>
      </w:tr>
      <w:tr>
        <w:trPr>
          <w:trHeight w:val="157"/>
        </w:trPr>
        <w:tc>
          <w:tcPr>
            <w:tcW w:w="8900" w:type="dxa"/>
            <w:vAlign w:val="bottom"/>
          </w:tcPr>
          <w:p>
            <w:pPr>
              <w:ind w:left="140"/>
              <w:spacing w:after="0"/>
              <w:rPr>
                <w:sz w:val="20"/>
                <w:szCs w:val="20"/>
                <w:color w:val="auto"/>
              </w:rPr>
            </w:pPr>
            <w:r>
              <w:rPr>
                <w:rFonts w:ascii="Arial" w:cs="Arial" w:eastAsia="Arial" w:hAnsi="Arial"/>
                <w:sz w:val="13"/>
                <w:szCs w:val="13"/>
                <w:color w:val="auto"/>
              </w:rPr>
              <w:t>Operated through contractual agreements</w:t>
            </w:r>
          </w:p>
        </w:tc>
        <w:tc>
          <w:tcPr>
            <w:tcW w:w="300" w:type="dxa"/>
            <w:vAlign w:val="bottom"/>
          </w:tcPr>
          <w:p>
            <w:pPr>
              <w:jc w:val="right"/>
              <w:spacing w:after="0"/>
              <w:rPr>
                <w:sz w:val="20"/>
                <w:szCs w:val="20"/>
                <w:color w:val="auto"/>
              </w:rPr>
            </w:pPr>
            <w:r>
              <w:rPr>
                <w:rFonts w:ascii="Arial" w:cs="Arial" w:eastAsia="Arial" w:hAnsi="Arial"/>
                <w:sz w:val="13"/>
                <w:szCs w:val="13"/>
                <w:color w:val="auto"/>
              </w:rPr>
              <w:t>35</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r>
      <w:tr>
        <w:trPr>
          <w:trHeight w:val="20"/>
        </w:trPr>
        <w:tc>
          <w:tcPr>
            <w:tcW w:w="8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Transfer stations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294</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310</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Material recovery facilities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Secondary processing facilities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9</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Waste-to-energy facilities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w:t>
            </w:r>
          </w:p>
        </w:tc>
      </w:tr>
      <w:tr>
        <w:trPr>
          <w:trHeight w:val="165"/>
        </w:trPr>
        <w:tc>
          <w:tcPr>
            <w:tcW w:w="8900" w:type="dxa"/>
            <w:vAlign w:val="bottom"/>
          </w:tcPr>
          <w:p>
            <w:pPr>
              <w:spacing w:after="0"/>
              <w:rPr>
                <w:sz w:val="20"/>
                <w:szCs w:val="20"/>
                <w:color w:val="auto"/>
              </w:rPr>
            </w:pPr>
            <w:r>
              <w:rPr>
                <w:rFonts w:ascii="Arial" w:cs="Arial" w:eastAsia="Arial" w:hAnsi="Arial"/>
                <w:sz w:val="13"/>
                <w:szCs w:val="13"/>
                <w:color w:val="auto"/>
              </w:rPr>
              <w:t>Independent power production plants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r>
    </w:tbl>
    <w:p>
      <w:pPr>
        <w:spacing w:after="0" w:line="72"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The following table provides certain information by Group regarding the 236 landfills owned or operated through lease agreements and a count, by Group, of contracted disposal sites as of December 31, 2010:</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Total</w:t>
            </w: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9"/>
              </w:rPr>
              <w:t>Permitted</w:t>
            </w:r>
          </w:p>
        </w:tc>
        <w:tc>
          <w:tcPr>
            <w:tcW w:w="10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Expansion</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Contracted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Landfills</w:t>
            </w:r>
          </w:p>
        </w:tc>
        <w:tc>
          <w:tcPr>
            <w:tcW w:w="110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Disposal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Acreage(a)</w:t>
            </w: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Acreage(b)</w:t>
            </w:r>
          </w:p>
        </w:tc>
        <w:tc>
          <w:tcPr>
            <w:tcW w:w="1080" w:type="dxa"/>
            <w:vAlign w:val="bottom"/>
            <w:gridSpan w:val="2"/>
          </w:tcPr>
          <w:p>
            <w:pPr>
              <w:ind w:left="120"/>
              <w:spacing w:after="0"/>
              <w:rPr>
                <w:sz w:val="20"/>
                <w:szCs w:val="20"/>
                <w:color w:val="auto"/>
              </w:rPr>
            </w:pPr>
            <w:r>
              <w:rPr>
                <w:rFonts w:ascii="Arial" w:cs="Arial" w:eastAsia="Arial" w:hAnsi="Arial"/>
                <w:sz w:val="10"/>
                <w:szCs w:val="10"/>
                <w:b w:val="1"/>
                <w:bCs w:val="1"/>
                <w:color w:val="auto"/>
              </w:rPr>
              <w:t>Acreage(c)</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1"/>
              </w:rPr>
              <w:t>Sites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30,362</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6,663</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620" w:type="dxa"/>
            <w:vAlign w:val="bottom"/>
          </w:tcPr>
          <w:p>
            <w:pPr>
              <w:jc w:val="right"/>
              <w:spacing w:after="0"/>
              <w:rPr>
                <w:sz w:val="20"/>
                <w:szCs w:val="20"/>
                <w:color w:val="auto"/>
              </w:rPr>
            </w:pPr>
            <w:r>
              <w:rPr>
                <w:rFonts w:ascii="Arial" w:cs="Arial" w:eastAsia="Arial" w:hAnsi="Arial"/>
                <w:sz w:val="13"/>
                <w:szCs w:val="13"/>
                <w:color w:val="auto"/>
              </w:rPr>
              <w:t>73</w:t>
            </w:r>
          </w:p>
        </w:tc>
        <w:tc>
          <w:tcPr>
            <w:tcW w:w="40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32,351</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9,397</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1,051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38,705</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12,861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620" w:type="dxa"/>
            <w:vAlign w:val="bottom"/>
          </w:tcPr>
          <w:p>
            <w:pPr>
              <w:jc w:val="right"/>
              <w:spacing w:after="0"/>
              <w:rPr>
                <w:sz w:val="20"/>
                <w:szCs w:val="20"/>
                <w:color w:val="auto"/>
              </w:rPr>
            </w:pPr>
            <w:r>
              <w:rPr>
                <w:rFonts w:ascii="Arial" w:cs="Arial" w:eastAsia="Arial" w:hAnsi="Arial"/>
                <w:sz w:val="13"/>
                <w:szCs w:val="13"/>
                <w:color w:val="auto"/>
              </w:rPr>
              <w:t>41</w:t>
            </w:r>
          </w:p>
        </w:tc>
        <w:tc>
          <w:tcPr>
            <w:tcW w:w="40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38,452</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8,783</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1,041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236</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140,651</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38,044</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2,622</w:t>
            </w:r>
          </w:p>
        </w:tc>
        <w:tc>
          <w:tcPr>
            <w:tcW w:w="3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100" w:hanging="393"/>
        <w:spacing w:after="0" w:line="276"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“Total acreage” includes permitted acreage, expansion acreage, other acreage available for future disposal that has not been permitted, buffer land and other land owned or leased by our landfill operations.</w:t>
      </w:r>
    </w:p>
    <w:p>
      <w:pPr>
        <w:spacing w:after="0" w:line="10" w:lineRule="exact"/>
        <w:rPr>
          <w:rFonts w:ascii="Arial" w:cs="Arial" w:eastAsia="Arial" w:hAnsi="Arial"/>
          <w:sz w:val="13"/>
          <w:szCs w:val="13"/>
          <w:color w:val="auto"/>
        </w:rPr>
      </w:pPr>
    </w:p>
    <w:p>
      <w:pPr>
        <w:ind w:left="1080" w:hanging="393"/>
        <w:spacing w:after="0"/>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“Permitted acreage” consists of all acreage at the landfill encompassed by an active permit to dispose of waste.</w:t>
      </w:r>
    </w:p>
    <w:p>
      <w:pPr>
        <w:spacing w:after="0" w:line="47" w:lineRule="exact"/>
        <w:rPr>
          <w:rFonts w:ascii="Arial" w:cs="Arial" w:eastAsia="Arial" w:hAnsi="Arial"/>
          <w:sz w:val="13"/>
          <w:szCs w:val="13"/>
          <w:color w:val="auto"/>
        </w:rPr>
      </w:pPr>
    </w:p>
    <w:p>
      <w:pPr>
        <w:ind w:left="1080" w:right="80" w:hanging="393"/>
        <w:spacing w:after="0" w:line="264"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 xml:space="preserve">“Expansion acreage” consists of unpermitted acreage where the related expansion efforts meet our criteria to be included as expansion airspace. A discussion of the related criteria is included within the </w:t>
      </w:r>
      <w:r>
        <w:rPr>
          <w:rFonts w:ascii="Arial" w:cs="Arial" w:eastAsia="Arial" w:hAnsi="Arial"/>
          <w:sz w:val="13"/>
          <w:szCs w:val="13"/>
          <w:i w:val="1"/>
          <w:iCs w:val="1"/>
          <w:color w:val="auto"/>
        </w:rPr>
        <w:t>Management’s Discussion and Analysis of Financial Condition and Results of Operations — Critical Accounting Estimates and Assumptions</w:t>
      </w:r>
      <w:r>
        <w:rPr>
          <w:rFonts w:ascii="Arial" w:cs="Arial" w:eastAsia="Arial" w:hAnsi="Arial"/>
          <w:sz w:val="13"/>
          <w:szCs w:val="13"/>
          <w:color w:val="auto"/>
        </w:rPr>
        <w:t xml:space="preserve"> section included herein.</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Information regarding our legal proceedings can be found under the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section of Note 11 in the Consolidated Financial Statements included in this report.</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0"/>
          <w:szCs w:val="10"/>
          <w:b w:val="1"/>
          <w:bCs w:val="1"/>
          <w:i w:val="1"/>
          <w:iCs w:val="1"/>
          <w:color w:val="auto"/>
        </w:rPr>
        <w:t>Reserved.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Former Item 4., </w:t>
      </w:r>
      <w:r>
        <w:rPr>
          <w:rFonts w:ascii="Arial" w:cs="Arial" w:eastAsia="Arial" w:hAnsi="Arial"/>
          <w:sz w:val="13"/>
          <w:szCs w:val="13"/>
          <w:i w:val="1"/>
          <w:iCs w:val="1"/>
          <w:color w:val="auto"/>
        </w:rPr>
        <w:t>Submission of Matters to a Vote of Security Holders</w:t>
      </w:r>
      <w:r>
        <w:rPr>
          <w:rFonts w:ascii="Arial" w:cs="Arial" w:eastAsia="Arial" w:hAnsi="Arial"/>
          <w:sz w:val="13"/>
          <w:szCs w:val="13"/>
          <w:color w:val="auto"/>
        </w:rPr>
        <w:t>, has been removed and reserved in compliance with Form 10-K.</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common stock is traded on the New York Stock Exchange (“NYSE”) under the symbol “WM.” The following table sets forth the range of the high and low per-share sales prices for our common stock as reported on the NYSE: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20" w:type="dxa"/>
            <w:vAlign w:val="bottom"/>
          </w:tcPr>
          <w:p>
            <w:pPr>
              <w:spacing w:after="0"/>
              <w:rPr>
                <w:sz w:val="10"/>
                <w:szCs w:val="10"/>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High</w:t>
            </w:r>
          </w:p>
        </w:tc>
        <w:tc>
          <w:tcPr>
            <w:tcW w:w="280" w:type="dxa"/>
            <w:vAlign w:val="bottom"/>
          </w:tcPr>
          <w:p>
            <w:pPr>
              <w:spacing w:after="0"/>
              <w:rPr>
                <w:sz w:val="10"/>
                <w:szCs w:val="10"/>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Low</w:t>
            </w:r>
          </w:p>
        </w:tc>
      </w:tr>
      <w:tr>
        <w:trPr>
          <w:trHeight w:val="29"/>
        </w:trPr>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7"/>
        </w:trPr>
        <w:tc>
          <w:tcPr>
            <w:tcW w:w="832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$33.99</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$22.10</w:t>
            </w:r>
          </w:p>
        </w:tc>
      </w:tr>
      <w:tr>
        <w:trPr>
          <w:trHeight w:val="157"/>
        </w:trPr>
        <w:tc>
          <w:tcPr>
            <w:tcW w:w="8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29.00</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25.06</w:t>
            </w:r>
          </w:p>
        </w:tc>
      </w:tr>
      <w:tr>
        <w:trPr>
          <w:trHeight w:val="157"/>
        </w:trPr>
        <w:tc>
          <w:tcPr>
            <w:tcW w:w="832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30.80</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26.31</w:t>
            </w:r>
          </w:p>
        </w:tc>
      </w:tr>
      <w:tr>
        <w:trPr>
          <w:trHeight w:val="157"/>
        </w:trPr>
        <w:tc>
          <w:tcPr>
            <w:tcW w:w="8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34.18</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28.28</w:t>
            </w: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2010</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7"/>
        </w:trPr>
        <w:tc>
          <w:tcPr>
            <w:tcW w:w="8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$35.00</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$31.29</w:t>
            </w:r>
          </w:p>
        </w:tc>
      </w:tr>
      <w:tr>
        <w:trPr>
          <w:trHeight w:val="157"/>
        </w:trPr>
        <w:tc>
          <w:tcPr>
            <w:tcW w:w="832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35.98</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31.18</w:t>
            </w:r>
          </w:p>
        </w:tc>
      </w:tr>
      <w:tr>
        <w:trPr>
          <w:trHeight w:val="157"/>
        </w:trPr>
        <w:tc>
          <w:tcPr>
            <w:tcW w:w="8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36.24</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31.22</w:t>
            </w:r>
          </w:p>
        </w:tc>
      </w:tr>
      <w:tr>
        <w:trPr>
          <w:trHeight w:val="157"/>
        </w:trPr>
        <w:tc>
          <w:tcPr>
            <w:tcW w:w="832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37.25</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34.09</w:t>
            </w: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5"/>
        </w:trPr>
        <w:tc>
          <w:tcPr>
            <w:tcW w:w="8320" w:type="dxa"/>
            <w:vAlign w:val="bottom"/>
          </w:tcPr>
          <w:p>
            <w:pPr>
              <w:ind w:left="140"/>
              <w:spacing w:after="0"/>
              <w:rPr>
                <w:sz w:val="20"/>
                <w:szCs w:val="20"/>
                <w:color w:val="auto"/>
              </w:rPr>
            </w:pPr>
            <w:r>
              <w:rPr>
                <w:rFonts w:ascii="Arial" w:cs="Arial" w:eastAsia="Arial" w:hAnsi="Arial"/>
                <w:sz w:val="13"/>
                <w:szCs w:val="13"/>
                <w:color w:val="auto"/>
              </w:rPr>
              <w:t>First Quarter (through February 10, 2011)</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$38.58</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$35.94</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On February 10, 2011, the closing sale price as reported on the NYSE was $38.14 per share. The number of holders of record of our common stock at February 10, 2011 was 13,922.</w:t>
      </w:r>
    </w:p>
    <w:p>
      <w:pPr>
        <w:spacing w:after="0" w:line="11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graph below shows the relative investment performance of Waste Management, Inc. common stock, the Dow Jones Waste &amp; Disposal Services Index and the S&amp;P 500 Index for the last five years, assuming reinvestment of dividends at date of payment into the common stock. The graph is presented pursuant to SEC rules and is not meant to be an indication of our future performance.</w:t>
      </w:r>
    </w:p>
    <w:p>
      <w:pPr>
        <w:spacing w:after="0" w:line="220" w:lineRule="exact"/>
        <w:rPr>
          <w:sz w:val="20"/>
          <w:szCs w:val="20"/>
          <w:color w:val="auto"/>
        </w:rPr>
      </w:pPr>
    </w:p>
    <w:p>
      <w:pPr>
        <w:ind w:left="4260"/>
        <w:spacing w:after="0"/>
        <w:rPr>
          <w:sz w:val="20"/>
          <w:szCs w:val="20"/>
          <w:color w:val="auto"/>
        </w:rPr>
      </w:pPr>
      <w:r>
        <w:rPr>
          <w:rFonts w:ascii="Arial" w:cs="Arial" w:eastAsia="Arial" w:hAnsi="Arial"/>
          <w:sz w:val="13"/>
          <w:szCs w:val="13"/>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44450</wp:posOffset>
            </wp:positionV>
            <wp:extent cx="3183255" cy="153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83255" cy="153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740" w:type="dxa"/>
        <w:tblCellMar>
          <w:top w:w="0" w:type="dxa"/>
          <w:left w:w="0" w:type="dxa"/>
          <w:bottom w:w="0" w:type="dxa"/>
          <w:right w:w="0" w:type="dxa"/>
        </w:tblCellMar>
      </w:tblPr>
      <w:tr>
        <w:trPr>
          <w:trHeight w:val="111"/>
        </w:trPr>
        <w:tc>
          <w:tcPr>
            <w:tcW w:w="4720" w:type="dxa"/>
            <w:vAlign w:val="bottom"/>
          </w:tcPr>
          <w:p>
            <w:pPr>
              <w:spacing w:after="0"/>
              <w:rPr>
                <w:sz w:val="9"/>
                <w:szCs w:val="9"/>
                <w:color w:val="auto"/>
              </w:rPr>
            </w:pPr>
          </w:p>
        </w:tc>
        <w:tc>
          <w:tcPr>
            <w:tcW w:w="780" w:type="dxa"/>
            <w:vAlign w:val="bottom"/>
            <w:tcBorders>
              <w:bottom w:val="single" w:sz="8" w:color="auto"/>
            </w:tcBorders>
          </w:tcPr>
          <w:p>
            <w:pPr>
              <w:jc w:val="right"/>
              <w:ind w:right="164"/>
              <w:spacing w:after="0"/>
              <w:rPr>
                <w:sz w:val="20"/>
                <w:szCs w:val="20"/>
                <w:color w:val="auto"/>
              </w:rPr>
            </w:pPr>
            <w:r>
              <w:rPr>
                <w:rFonts w:ascii="Arial" w:cs="Arial" w:eastAsia="Arial" w:hAnsi="Arial"/>
                <w:sz w:val="9"/>
                <w:szCs w:val="9"/>
                <w:b w:val="1"/>
                <w:bCs w:val="1"/>
                <w:color w:val="auto"/>
              </w:rPr>
              <w:t>12/31/05</w:t>
            </w:r>
          </w:p>
        </w:tc>
        <w:tc>
          <w:tcPr>
            <w:tcW w:w="80" w:type="dxa"/>
            <w:vAlign w:val="bottom"/>
          </w:tcPr>
          <w:p>
            <w:pPr>
              <w:spacing w:after="0"/>
              <w:rPr>
                <w:sz w:val="9"/>
                <w:szCs w:val="9"/>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9"/>
                <w:szCs w:val="9"/>
                <w:b w:val="1"/>
                <w:bCs w:val="1"/>
                <w:color w:val="auto"/>
              </w:rPr>
              <w:t>12/31/06</w:t>
            </w:r>
          </w:p>
        </w:tc>
        <w:tc>
          <w:tcPr>
            <w:tcW w:w="100" w:type="dxa"/>
            <w:vAlign w:val="bottom"/>
          </w:tcPr>
          <w:p>
            <w:pPr>
              <w:spacing w:after="0"/>
              <w:rPr>
                <w:sz w:val="9"/>
                <w:szCs w:val="9"/>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9"/>
                <w:szCs w:val="9"/>
                <w:b w:val="1"/>
                <w:bCs w:val="1"/>
                <w:color w:val="auto"/>
              </w:rPr>
              <w:t>12/31/07</w:t>
            </w:r>
          </w:p>
        </w:tc>
        <w:tc>
          <w:tcPr>
            <w:tcW w:w="100" w:type="dxa"/>
            <w:vAlign w:val="bottom"/>
          </w:tcPr>
          <w:p>
            <w:pPr>
              <w:spacing w:after="0"/>
              <w:rPr>
                <w:sz w:val="9"/>
                <w:szCs w:val="9"/>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9"/>
                <w:szCs w:val="9"/>
                <w:b w:val="1"/>
                <w:bCs w:val="1"/>
                <w:color w:val="auto"/>
              </w:rPr>
              <w:t>12/31/08</w:t>
            </w:r>
          </w:p>
        </w:tc>
        <w:tc>
          <w:tcPr>
            <w:tcW w:w="100" w:type="dxa"/>
            <w:vAlign w:val="bottom"/>
          </w:tcPr>
          <w:p>
            <w:pPr>
              <w:spacing w:after="0"/>
              <w:rPr>
                <w:sz w:val="9"/>
                <w:szCs w:val="9"/>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9"/>
                <w:szCs w:val="9"/>
                <w:b w:val="1"/>
                <w:bCs w:val="1"/>
                <w:color w:val="auto"/>
              </w:rPr>
              <w:t>12/31/09</w:t>
            </w:r>
          </w:p>
        </w:tc>
        <w:tc>
          <w:tcPr>
            <w:tcW w:w="100" w:type="dxa"/>
            <w:vAlign w:val="bottom"/>
          </w:tcPr>
          <w:p>
            <w:pPr>
              <w:spacing w:after="0"/>
              <w:rPr>
                <w:sz w:val="9"/>
                <w:szCs w:val="9"/>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9"/>
                <w:szCs w:val="9"/>
                <w:b w:val="1"/>
                <w:bCs w:val="1"/>
                <w:color w:val="auto"/>
              </w:rPr>
              <w:t>12/31/10</w:t>
            </w:r>
          </w:p>
        </w:tc>
      </w:tr>
      <w:tr>
        <w:trPr>
          <w:trHeight w:val="170"/>
        </w:trPr>
        <w:tc>
          <w:tcPr>
            <w:tcW w:w="4720" w:type="dxa"/>
            <w:vAlign w:val="bottom"/>
          </w:tcPr>
          <w:p>
            <w:pPr>
              <w:spacing w:after="0"/>
              <w:rPr>
                <w:sz w:val="20"/>
                <w:szCs w:val="20"/>
                <w:color w:val="auto"/>
              </w:rPr>
            </w:pPr>
            <w:r>
              <w:rPr>
                <w:rFonts w:ascii="Arial" w:cs="Arial" w:eastAsia="Arial" w:hAnsi="Arial"/>
                <w:sz w:val="12"/>
                <w:szCs w:val="12"/>
                <w:color w:val="auto"/>
              </w:rPr>
              <w:t>Waste Management, Inc.</w:t>
            </w:r>
          </w:p>
        </w:tc>
        <w:tc>
          <w:tcPr>
            <w:tcW w:w="780" w:type="dxa"/>
            <w:vAlign w:val="bottom"/>
          </w:tcPr>
          <w:p>
            <w:pPr>
              <w:jc w:val="right"/>
              <w:ind w:right="244"/>
              <w:spacing w:after="0"/>
              <w:rPr>
                <w:sz w:val="20"/>
                <w:szCs w:val="20"/>
                <w:color w:val="auto"/>
              </w:rPr>
            </w:pPr>
            <w:r>
              <w:rPr>
                <w:rFonts w:ascii="Arial" w:cs="Arial" w:eastAsia="Arial" w:hAnsi="Arial"/>
                <w:sz w:val="12"/>
                <w:szCs w:val="12"/>
                <w:color w:val="auto"/>
              </w:rPr>
              <w:t>$100</w:t>
            </w:r>
          </w:p>
        </w:tc>
        <w:tc>
          <w:tcPr>
            <w:tcW w:w="860" w:type="dxa"/>
            <w:vAlign w:val="bottom"/>
            <w:gridSpan w:val="2"/>
          </w:tcPr>
          <w:p>
            <w:pPr>
              <w:jc w:val="right"/>
              <w:ind w:right="254"/>
              <w:spacing w:after="0"/>
              <w:rPr>
                <w:sz w:val="20"/>
                <w:szCs w:val="20"/>
                <w:color w:val="auto"/>
              </w:rPr>
            </w:pPr>
            <w:r>
              <w:rPr>
                <w:rFonts w:ascii="Arial" w:cs="Arial" w:eastAsia="Arial" w:hAnsi="Arial"/>
                <w:sz w:val="12"/>
                <w:szCs w:val="12"/>
                <w:color w:val="auto"/>
              </w:rPr>
              <w:t>$124</w:t>
            </w:r>
          </w:p>
        </w:tc>
        <w:tc>
          <w:tcPr>
            <w:tcW w:w="880" w:type="dxa"/>
            <w:vAlign w:val="bottom"/>
            <w:gridSpan w:val="2"/>
          </w:tcPr>
          <w:p>
            <w:pPr>
              <w:jc w:val="right"/>
              <w:ind w:right="254"/>
              <w:spacing w:after="0"/>
              <w:rPr>
                <w:sz w:val="20"/>
                <w:szCs w:val="20"/>
                <w:color w:val="auto"/>
              </w:rPr>
            </w:pPr>
            <w:r>
              <w:rPr>
                <w:rFonts w:ascii="Arial" w:cs="Arial" w:eastAsia="Arial" w:hAnsi="Arial"/>
                <w:sz w:val="12"/>
                <w:szCs w:val="12"/>
                <w:color w:val="auto"/>
              </w:rPr>
              <w:t>$113</w:t>
            </w:r>
          </w:p>
        </w:tc>
        <w:tc>
          <w:tcPr>
            <w:tcW w:w="880" w:type="dxa"/>
            <w:vAlign w:val="bottom"/>
            <w:gridSpan w:val="2"/>
          </w:tcPr>
          <w:p>
            <w:pPr>
              <w:ind w:left="340"/>
              <w:spacing w:after="0"/>
              <w:rPr>
                <w:sz w:val="20"/>
                <w:szCs w:val="20"/>
                <w:color w:val="auto"/>
              </w:rPr>
            </w:pPr>
            <w:r>
              <w:rPr>
                <w:rFonts w:ascii="Arial" w:cs="Arial" w:eastAsia="Arial" w:hAnsi="Arial"/>
                <w:sz w:val="12"/>
                <w:szCs w:val="12"/>
                <w:color w:val="auto"/>
              </w:rPr>
              <w:t>$119</w:t>
            </w:r>
          </w:p>
        </w:tc>
        <w:tc>
          <w:tcPr>
            <w:tcW w:w="880" w:type="dxa"/>
            <w:vAlign w:val="bottom"/>
            <w:gridSpan w:val="2"/>
          </w:tcPr>
          <w:p>
            <w:pPr>
              <w:ind w:left="360"/>
              <w:spacing w:after="0"/>
              <w:rPr>
                <w:sz w:val="20"/>
                <w:szCs w:val="20"/>
                <w:color w:val="auto"/>
              </w:rPr>
            </w:pPr>
            <w:r>
              <w:rPr>
                <w:rFonts w:ascii="Arial" w:cs="Arial" w:eastAsia="Arial" w:hAnsi="Arial"/>
                <w:sz w:val="12"/>
                <w:szCs w:val="12"/>
                <w:color w:val="auto"/>
              </w:rPr>
              <w:t>$126</w:t>
            </w:r>
          </w:p>
        </w:tc>
        <w:tc>
          <w:tcPr>
            <w:tcW w:w="920" w:type="dxa"/>
            <w:vAlign w:val="bottom"/>
            <w:gridSpan w:val="2"/>
          </w:tcPr>
          <w:p>
            <w:pPr>
              <w:ind w:left="360"/>
              <w:spacing w:after="0"/>
              <w:rPr>
                <w:sz w:val="20"/>
                <w:szCs w:val="20"/>
                <w:color w:val="auto"/>
              </w:rPr>
            </w:pPr>
            <w:r>
              <w:rPr>
                <w:rFonts w:ascii="Arial" w:cs="Arial" w:eastAsia="Arial" w:hAnsi="Arial"/>
                <w:sz w:val="12"/>
                <w:szCs w:val="12"/>
                <w:color w:val="auto"/>
              </w:rPr>
              <w:t>$143</w:t>
            </w:r>
          </w:p>
        </w:tc>
      </w:tr>
      <w:tr>
        <w:trPr>
          <w:trHeight w:val="147"/>
        </w:trPr>
        <w:tc>
          <w:tcPr>
            <w:tcW w:w="4720" w:type="dxa"/>
            <w:vAlign w:val="bottom"/>
          </w:tcPr>
          <w:p>
            <w:pPr>
              <w:spacing w:after="0"/>
              <w:rPr>
                <w:sz w:val="20"/>
                <w:szCs w:val="20"/>
                <w:color w:val="auto"/>
              </w:rPr>
            </w:pPr>
            <w:r>
              <w:rPr>
                <w:rFonts w:ascii="Arial" w:cs="Arial" w:eastAsia="Arial" w:hAnsi="Arial"/>
                <w:sz w:val="12"/>
                <w:szCs w:val="12"/>
                <w:color w:val="auto"/>
              </w:rPr>
              <w:t>S&amp;P 500 Index</w:t>
            </w:r>
          </w:p>
        </w:tc>
        <w:tc>
          <w:tcPr>
            <w:tcW w:w="780" w:type="dxa"/>
            <w:vAlign w:val="bottom"/>
          </w:tcPr>
          <w:p>
            <w:pPr>
              <w:jc w:val="right"/>
              <w:ind w:right="244"/>
              <w:spacing w:after="0"/>
              <w:rPr>
                <w:sz w:val="20"/>
                <w:szCs w:val="20"/>
                <w:color w:val="auto"/>
              </w:rPr>
            </w:pPr>
            <w:r>
              <w:rPr>
                <w:rFonts w:ascii="Arial" w:cs="Arial" w:eastAsia="Arial" w:hAnsi="Arial"/>
                <w:sz w:val="12"/>
                <w:szCs w:val="12"/>
                <w:color w:val="auto"/>
              </w:rPr>
              <w:t>$100</w:t>
            </w:r>
          </w:p>
        </w:tc>
        <w:tc>
          <w:tcPr>
            <w:tcW w:w="860" w:type="dxa"/>
            <w:vAlign w:val="bottom"/>
            <w:gridSpan w:val="2"/>
          </w:tcPr>
          <w:p>
            <w:pPr>
              <w:jc w:val="right"/>
              <w:ind w:right="254"/>
              <w:spacing w:after="0"/>
              <w:rPr>
                <w:sz w:val="20"/>
                <w:szCs w:val="20"/>
                <w:color w:val="auto"/>
              </w:rPr>
            </w:pPr>
            <w:r>
              <w:rPr>
                <w:rFonts w:ascii="Arial" w:cs="Arial" w:eastAsia="Arial" w:hAnsi="Arial"/>
                <w:sz w:val="12"/>
                <w:szCs w:val="12"/>
                <w:color w:val="auto"/>
              </w:rPr>
              <w:t>$116</w:t>
            </w:r>
          </w:p>
        </w:tc>
        <w:tc>
          <w:tcPr>
            <w:tcW w:w="880" w:type="dxa"/>
            <w:vAlign w:val="bottom"/>
            <w:gridSpan w:val="2"/>
          </w:tcPr>
          <w:p>
            <w:pPr>
              <w:jc w:val="right"/>
              <w:ind w:right="254"/>
              <w:spacing w:after="0"/>
              <w:rPr>
                <w:sz w:val="20"/>
                <w:szCs w:val="20"/>
                <w:color w:val="auto"/>
              </w:rPr>
            </w:pPr>
            <w:r>
              <w:rPr>
                <w:rFonts w:ascii="Arial" w:cs="Arial" w:eastAsia="Arial" w:hAnsi="Arial"/>
                <w:sz w:val="12"/>
                <w:szCs w:val="12"/>
                <w:color w:val="auto"/>
              </w:rPr>
              <w:t>$122</w:t>
            </w:r>
          </w:p>
        </w:tc>
        <w:tc>
          <w:tcPr>
            <w:tcW w:w="880" w:type="dxa"/>
            <w:vAlign w:val="bottom"/>
            <w:gridSpan w:val="2"/>
          </w:tcPr>
          <w:p>
            <w:pPr>
              <w:ind w:left="340"/>
              <w:spacing w:after="0"/>
              <w:rPr>
                <w:sz w:val="20"/>
                <w:szCs w:val="20"/>
                <w:color w:val="auto"/>
              </w:rPr>
            </w:pPr>
            <w:r>
              <w:rPr>
                <w:rFonts w:ascii="Arial" w:cs="Arial" w:eastAsia="Arial" w:hAnsi="Arial"/>
                <w:sz w:val="12"/>
                <w:szCs w:val="12"/>
                <w:color w:val="auto"/>
              </w:rPr>
              <w:t>$ 77</w:t>
            </w:r>
          </w:p>
        </w:tc>
        <w:tc>
          <w:tcPr>
            <w:tcW w:w="880" w:type="dxa"/>
            <w:vAlign w:val="bottom"/>
            <w:gridSpan w:val="2"/>
          </w:tcPr>
          <w:p>
            <w:pPr>
              <w:ind w:left="360"/>
              <w:spacing w:after="0"/>
              <w:rPr>
                <w:sz w:val="20"/>
                <w:szCs w:val="20"/>
                <w:color w:val="auto"/>
              </w:rPr>
            </w:pPr>
            <w:r>
              <w:rPr>
                <w:rFonts w:ascii="Arial" w:cs="Arial" w:eastAsia="Arial" w:hAnsi="Arial"/>
                <w:sz w:val="12"/>
                <w:szCs w:val="12"/>
                <w:color w:val="auto"/>
              </w:rPr>
              <w:t>$ 97</w:t>
            </w:r>
          </w:p>
        </w:tc>
        <w:tc>
          <w:tcPr>
            <w:tcW w:w="920" w:type="dxa"/>
            <w:vAlign w:val="bottom"/>
            <w:gridSpan w:val="2"/>
          </w:tcPr>
          <w:p>
            <w:pPr>
              <w:ind w:left="360"/>
              <w:spacing w:after="0"/>
              <w:rPr>
                <w:sz w:val="20"/>
                <w:szCs w:val="20"/>
                <w:color w:val="auto"/>
              </w:rPr>
            </w:pPr>
            <w:r>
              <w:rPr>
                <w:rFonts w:ascii="Arial" w:cs="Arial" w:eastAsia="Arial" w:hAnsi="Arial"/>
                <w:sz w:val="12"/>
                <w:szCs w:val="12"/>
                <w:color w:val="auto"/>
              </w:rPr>
              <w:t>$112</w:t>
            </w:r>
          </w:p>
        </w:tc>
      </w:tr>
      <w:tr>
        <w:trPr>
          <w:trHeight w:val="149"/>
        </w:trPr>
        <w:tc>
          <w:tcPr>
            <w:tcW w:w="4720" w:type="dxa"/>
            <w:vAlign w:val="bottom"/>
          </w:tcPr>
          <w:p>
            <w:pPr>
              <w:spacing w:after="0"/>
              <w:rPr>
                <w:sz w:val="20"/>
                <w:szCs w:val="20"/>
                <w:color w:val="auto"/>
              </w:rPr>
            </w:pPr>
            <w:r>
              <w:rPr>
                <w:rFonts w:ascii="Arial" w:cs="Arial" w:eastAsia="Arial" w:hAnsi="Arial"/>
                <w:sz w:val="12"/>
                <w:szCs w:val="12"/>
                <w:color w:val="auto"/>
              </w:rPr>
              <w:t>Dow Jones Waste &amp; Disposal Services Index</w:t>
            </w:r>
          </w:p>
        </w:tc>
        <w:tc>
          <w:tcPr>
            <w:tcW w:w="780" w:type="dxa"/>
            <w:vAlign w:val="bottom"/>
          </w:tcPr>
          <w:p>
            <w:pPr>
              <w:jc w:val="right"/>
              <w:ind w:right="244"/>
              <w:spacing w:after="0"/>
              <w:rPr>
                <w:sz w:val="20"/>
                <w:szCs w:val="20"/>
                <w:color w:val="auto"/>
              </w:rPr>
            </w:pPr>
            <w:r>
              <w:rPr>
                <w:rFonts w:ascii="Arial" w:cs="Arial" w:eastAsia="Arial" w:hAnsi="Arial"/>
                <w:sz w:val="12"/>
                <w:szCs w:val="12"/>
                <w:color w:val="auto"/>
              </w:rPr>
              <w:t>$100</w:t>
            </w:r>
          </w:p>
        </w:tc>
        <w:tc>
          <w:tcPr>
            <w:tcW w:w="860" w:type="dxa"/>
            <w:vAlign w:val="bottom"/>
            <w:gridSpan w:val="2"/>
          </w:tcPr>
          <w:p>
            <w:pPr>
              <w:jc w:val="right"/>
              <w:ind w:right="254"/>
              <w:spacing w:after="0"/>
              <w:rPr>
                <w:sz w:val="20"/>
                <w:szCs w:val="20"/>
                <w:color w:val="auto"/>
              </w:rPr>
            </w:pPr>
            <w:r>
              <w:rPr>
                <w:rFonts w:ascii="Arial" w:cs="Arial" w:eastAsia="Arial" w:hAnsi="Arial"/>
                <w:sz w:val="12"/>
                <w:szCs w:val="12"/>
                <w:color w:val="auto"/>
              </w:rPr>
              <w:t>$123</w:t>
            </w:r>
          </w:p>
        </w:tc>
        <w:tc>
          <w:tcPr>
            <w:tcW w:w="880" w:type="dxa"/>
            <w:vAlign w:val="bottom"/>
            <w:gridSpan w:val="2"/>
          </w:tcPr>
          <w:p>
            <w:pPr>
              <w:jc w:val="right"/>
              <w:ind w:right="254"/>
              <w:spacing w:after="0"/>
              <w:rPr>
                <w:sz w:val="20"/>
                <w:szCs w:val="20"/>
                <w:color w:val="auto"/>
              </w:rPr>
            </w:pPr>
            <w:r>
              <w:rPr>
                <w:rFonts w:ascii="Arial" w:cs="Arial" w:eastAsia="Arial" w:hAnsi="Arial"/>
                <w:sz w:val="12"/>
                <w:szCs w:val="12"/>
                <w:color w:val="auto"/>
              </w:rPr>
              <w:t>$129</w:t>
            </w:r>
          </w:p>
        </w:tc>
        <w:tc>
          <w:tcPr>
            <w:tcW w:w="880" w:type="dxa"/>
            <w:vAlign w:val="bottom"/>
            <w:gridSpan w:val="2"/>
          </w:tcPr>
          <w:p>
            <w:pPr>
              <w:ind w:left="340"/>
              <w:spacing w:after="0"/>
              <w:rPr>
                <w:sz w:val="20"/>
                <w:szCs w:val="20"/>
                <w:color w:val="auto"/>
              </w:rPr>
            </w:pPr>
            <w:r>
              <w:rPr>
                <w:rFonts w:ascii="Arial" w:cs="Arial" w:eastAsia="Arial" w:hAnsi="Arial"/>
                <w:sz w:val="12"/>
                <w:szCs w:val="12"/>
                <w:color w:val="auto"/>
              </w:rPr>
              <w:t>$121</w:t>
            </w:r>
          </w:p>
        </w:tc>
        <w:tc>
          <w:tcPr>
            <w:tcW w:w="880" w:type="dxa"/>
            <w:vAlign w:val="bottom"/>
            <w:gridSpan w:val="2"/>
          </w:tcPr>
          <w:p>
            <w:pPr>
              <w:ind w:left="360"/>
              <w:spacing w:after="0"/>
              <w:rPr>
                <w:sz w:val="20"/>
                <w:szCs w:val="20"/>
                <w:color w:val="auto"/>
              </w:rPr>
            </w:pPr>
            <w:r>
              <w:rPr>
                <w:rFonts w:ascii="Arial" w:cs="Arial" w:eastAsia="Arial" w:hAnsi="Arial"/>
                <w:sz w:val="12"/>
                <w:szCs w:val="12"/>
                <w:color w:val="auto"/>
              </w:rPr>
              <w:t>$137</w:t>
            </w:r>
          </w:p>
        </w:tc>
        <w:tc>
          <w:tcPr>
            <w:tcW w:w="920" w:type="dxa"/>
            <w:vAlign w:val="bottom"/>
            <w:gridSpan w:val="2"/>
          </w:tcPr>
          <w:p>
            <w:pPr>
              <w:ind w:left="360"/>
              <w:spacing w:after="0"/>
              <w:rPr>
                <w:sz w:val="20"/>
                <w:szCs w:val="20"/>
                <w:color w:val="auto"/>
              </w:rPr>
            </w:pPr>
            <w:r>
              <w:rPr>
                <w:rFonts w:ascii="Arial" w:cs="Arial" w:eastAsia="Arial" w:hAnsi="Arial"/>
                <w:sz w:val="12"/>
                <w:szCs w:val="12"/>
                <w:color w:val="auto"/>
              </w:rPr>
              <w:t>$163</w:t>
            </w:r>
          </w:p>
        </w:tc>
      </w:tr>
    </w:tbl>
    <w:p>
      <w:pPr>
        <w:spacing w:after="0" w:line="29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Under capital allocation programs approved by our Board of Directors, we paid quarterly cash dividends of $0.27 per share for a total of $531 million in 2008; $0.29 per share for a total of $569 million in 2009; and $0.315 per share for a total of $604 million in 2010.</w:t>
      </w:r>
    </w:p>
    <w:p>
      <w:pPr>
        <w:spacing w:after="0" w:line="59"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The Board of Directors approved a capital allocation program for 2010 that provided for expenditures of up to $1.3 billion, comprised of approximately $615 million in cash dividends and up to $685 million in common stock repurchases. In 2010, we paid $604 million in cash dividends and we repurchased $501 million of our common stock. All of the cash dividends paid and common stock repurchases in 2010 were made pursuant to this capital allocation program.</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common stock repurchases made during the fourth quarter of 2010:</w:t>
      </w:r>
    </w:p>
    <w:p>
      <w:pPr>
        <w:spacing w:after="0" w:line="250"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vMerge w:val="restart"/>
          </w:tcPr>
          <w:p>
            <w:pPr>
              <w:jc w:val="center"/>
              <w:ind w:right="40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Total Number of</w:t>
            </w:r>
          </w:p>
        </w:tc>
        <w:tc>
          <w:tcPr>
            <w:tcW w:w="280" w:type="dxa"/>
            <w:vAlign w:val="bottom"/>
          </w:tcPr>
          <w:p>
            <w:pPr>
              <w:spacing w:after="0"/>
              <w:rPr>
                <w:sz w:val="10"/>
                <w:szCs w:val="10"/>
                <w:color w:val="auto"/>
              </w:rPr>
            </w:pPr>
          </w:p>
        </w:tc>
        <w:tc>
          <w:tcPr>
            <w:tcW w:w="2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8"/>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6"/>
              </w:rPr>
              <w:t>Average</w:t>
            </w:r>
          </w:p>
        </w:tc>
        <w:tc>
          <w:tcPr>
            <w:tcW w:w="2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28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280" w:type="dxa"/>
            <w:vAlign w:val="bottom"/>
          </w:tcPr>
          <w:p>
            <w:pPr>
              <w:spacing w:after="0"/>
              <w:rPr>
                <w:sz w:val="9"/>
                <w:szCs w:val="9"/>
                <w:color w:val="auto"/>
              </w:rPr>
            </w:pPr>
          </w:p>
        </w:tc>
        <w:tc>
          <w:tcPr>
            <w:tcW w:w="2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Dollar Value of Shares that</w:t>
            </w:r>
          </w:p>
        </w:tc>
        <w:tc>
          <w:tcPr>
            <w:tcW w:w="0" w:type="dxa"/>
            <w:vAlign w:val="bottom"/>
          </w:tcPr>
          <w:p>
            <w:pPr>
              <w:spacing w:after="0"/>
              <w:rPr>
                <w:sz w:val="1"/>
                <w:szCs w:val="1"/>
                <w:color w:val="auto"/>
              </w:rPr>
            </w:pPr>
          </w:p>
        </w:tc>
      </w:tr>
      <w:tr>
        <w:trPr>
          <w:trHeight w:val="108"/>
        </w:trPr>
        <w:tc>
          <w:tcPr>
            <w:tcW w:w="2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220" w:type="dxa"/>
            <w:vAlign w:val="bottom"/>
          </w:tcPr>
          <w:p>
            <w:pPr>
              <w:spacing w:after="0"/>
              <w:rPr>
                <w:sz w:val="9"/>
                <w:szCs w:val="9"/>
                <w:color w:val="auto"/>
              </w:rPr>
            </w:pPr>
          </w:p>
        </w:tc>
        <w:tc>
          <w:tcPr>
            <w:tcW w:w="120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9"/>
                <w:szCs w:val="9"/>
                <w:color w:val="auto"/>
              </w:rPr>
            </w:pPr>
          </w:p>
        </w:tc>
        <w:tc>
          <w:tcPr>
            <w:tcW w:w="116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Price Paid</w:t>
            </w:r>
          </w:p>
        </w:tc>
        <w:tc>
          <w:tcPr>
            <w:tcW w:w="2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2"/>
              </w:rPr>
              <w:t>Announced Plans or</w:t>
            </w:r>
          </w:p>
        </w:tc>
        <w:tc>
          <w:tcPr>
            <w:tcW w:w="280" w:type="dxa"/>
            <w:vAlign w:val="bottom"/>
          </w:tcPr>
          <w:p>
            <w:pPr>
              <w:spacing w:after="0"/>
              <w:rPr>
                <w:sz w:val="9"/>
                <w:szCs w:val="9"/>
                <w:color w:val="auto"/>
              </w:rPr>
            </w:pPr>
          </w:p>
        </w:tc>
        <w:tc>
          <w:tcPr>
            <w:tcW w:w="2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5"/>
              </w:rPr>
              <w:t>May Yet be Purchased Under</w:t>
            </w:r>
          </w:p>
        </w:tc>
        <w:tc>
          <w:tcPr>
            <w:tcW w:w="0" w:type="dxa"/>
            <w:vAlign w:val="bottom"/>
          </w:tcPr>
          <w:p>
            <w:pPr>
              <w:spacing w:after="0"/>
              <w:rPr>
                <w:sz w:val="1"/>
                <w:szCs w:val="1"/>
                <w:color w:val="auto"/>
              </w:rPr>
            </w:pPr>
          </w:p>
        </w:tc>
      </w:tr>
      <w:tr>
        <w:trPr>
          <w:trHeight w:val="125"/>
        </w:trPr>
        <w:tc>
          <w:tcPr>
            <w:tcW w:w="2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93"/>
              </w:rPr>
              <w:t>Purchased</w:t>
            </w:r>
          </w:p>
        </w:tc>
        <w:tc>
          <w:tcPr>
            <w:tcW w:w="120" w:type="dxa"/>
            <w:vAlign w:val="bottom"/>
          </w:tcPr>
          <w:p>
            <w:pPr>
              <w:spacing w:after="0"/>
              <w:rPr>
                <w:sz w:val="10"/>
                <w:szCs w:val="1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Share(a)</w:t>
            </w:r>
          </w:p>
        </w:tc>
        <w:tc>
          <w:tcPr>
            <w:tcW w:w="20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Programs</w:t>
            </w:r>
          </w:p>
        </w:tc>
        <w:tc>
          <w:tcPr>
            <w:tcW w:w="280" w:type="dxa"/>
            <w:vAlign w:val="bottom"/>
          </w:tcPr>
          <w:p>
            <w:pPr>
              <w:spacing w:after="0"/>
              <w:rPr>
                <w:sz w:val="10"/>
                <w:szCs w:val="1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the Plans or Programs(b)</w:t>
            </w: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October 1 — 31</w:t>
            </w:r>
          </w:p>
        </w:tc>
        <w:tc>
          <w:tcPr>
            <w:tcW w:w="142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493,401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36.49</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493,401</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2100" w:type="dxa"/>
            <w:vAlign w:val="bottom"/>
            <w:gridSpan w:val="2"/>
            <w:shd w:val="clear" w:color="auto" w:fill="CCEEFF"/>
          </w:tcPr>
          <w:p>
            <w:pPr>
              <w:ind w:left="1400"/>
              <w:spacing w:after="0"/>
              <w:rPr>
                <w:sz w:val="20"/>
                <w:szCs w:val="20"/>
                <w:color w:val="auto"/>
              </w:rPr>
            </w:pPr>
            <w:r>
              <w:rPr>
                <w:rFonts w:ascii="Arial" w:cs="Arial" w:eastAsia="Arial" w:hAnsi="Arial"/>
                <w:sz w:val="13"/>
                <w:szCs w:val="13"/>
                <w:color w:val="auto"/>
              </w:rPr>
              <w:t>232 million</w:t>
            </w:r>
          </w:p>
        </w:tc>
        <w:tc>
          <w:tcPr>
            <w:tcW w:w="0" w:type="dxa"/>
            <w:vAlign w:val="bottom"/>
          </w:tcPr>
          <w:p>
            <w:pPr>
              <w:spacing w:after="0"/>
              <w:rPr>
                <w:sz w:val="1"/>
                <w:szCs w:val="1"/>
                <w:color w:val="auto"/>
              </w:rPr>
            </w:pPr>
          </w:p>
        </w:tc>
      </w:tr>
      <w:tr>
        <w:trPr>
          <w:trHeight w:val="157"/>
        </w:trPr>
        <w:tc>
          <w:tcPr>
            <w:tcW w:w="2900" w:type="dxa"/>
            <w:vAlign w:val="bottom"/>
            <w:gridSpan w:val="2"/>
          </w:tcPr>
          <w:p>
            <w:pPr>
              <w:spacing w:after="0"/>
              <w:rPr>
                <w:sz w:val="20"/>
                <w:szCs w:val="20"/>
                <w:color w:val="auto"/>
              </w:rPr>
            </w:pPr>
            <w:r>
              <w:rPr>
                <w:rFonts w:ascii="Arial" w:cs="Arial" w:eastAsia="Arial" w:hAnsi="Arial"/>
                <w:sz w:val="13"/>
                <w:szCs w:val="13"/>
                <w:color w:val="auto"/>
              </w:rPr>
              <w:t>November 1 — 30</w:t>
            </w:r>
          </w:p>
        </w:tc>
        <w:tc>
          <w:tcPr>
            <w:tcW w:w="1420" w:type="dxa"/>
            <w:vAlign w:val="bottom"/>
            <w:gridSpan w:val="4"/>
          </w:tcPr>
          <w:p>
            <w:pPr>
              <w:jc w:val="right"/>
              <w:ind w:right="380"/>
              <w:spacing w:after="0"/>
              <w:rPr>
                <w:sz w:val="20"/>
                <w:szCs w:val="20"/>
                <w:color w:val="auto"/>
              </w:rPr>
            </w:pPr>
            <w:r>
              <w:rPr>
                <w:rFonts w:ascii="Arial" w:cs="Arial" w:eastAsia="Arial" w:hAnsi="Arial"/>
                <w:sz w:val="13"/>
                <w:szCs w:val="13"/>
                <w:color w:val="auto"/>
              </w:rPr>
              <w:t>593,360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35.39</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593,360</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2100" w:type="dxa"/>
            <w:vAlign w:val="bottom"/>
            <w:gridSpan w:val="2"/>
          </w:tcPr>
          <w:p>
            <w:pPr>
              <w:ind w:left="1400"/>
              <w:spacing w:after="0"/>
              <w:rPr>
                <w:sz w:val="20"/>
                <w:szCs w:val="20"/>
                <w:color w:val="auto"/>
              </w:rPr>
            </w:pPr>
            <w:r>
              <w:rPr>
                <w:rFonts w:ascii="Arial" w:cs="Arial" w:eastAsia="Arial" w:hAnsi="Arial"/>
                <w:sz w:val="13"/>
                <w:szCs w:val="13"/>
                <w:color w:val="auto"/>
              </w:rPr>
              <w:t>211 million</w:t>
            </w:r>
          </w:p>
        </w:tc>
        <w:tc>
          <w:tcPr>
            <w:tcW w:w="0" w:type="dxa"/>
            <w:vAlign w:val="bottom"/>
          </w:tcPr>
          <w:p>
            <w:pPr>
              <w:spacing w:after="0"/>
              <w:rPr>
                <w:sz w:val="1"/>
                <w:szCs w:val="1"/>
                <w:color w:val="auto"/>
              </w:rPr>
            </w:pPr>
          </w:p>
        </w:tc>
      </w:tr>
      <w:tr>
        <w:trPr>
          <w:trHeight w:val="157"/>
        </w:trPr>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1 — 31</w:t>
            </w:r>
          </w:p>
        </w:tc>
        <w:tc>
          <w:tcPr>
            <w:tcW w:w="22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453,300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35.25</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453,300</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2100" w:type="dxa"/>
            <w:vAlign w:val="bottom"/>
            <w:gridSpan w:val="2"/>
            <w:shd w:val="clear" w:color="auto" w:fill="CCEEFF"/>
          </w:tcPr>
          <w:p>
            <w:pPr>
              <w:ind w:left="1400"/>
              <w:spacing w:after="0"/>
              <w:rPr>
                <w:sz w:val="20"/>
                <w:szCs w:val="20"/>
                <w:color w:val="auto"/>
              </w:rPr>
            </w:pPr>
            <w:r>
              <w:rPr>
                <w:rFonts w:ascii="Arial" w:cs="Arial" w:eastAsia="Arial" w:hAnsi="Arial"/>
                <w:sz w:val="13"/>
                <w:szCs w:val="13"/>
                <w:color w:val="auto"/>
              </w:rPr>
              <w:t>195 million</w:t>
            </w: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35.70</w:t>
            </w:r>
          </w:p>
        </w:tc>
        <w:tc>
          <w:tcPr>
            <w:tcW w:w="1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vMerge w:val="restart"/>
          </w:tcPr>
          <w:p>
            <w:pPr>
              <w:jc w:val="right"/>
              <w:ind w:right="171"/>
              <w:spacing w:after="0"/>
              <w:rPr>
                <w:sz w:val="20"/>
                <w:szCs w:val="20"/>
                <w:color w:val="auto"/>
              </w:rPr>
            </w:pPr>
            <w:r>
              <w:rPr>
                <w:rFonts w:ascii="Arial" w:cs="Arial" w:eastAsia="Arial" w:hAnsi="Arial"/>
                <w:sz w:val="10"/>
                <w:szCs w:val="10"/>
                <w:color w:val="auto"/>
                <w:w w:val="71"/>
              </w:rPr>
              <w:t>$</w:t>
            </w:r>
          </w:p>
        </w:tc>
        <w:tc>
          <w:tcPr>
            <w:tcW w:w="2100" w:type="dxa"/>
            <w:vAlign w:val="bottom"/>
            <w:gridSpan w:val="2"/>
            <w:vMerge w:val="restart"/>
          </w:tcPr>
          <w:p>
            <w:pPr>
              <w:ind w:left="1620"/>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66"/>
        </w:trPr>
        <w:tc>
          <w:tcPr>
            <w:tcW w:w="2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1,540,061</w:t>
            </w:r>
          </w:p>
        </w:tc>
        <w:tc>
          <w:tcPr>
            <w:tcW w:w="3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1,540,061</w:t>
            </w:r>
          </w:p>
        </w:tc>
        <w:tc>
          <w:tcPr>
            <w:tcW w:w="280" w:type="dxa"/>
            <w:vAlign w:val="bottom"/>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per-share commission paid for all repurchases.</w:t>
      </w:r>
    </w:p>
    <w:p>
      <w:pPr>
        <w:spacing w:after="0" w:line="47" w:lineRule="exact"/>
        <w:rPr>
          <w:rFonts w:ascii="Arial" w:cs="Arial" w:eastAsia="Arial" w:hAnsi="Arial"/>
          <w:sz w:val="13"/>
          <w:szCs w:val="13"/>
          <w:color w:val="auto"/>
        </w:rPr>
      </w:pPr>
    </w:p>
    <w:p>
      <w:pPr>
        <w:ind w:left="1080" w:hanging="393"/>
        <w:spacing w:after="0" w:line="296" w:lineRule="auto"/>
        <w:tabs>
          <w:tab w:leader="none" w:pos="10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For each period presented, the maximum dollar value of shares that may yet be purchased under the program has been provided net of the $604 million of dividends declared and paid in 2010. The total amount available for repurchases under the program is shown as zero because our capital allocation program, by its own terms, provided for up to $1.3 billion in dividends and share repurchases in 2010, with any unused portion of the capital allocated under the program unavailable after the end of 2010.</w:t>
      </w:r>
    </w:p>
    <w:p>
      <w:pPr>
        <w:spacing w:after="0" w:line="5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December 2010, we announced that our Board of Directors expects that future quarterly dividend payments will be increased to $0.34 per share in 2011, which is an 8% increase from the quarterly dividend we paid in 2010. All quarterly dividends will be declared at the discretion of our Board of Directors. Additionally, the Board of Directors approved up to $575 million in share repurchases for 2011.</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The information below was derived from the audited Consolidated Financial Statements included in this report and in previous annual reports we filed with the SEC. This information should be read together with those Consolidated Financial Statements and the notes thereto. The adoption of new accounting pronouncements, changes in certain accounting policies and certain reclassifications impact the comparability of the financial information presented below. These historical results are not necessarily indicative of the results to be expected in the future.</w:t>
      </w:r>
    </w:p>
    <w:p>
      <w:pPr>
        <w:spacing w:after="0" w:line="3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w w:val="93"/>
              </w:rPr>
              <w:t>Years Ended December 31,</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2010(a)</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2009(a)</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2008(a)</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5"/>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w w:val="88"/>
              </w:rPr>
              <w:t>millions,</w:t>
            </w:r>
          </w:p>
        </w:tc>
        <w:tc>
          <w:tcPr>
            <w:tcW w:w="1160" w:type="dxa"/>
            <w:vAlign w:val="bottom"/>
            <w:gridSpan w:val="4"/>
          </w:tcPr>
          <w:p>
            <w:pPr>
              <w:spacing w:after="0"/>
              <w:rPr>
                <w:sz w:val="20"/>
                <w:szCs w:val="20"/>
                <w:color w:val="auto"/>
              </w:rPr>
            </w:pPr>
            <w:r>
              <w:rPr>
                <w:rFonts w:ascii="Arial" w:cs="Arial" w:eastAsia="Arial" w:hAnsi="Arial"/>
                <w:sz w:val="10"/>
                <w:szCs w:val="10"/>
                <w:b w:val="1"/>
                <w:bCs w:val="1"/>
                <w:color w:val="auto"/>
                <w:w w:val="89"/>
              </w:rPr>
              <w:t>except per share amounts)</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Operating revenues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12,515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11,791</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13,388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13,310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13,363</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Operating</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7,824</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7,241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8,466</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8,402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8,587</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1,461</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1,364</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1,477</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1,388</w:t>
            </w:r>
          </w:p>
        </w:tc>
        <w:tc>
          <w:tcPr>
            <w:tcW w:w="0" w:type="dxa"/>
            <w:vAlign w:val="bottom"/>
          </w:tcPr>
          <w:p>
            <w:pPr>
              <w:spacing w:after="0"/>
              <w:rPr>
                <w:sz w:val="1"/>
                <w:szCs w:val="1"/>
                <w:color w:val="auto"/>
              </w:rPr>
            </w:pP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1,194</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1,166</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1,238</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1,259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1,334</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Restructuring</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83</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(29)</w:t>
            </w:r>
          </w:p>
        </w:tc>
        <w:tc>
          <w:tcPr>
            <w:tcW w:w="1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9,904</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11,154</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11,056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11,334</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Income from operations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2,116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1,887</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2,234</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2,254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2,029</w:t>
            </w: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expense, net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(485)</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(437)</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1,473</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1,797</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1,749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1,518</w:t>
            </w: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669</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Consolidated net income</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1,002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1,060</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1,128</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1,209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1,193</w:t>
            </w: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953</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994</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1,087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1,163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1,149</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29"/>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Diluted earnings per common share</w:t>
            </w: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3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1.98</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2.01</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2.19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2.23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0.96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0.66</w:t>
            </w:r>
          </w:p>
        </w:tc>
        <w:tc>
          <w:tcPr>
            <w:tcW w:w="0" w:type="dxa"/>
            <w:vAlign w:val="bottom"/>
          </w:tcPr>
          <w:p>
            <w:pPr>
              <w:spacing w:after="0"/>
              <w:rPr>
                <w:sz w:val="1"/>
                <w:szCs w:val="1"/>
                <w:color w:val="auto"/>
              </w:rPr>
            </w:pPr>
          </w:p>
        </w:tc>
      </w:tr>
      <w:tr>
        <w:trPr>
          <w:trHeight w:val="29"/>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Cash dividends paid (includes $0.22 declared in 2005, paid in 2006)</w:t>
            </w: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300" w:type="dxa"/>
            <w:vAlign w:val="bottom"/>
            <w:gridSpan w:val="2"/>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1.26</w:t>
            </w:r>
          </w:p>
        </w:tc>
        <w:tc>
          <w:tcPr>
            <w:tcW w:w="4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1.16</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1.08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0.96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0.88</w:t>
            </w:r>
          </w:p>
        </w:tc>
        <w:tc>
          <w:tcPr>
            <w:tcW w:w="0" w:type="dxa"/>
            <w:vAlign w:val="bottom"/>
          </w:tcPr>
          <w:p>
            <w:pPr>
              <w:spacing w:after="0"/>
              <w:rPr>
                <w:sz w:val="1"/>
                <w:szCs w:val="1"/>
                <w:color w:val="auto"/>
              </w:rPr>
            </w:pPr>
          </w:p>
        </w:tc>
      </w:tr>
      <w:tr>
        <w:trPr>
          <w:trHeight w:val="165"/>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 (at end of period):</w:t>
            </w: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Working capital (deficit)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109</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(701)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(118)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 and other intangible assets, net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6,021</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5,870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5,620</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5,530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5,413</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21,476</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21,154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20,227</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20,175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20,600</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 including current portion</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8,907</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8,873</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8,326</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8,317</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Total Waste Management, Inc. stockholders’ equity</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6,260</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6,285</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5,902</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5,792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6,222</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equity</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6,591</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6,591</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6,185</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6,102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6,497</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60" w:hanging="393"/>
        <w:spacing w:after="0" w:line="264" w:lineRule="auto"/>
        <w:tabs>
          <w:tab w:leader="none" w:pos="10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For more information regarding these financial data, see the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section included in this report. For disclosures associated with the impact of the adoption of new accounting pronouncements and changes in our accounting policies on the comparability of this information, see Note 2 of the Consolidated Financial Statements.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 xml:space="preserve">This section includes a discussion of our results of operations for the three years ended December 31, 2010. This discussion may contain forward-looking statements that anticipate results based on management’s plans that are subject to uncertainty. We discuss in more detail various factors that could cause actual results to differ from expectations in Item 1A, </w:t>
      </w:r>
      <w:r>
        <w:rPr>
          <w:rFonts w:ascii="Arial" w:cs="Arial" w:eastAsia="Arial" w:hAnsi="Arial"/>
          <w:sz w:val="11"/>
          <w:szCs w:val="11"/>
          <w:i w:val="1"/>
          <w:iCs w:val="1"/>
          <w:color w:val="auto"/>
        </w:rPr>
        <w:t>Risk</w:t>
      </w:r>
      <w:r>
        <w:rPr>
          <w:rFonts w:ascii="Arial" w:cs="Arial" w:eastAsia="Arial" w:hAnsi="Arial"/>
          <w:sz w:val="11"/>
          <w:szCs w:val="11"/>
          <w:color w:val="auto"/>
        </w:rPr>
        <w:t xml:space="preserve"> </w:t>
      </w:r>
      <w:r>
        <w:rPr>
          <w:rFonts w:ascii="Arial" w:cs="Arial" w:eastAsia="Arial" w:hAnsi="Arial"/>
          <w:sz w:val="11"/>
          <w:szCs w:val="11"/>
          <w:i w:val="1"/>
          <w:iCs w:val="1"/>
          <w:color w:val="auto"/>
        </w:rPr>
        <w:t>Factors</w:t>
      </w:r>
      <w:r>
        <w:rPr>
          <w:rFonts w:ascii="Arial" w:cs="Arial" w:eastAsia="Arial" w:hAnsi="Arial"/>
          <w:sz w:val="11"/>
          <w:szCs w:val="11"/>
          <w:color w:val="auto"/>
        </w:rPr>
        <w:t>. The following discussion should be read in light of that disclosure and together with the Consolidated Financial Statements and the notes to the Consolidated Financial Statements.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2010 results of operations reflect our discipline in pricing, our ability to control costs in our collection and disposal operations and our continued investment in our strategic initiatives, which will enable us to grow into new markets, provide expanded service offerings and improve our information technology systems. Our results also reflect an improvement in the general economic environment. Highlights of our financial results for 2010 include:</w:t>
      </w:r>
    </w:p>
    <w:p>
      <w:pPr>
        <w:spacing w:after="0" w:line="67"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Revenues of $12.5 billion compared with $11.8 billion in 2009, an increase of $724 million, or 6.1%. This increase in revenues is primarily attributable to:</w:t>
      </w:r>
    </w:p>
    <w:p>
      <w:pPr>
        <w:spacing w:after="0" w:line="96" w:lineRule="exact"/>
        <w:rPr>
          <w:rFonts w:ascii="Arial" w:cs="Arial" w:eastAsia="Arial" w:hAnsi="Arial"/>
          <w:sz w:val="13"/>
          <w:szCs w:val="13"/>
          <w:color w:val="auto"/>
        </w:rPr>
      </w:pPr>
    </w:p>
    <w:p>
      <w:pPr>
        <w:ind w:left="1500" w:right="180" w:hanging="214"/>
        <w:spacing w:after="0" w:line="276" w:lineRule="auto"/>
        <w:tabs>
          <w:tab w:leader="none" w:pos="1500" w:val="left"/>
        </w:tabs>
        <w:numPr>
          <w:ilvl w:val="1"/>
          <w:numId w:val="17"/>
        </w:numPr>
        <w:rPr>
          <w:rFonts w:ascii="Arial" w:cs="Arial" w:eastAsia="Arial" w:hAnsi="Arial"/>
          <w:sz w:val="13"/>
          <w:szCs w:val="13"/>
          <w:color w:val="auto"/>
        </w:rPr>
      </w:pPr>
      <w:r>
        <w:rPr>
          <w:rFonts w:ascii="Arial" w:cs="Arial" w:eastAsia="Arial" w:hAnsi="Arial"/>
          <w:sz w:val="13"/>
          <w:szCs w:val="13"/>
          <w:color w:val="auto"/>
        </w:rPr>
        <w:t>Increases from recyclable commodity prices of $423 million; increases from our fuel surcharge program of $69 million; and increases from foreign currency translation of $66 million;</w:t>
      </w:r>
    </w:p>
    <w:p>
      <w:pPr>
        <w:spacing w:after="0" w:line="49" w:lineRule="exact"/>
        <w:rPr>
          <w:rFonts w:ascii="Arial" w:cs="Arial" w:eastAsia="Arial" w:hAnsi="Arial"/>
          <w:sz w:val="13"/>
          <w:szCs w:val="13"/>
          <w:color w:val="auto"/>
        </w:rPr>
      </w:pPr>
    </w:p>
    <w:p>
      <w:pPr>
        <w:ind w:left="1500" w:hanging="214"/>
        <w:spacing w:after="0"/>
        <w:tabs>
          <w:tab w:leader="none" w:pos="1500" w:val="left"/>
        </w:tabs>
        <w:numPr>
          <w:ilvl w:val="1"/>
          <w:numId w:val="17"/>
        </w:numPr>
        <w:rPr>
          <w:rFonts w:ascii="Arial" w:cs="Arial" w:eastAsia="Arial" w:hAnsi="Arial"/>
          <w:sz w:val="13"/>
          <w:szCs w:val="13"/>
          <w:color w:val="auto"/>
        </w:rPr>
      </w:pPr>
      <w:r>
        <w:rPr>
          <w:rFonts w:ascii="Arial" w:cs="Arial" w:eastAsia="Arial" w:hAnsi="Arial"/>
          <w:sz w:val="13"/>
          <w:szCs w:val="13"/>
          <w:color w:val="auto"/>
        </w:rPr>
        <w:t>Increases associated with acquired businesses of $240 million; and</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17"/>
        </w:numPr>
        <w:rPr>
          <w:rFonts w:ascii="Arial" w:cs="Arial" w:eastAsia="Arial" w:hAnsi="Arial"/>
          <w:sz w:val="13"/>
          <w:szCs w:val="13"/>
          <w:color w:val="auto"/>
        </w:rPr>
      </w:pPr>
      <w:r>
        <w:rPr>
          <w:rFonts w:ascii="Arial" w:cs="Arial" w:eastAsia="Arial" w:hAnsi="Arial"/>
          <w:sz w:val="13"/>
          <w:szCs w:val="13"/>
          <w:color w:val="auto"/>
        </w:rPr>
        <w:t>Internal revenue growth from yield on our collection and disposal business of 2.3% in the current period, which increased revenue by $239 million;</w:t>
      </w:r>
    </w:p>
    <w:p>
      <w:pPr>
        <w:spacing w:after="0" w:line="96" w:lineRule="exact"/>
        <w:rPr>
          <w:rFonts w:ascii="Arial" w:cs="Arial" w:eastAsia="Arial" w:hAnsi="Arial"/>
          <w:sz w:val="13"/>
          <w:szCs w:val="13"/>
          <w:color w:val="auto"/>
        </w:rPr>
      </w:pPr>
    </w:p>
    <w:p>
      <w:pPr>
        <w:ind w:left="1280" w:right="20" w:hanging="190"/>
        <w:spacing w:after="0" w:line="264"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Internal revenue growth from volume was negative 2.6% in 2010, compared with negative 8.1% in 2009. In addition to the lower rate of decline driven by changes in the economy, our volume was favorably affected by revenues associated with oil spill clean-up activities along the Gulf Coast. The year-over-year decline in internal revenue growth due to volume was $304 million;</w:t>
      </w:r>
    </w:p>
    <w:p>
      <w:pPr>
        <w:spacing w:after="0" w:line="57" w:lineRule="exact"/>
        <w:rPr>
          <w:rFonts w:ascii="Arial" w:cs="Arial" w:eastAsia="Arial" w:hAnsi="Arial"/>
          <w:sz w:val="13"/>
          <w:szCs w:val="13"/>
          <w:color w:val="auto"/>
        </w:rPr>
      </w:pPr>
    </w:p>
    <w:p>
      <w:pPr>
        <w:ind w:left="1280" w:right="20" w:hanging="190"/>
        <w:spacing w:after="0" w:line="264"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Operating expenses of $7.8 billion, or 62.5% of revenues, compared with $7.2 billion, or 61.4% of revenues, in 2009. This increase of $583 million, or 8.1%, is due primarily to higher customer rebates because of recyclable commodity prices; higher fuel prices; increases in subcontractor costs associated with our oil spill clean-up services along the Gulf Coast; and increases in our landfill operating costs;</w:t>
      </w:r>
    </w:p>
    <w:p>
      <w:pPr>
        <w:spacing w:after="0" w:line="57"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Selling, general and administrative expenses increased by $97 million, or 7.1%, from $1.4 billion in 2009 to $1.5 billion in 2010. These cost increases were primarily due to support of our strategic growth plans and initiatives;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Income from operations of $2.1 billion, or 16.9% of revenues, in 2010 compared with $1.9 billion, or 16.0% of revenues, in 2009;</w:t>
      </w:r>
    </w:p>
    <w:p>
      <w:pPr>
        <w:spacing w:after="0" w:line="86" w:lineRule="exact"/>
        <w:rPr>
          <w:rFonts w:ascii="Arial" w:cs="Arial" w:eastAsia="Arial" w:hAnsi="Arial"/>
          <w:sz w:val="13"/>
          <w:szCs w:val="13"/>
          <w:color w:val="auto"/>
        </w:rPr>
      </w:pPr>
    </w:p>
    <w:p>
      <w:pPr>
        <w:ind w:left="1280" w:right="140" w:hanging="190"/>
        <w:spacing w:after="0" w:line="264"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Interest expense of $473 million compared with $426 million in 2009, an increase of $47 million, or 11.0%. This increase is primarily due to higher average debt balances, including additional borrowings incurred in late 2009 primarily to support our strategic plans, and higher costs related to the execution and maintenance of our revolving credit facility executed in June 2010; and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Net income attributable to Waste Management, Inc. of $953 million, or $1.98 per diluted share for 2010, as compared with $994 million, or $2.01 per diluted share in 2009.</w:t>
      </w:r>
    </w:p>
    <w:p>
      <w:pPr>
        <w:spacing w:after="0" w:line="10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comparability of our 2010 results with 2009 has been affected by certain items management believes are not representative or indicative of our performance. Our 2010 results were affected by the following:</w:t>
      </w:r>
    </w:p>
    <w:p>
      <w:pPr>
        <w:spacing w:after="0" w:line="59" w:lineRule="exact"/>
        <w:rPr>
          <w:sz w:val="20"/>
          <w:szCs w:val="20"/>
          <w:color w:val="auto"/>
        </w:rPr>
      </w:pPr>
    </w:p>
    <w:p>
      <w:pPr>
        <w:ind w:left="1280" w:right="30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recognition of pre-tax charges aggregating $55 million related to remediation and closure costs at five closed sites, which had a negative impact of $0.07 on our diluted earnings per share;</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recognition of net tax charges of $32 million due to refinements in estimates of our deferred state income taxes and the finalization of our 2009 tax returns, partially offset by favorable tax audit settlements, all of which, combined, had a negative impact of $0.07 on our diluted earnings per share;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recognition of a net favorable pre-tax benefit of $46 million for litigation and associated costs, which had a favorable impact of $0.06 on our diluted earnings per share; and</w:t>
      </w:r>
    </w:p>
    <w:p>
      <w:pPr>
        <w:spacing w:after="0" w:line="86" w:lineRule="exact"/>
        <w:rPr>
          <w:rFonts w:ascii="Arial" w:cs="Arial" w:eastAsia="Arial" w:hAnsi="Arial"/>
          <w:sz w:val="13"/>
          <w:szCs w:val="13"/>
          <w:color w:val="auto"/>
        </w:rPr>
      </w:pPr>
    </w:p>
    <w:p>
      <w:pPr>
        <w:ind w:left="1280" w:right="112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recognition of net pre-tax charges of $26 million as a result of the withdrawal of certain of our union bargaining units from an underfunded multiemployer pension plan, which had a negative impact of $0.03 on our diluted earnings per share.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2009 results were affected by the following:</w:t>
      </w:r>
    </w:p>
    <w:p>
      <w:pPr>
        <w:spacing w:after="0" w:line="96" w:lineRule="exact"/>
        <w:rPr>
          <w:sz w:val="20"/>
          <w:szCs w:val="20"/>
          <w:color w:val="auto"/>
        </w:rPr>
      </w:pPr>
    </w:p>
    <w:p>
      <w:pPr>
        <w:ind w:left="1280" w:right="860" w:hanging="190"/>
        <w:spacing w:after="0" w:line="264"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recognition of a tax benefit of $130 million due principally to favorable adjustments from the carry-back of a capital loss, the recognition of state net operating losses and tax credits, the finalization of our 2008 tax returns, the impact of tax audit settlements and the revaluation of deferred taxes due to Canadian tax rate reductions. These items had a combined favorable impact of $0.26 on our diluted earnings per share;</w:t>
      </w:r>
    </w:p>
    <w:p>
      <w:pPr>
        <w:spacing w:after="0" w:line="57" w:lineRule="exact"/>
        <w:rPr>
          <w:rFonts w:ascii="Arial" w:cs="Arial" w:eastAsia="Arial" w:hAnsi="Arial"/>
          <w:sz w:val="13"/>
          <w:szCs w:val="13"/>
          <w:color w:val="auto"/>
        </w:rPr>
      </w:pPr>
    </w:p>
    <w:p>
      <w:pPr>
        <w:ind w:left="1280" w:right="122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recognition of impairment charges totaling $83 million due primarily to the abandonment of revenue management software and a change in expectations for the future operations of an inactive landfill in California. These items had a negative impact of $0.10 on our diluted earnings per share; and</w:t>
      </w:r>
    </w:p>
    <w:p>
      <w:pPr>
        <w:spacing w:after="0" w:line="49" w:lineRule="exact"/>
        <w:rPr>
          <w:rFonts w:ascii="Arial" w:cs="Arial" w:eastAsia="Arial" w:hAnsi="Arial"/>
          <w:sz w:val="13"/>
          <w:szCs w:val="13"/>
          <w:color w:val="auto"/>
        </w:rPr>
      </w:pPr>
    </w:p>
    <w:p>
      <w:pPr>
        <w:ind w:left="1280" w:right="96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recognition of pre-tax charges of $50 million related to our 2009 restructuring, primarily related to severance and benefit costs. These restructuring charges reduced diluted earnings per share for the year by $0.06.</w:t>
      </w:r>
    </w:p>
    <w:p>
      <w:pPr>
        <w:spacing w:after="0" w:line="59" w:lineRule="exact"/>
        <w:rPr>
          <w:sz w:val="20"/>
          <w:szCs w:val="20"/>
          <w:color w:val="auto"/>
        </w:rPr>
      </w:pPr>
    </w:p>
    <w:p>
      <w:pPr>
        <w:ind w:left="680" w:right="880" w:firstLine="399"/>
        <w:spacing w:after="0" w:line="257" w:lineRule="auto"/>
        <w:rPr>
          <w:sz w:val="20"/>
          <w:szCs w:val="20"/>
          <w:color w:val="auto"/>
        </w:rPr>
      </w:pPr>
      <w:r>
        <w:rPr>
          <w:rFonts w:ascii="Arial" w:cs="Arial" w:eastAsia="Arial" w:hAnsi="Arial"/>
          <w:sz w:val="13"/>
          <w:szCs w:val="13"/>
          <w:color w:val="auto"/>
        </w:rPr>
        <w:t>We are pleased about the lower rate of decline in internal revenue growth from volumes that we experienced during 2010. On the pricing front, our fourth quarter 2010 results were the strongest of the year. For both the fourth quarter and the full year of 2010, we outpaced our long-term pricing objective of achieving price increases in the range of 50 to 100 basis points above the consumer price index, or CPI. In 2011, we will remain committed to our pricing discipline. Based on an anticipated CPI run-rate of 1.0%, we expect our overall revenue growth from yield to be approximately 2.0%. Additionally, we expect our revenue growth from volumes to be flat to slightly positive. However, we are mindful of trends toward waste reduction at the source, diversion from landfills and customers seeking alternative methods of disposal. We will continue to implement measures that we believe will grow our business, improve our current operations performance and enhance and expand our services.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Free Cash Flow</w:t>
      </w:r>
    </w:p>
    <w:p>
      <w:pPr>
        <w:spacing w:after="0" w:line="96" w:lineRule="exact"/>
        <w:rPr>
          <w:sz w:val="20"/>
          <w:szCs w:val="20"/>
          <w:color w:val="auto"/>
        </w:rPr>
      </w:pPr>
    </w:p>
    <w:p>
      <w:pPr>
        <w:ind w:left="680" w:right="820" w:firstLine="399"/>
        <w:spacing w:after="0" w:line="282" w:lineRule="auto"/>
        <w:rPr>
          <w:sz w:val="20"/>
          <w:szCs w:val="20"/>
          <w:color w:val="auto"/>
        </w:rPr>
      </w:pPr>
      <w:r>
        <w:rPr>
          <w:rFonts w:ascii="Arial" w:cs="Arial" w:eastAsia="Arial" w:hAnsi="Arial"/>
          <w:sz w:val="12"/>
          <w:szCs w:val="12"/>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59"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color w:val="auto"/>
        </w:rPr>
        <w:t>Our calculation of free cash flow and reconciliation to “Net cash provided by operating activities” is shown in the table below (in millions), and may not be the same as similarly titled measures presented by other companies:</w:t>
      </w:r>
    </w:p>
    <w:p>
      <w:pPr>
        <w:spacing w:after="0" w:line="61" w:lineRule="exact"/>
        <w:rPr>
          <w:sz w:val="20"/>
          <w:szCs w:val="20"/>
          <w:color w:val="auto"/>
        </w:rPr>
      </w:pPr>
    </w:p>
    <w:p>
      <w:pPr>
        <w:ind w:left="9500"/>
        <w:spacing w:after="0"/>
        <w:rPr>
          <w:sz w:val="20"/>
          <w:szCs w:val="20"/>
          <w:color w:val="auto"/>
        </w:rPr>
      </w:pPr>
      <w:r>
        <w:rPr>
          <w:rFonts w:ascii="Arial" w:cs="Arial" w:eastAsia="Arial" w:hAnsi="Arial"/>
          <w:sz w:val="10"/>
          <w:szCs w:val="10"/>
          <w:b w:val="1"/>
          <w:bCs w:val="1"/>
          <w:color w:val="auto"/>
        </w:rPr>
        <w:t>Years Ended</w:t>
      </w:r>
    </w:p>
    <w:p>
      <w:pPr>
        <w:spacing w:after="0" w:line="3" w:lineRule="exact"/>
        <w:rPr>
          <w:sz w:val="20"/>
          <w:szCs w:val="20"/>
          <w:color w:val="auto"/>
        </w:rPr>
      </w:pPr>
    </w:p>
    <w:p>
      <w:pPr>
        <w:ind w:left="9480"/>
        <w:spacing w:after="0"/>
        <w:rPr>
          <w:sz w:val="20"/>
          <w:szCs w:val="20"/>
          <w:color w:val="auto"/>
        </w:rPr>
      </w:pPr>
      <w:r>
        <w:rPr>
          <w:rFonts w:ascii="Arial" w:cs="Arial" w:eastAsia="Arial" w:hAnsi="Arial"/>
          <w:sz w:val="10"/>
          <w:szCs w:val="10"/>
          <w:b w:val="1"/>
          <w:bCs w:val="1"/>
          <w:color w:val="auto"/>
        </w:rPr>
        <w:t>December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368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spacing w:after="0"/>
              <w:rPr>
                <w:sz w:val="20"/>
                <w:szCs w:val="20"/>
                <w:color w:val="auto"/>
              </w:rPr>
            </w:pPr>
            <w:r>
              <w:rPr>
                <w:rFonts w:ascii="Arial" w:cs="Arial" w:eastAsia="Arial" w:hAnsi="Arial"/>
                <w:sz w:val="13"/>
                <w:szCs w:val="13"/>
                <w:color w:val="auto"/>
              </w:rPr>
              <w:t>Capital expenditures</w:t>
            </w: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(1,104)</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(1,179)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w w:val="92"/>
              </w:rPr>
              <w:t>Proceeds from divestitures of businesses (net of cash divested) and other sales of assets</w:t>
            </w:r>
          </w:p>
        </w:tc>
        <w:tc>
          <w:tcPr>
            <w:tcW w:w="3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60" w:type="dxa"/>
            <w:vAlign w:val="bottom"/>
            <w:vMerge w:val="restart"/>
          </w:tcPr>
          <w:p>
            <w:pPr>
              <w:spacing w:after="0"/>
              <w:rPr>
                <w:sz w:val="20"/>
                <w:szCs w:val="20"/>
                <w:color w:val="auto"/>
              </w:rPr>
            </w:pPr>
            <w:r>
              <w:rPr>
                <w:rFonts w:ascii="Arial" w:cs="Arial" w:eastAsia="Arial" w:hAnsi="Arial"/>
                <w:sz w:val="13"/>
                <w:szCs w:val="13"/>
                <w:color w:val="auto"/>
              </w:rPr>
              <w:t>Free cash flow</w:t>
            </w:r>
          </w:p>
        </w:tc>
        <w:tc>
          <w:tcPr>
            <w:tcW w:w="3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60" w:type="dxa"/>
            <w:vAlign w:val="bottom"/>
            <w:vMerge w:val="continue"/>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1,215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1,211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540" w:type="dxa"/>
            <w:vAlign w:val="bottom"/>
          </w:tcPr>
          <w:p>
            <w:pPr>
              <w:jc w:val="right"/>
              <w:ind w:right="3174"/>
              <w:spacing w:after="0"/>
              <w:rPr>
                <w:sz w:val="20"/>
                <w:szCs w:val="20"/>
                <w:color w:val="auto"/>
              </w:rPr>
            </w:pPr>
            <w:r>
              <w:rPr>
                <w:rFonts w:ascii="Arial" w:cs="Arial" w:eastAsia="Arial" w:hAnsi="Arial"/>
                <w:sz w:val="13"/>
                <w:szCs w:val="13"/>
                <w:color w:val="auto"/>
              </w:rPr>
              <w:t>27</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6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Our free cash flow was consistent in both years, however our cash provided by operating activities decreased $87 million and our capital expenditures decreased $75 million. The decrease in cash provided by operating activities was primarily due to net unfavorable changes in working capital, increased interest payments and higher income tax payments. These decreases in operating cash flow were partially offset by a cash benefit of $77 million resulting from a litigation settlement that occurred in April 2010. Payments made in 2009 related to severance and benefits costs associated with our 2009 restructuring also affected the comparability of our operating cash flow for the periods presented.</w:t>
      </w:r>
    </w:p>
    <w:p>
      <w:pPr>
        <w:spacing w:after="0" w:line="53"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decrease in capital expenditures in 2010 compared with 2009 can generally be attributed to timing of cash payments for the previous years’ fourth quarter capital expenditures. We generally use a significant portion of our free cash flow on capital expenditures in the fourth quarter of each year. A less significant portion of our fourth quarter 2009 capital expenditures were paid for in cash in 2010, as compared with the portion of our fourth quarter 2008 capital expenditures that were paid for in cash in 2009.</w:t>
      </w:r>
    </w:p>
    <w:p>
      <w:pPr>
        <w:spacing w:after="0" w:line="5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ability to generate over $1.2 billion in free cash flow in 2010 enabled us to return $1.1 billion in cash to stockholders during the year through the payment of $604 million in dividends and the repurchase of $501 million of our common stock.</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 of Consolidated Financial Information</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Consolidation of Variable Interest Entities </w:t>
      </w:r>
      <w:r>
        <w:rPr>
          <w:rFonts w:ascii="Arial" w:cs="Arial" w:eastAsia="Arial" w:hAnsi="Arial"/>
          <w:sz w:val="13"/>
          <w:szCs w:val="13"/>
          <w:color w:val="auto"/>
        </w:rPr>
        <w:t>— In June 2009, the Financial Accounting Standards Board, or FASB, issued revised authoritative guidance associated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consolidation of variable interest entities. The new guidance primarily uses a qualitative approach for determining whether an enterprise is the primary beneficiary of a variable interest entity, and is, therefore, required to consolidate the entity. This new guidance generally defines the primary beneficiary as the entity that has (i) the power to direct the activities of the variable interest entity that can most significantly impact the entity’s performance; and (ii) the obligation to absorb losses and the right to receive benefits from the variable interest entity that could be significant from the perspective of the entity. The new guidance also requires that we continually reassess whether we are the primary beneficiary of a variable interest entity rather than conducting a reassessment only upon the occurrence of specific events.</w:t>
      </w:r>
    </w:p>
    <w:p>
      <w:pPr>
        <w:spacing w:after="0" w:line="72"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As a result of our implementation of this guidance, effective January 1, 2010, we deconsolidated certain capping, closure, post-closure and environmental remediation trusts because we share power over significant activities of these trusts with others. Our financial interests in these entities are discussed in Note 20 of our Consolidated Financial Statements. The deconsolidation of these trusts has not materially affected our financial position, results of operations or cash flows during the periods presented.</w:t>
      </w:r>
    </w:p>
    <w:p>
      <w:pPr>
        <w:spacing w:after="0" w:line="50" w:lineRule="exact"/>
        <w:rPr>
          <w:sz w:val="20"/>
          <w:szCs w:val="20"/>
          <w:color w:val="auto"/>
        </w:rPr>
      </w:pPr>
    </w:p>
    <w:p>
      <w:pPr>
        <w:ind w:left="680" w:right="40" w:firstLine="399"/>
        <w:spacing w:after="0" w:line="300" w:lineRule="auto"/>
        <w:rPr>
          <w:sz w:val="20"/>
          <w:szCs w:val="20"/>
          <w:color w:val="auto"/>
        </w:rPr>
      </w:pPr>
      <w:r>
        <w:rPr>
          <w:rFonts w:ascii="Arial" w:cs="Arial" w:eastAsia="Arial" w:hAnsi="Arial"/>
          <w:sz w:val="11"/>
          <w:szCs w:val="11"/>
          <w:i w:val="1"/>
          <w:iCs w:val="1"/>
          <w:color w:val="auto"/>
        </w:rPr>
        <w:t xml:space="preserve">Business Combinations </w:t>
      </w:r>
      <w:r>
        <w:rPr>
          <w:rFonts w:ascii="Arial" w:cs="Arial" w:eastAsia="Arial" w:hAnsi="Arial"/>
          <w:sz w:val="11"/>
          <w:szCs w:val="11"/>
          <w:color w:val="auto"/>
        </w:rPr>
        <w:t>— In December 2007, the FASB issued revisions to the authoritative guidance associated with business combinations. This guidance clarified and revised the</w:t>
      </w:r>
      <w:r>
        <w:rPr>
          <w:rFonts w:ascii="Arial" w:cs="Arial" w:eastAsia="Arial" w:hAnsi="Arial"/>
          <w:sz w:val="11"/>
          <w:szCs w:val="11"/>
          <w:i w:val="1"/>
          <w:iCs w:val="1"/>
          <w:color w:val="auto"/>
        </w:rPr>
        <w:t xml:space="preserve"> </w:t>
      </w:r>
      <w:r>
        <w:rPr>
          <w:rFonts w:ascii="Arial" w:cs="Arial" w:eastAsia="Arial" w:hAnsi="Arial"/>
          <w:sz w:val="11"/>
          <w:szCs w:val="11"/>
          <w:color w:val="auto"/>
        </w:rPr>
        <w:t>principles for how an acquirer recognizes and measures identifiable assets acquired, liabilities assumed, and any noncontrolling interest in the acquiree. This guidance also addressed the recognition and measurement of goodwill acquired in business combinations and expanded disclosure requirements related to business combinations. Effective January 1, 2009, we adopted the FASB’s revised guidance associated with business combinations. The portions of this guidance that relate to business combinations completed before January 1, 2009 did not have a material impact on our consolidated financial statements. Further, business combinations completed subsequent to January 1, 2009, which are discussed in Note 19 of our Consolidated Financial Statements, have not been material to our financial position, results of operations or cash flows. However, to the extent that future business combinations are material, our adoption of the FASB’s revised authoritative guidance associated with business combinations may significantly impact our accounting and reporting for future acquisitions, principally as a result of</w:t>
      </w:r>
    </w:p>
    <w:p>
      <w:pPr>
        <w:spacing w:after="0" w:line="2" w:lineRule="exact"/>
        <w:rPr>
          <w:sz w:val="20"/>
          <w:szCs w:val="20"/>
          <w:color w:val="auto"/>
        </w:rPr>
      </w:pPr>
    </w:p>
    <w:p>
      <w:pPr>
        <w:ind w:left="680" w:right="240" w:firstLine="7"/>
        <w:spacing w:after="0" w:line="264" w:lineRule="auto"/>
        <w:tabs>
          <w:tab w:leader="none" w:pos="836"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expanded requirements to value acquired assets, liabilities and contingencies at their fair values when such amounts can be determined and (ii) the requirement that acquisition-related transaction and restructuring costs be expensed as incurred rather than capitalized as a part of the cost of the acquisition.</w:t>
      </w:r>
    </w:p>
    <w:p>
      <w:pPr>
        <w:spacing w:after="0" w:line="67"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Noncontrolling Interests in Consolidated Financial Statements </w:t>
      </w:r>
      <w:r>
        <w:rPr>
          <w:rFonts w:ascii="Arial" w:cs="Arial" w:eastAsia="Arial" w:hAnsi="Arial"/>
          <w:sz w:val="13"/>
          <w:szCs w:val="13"/>
          <w:color w:val="auto"/>
        </w:rPr>
        <w:t>— In December 2007, the FASB issued authoritative guidance that established accounting and reporting standards for</w:t>
      </w:r>
      <w:r>
        <w:rPr>
          <w:rFonts w:ascii="Arial" w:cs="Arial" w:eastAsia="Arial" w:hAnsi="Arial"/>
          <w:sz w:val="13"/>
          <w:szCs w:val="13"/>
          <w:i w:val="1"/>
          <w:iCs w:val="1"/>
          <w:color w:val="auto"/>
        </w:rPr>
        <w:t xml:space="preserve"> </w:t>
      </w:r>
      <w:r>
        <w:rPr>
          <w:rFonts w:ascii="Arial" w:cs="Arial" w:eastAsia="Arial" w:hAnsi="Arial"/>
          <w:sz w:val="13"/>
          <w:szCs w:val="13"/>
          <w:color w:val="auto"/>
        </w:rPr>
        <w:t>noncontrolling interests in subsidiaries and for the de-consolidation of a subsidiary. The guidance also established that a noncontrolling interest in a subsidiary is an ownership interest in the consolidated entity that should be reported as equity in the consolidated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264" w:lineRule="auto"/>
        <w:rPr>
          <w:sz w:val="20"/>
          <w:szCs w:val="20"/>
          <w:color w:val="auto"/>
        </w:rPr>
      </w:pPr>
      <w:r>
        <w:rPr>
          <w:rFonts w:ascii="Arial" w:cs="Arial" w:eastAsia="Arial" w:hAnsi="Arial"/>
          <w:sz w:val="13"/>
          <w:szCs w:val="13"/>
          <w:color w:val="auto"/>
        </w:rPr>
        <w:t>financial statements. We adopted this guidance on January 1, 2009. The presentation and disclosure requirements of this guidance, which must be applied retrospectively for all periods presented, resulted in reclassifications to our prior period consolidated financial information and the remeasurement of our 2008 effective tax rate, which is discussed in Note 9 of our Consolidated Financial Statements.</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Fair Value Measurements </w:t>
      </w:r>
      <w:r>
        <w:rPr>
          <w:rFonts w:ascii="Arial" w:cs="Arial" w:eastAsia="Arial" w:hAnsi="Arial"/>
          <w:sz w:val="12"/>
          <w:szCs w:val="12"/>
          <w:color w:val="auto"/>
        </w:rPr>
        <w:t>— In September 2006, the FASB issued authoritative guidance associated with fair value measurements. This guidance defined fair value, established a</w:t>
      </w:r>
      <w:r>
        <w:rPr>
          <w:rFonts w:ascii="Arial" w:cs="Arial" w:eastAsia="Arial" w:hAnsi="Arial"/>
          <w:sz w:val="12"/>
          <w:szCs w:val="12"/>
          <w:i w:val="1"/>
          <w:iCs w:val="1"/>
          <w:color w:val="auto"/>
        </w:rPr>
        <w:t xml:space="preserve"> </w:t>
      </w:r>
      <w:r>
        <w:rPr>
          <w:rFonts w:ascii="Arial" w:cs="Arial" w:eastAsia="Arial" w:hAnsi="Arial"/>
          <w:sz w:val="12"/>
          <w:szCs w:val="12"/>
          <w:color w:val="auto"/>
        </w:rPr>
        <w:t>framework for measuring fair value, and expanded disclosures about fair value measurements. In February 2008, the FASB delayed the effective date of the guidance for all non-financial assets and non-financial liabilities, except those that are measured at fair value on a recurring basis. Accordingly, we adopted this guidance for assets and liabilities recognized at fair value on a recurring basis effective January 1, 2008 and adopted the guidance for non-financial assets and liabilities measured on a non-recurring basis effective January 1, 2009. The application of the fair value framework did not have a material impact on our consolidated financial position, results of operations or cash flows.</w:t>
      </w:r>
    </w:p>
    <w:p>
      <w:pPr>
        <w:spacing w:after="0" w:line="5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Refer to Note 2 of our Consolidated Financial Statements for additional information related to the impact of the implementation of new accounting pronouncements on our results of operations and financial position.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Landfills</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Accounting for landfills requires that significant estimates and assumptions be made regarding (i) the cost to construct and develop each landfill asset; (ii) the estimated fair value of capping, closure and post-closure asset retirement obligations, which must consider both the expected cost and timing of these activities; (iii) the determination of each landfill’s remaining permitted and expansion airspace; and (iv) the airspace associated with each capping event.</w:t>
      </w:r>
    </w:p>
    <w:p>
      <w:pPr>
        <w:spacing w:after="0" w:line="67"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i w:val="1"/>
          <w:iCs w:val="1"/>
          <w:color w:val="auto"/>
        </w:rPr>
        <w:t xml:space="preserve">Landfill Costs </w:t>
      </w:r>
      <w:r>
        <w:rPr>
          <w:rFonts w:ascii="Arial" w:cs="Arial" w:eastAsia="Arial" w:hAnsi="Arial"/>
          <w:sz w:val="13"/>
          <w:szCs w:val="13"/>
          <w:color w:val="auto"/>
        </w:rPr>
        <w:t>— We estimate the total cost to develop each of our landfill sites to its remaining permitted and expansion capacity. This estimate includes such costs as landfill liner</w:t>
      </w:r>
      <w:r>
        <w:rPr>
          <w:rFonts w:ascii="Arial" w:cs="Arial" w:eastAsia="Arial" w:hAnsi="Arial"/>
          <w:sz w:val="13"/>
          <w:szCs w:val="13"/>
          <w:i w:val="1"/>
          <w:iCs w:val="1"/>
          <w:color w:val="auto"/>
        </w:rPr>
        <w:t xml:space="preserve"> </w:t>
      </w:r>
      <w:r>
        <w:rPr>
          <w:rFonts w:ascii="Arial" w:cs="Arial" w:eastAsia="Arial" w:hAnsi="Arial"/>
          <w:sz w:val="13"/>
          <w:szCs w:val="13"/>
          <w:color w:val="auto"/>
        </w:rPr>
        <w:t>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landfill footprint and required landfill buffer property.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w:t>
      </w:r>
    </w:p>
    <w:p>
      <w:pPr>
        <w:spacing w:after="0" w:line="72" w:lineRule="exact"/>
        <w:rPr>
          <w:sz w:val="20"/>
          <w:szCs w:val="20"/>
          <w:color w:val="auto"/>
        </w:rPr>
      </w:pPr>
    </w:p>
    <w:p>
      <w:pPr>
        <w:ind w:left="680" w:right="120" w:firstLine="399"/>
        <w:spacing w:after="0" w:line="316" w:lineRule="auto"/>
        <w:rPr>
          <w:sz w:val="20"/>
          <w:szCs w:val="20"/>
          <w:color w:val="auto"/>
        </w:rPr>
      </w:pPr>
      <w:r>
        <w:rPr>
          <w:rFonts w:ascii="Arial" w:cs="Arial" w:eastAsia="Arial" w:hAnsi="Arial"/>
          <w:sz w:val="11"/>
          <w:szCs w:val="11"/>
          <w:i w:val="1"/>
          <w:iCs w:val="1"/>
          <w:color w:val="auto"/>
        </w:rPr>
        <w:t xml:space="preserve">Capping Costs </w:t>
      </w:r>
      <w:r>
        <w:rPr>
          <w:rFonts w:ascii="Arial" w:cs="Arial" w:eastAsia="Arial" w:hAnsi="Arial"/>
          <w:sz w:val="11"/>
          <w:szCs w:val="11"/>
          <w:color w:val="auto"/>
        </w:rPr>
        <w:t>— We estimate the cost for each capping event based on the area to be finally capped and the capping materials and activities required. The estimates also consider</w:t>
      </w:r>
      <w:r>
        <w:rPr>
          <w:rFonts w:ascii="Arial" w:cs="Arial" w:eastAsia="Arial" w:hAnsi="Arial"/>
          <w:sz w:val="11"/>
          <w:szCs w:val="11"/>
          <w:i w:val="1"/>
          <w:iCs w:val="1"/>
          <w:color w:val="auto"/>
        </w:rPr>
        <w:t xml:space="preserve"> </w:t>
      </w:r>
      <w:r>
        <w:rPr>
          <w:rFonts w:ascii="Arial" w:cs="Arial" w:eastAsia="Arial" w:hAnsi="Arial"/>
          <w:sz w:val="11"/>
          <w:szCs w:val="11"/>
          <w:color w:val="auto"/>
        </w:rPr>
        <w:t>when these costs would actually be paid and factor in inflation and discount rates. Our engineering personnel allocate landfill capping costs to specific capping events. The landfill capacity associated with each capping event is then quantified and the capping costs for each event are amortized over the related capacity associated with the event as waste is disposed of at the landfill. We review these costs annually, or more often if significant facts change. Changes in estimates, such as timing or cost of construction, for capping events immediately impact the required liability and the corresponding asset. When the change in estimate relates to a fully consumed asset, the adjustment to the asset must be amortized immediately</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through expense. When the change in estimate relates to a capping event that has not been fully consumed, the adjustment to the asset is recognized in income prospectively as a component of landfill airspace amortization.</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Closure and Post-Closure Costs </w:t>
      </w:r>
      <w:r>
        <w:rPr>
          <w:rFonts w:ascii="Arial" w:cs="Arial" w:eastAsia="Arial" w:hAnsi="Arial"/>
          <w:sz w:val="13"/>
          <w:szCs w:val="13"/>
          <w:color w:val="auto"/>
        </w:rPr>
        <w:t>— We base our estimates for closure and post-closure costs on our interpretations of permit and regulatory requirements for closure and post-closure</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and monitoring. The estimates for landfill closure and post-closure costs also consider when the costs would actually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72" w:lineRule="exact"/>
        <w:rPr>
          <w:sz w:val="20"/>
          <w:szCs w:val="20"/>
          <w:color w:val="auto"/>
        </w:rPr>
      </w:pPr>
    </w:p>
    <w:p>
      <w:pPr>
        <w:jc w:val="both"/>
        <w:ind w:left="680" w:firstLine="399"/>
        <w:spacing w:after="0" w:line="371" w:lineRule="auto"/>
        <w:rPr>
          <w:sz w:val="20"/>
          <w:szCs w:val="20"/>
          <w:color w:val="auto"/>
        </w:rPr>
      </w:pPr>
      <w:r>
        <w:rPr>
          <w:rFonts w:ascii="Arial" w:cs="Arial" w:eastAsia="Arial" w:hAnsi="Arial"/>
          <w:sz w:val="11"/>
          <w:szCs w:val="11"/>
          <w:i w:val="1"/>
          <w:iCs w:val="1"/>
          <w:color w:val="auto"/>
        </w:rPr>
        <w:t xml:space="preserve">Remaining Permitted Airspace </w:t>
      </w:r>
      <w:r>
        <w:rPr>
          <w:rFonts w:ascii="Arial" w:cs="Arial" w:eastAsia="Arial" w:hAnsi="Arial"/>
          <w:sz w:val="11"/>
          <w:szCs w:val="11"/>
          <w:color w:val="auto"/>
        </w:rPr>
        <w:t>— Our engineers, in consultation with third-party engineering consultants and surveyors, are responsible for determining remaining permitted airspace</w:t>
      </w:r>
      <w:r>
        <w:rPr>
          <w:rFonts w:ascii="Arial" w:cs="Arial" w:eastAsia="Arial" w:hAnsi="Arial"/>
          <w:sz w:val="11"/>
          <w:szCs w:val="11"/>
          <w:i w:val="1"/>
          <w:iCs w:val="1"/>
          <w:color w:val="auto"/>
        </w:rPr>
        <w:t xml:space="preserve"> </w:t>
      </w:r>
      <w:r>
        <w:rPr>
          <w:rFonts w:ascii="Arial" w:cs="Arial" w:eastAsia="Arial" w:hAnsi="Arial"/>
          <w:sz w:val="11"/>
          <w:szCs w:val="11"/>
          <w:color w:val="auto"/>
        </w:rPr>
        <w:t>at our landfills. The remaining permitted airspace is determined by an annual survey, which is then used to compare the existing landfill topography to the expected final landfill topography.</w:t>
      </w:r>
    </w:p>
    <w:p>
      <w:pPr>
        <w:spacing w:after="0" w:line="12"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Expansion Airspace </w:t>
      </w:r>
      <w:r>
        <w:rPr>
          <w:rFonts w:ascii="Arial" w:cs="Arial" w:eastAsia="Arial" w:hAnsi="Arial"/>
          <w:sz w:val="13"/>
          <w:szCs w:val="13"/>
          <w:color w:val="auto"/>
        </w:rPr>
        <w:t>— We include currently unpermitted expansion airspace in our estimate of remaining permitted and expansion airspace in certain circumstances. First, to include</w:t>
      </w:r>
      <w:r>
        <w:rPr>
          <w:rFonts w:ascii="Arial" w:cs="Arial" w:eastAsia="Arial" w:hAnsi="Arial"/>
          <w:sz w:val="13"/>
          <w:szCs w:val="13"/>
          <w:i w:val="1"/>
          <w:iCs w:val="1"/>
          <w:color w:val="auto"/>
        </w:rPr>
        <w:t xml:space="preserve"> </w:t>
      </w:r>
      <w:r>
        <w:rPr>
          <w:rFonts w:ascii="Arial" w:cs="Arial" w:eastAsia="Arial" w:hAnsi="Arial"/>
          <w:sz w:val="13"/>
          <w:szCs w:val="13"/>
          <w:color w:val="auto"/>
        </w:rPr>
        <w:t>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67"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Personnel are actively working on the expansion of an existing landfill, including efforts to obtain land use and local, state or provincial approvals;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It is likely that the approvals will be received within the normal application and processing time periods for approvals in the jurisdiction in which the landfill is located;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have a legal right to use or obtain land to be included in the expansion plan;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There are no significant known technical, legal, community, business, or political restrictions or similar issues that could impair the success of such expansion;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Financial analysis has been completed, and the results demonstrate that the expansion has a positive financial and operational impact;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Airspace and related costs, including additional closure and post-closure costs, have been estimated based on conceptual design.</w:t>
      </w:r>
    </w:p>
    <w:p>
      <w:pPr>
        <w:spacing w:after="0" w:line="96"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these criteria are no longer met, based on the facts and circumstances of a specific landfill. In these circumstances, continued inclusion must be approved through a landfill-specific review process that includes approval of our Chief Financial Officer and a review by the Audit Committee of our Board of Directors on a quarterly basis. Of the 33 landfill sites with expansions at December 31, 2010, 14 landfills required the Chief Financial Officer to approve the inclusion of the unpermitted airspace. Eight of these landfills required approval by our Chief Financial Officer because of community or political opposition that could impede the expansion process. The remaining six landfills required approval primarily due to the permit application processes not meeting the one- or five-year requirements.</w:t>
      </w:r>
    </w:p>
    <w:p>
      <w:pPr>
        <w:spacing w:after="0" w:line="58"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When we include the expansion airspace in our calculations of remaining permitted and expansion airspace, we also include the projected costs for development, as well as the projected asset retirement cost related to capping, and closure and post-closure of the expansion in the amortization basis of the landfill.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firstLine="399"/>
        <w:spacing w:after="0" w:line="256" w:lineRule="auto"/>
        <w:rPr>
          <w:sz w:val="20"/>
          <w:szCs w:val="20"/>
          <w:color w:val="auto"/>
        </w:rPr>
      </w:pPr>
      <w:r>
        <w:rPr>
          <w:rFonts w:ascii="Arial" w:cs="Arial" w:eastAsia="Arial" w:hAnsi="Arial"/>
          <w:sz w:val="13"/>
          <w:szCs w:val="13"/>
          <w:color w:val="auto"/>
        </w:rPr>
        <w:t>Once the remaining permitted and expansion airspace is determined in cubic yards, an airspace utilization factor, or AUF, is established to calculate the remaining permitted and expansion capacity in tons. The AUF is established using the measured density obtained from previous annual surveys and is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 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73"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capping event, for assets related to closure and post-closure activities and for all other costs capitalized or to be capitalized in the future. These rates per ton are updated annually, or more often, as significant facts change.</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It is possible that actual results, including the amount of costs incurred, the timing of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the expansion capacity should no longer be considered in calculating the recoverability of the landfill asset, we may be required to recognize an asset impairment or incur significantly higher amortization expense. If it is determined that the likelihood of receiving an expansion permit has become remote, the capitalized costs related to the expansion effort are expensed immediately.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Environmental Remediation Liabilities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55"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 for the likely remedy are then either developed using our internal resources or by third-party environmental engineers or other service providers. Internally developed estimates are based on:</w:t>
      </w:r>
    </w:p>
    <w:p>
      <w:pPr>
        <w:spacing w:after="0" w:line="53"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Management’s judgment and experience in remediating our own and unrelated parties’ sites;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Information available from regulatory agencies as to costs of remediation;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number, financial resources and relative degree of responsibility of other PRPs who may be liable for remediation of a specific site;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typical allocation of costs among PRPs unless the actual allocation has been determined.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Asset Impairments</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Our long-lived assets, including landfills and landfill expansions, are carried on our financial statements based on their cost less accumulated depreciation or amortization. We monitor the carrying value of our long-lived assets for potential impairment whenever events or changes in circumstances indicate that their carrying amounts may not be recoverable. These events or changes in circumstances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 (i) internally developed discounted projected cash flow analysis of the asset or asset group; (ii) actual third-party valuations; and/or (iii) 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and is included in the “(Income) expense from divestitures, asset impairments and unusual items” line item in our Consolidated Statement of Operations. Estimating future cash flows requires significant judgment and projections may vary from the cash flows eventually realized, which could impact our ability to accurately assess whether an asset has been impaired.</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other considerations for impairments of landfills and goodwill, as described below.</w:t>
      </w:r>
    </w:p>
    <w:p>
      <w:pPr>
        <w:spacing w:after="0" w:line="96" w:lineRule="exact"/>
        <w:rPr>
          <w:sz w:val="20"/>
          <w:szCs w:val="20"/>
          <w:color w:val="auto"/>
        </w:rPr>
      </w:pPr>
    </w:p>
    <w:p>
      <w:pPr>
        <w:jc w:val="both"/>
        <w:ind w:left="680" w:right="220" w:firstLine="399"/>
        <w:spacing w:after="0" w:line="260" w:lineRule="auto"/>
        <w:rPr>
          <w:sz w:val="20"/>
          <w:szCs w:val="20"/>
          <w:color w:val="auto"/>
        </w:rPr>
      </w:pPr>
      <w:r>
        <w:rPr>
          <w:rFonts w:ascii="Arial" w:cs="Arial" w:eastAsia="Arial" w:hAnsi="Arial"/>
          <w:sz w:val="13"/>
          <w:szCs w:val="13"/>
          <w:i w:val="1"/>
          <w:iCs w:val="1"/>
          <w:color w:val="auto"/>
        </w:rPr>
        <w:t xml:space="preserve">Landfills </w:t>
      </w:r>
      <w:r>
        <w:rPr>
          <w:rFonts w:ascii="Arial" w:cs="Arial" w:eastAsia="Arial" w:hAnsi="Arial"/>
          <w:sz w:val="13"/>
          <w:szCs w:val="13"/>
          <w:color w:val="auto"/>
        </w:rPr>
        <w:t>— Certain impairment indicators require significant judgment and understanding of the waste industry when applied to landfill development or expansion projects. For</w:t>
      </w:r>
      <w:r>
        <w:rPr>
          <w:rFonts w:ascii="Arial" w:cs="Arial" w:eastAsia="Arial" w:hAnsi="Arial"/>
          <w:sz w:val="13"/>
          <w:szCs w:val="13"/>
          <w:i w:val="1"/>
          <w:iCs w:val="1"/>
          <w:color w:val="auto"/>
        </w:rPr>
        <w:t xml:space="preserve"> </w:t>
      </w:r>
      <w:r>
        <w:rPr>
          <w:rFonts w:ascii="Arial" w:cs="Arial" w:eastAsia="Arial" w:hAnsi="Arial"/>
          <w:sz w:val="13"/>
          <w:szCs w:val="13"/>
          <w:color w:val="auto"/>
        </w:rPr>
        <w:t>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of our landfill assets due to the unique nature of the waste industry.</w:t>
      </w:r>
    </w:p>
    <w:p>
      <w:pPr>
        <w:spacing w:after="0" w:line="7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Goodwill </w:t>
      </w:r>
      <w:r>
        <w:rPr>
          <w:rFonts w:ascii="Arial" w:cs="Arial" w:eastAsia="Arial" w:hAnsi="Arial"/>
          <w:sz w:val="12"/>
          <w:szCs w:val="12"/>
          <w:color w:val="auto"/>
        </w:rPr>
        <w:t>— At least annually, we assess our goodwill for impairment. We assess whether an impairment exists by comparing the fair value of each operating segment to its carrying</w:t>
      </w:r>
      <w:r>
        <w:rPr>
          <w:rFonts w:ascii="Arial" w:cs="Arial" w:eastAsia="Arial" w:hAnsi="Arial"/>
          <w:sz w:val="12"/>
          <w:szCs w:val="12"/>
          <w:i w:val="1"/>
          <w:iCs w:val="1"/>
          <w:color w:val="auto"/>
        </w:rPr>
        <w:t xml:space="preserve"> </w:t>
      </w:r>
      <w:r>
        <w:rPr>
          <w:rFonts w:ascii="Arial" w:cs="Arial" w:eastAsia="Arial" w:hAnsi="Arial"/>
          <w:sz w:val="12"/>
          <w:szCs w:val="12"/>
          <w:color w:val="auto"/>
        </w:rPr>
        <w:t>value, including goodwill. We use a combination of two valuation methods, a market approach and an income approach, to estimate the fair value of our operating segments. 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these two methods provide a reasonable approach to estimating the fair value of our operating segments.</w:t>
      </w:r>
    </w:p>
    <w:p>
      <w:pPr>
        <w:spacing w:after="0" w:line="55"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The market approach estimates fair value by measuring the aggregate market value of publicly-traded companies with similar characteristics of our business as a multiple of their reported cash flows. We then apply that multiple to our operating segments’ cash flows to estimate their fair values. We believe that this approach is appropriate because it provides a fair value estimate using valuation inputs from entities with operations and economic characteristics comparable to our operating segments.</w:t>
      </w:r>
    </w:p>
    <w:p>
      <w:pPr>
        <w:spacing w:after="0" w:line="5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 income approach is based on the long-term projected future cash flows of our operating segments. We discount the estimated cash flows to present value using a weighted-average cost of capital that considers factors such as the timing of the cash flows and the risks inherent in those cash flows. We believe that this approach is appropriate because it provides a fair value estimate based upon our operating segments’ expected long-term performance considering the economic and market conditions that generally affect our business.</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Additional impairment assessments may be performed on an interim basis if we encounter events or changes in circumstances that would indicate that, more likely than not, the carrying value of goodwill has been impaired. See Note 6 to the Consolidated Financial Statements for additional information related to goodwill impairment considerations made during the reported periods.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Deferred Income Taxes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Insured and Self-Insured Claims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retained a significant portion of the risks related to our health and welfare, automobile, general liability and workers’ compensation insurance programs. Our liabilities associated with the exposure for unpaid claims and associated expenses, including incurred but not reported losses, are based on an actuarial valuation and internal estimates. The accruals for these liabilities could be revised if future occurrences or loss development significantly differ from our assumptions used. Estimated recoveries associated with our insured claims are recorded as assets when we believe that the receipt of such amounts is probable.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We manage and evaluate our principal operations through five Groups. Our four geographic Groups,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 These five Groups are our reportable segments. We also provide additional services that are not managed through our five Groups, including recycling brokerage services, electronic recycling services, in-plant services, landfill gas-to-energy services and the impacts of investments that we are making in expanded service offerings, such as portable self-storage and fluorescent lamp recycling. These operations are presented as “Other” in the table below. Shown below (in millions) is the contribution to revenues during each year provided by our five Groups and our Other waste services: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2,943</w:t>
            </w:r>
          </w:p>
        </w:tc>
        <w:tc>
          <w:tcPr>
            <w:tcW w:w="8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3,319</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Midwest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3,048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2,855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3,267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3,461</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3,328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3,740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Western</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3,173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3,125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3,387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912</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963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628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897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(1,962)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(1,946)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(2,134)</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12,515</w:t>
            </w:r>
          </w:p>
        </w:tc>
        <w:tc>
          <w:tcPr>
            <w:tcW w:w="8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11,791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13,388</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operating revenues generally come from fees charged for our collection, disposal, transfer, recycling and waste-to-energy services and from sales of commodities by our recycling, waste-to-energy and landfill gas-to-energy operations. Revenues from our collection operations are influenced by factors such as collection frequency, type of collection equipment furnished, type and volume or weight of the waste collected, distance to the MRF or disposal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 generally consists of tipping fees and the sale of recyclable commodities to third parties. The fees we charge for our collection, disposal, transfer and recycling services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89" w:lineRule="auto"/>
        <w:rPr>
          <w:sz w:val="20"/>
          <w:szCs w:val="20"/>
          <w:color w:val="auto"/>
        </w:rPr>
      </w:pPr>
      <w:r>
        <w:rPr>
          <w:rFonts w:ascii="Arial" w:cs="Arial" w:eastAsia="Arial" w:hAnsi="Arial"/>
          <w:sz w:val="12"/>
          <w:szCs w:val="12"/>
          <w:color w:val="auto"/>
        </w:rPr>
        <w:t>generally include fuel surcharges, which are indexed to current market costs for fuel. Our waste-to-energy revenues, which are generated by our Wheelabrator Group, are based on the type and weight or volume of waste received at our waste-to-energy facilities and IPPs and amounts charged for the sale of energy and steam. Our “Other” revenues include our landfill gas-to-energy operations, Port-O-Let</w:t>
      </w:r>
      <w:r>
        <w:rPr>
          <w:rFonts w:ascii="Arial" w:cs="Arial" w:eastAsia="Arial" w:hAnsi="Arial"/>
          <w:sz w:val="10"/>
          <w:szCs w:val="10"/>
          <w:color w:val="auto"/>
        </w:rPr>
        <w:t>®</w:t>
      </w:r>
      <w:r>
        <w:rPr>
          <w:rFonts w:ascii="Arial" w:cs="Arial" w:eastAsia="Arial" w:hAnsi="Arial"/>
          <w:sz w:val="12"/>
          <w:szCs w:val="12"/>
          <w:color w:val="auto"/>
        </w:rPr>
        <w:t xml:space="preserve"> services, portable self-storage and fluorescent lamp recycling. Intercompany revenues between our operations have been eliminated in the consolidated financial statements. The mix of operating revenues from our major lines of business is reflected in the table below (in millions):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8,247</w:t>
            </w:r>
          </w:p>
        </w:tc>
        <w:tc>
          <w:tcPr>
            <w:tcW w:w="8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7,980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8,679</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Landfill</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2,540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2,547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2,955</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1,589</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889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841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912</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1,169</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(1,962)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(1,946)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(2,134)</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12,515</w:t>
            </w:r>
          </w:p>
        </w:tc>
        <w:tc>
          <w:tcPr>
            <w:tcW w:w="8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11,791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13,388</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gridSpan w:val="4"/>
          </w:tcPr>
          <w:p>
            <w:pPr>
              <w:jc w:val="center"/>
              <w:ind w:right="880"/>
              <w:spacing w:after="0"/>
              <w:rPr>
                <w:sz w:val="20"/>
                <w:szCs w:val="20"/>
                <w:color w:val="auto"/>
              </w:rPr>
            </w:pPr>
            <w:r>
              <w:rPr>
                <w:rFonts w:ascii="Arial" w:cs="Arial" w:eastAsia="Arial" w:hAnsi="Arial"/>
                <w:sz w:val="10"/>
                <w:szCs w:val="10"/>
                <w:b w:val="1"/>
                <w:bCs w:val="1"/>
                <w:color w:val="auto"/>
                <w:w w:val="94"/>
              </w:rPr>
              <w:t>Period-to-Period</w:t>
            </w:r>
          </w:p>
        </w:tc>
        <w:tc>
          <w:tcPr>
            <w:tcW w:w="100" w:type="dxa"/>
            <w:vAlign w:val="bottom"/>
          </w:tcPr>
          <w:p>
            <w:pPr>
              <w:spacing w:after="0"/>
              <w:rPr>
                <w:sz w:val="10"/>
                <w:szCs w:val="10"/>
                <w:color w:val="auto"/>
              </w:rPr>
            </w:pPr>
          </w:p>
        </w:tc>
        <w:tc>
          <w:tcPr>
            <w:tcW w:w="1940" w:type="dxa"/>
            <w:vAlign w:val="bottom"/>
            <w:gridSpan w:val="5"/>
          </w:tcPr>
          <w:p>
            <w:pPr>
              <w:jc w:val="center"/>
              <w:ind w:right="240"/>
              <w:spacing w:after="0"/>
              <w:rPr>
                <w:sz w:val="20"/>
                <w:szCs w:val="20"/>
                <w:color w:val="auto"/>
              </w:rPr>
            </w:pPr>
            <w:r>
              <w:rPr>
                <w:rFonts w:ascii="Arial" w:cs="Arial" w:eastAsia="Arial" w:hAnsi="Arial"/>
                <w:sz w:val="10"/>
                <w:szCs w:val="10"/>
                <w:b w:val="1"/>
                <w:bCs w:val="1"/>
                <w:color w:val="auto"/>
                <w:w w:val="94"/>
              </w:rPr>
              <w:t>Period-to-Period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3"/>
          </w:tcPr>
          <w:p>
            <w:pPr>
              <w:jc w:val="center"/>
              <w:ind w:right="960"/>
              <w:spacing w:after="0" w:line="108" w:lineRule="exact"/>
              <w:rPr>
                <w:sz w:val="20"/>
                <w:szCs w:val="20"/>
                <w:color w:val="auto"/>
              </w:rPr>
            </w:pPr>
            <w:r>
              <w:rPr>
                <w:rFonts w:ascii="Arial" w:cs="Arial" w:eastAsia="Arial" w:hAnsi="Arial"/>
                <w:sz w:val="10"/>
                <w:szCs w:val="10"/>
                <w:b w:val="1"/>
                <w:bCs w:val="1"/>
                <w:color w:val="auto"/>
                <w:w w:val="92"/>
              </w:rPr>
              <w:t>Change</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gridSpan w:val="3"/>
          </w:tcPr>
          <w:p>
            <w:pPr>
              <w:jc w:val="center"/>
              <w:ind w:right="780"/>
              <w:spacing w:after="0" w:line="108" w:lineRule="exact"/>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3"/>
          </w:tcPr>
          <w:p>
            <w:pPr>
              <w:jc w:val="center"/>
              <w:ind w:right="960"/>
              <w:spacing w:after="0"/>
              <w:rPr>
                <w:sz w:val="20"/>
                <w:szCs w:val="20"/>
                <w:color w:val="auto"/>
              </w:rPr>
            </w:pPr>
            <w:r>
              <w:rPr>
                <w:rFonts w:ascii="Arial" w:cs="Arial" w:eastAsia="Arial" w:hAnsi="Arial"/>
                <w:sz w:val="10"/>
                <w:szCs w:val="10"/>
                <w:b w:val="1"/>
                <w:bCs w:val="1"/>
                <w:color w:val="auto"/>
                <w:w w:val="90"/>
              </w:rPr>
              <w:t>2010 vs. 2009</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gridSpan w:val="3"/>
          </w:tcPr>
          <w:p>
            <w:pPr>
              <w:jc w:val="center"/>
              <w:ind w:right="780"/>
              <w:spacing w:after="0"/>
              <w:rPr>
                <w:sz w:val="20"/>
                <w:szCs w:val="20"/>
                <w:color w:val="auto"/>
              </w:rPr>
            </w:pPr>
            <w:r>
              <w:rPr>
                <w:rFonts w:ascii="Arial" w:cs="Arial" w:eastAsia="Arial" w:hAnsi="Arial"/>
                <w:sz w:val="10"/>
                <w:szCs w:val="10"/>
                <w:b w:val="1"/>
                <w:bCs w:val="1"/>
                <w:color w:val="auto"/>
                <w:w w:val="90"/>
              </w:rPr>
              <w:t>2009 vs. 2008</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4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560" w:type="dxa"/>
            <w:vAlign w:val="bottom"/>
            <w:gridSpan w:val="3"/>
            <w:vMerge w:val="restart"/>
          </w:tcPr>
          <w:p>
            <w:pPr>
              <w:jc w:val="right"/>
              <w:ind w:right="88"/>
              <w:spacing w:after="0"/>
              <w:rPr>
                <w:sz w:val="20"/>
                <w:szCs w:val="20"/>
                <w:color w:val="auto"/>
              </w:rPr>
            </w:pPr>
            <w:r>
              <w:rPr>
                <w:rFonts w:ascii="Arial" w:cs="Arial" w:eastAsia="Arial" w:hAnsi="Arial"/>
                <w:sz w:val="10"/>
                <w:szCs w:val="10"/>
                <w:b w:val="1"/>
                <w:bCs w:val="1"/>
                <w:color w:val="auto"/>
              </w:rPr>
              <w:t>Amount</w:t>
            </w:r>
          </w:p>
        </w:tc>
        <w:tc>
          <w:tcPr>
            <w:tcW w:w="320" w:type="dxa"/>
            <w:vAlign w:val="bottom"/>
          </w:tcPr>
          <w:p>
            <w:pPr>
              <w:spacing w:after="0"/>
              <w:rPr>
                <w:sz w:val="9"/>
                <w:szCs w:val="9"/>
                <w:color w:val="auto"/>
              </w:rPr>
            </w:pP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Total</w:t>
            </w:r>
          </w:p>
        </w:tc>
        <w:tc>
          <w:tcPr>
            <w:tcW w:w="100" w:type="dxa"/>
            <w:vAlign w:val="bottom"/>
          </w:tcPr>
          <w:p>
            <w:pPr>
              <w:spacing w:after="0"/>
              <w:rPr>
                <w:sz w:val="9"/>
                <w:szCs w:val="9"/>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95"/>
              </w:rPr>
              <w:t>Amount</w:t>
            </w:r>
          </w:p>
        </w:tc>
        <w:tc>
          <w:tcPr>
            <w:tcW w:w="36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Company(a)</w:t>
            </w: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Company(a)</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yield(b)</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724</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5760" w:type="dxa"/>
            <w:vAlign w:val="bottom"/>
            <w:gridSpan w:val="2"/>
          </w:tcPr>
          <w:p>
            <w:pPr>
              <w:spacing w:after="0"/>
              <w:rPr>
                <w:sz w:val="20"/>
                <w:szCs w:val="20"/>
                <w:color w:val="auto"/>
              </w:rPr>
            </w:pPr>
            <w:r>
              <w:rPr>
                <w:rFonts w:ascii="Arial" w:cs="Arial" w:eastAsia="Arial" w:hAnsi="Arial"/>
                <w:sz w:val="13"/>
                <w:szCs w:val="13"/>
                <w:color w:val="auto"/>
              </w:rPr>
              <w:t>Volume</w:t>
            </w:r>
          </w:p>
        </w:tc>
        <w:tc>
          <w:tcPr>
            <w:tcW w:w="1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(304)</w:t>
            </w:r>
          </w:p>
        </w:tc>
        <w:tc>
          <w:tcPr>
            <w:tcW w:w="1620" w:type="dxa"/>
            <w:vAlign w:val="bottom"/>
            <w:gridSpan w:val="3"/>
          </w:tcPr>
          <w:p>
            <w:pPr>
              <w:jc w:val="right"/>
              <w:ind w:right="360"/>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(1,078)</w:t>
            </w:r>
          </w:p>
        </w:tc>
        <w:tc>
          <w:tcPr>
            <w:tcW w:w="1400" w:type="dxa"/>
            <w:vAlign w:val="bottom"/>
            <w:gridSpan w:val="3"/>
          </w:tcPr>
          <w:p>
            <w:pPr>
              <w:jc w:val="right"/>
              <w:ind w:right="10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Internal revenue growth</w:t>
            </w:r>
          </w:p>
        </w:tc>
        <w:tc>
          <w:tcPr>
            <w:tcW w:w="1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420</w:t>
            </w: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(1,606)</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57"/>
        </w:trPr>
        <w:tc>
          <w:tcPr>
            <w:tcW w:w="5760" w:type="dxa"/>
            <w:vAlign w:val="bottom"/>
            <w:gridSpan w:val="2"/>
          </w:tcPr>
          <w:p>
            <w:pPr>
              <w:spacing w:after="0"/>
              <w:rPr>
                <w:sz w:val="20"/>
                <w:szCs w:val="20"/>
                <w:color w:val="auto"/>
              </w:rPr>
            </w:pPr>
            <w:r>
              <w:rPr>
                <w:rFonts w:ascii="Arial" w:cs="Arial" w:eastAsia="Arial" w:hAnsi="Arial"/>
                <w:sz w:val="13"/>
                <w:szCs w:val="13"/>
                <w:color w:val="auto"/>
              </w:rPr>
              <w:t>Acquisitions</w:t>
            </w:r>
          </w:p>
        </w:tc>
        <w:tc>
          <w:tcPr>
            <w:tcW w:w="160" w:type="dxa"/>
            <w:vAlign w:val="bottom"/>
          </w:tcPr>
          <w:p>
            <w:pPr>
              <w:spacing w:after="0"/>
              <w:rPr>
                <w:sz w:val="13"/>
                <w:szCs w:val="13"/>
                <w:color w:val="auto"/>
              </w:rPr>
            </w:pPr>
          </w:p>
        </w:tc>
        <w:tc>
          <w:tcPr>
            <w:tcW w:w="400" w:type="dxa"/>
            <w:vAlign w:val="bottom"/>
            <w:gridSpan w:val="2"/>
          </w:tcPr>
          <w:p>
            <w:pPr>
              <w:jc w:val="right"/>
              <w:ind w:right="28"/>
              <w:spacing w:after="0"/>
              <w:rPr>
                <w:sz w:val="20"/>
                <w:szCs w:val="20"/>
                <w:color w:val="auto"/>
              </w:rPr>
            </w:pPr>
            <w:r>
              <w:rPr>
                <w:rFonts w:ascii="Arial" w:cs="Arial" w:eastAsia="Arial" w:hAnsi="Arial"/>
                <w:sz w:val="13"/>
                <w:szCs w:val="13"/>
                <w:color w:val="auto"/>
              </w:rPr>
              <w:t>240</w:t>
            </w:r>
          </w:p>
        </w:tc>
        <w:tc>
          <w:tcPr>
            <w:tcW w:w="1620" w:type="dxa"/>
            <w:vAlign w:val="bottom"/>
            <w:gridSpan w:val="3"/>
          </w:tcPr>
          <w:p>
            <w:pPr>
              <w:jc w:val="right"/>
              <w:ind w:right="40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97</w:t>
            </w:r>
          </w:p>
        </w:tc>
        <w:tc>
          <w:tcPr>
            <w:tcW w:w="1400" w:type="dxa"/>
            <w:vAlign w:val="bottom"/>
            <w:gridSpan w:val="3"/>
          </w:tcPr>
          <w:p>
            <w:pPr>
              <w:jc w:val="right"/>
              <w:ind w:right="16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Divestitures</w:t>
            </w:r>
          </w:p>
        </w:tc>
        <w:tc>
          <w:tcPr>
            <w:tcW w:w="1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3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5760" w:type="dxa"/>
            <w:vAlign w:val="bottom"/>
            <w:gridSpan w:val="2"/>
          </w:tcPr>
          <w:p>
            <w:pPr>
              <w:spacing w:after="0"/>
              <w:rPr>
                <w:sz w:val="20"/>
                <w:szCs w:val="20"/>
                <w:color w:val="auto"/>
              </w:rPr>
            </w:pPr>
            <w:r>
              <w:rPr>
                <w:rFonts w:ascii="Arial" w:cs="Arial" w:eastAsia="Arial" w:hAnsi="Arial"/>
                <w:sz w:val="13"/>
                <w:szCs w:val="13"/>
                <w:color w:val="auto"/>
              </w:rPr>
              <w:t>Foreign currency translation</w:t>
            </w:r>
          </w:p>
        </w:tc>
        <w:tc>
          <w:tcPr>
            <w:tcW w:w="160" w:type="dxa"/>
            <w:vAlign w:val="bottom"/>
          </w:tcPr>
          <w:p>
            <w:pPr>
              <w:spacing w:after="0"/>
              <w:rPr>
                <w:sz w:val="13"/>
                <w:szCs w:val="13"/>
                <w:color w:val="auto"/>
              </w:rPr>
            </w:pPr>
          </w:p>
        </w:tc>
        <w:tc>
          <w:tcPr>
            <w:tcW w:w="400" w:type="dxa"/>
            <w:vAlign w:val="bottom"/>
            <w:gridSpan w:val="2"/>
          </w:tcPr>
          <w:p>
            <w:pPr>
              <w:jc w:val="right"/>
              <w:ind w:right="28"/>
              <w:spacing w:after="0"/>
              <w:rPr>
                <w:sz w:val="20"/>
                <w:szCs w:val="20"/>
                <w:color w:val="auto"/>
              </w:rPr>
            </w:pPr>
            <w:r>
              <w:rPr>
                <w:rFonts w:ascii="Arial" w:cs="Arial" w:eastAsia="Arial" w:hAnsi="Arial"/>
                <w:sz w:val="13"/>
                <w:szCs w:val="13"/>
                <w:color w:val="auto"/>
              </w:rPr>
              <w:t>66</w:t>
            </w:r>
          </w:p>
        </w:tc>
        <w:tc>
          <w:tcPr>
            <w:tcW w:w="1620" w:type="dxa"/>
            <w:vAlign w:val="bottom"/>
            <w:gridSpan w:val="3"/>
          </w:tcPr>
          <w:p>
            <w:pPr>
              <w:jc w:val="right"/>
              <w:ind w:right="400"/>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(51)</w:t>
            </w:r>
          </w:p>
        </w:tc>
        <w:tc>
          <w:tcPr>
            <w:tcW w:w="1400" w:type="dxa"/>
            <w:vAlign w:val="bottom"/>
            <w:gridSpan w:val="3"/>
          </w:tcPr>
          <w:p>
            <w:pPr>
              <w:jc w:val="right"/>
              <w:ind w:right="10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724</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(1,597)</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4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620" w:hanging="393"/>
        <w:spacing w:after="0" w:line="276"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Calculated by dividing the amount of current year increase or decrease by the prior year’s total company revenue ($11,791 million and $13,388 million for 2010 and 2009, respectively) adjusted to exclude the impacts of current year divestitures ($2 million and $37 million for 2010 and 2009, respectively).</w:t>
      </w:r>
    </w:p>
    <w:p>
      <w:pPr>
        <w:spacing w:after="0" w:line="10" w:lineRule="exact"/>
        <w:rPr>
          <w:rFonts w:ascii="Arial" w:cs="Arial" w:eastAsia="Arial" w:hAnsi="Arial"/>
          <w:sz w:val="13"/>
          <w:szCs w:val="13"/>
          <w:color w:val="auto"/>
        </w:rPr>
      </w:pPr>
    </w:p>
    <w:p>
      <w:pPr>
        <w:jc w:val="both"/>
        <w:ind w:left="1080" w:right="400" w:hanging="393"/>
        <w:spacing w:after="0" w:line="264"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amounts reported herein represent the changes in our revenue attributable to average yield for the total Company. We also analyze the changes in average yield in terms of related-business revenues in order to differentiate the changes in yield attributable to our pricing strategies from the changes that are caused by market-driven price changes in commodities. The following table summarizes changes in revenues from average yield on a related-business basis:</w:t>
      </w:r>
    </w:p>
    <w:p>
      <w:pPr>
        <w:spacing w:after="0" w:line="3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5"/>
          </w:tcPr>
          <w:p>
            <w:pPr>
              <w:jc w:val="center"/>
              <w:ind w:right="600"/>
              <w:spacing w:after="0"/>
              <w:rPr>
                <w:sz w:val="20"/>
                <w:szCs w:val="20"/>
                <w:color w:val="auto"/>
              </w:rPr>
            </w:pPr>
            <w:r>
              <w:rPr>
                <w:rFonts w:ascii="Arial" w:cs="Arial" w:eastAsia="Arial" w:hAnsi="Arial"/>
                <w:sz w:val="10"/>
                <w:szCs w:val="10"/>
                <w:b w:val="1"/>
                <w:bCs w:val="1"/>
                <w:color w:val="auto"/>
                <w:w w:val="94"/>
              </w:rPr>
              <w:t>Period-to-Period</w:t>
            </w:r>
          </w:p>
        </w:tc>
        <w:tc>
          <w:tcPr>
            <w:tcW w:w="160" w:type="dxa"/>
            <w:vAlign w:val="bottom"/>
          </w:tcPr>
          <w:p>
            <w:pPr>
              <w:spacing w:after="0"/>
              <w:rPr>
                <w:sz w:val="10"/>
                <w:szCs w:val="10"/>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0"/>
                <w:szCs w:val="10"/>
                <w:b w:val="1"/>
                <w:bCs w:val="1"/>
                <w:color w:val="auto"/>
                <w:w w:val="94"/>
              </w:rPr>
              <w:t>Period-to-Period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40" w:type="dxa"/>
            <w:vAlign w:val="bottom"/>
            <w:gridSpan w:val="3"/>
          </w:tcPr>
          <w:p>
            <w:pPr>
              <w:jc w:val="center"/>
              <w:ind w:right="960"/>
              <w:spacing w:after="0" w:line="108" w:lineRule="exact"/>
              <w:rPr>
                <w:sz w:val="20"/>
                <w:szCs w:val="20"/>
                <w:color w:val="auto"/>
              </w:rPr>
            </w:pPr>
            <w:r>
              <w:rPr>
                <w:rFonts w:ascii="Arial" w:cs="Arial" w:eastAsia="Arial" w:hAnsi="Arial"/>
                <w:sz w:val="10"/>
                <w:szCs w:val="10"/>
                <w:b w:val="1"/>
                <w:bCs w:val="1"/>
                <w:color w:val="auto"/>
                <w:w w:val="92"/>
              </w:rPr>
              <w:t>Change</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tcPr>
          <w:p>
            <w:pPr>
              <w:jc w:val="center"/>
              <w:ind w:right="640"/>
              <w:spacing w:after="0" w:line="108" w:lineRule="exact"/>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3"/>
          </w:tcPr>
          <w:p>
            <w:pPr>
              <w:jc w:val="center"/>
              <w:ind w:right="960"/>
              <w:spacing w:after="0"/>
              <w:rPr>
                <w:sz w:val="20"/>
                <w:szCs w:val="20"/>
                <w:color w:val="auto"/>
              </w:rPr>
            </w:pPr>
            <w:r>
              <w:rPr>
                <w:rFonts w:ascii="Arial" w:cs="Arial" w:eastAsia="Arial" w:hAnsi="Arial"/>
                <w:sz w:val="10"/>
                <w:szCs w:val="10"/>
                <w:b w:val="1"/>
                <w:bCs w:val="1"/>
                <w:color w:val="auto"/>
                <w:w w:val="90"/>
              </w:rPr>
              <w:t>2010 vs. 2009</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tcPr>
          <w:p>
            <w:pPr>
              <w:jc w:val="center"/>
              <w:ind w:right="640"/>
              <w:spacing w:after="0"/>
              <w:rPr>
                <w:sz w:val="20"/>
                <w:szCs w:val="20"/>
                <w:color w:val="auto"/>
              </w:rPr>
            </w:pPr>
            <w:r>
              <w:rPr>
                <w:rFonts w:ascii="Arial" w:cs="Arial" w:eastAsia="Arial" w:hAnsi="Arial"/>
                <w:sz w:val="10"/>
                <w:szCs w:val="10"/>
                <w:b w:val="1"/>
                <w:bCs w:val="1"/>
                <w:color w:val="auto"/>
                <w:w w:val="90"/>
              </w:rPr>
              <w:t>2009 vs. 2008</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8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4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540" w:type="dxa"/>
            <w:vAlign w:val="bottom"/>
            <w:gridSpan w:val="3"/>
            <w:vMerge w:val="restart"/>
          </w:tcPr>
          <w:p>
            <w:pPr>
              <w:jc w:val="right"/>
              <w:ind w:right="120"/>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9"/>
                <w:szCs w:val="9"/>
                <w:color w:val="auto"/>
              </w:rPr>
            </w:pPr>
          </w:p>
        </w:tc>
        <w:tc>
          <w:tcPr>
            <w:tcW w:w="12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3"/>
              </w:rPr>
              <w:t>Related</w:t>
            </w:r>
          </w:p>
        </w:tc>
        <w:tc>
          <w:tcPr>
            <w:tcW w:w="540" w:type="dxa"/>
            <w:vAlign w:val="bottom"/>
            <w:gridSpan w:val="3"/>
            <w:vMerge w:val="restart"/>
          </w:tcPr>
          <w:p>
            <w:pPr>
              <w:jc w:val="right"/>
              <w:ind w:right="100"/>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9"/>
                <w:szCs w:val="9"/>
                <w:color w:val="auto"/>
              </w:rPr>
            </w:pPr>
          </w:p>
        </w:tc>
        <w:tc>
          <w:tcPr>
            <w:tcW w:w="92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Related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8"/>
              </w:rPr>
              <w:t>Business(i)</w:t>
            </w:r>
          </w:p>
        </w:tc>
        <w:tc>
          <w:tcPr>
            <w:tcW w:w="5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Business(i)</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Collection, landfill and transfer</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218</w:t>
            </w:r>
          </w:p>
        </w:tc>
        <w:tc>
          <w:tcPr>
            <w:tcW w:w="60" w:type="dxa"/>
            <w:vAlign w:val="bottom"/>
          </w:tcPr>
          <w:p>
            <w:pPr>
              <w:spacing w:after="0"/>
              <w:rPr>
                <w:sz w:val="13"/>
                <w:szCs w:val="13"/>
                <w:color w:val="auto"/>
              </w:rPr>
            </w:pPr>
          </w:p>
        </w:tc>
        <w:tc>
          <w:tcPr>
            <w:tcW w:w="1540" w:type="dxa"/>
            <w:vAlign w:val="bottom"/>
            <w:gridSpan w:val="3"/>
          </w:tcPr>
          <w:p>
            <w:pPr>
              <w:jc w:val="right"/>
              <w:ind w:right="300"/>
              <w:spacing w:after="0"/>
              <w:rPr>
                <w:sz w:val="20"/>
                <w:szCs w:val="20"/>
                <w:color w:val="auto"/>
              </w:rPr>
            </w:pPr>
            <w:r>
              <w:rPr>
                <w:rFonts w:ascii="Arial" w:cs="Arial" w:eastAsia="Arial" w:hAnsi="Arial"/>
                <w:sz w:val="13"/>
                <w:szCs w:val="13"/>
                <w:color w:val="auto"/>
              </w:rPr>
              <w:t>2.2%</w:t>
            </w:r>
          </w:p>
        </w:tc>
        <w:tc>
          <w:tcPr>
            <w:tcW w:w="160" w:type="dxa"/>
            <w:vAlign w:val="bottom"/>
          </w:tcPr>
          <w:p>
            <w:pPr>
              <w:jc w:val="right"/>
              <w:ind w:right="19"/>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321</w:t>
            </w:r>
          </w:p>
        </w:tc>
        <w:tc>
          <w:tcPr>
            <w:tcW w:w="1260" w:type="dxa"/>
            <w:vAlign w:val="bottom"/>
            <w:gridSpan w:val="3"/>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Waste-to-energy disposal(ii)</w:t>
            </w:r>
          </w:p>
        </w:tc>
        <w:tc>
          <w:tcPr>
            <w:tcW w:w="1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6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5.1</w:t>
            </w:r>
          </w:p>
        </w:tc>
        <w:tc>
          <w:tcPr>
            <w:tcW w:w="1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6"/>
        </w:trPr>
        <w:tc>
          <w:tcPr>
            <w:tcW w:w="6100" w:type="dxa"/>
            <w:vAlign w:val="bottom"/>
            <w:gridSpan w:val="2"/>
          </w:tcPr>
          <w:p>
            <w:pPr>
              <w:spacing w:after="0"/>
              <w:rPr>
                <w:sz w:val="20"/>
                <w:szCs w:val="20"/>
                <w:color w:val="auto"/>
              </w:rPr>
            </w:pPr>
            <w:r>
              <w:rPr>
                <w:rFonts w:ascii="Arial" w:cs="Arial" w:eastAsia="Arial" w:hAnsi="Arial"/>
                <w:sz w:val="13"/>
                <w:szCs w:val="13"/>
                <w:color w:val="auto"/>
              </w:rPr>
              <w:t>Collection and disposal(ii)</w:t>
            </w:r>
          </w:p>
        </w:tc>
        <w:tc>
          <w:tcPr>
            <w:tcW w:w="1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239</w:t>
            </w:r>
          </w:p>
        </w:tc>
        <w:tc>
          <w:tcPr>
            <w:tcW w:w="60" w:type="dxa"/>
            <w:vAlign w:val="bottom"/>
          </w:tcPr>
          <w:p>
            <w:pPr>
              <w:spacing w:after="0"/>
              <w:rPr>
                <w:sz w:val="13"/>
                <w:szCs w:val="13"/>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3"/>
                <w:szCs w:val="13"/>
                <w:color w:val="auto"/>
              </w:rPr>
              <w:t>2.3</w:t>
            </w:r>
          </w:p>
        </w:tc>
        <w:tc>
          <w:tcPr>
            <w:tcW w:w="16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323</w:t>
            </w:r>
          </w:p>
        </w:tc>
        <w:tc>
          <w:tcPr>
            <w:tcW w:w="1260" w:type="dxa"/>
            <w:vAlign w:val="bottom"/>
            <w:gridSpan w:val="3"/>
          </w:tcPr>
          <w:p>
            <w:pPr>
              <w:jc w:val="right"/>
              <w:ind w:right="12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8"/>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Recycling commodities</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6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58.5</w:t>
            </w: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Electricity(ii)</w:t>
            </w:r>
          </w:p>
        </w:tc>
        <w:tc>
          <w:tcPr>
            <w:tcW w:w="18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(7)</w:t>
            </w:r>
          </w:p>
        </w:tc>
        <w:tc>
          <w:tcPr>
            <w:tcW w:w="1540" w:type="dxa"/>
            <w:vAlign w:val="bottom"/>
            <w:gridSpan w:val="3"/>
          </w:tcPr>
          <w:p>
            <w:pPr>
              <w:jc w:val="right"/>
              <w:ind w:right="360"/>
              <w:spacing w:after="0"/>
              <w:rPr>
                <w:sz w:val="20"/>
                <w:szCs w:val="20"/>
                <w:color w:val="auto"/>
              </w:rPr>
            </w:pPr>
            <w:r>
              <w:rPr>
                <w:rFonts w:ascii="Arial" w:cs="Arial" w:eastAsia="Arial" w:hAnsi="Arial"/>
                <w:sz w:val="13"/>
                <w:szCs w:val="13"/>
                <w:color w:val="auto"/>
              </w:rPr>
              <w:t>(2.5)</w:t>
            </w:r>
          </w:p>
        </w:tc>
        <w:tc>
          <w:tcPr>
            <w:tcW w:w="16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(76)</w:t>
            </w:r>
          </w:p>
        </w:tc>
        <w:tc>
          <w:tcPr>
            <w:tcW w:w="1260" w:type="dxa"/>
            <w:vAlign w:val="bottom"/>
            <w:gridSpan w:val="3"/>
          </w:tcPr>
          <w:p>
            <w:pPr>
              <w:jc w:val="right"/>
              <w:ind w:right="6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Fuel surcharges and mandated fees</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6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18.4</w:t>
            </w: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vMerge w:val="restart"/>
          </w:tcPr>
          <w:p>
            <w:pPr>
              <w:jc w:val="right"/>
              <w:ind w:right="400"/>
              <w:spacing w:after="0"/>
              <w:rPr>
                <w:sz w:val="20"/>
                <w:szCs w:val="20"/>
                <w:color w:val="auto"/>
              </w:rPr>
            </w:pPr>
            <w:r>
              <w:rPr>
                <w:rFonts w:ascii="Arial" w:cs="Arial" w:eastAsia="Arial" w:hAnsi="Arial"/>
                <w:sz w:val="13"/>
                <w:szCs w:val="13"/>
                <w:color w:val="auto"/>
              </w:rPr>
              <w:t>6.1</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(3.9)</w:t>
            </w:r>
          </w:p>
        </w:tc>
        <w:tc>
          <w:tcPr>
            <w:tcW w:w="0" w:type="dxa"/>
            <w:vAlign w:val="bottom"/>
          </w:tcPr>
          <w:p>
            <w:pPr>
              <w:spacing w:after="0" w:line="20" w:lineRule="exact"/>
              <w:rPr>
                <w:sz w:val="1"/>
                <w:szCs w:val="1"/>
                <w:color w:val="auto"/>
              </w:rPr>
            </w:pPr>
          </w:p>
        </w:tc>
      </w:tr>
      <w:tr>
        <w:trPr>
          <w:trHeight w:val="166"/>
        </w:trPr>
        <w:tc>
          <w:tcPr>
            <w:tcW w:w="6100" w:type="dxa"/>
            <w:vAlign w:val="bottom"/>
            <w:gridSpan w:val="2"/>
            <w:vMerge w:val="continue"/>
          </w:tcPr>
          <w:p>
            <w:pPr>
              <w:spacing w:after="0"/>
              <w:rPr>
                <w:sz w:val="14"/>
                <w:szCs w:val="14"/>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724</w:t>
            </w:r>
          </w:p>
        </w:tc>
        <w:tc>
          <w:tcPr>
            <w:tcW w:w="6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60" w:type="dxa"/>
            <w:vAlign w:val="bottom"/>
          </w:tcPr>
          <w:p>
            <w:pPr>
              <w:jc w:val="right"/>
              <w:ind w:right="19"/>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(528)</w:t>
            </w: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900" w:hanging="213"/>
        <w:spacing w:after="0"/>
        <w:tabs>
          <w:tab w:leader="none" w:pos="9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Calculated by dividing the increase or decrease for the current year by the prior-year’s related-business revenue, adjusted to exclude the impacts of divestitures for the current year</w:t>
      </w:r>
    </w:p>
    <w:p>
      <w:pPr>
        <w:spacing w:after="0" w:line="26" w:lineRule="exact"/>
        <w:rPr>
          <w:rFonts w:ascii="Arial" w:cs="Arial" w:eastAsia="Arial" w:hAnsi="Arial"/>
          <w:sz w:val="12"/>
          <w:szCs w:val="12"/>
          <w:color w:val="auto"/>
        </w:rPr>
      </w:pPr>
    </w:p>
    <w:p>
      <w:pPr>
        <w:ind w:left="900"/>
        <w:spacing w:after="0"/>
        <w:rPr>
          <w:rFonts w:ascii="Arial" w:cs="Arial" w:eastAsia="Arial" w:hAnsi="Arial"/>
          <w:sz w:val="12"/>
          <w:szCs w:val="12"/>
          <w:color w:val="auto"/>
        </w:rPr>
      </w:pPr>
      <w:r>
        <w:rPr>
          <w:rFonts w:ascii="Arial" w:cs="Arial" w:eastAsia="Arial" w:hAnsi="Arial"/>
          <w:sz w:val="12"/>
          <w:szCs w:val="12"/>
          <w:color w:val="auto"/>
        </w:rPr>
        <w:t>($2 million and $37 million for 2010 and 2009, respectively). The table below summarizes the related-business revenues for each year, adjusted to exclude the impacts of divestitures: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Denominator</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Related-business revenues: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Collection, landfill and transfer</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9,999</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10,622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Waste-to-energy disposal</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Collection and disposal</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10,412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11,056</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Recycling commodities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1,233</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Electricity</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Fuel surcharges and mandated fees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706</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Total Company</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11,789</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13,351</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000" w:right="320" w:hanging="313"/>
        <w:spacing w:after="0" w:line="276"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Average revenue growth for yield for “Collection and disposal” excludes all electricity-related revenues generated by our Wheelabrator Group, which are reported as “Electricity” revenues.</w:t>
      </w:r>
    </w:p>
    <w:p>
      <w:pPr>
        <w:spacing w:after="0" w:line="59"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Our revenues increased $724 million, or 6.1%, and decreased $1,597 million, or 11.9% for the years ended December 31, 2010 and 2009, respectively. The year-over-year change in revenues for both periods has been driven by (i) market factors, including fluctuations in recyclable commodity prices that favorably impacted revenue growth in 2010 and negatively affected revenue growth in 2009; volatility in diesel prices that affects the revenues provided by our fuel surcharge program, which favorably contributed to our revenues in 2010 and negatively affected our revenues in 2009, and foreign currency translation, which favorably affected revenues from our Canadian operations in 2010 but negatively impacted our revenues in 2009; (ii) revenue growth from average yield on our collection and disposal operations in both periods; and (iii) acquisitions. Further affecting revenue changes were revenue declines due to lower volumes that generally resulted from the continued weakness of the overall economic environment, increased pricing, competition and recent trends of waste reduction and diversion by consumers.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provides further details associated with our period-to-period change in revenues.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Average yield</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Collection and disposal average yield </w:t>
      </w:r>
      <w:r>
        <w:rPr>
          <w:rFonts w:ascii="Arial" w:cs="Arial" w:eastAsia="Arial" w:hAnsi="Arial"/>
          <w:sz w:val="13"/>
          <w:szCs w:val="13"/>
          <w:color w:val="auto"/>
        </w:rPr>
        <w:t>— This measure reflects the effect on our revenue from the pricing activities of our collection, transfer, landfill and waste-to-energy disposal</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exclusive of volume changes.</w:t>
      </w:r>
    </w:p>
    <w:p>
      <w:pPr>
        <w:spacing w:after="0" w:line="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both 2010 and 2009, our revenue growth from collection and disposal average yield demonstrates our commitment to our pricing strategies despite the current economic environment. This increase in revenue from yield was primarily driven by our collection operations, which experienced yield growth in all lines of business and in every geographic operating Group. We have found that increasing our yield in today’s market is a challenge given the reduced volume levels resulting from the economic slowdown. However, revenue growth from yield on base business and a focus on controlling variable costs have provided margin improvements in our collection line of business. Additionally, a significant portion of our collection revenues is generated under long-term agreements with municipalities or similar local or regional authorities. These agreements generally tie pricing adjustments to inflation indices, which have been low in 2010 as compared with 2009 and 2008. Despite this headwind, we continue to meet our pricing objective of achieving price increases in the range of 50 to 100 basis points above CPI. We are committed to maintaining pricing discipline in order to improve yield on our base business.</w:t>
      </w:r>
    </w:p>
    <w:p>
      <w:pPr>
        <w:spacing w:after="0" w:line="58"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Revenues from our environmental fee, which are included in average yield on collection and disposal, increased by $33 million and $37 million for the years ended December 31, 2010 and 2009, respectively. Environmental fee revenues totaled $251 million in 2010 as compared with $218 million in 2009 and $181 million in 2008.</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Recycling commodities </w:t>
      </w:r>
      <w:r>
        <w:rPr>
          <w:rFonts w:ascii="Arial" w:cs="Arial" w:eastAsia="Arial" w:hAnsi="Arial"/>
          <w:sz w:val="13"/>
          <w:szCs w:val="13"/>
          <w:color w:val="auto"/>
        </w:rPr>
        <w:t>— Increases in the prices of the recycling commodities we process resulted in an increase in revenues of $423 million in 2010 as compared with 2009. Market</w:t>
      </w:r>
      <w:r>
        <w:rPr>
          <w:rFonts w:ascii="Arial" w:cs="Arial" w:eastAsia="Arial" w:hAnsi="Arial"/>
          <w:sz w:val="13"/>
          <w:szCs w:val="13"/>
          <w:i w:val="1"/>
          <w:iCs w:val="1"/>
          <w:color w:val="auto"/>
        </w:rPr>
        <w:t xml:space="preserve"> </w:t>
      </w:r>
      <w:r>
        <w:rPr>
          <w:rFonts w:ascii="Arial" w:cs="Arial" w:eastAsia="Arial" w:hAnsi="Arial"/>
          <w:sz w:val="13"/>
          <w:szCs w:val="13"/>
          <w:color w:val="auto"/>
        </w:rPr>
        <w:t>prices for recyclable commodities have increased significantly from the near-historic lows experienced in late 2008 and early 2009. For the twelve months of 2010, overall commodity prices have increased approximately 57% as compared with 2009.</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In 2009, lower recycling commodity prices were the principal driver of our revenue decline of $447 million. During the fourth quarter of 2008, we saw a rapid decline in commodity prices from the record-high prices we had been experiencing prior to the decline due to a significant decrease in the demand for commodities both domestically and internationally. Commodity demand and prices in the first nine months of 2009 remained well below the demand and prices in the comparable prior-year period.</w:t>
      </w:r>
    </w:p>
    <w:p>
      <w:pPr>
        <w:spacing w:after="0" w:line="50"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i w:val="1"/>
          <w:iCs w:val="1"/>
          <w:color w:val="auto"/>
        </w:rPr>
        <w:t xml:space="preserve">Electricity </w:t>
      </w:r>
      <w:r>
        <w:rPr>
          <w:rFonts w:ascii="Arial" w:cs="Arial" w:eastAsia="Arial" w:hAnsi="Arial"/>
          <w:sz w:val="12"/>
          <w:szCs w:val="12"/>
          <w:color w:val="auto"/>
        </w:rPr>
        <w:t>— The changes in revenue from yield provided by our waste-to-energy business are largely due to fluctuations in rates we can receive for electricity under our power</w:t>
      </w:r>
      <w:r>
        <w:rPr>
          <w:rFonts w:ascii="Arial" w:cs="Arial" w:eastAsia="Arial" w:hAnsi="Arial"/>
          <w:sz w:val="12"/>
          <w:szCs w:val="12"/>
          <w:i w:val="1"/>
          <w:iCs w:val="1"/>
          <w:color w:val="auto"/>
        </w:rPr>
        <w:t xml:space="preserve"> </w:t>
      </w:r>
      <w:r>
        <w:rPr>
          <w:rFonts w:ascii="Arial" w:cs="Arial" w:eastAsia="Arial" w:hAnsi="Arial"/>
          <w:sz w:val="12"/>
          <w:szCs w:val="12"/>
          <w:color w:val="auto"/>
        </w:rPr>
        <w:t>purchase contracts and in merchant transactions. In most of the markets in which we operate, electricity prices correlate with natural gas prices. We experienced declines in revenue from yield at our waste-to-energy facilities of $7 million and $76 million for the years ended December 31, 2010 and 2009, respectively. These declines are due to the expiration of certain above-market contracts, resulting in greater exposure to market pricing. In 2010, approximately 47% of the waste-to-energy generation portfolio was subject to market price movements, compared with 46% in 2009 and 24% in 2008. Our waste-to-energy facilities’ exposure to market price volatility will continue to increase as additional long-term contracts expire; however, we are beginning to see an improvement in market pricing. In addition, we have increased our hedging activities to better manage this risk.</w:t>
      </w:r>
    </w:p>
    <w:p>
      <w:pPr>
        <w:spacing w:after="0" w:line="59"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i w:val="1"/>
          <w:iCs w:val="1"/>
          <w:color w:val="auto"/>
        </w:rPr>
        <w:t xml:space="preserve">Fuel surcharges and mandated fees — </w:t>
      </w:r>
      <w:r>
        <w:rPr>
          <w:rFonts w:ascii="Arial" w:cs="Arial" w:eastAsia="Arial" w:hAnsi="Arial"/>
          <w:sz w:val="11"/>
          <w:szCs w:val="11"/>
          <w:color w:val="auto"/>
        </w:rPr>
        <w:t>Revenue predominantly generated by our fuel surcharge program increased by $69 million and decreased by $328 million for the years ended</w:t>
      </w:r>
      <w:r>
        <w:rPr>
          <w:rFonts w:ascii="Arial" w:cs="Arial" w:eastAsia="Arial" w:hAnsi="Arial"/>
          <w:sz w:val="11"/>
          <w:szCs w:val="11"/>
          <w:i w:val="1"/>
          <w:iCs w:val="1"/>
          <w:color w:val="auto"/>
        </w:rPr>
        <w:t xml:space="preserve"> </w:t>
      </w:r>
      <w:r>
        <w:rPr>
          <w:rFonts w:ascii="Arial" w:cs="Arial" w:eastAsia="Arial" w:hAnsi="Arial"/>
          <w:sz w:val="11"/>
          <w:szCs w:val="11"/>
          <w:color w:val="auto"/>
        </w:rPr>
        <w:t>December 31, 2010 and 2009, respectively. The fluctuation is directly attributed to the fluctuation in the national average prices of diesel fuel that we use for our fuel surcharge program. The mandated fees included in this line item are primarily related to the pass-through to customers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3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Volume </w:t>
      </w:r>
      <w:r>
        <w:rPr>
          <w:rFonts w:ascii="Arial" w:cs="Arial" w:eastAsia="Arial" w:hAnsi="Arial"/>
          <w:sz w:val="13"/>
          <w:szCs w:val="13"/>
          <w:color w:val="auto"/>
        </w:rPr>
        <w:t>— Our revenue decline due to volume was $304 million, or 2.6%, for the year ended December 31, 2010. This is a notable improvement in the rate of revenue decline from</w:t>
      </w:r>
      <w:r>
        <w:rPr>
          <w:rFonts w:ascii="Arial" w:cs="Arial" w:eastAsia="Arial" w:hAnsi="Arial"/>
          <w:sz w:val="13"/>
          <w:szCs w:val="13"/>
          <w:i w:val="1"/>
          <w:iCs w:val="1"/>
          <w:color w:val="auto"/>
        </w:rPr>
        <w:t xml:space="preserve"> </w:t>
      </w:r>
      <w:r>
        <w:rPr>
          <w:rFonts w:ascii="Arial" w:cs="Arial" w:eastAsia="Arial" w:hAnsi="Arial"/>
          <w:sz w:val="13"/>
          <w:szCs w:val="13"/>
          <w:color w:val="auto"/>
        </w:rPr>
        <w:t>the prior-year period when revenue decline due to volume was $1,078 million, or 8.1%. Volume declines are generally attributable to economic conditions, increased pricing, competition and recent trends of waste reduction and diversion by consumers.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In 2010, our collection business accounted for $254 million of the total volume-related revenue decline. We have experienced commercial and residential collection volume declines that we attribute to the overall weakness in the economy, as well as the effects of pricing, competition and diversion of waste by consumers. Our industrial collection operations continued to be affected by the current economic environment due to the construction slowdown across the United States. The overall volume decline in the collection line of business was offset in part by an increase in volumes of $99 million associated with oil spill clean-up activities along the Gulf Coast. Lower third-party volumes in our transfer station operations also caused revenue declines in the current-year period, and can generally be attributed to economic conditions and the effects of pricing and competition. However, in 2010, our landfill revenues increased due to higher third-party volumes. This increase was principally due to higher special waste volumes in our Midwest and Southern geographic Groups, which were driven in part by our continued focus on our customers and better meeting their needs.</w:t>
      </w:r>
    </w:p>
    <w:p>
      <w:pPr>
        <w:spacing w:after="0" w:line="73"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are pleased with the lessening rate of revenue decline due to lower volumes. However, (i) the continued weakness of the overall economic environment; (ii) recent trends of waste reduction and diversion by consumers; and (iii) pricing and competition are presenting challenges to maintaining and growing volumes.</w:t>
      </w:r>
    </w:p>
    <w:p>
      <w:pPr>
        <w:spacing w:after="0" w:line="59"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In 2009, our collection business accounted for $622 million of the total volume decline. Our industrial collection operations experienced the most significant revenue declines due to lower volumes, primarily as a result of the continued slowdown in both residential and commercial construction activities across the United States. We also experienced volume declines in our commercial and residential collection lines of businesses in 2009. We attributed these volume declines to the economy, although at a lesser rate than our industrial line of business since they are somewhat recession resistant, as well as to pricing and competition.</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2009, we also experienced a 16% decline in third-party revenue due to volume at our landfills. This decrease was most significant in our more economically sensitive special waste and construction and demolition waste streams, although municipal solid waste streams at our landfills also decreased. Lower third-party volumes in our transfer station operations also caused revenue declines and can generally be attributed to economic conditions and the effects of pricing and competition. Lower volumes in our recycling operations caused declines in revenues of $74 million in 2009. These decreases were attributable to the drastic decline in the domestic and international demand for recyclables in late 2008.</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Acquisitions and divestitures </w:t>
      </w:r>
      <w:r>
        <w:rPr>
          <w:rFonts w:ascii="Arial" w:cs="Arial" w:eastAsia="Arial" w:hAnsi="Arial"/>
          <w:sz w:val="12"/>
          <w:szCs w:val="12"/>
          <w:color w:val="auto"/>
        </w:rPr>
        <w:t>— Revenues increased $240 million and $97 million for the years ended December 31, 2010 and 2009, respectively, due to acquisitions, principally in</w:t>
      </w:r>
    </w:p>
    <w:p>
      <w:pPr>
        <w:spacing w:after="0" w:line="27" w:lineRule="exact"/>
        <w:rPr>
          <w:sz w:val="20"/>
          <w:szCs w:val="20"/>
          <w:color w:val="auto"/>
        </w:rPr>
      </w:pPr>
    </w:p>
    <w:p>
      <w:pPr>
        <w:ind w:left="680" w:right="160" w:firstLine="7"/>
        <w:spacing w:after="0" w:line="258" w:lineRule="auto"/>
        <w:tabs>
          <w:tab w:leader="none" w:pos="836"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collection and recycling lines of business in both periods, as well as our waste-to-energy line of business in 2010 and (ii) our “Other” businesses, demonstrating our current focus on identifying strategic growth opportunities in new, complementary lines of business. Divestitures accounted for decreased revenues of $2 million and $37 million for the years ended December 31, 2010 and 2009, respectively.</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Our operating expenses include (i) labor and related benefits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are primarily rebates paid to suppliers associated with recycling commodities; (vi) fuel costs, which represent the costs of fuel and oil to operate our truck fleet and landfill operating equipment;</w:t>
      </w:r>
    </w:p>
    <w:p>
      <w:pPr>
        <w:ind w:left="940" w:hanging="253"/>
        <w:spacing w:after="0"/>
        <w:tabs>
          <w:tab w:leader="none" w:pos="9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disposal and franchise fees and taxes, which include landfill taxes, municipal franchise fees, host community fees and royalties; (viii) landfill operating costs, which include interest</w:t>
      </w:r>
    </w:p>
    <w:p>
      <w:pPr>
        <w:spacing w:after="0" w:line="19" w:lineRule="exact"/>
        <w:rPr>
          <w:rFonts w:ascii="Arial" w:cs="Arial" w:eastAsia="Arial" w:hAnsi="Arial"/>
          <w:sz w:val="12"/>
          <w:szCs w:val="12"/>
          <w:color w:val="auto"/>
        </w:rPr>
      </w:pPr>
    </w:p>
    <w:p>
      <w:pPr>
        <w:ind w:left="680"/>
        <w:spacing w:after="0" w:line="258" w:lineRule="auto"/>
        <w:rPr>
          <w:rFonts w:ascii="Arial" w:cs="Arial" w:eastAsia="Arial" w:hAnsi="Arial"/>
          <w:sz w:val="12"/>
          <w:szCs w:val="12"/>
          <w:color w:val="auto"/>
        </w:rPr>
      </w:pPr>
      <w:r>
        <w:rPr>
          <w:rFonts w:ascii="Arial" w:cs="Arial" w:eastAsia="Arial" w:hAnsi="Arial"/>
          <w:sz w:val="13"/>
          <w:szCs w:val="13"/>
          <w:color w:val="auto"/>
        </w:rPr>
        <w:t>accretion on landfill liabilities, interest accretion on and discount rate adjustments to environmental remediation liabilities and recovery assets, leachate and methane collection and treatment, landfill remediation costs and other landfill site costs; (ix) risk management costs, which include workers’ compensation and insurance and claim costs; and (x) other operating costs, which include, among other costs, equipment and facility rent and property taxes.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960" w:firstLine="399"/>
        <w:spacing w:after="0" w:line="264" w:lineRule="auto"/>
        <w:rPr>
          <w:sz w:val="20"/>
          <w:szCs w:val="20"/>
          <w:color w:val="auto"/>
        </w:rPr>
      </w:pPr>
      <w:r>
        <w:rPr>
          <w:rFonts w:ascii="Arial" w:cs="Arial" w:eastAsia="Arial" w:hAnsi="Arial"/>
          <w:sz w:val="13"/>
          <w:szCs w:val="13"/>
          <w:color w:val="auto"/>
        </w:rPr>
        <w:t>Our operating expenses increased $583 million, or 8.1%, when comparing 2010 with 2009 and decreased by $1,225 million, or 14.5%, when comparing 2009 with 2008. Operating expenses as a percentage of revenues were 62.5% in 2010, 61.4% in 2009 and 63.2% in 2008. The changes in our operating expenses during the years ended December 31, 2010 and 2009 can largely be attributed to the following:</w:t>
      </w:r>
    </w:p>
    <w:p>
      <w:pPr>
        <w:spacing w:after="0" w:line="67" w:lineRule="exact"/>
        <w:rPr>
          <w:sz w:val="20"/>
          <w:szCs w:val="20"/>
          <w:color w:val="auto"/>
        </w:rPr>
      </w:pPr>
    </w:p>
    <w:p>
      <w:pPr>
        <w:ind w:left="1080" w:right="980" w:firstLine="383"/>
        <w:spacing w:after="0" w:line="289" w:lineRule="auto"/>
        <w:rPr>
          <w:sz w:val="20"/>
          <w:szCs w:val="20"/>
          <w:color w:val="auto"/>
        </w:rPr>
      </w:pPr>
      <w:r>
        <w:rPr>
          <w:rFonts w:ascii="Arial" w:cs="Arial" w:eastAsia="Arial" w:hAnsi="Arial"/>
          <w:sz w:val="12"/>
          <w:szCs w:val="12"/>
          <w:i w:val="1"/>
          <w:iCs w:val="1"/>
          <w:color w:val="auto"/>
        </w:rPr>
        <w:t xml:space="preserve">Changes in market prices for recyclable commodities </w:t>
      </w:r>
      <w:r>
        <w:rPr>
          <w:rFonts w:ascii="Arial" w:cs="Arial" w:eastAsia="Arial" w:hAnsi="Arial"/>
          <w:sz w:val="12"/>
          <w:szCs w:val="12"/>
          <w:color w:val="auto"/>
        </w:rPr>
        <w:t>— Overall, market prices for recyclable commodities were approximately 57% higher on average during 2010 than in</w:t>
      </w:r>
      <w:r>
        <w:rPr>
          <w:rFonts w:ascii="Arial" w:cs="Arial" w:eastAsia="Arial" w:hAnsi="Arial"/>
          <w:sz w:val="12"/>
          <w:szCs w:val="12"/>
          <w:i w:val="1"/>
          <w:iCs w:val="1"/>
          <w:color w:val="auto"/>
        </w:rPr>
        <w:t xml:space="preserve"> </w:t>
      </w:r>
      <w:r>
        <w:rPr>
          <w:rFonts w:ascii="Arial" w:cs="Arial" w:eastAsia="Arial" w:hAnsi="Arial"/>
          <w:sz w:val="12"/>
          <w:szCs w:val="12"/>
          <w:color w:val="auto"/>
        </w:rPr>
        <w:t>2009. The year-over-year increase is the result of the recovery in recyclable commodity prices from the near-historic lows reached in late 2008 and early 2009. This increase in market prices was the driver of the current year increase in cost of goods sold, primarily customer rebates, and has also resulted in increased revenues and earnings this year. When comparing 2009 with 2008, market prices for recyclable commodities had the opposite effect on our results as they declined approximately 39%.</w:t>
      </w:r>
    </w:p>
    <w:p>
      <w:pPr>
        <w:spacing w:after="0" w:line="53" w:lineRule="exact"/>
        <w:rPr>
          <w:sz w:val="20"/>
          <w:szCs w:val="20"/>
          <w:color w:val="auto"/>
        </w:rPr>
      </w:pPr>
    </w:p>
    <w:p>
      <w:pPr>
        <w:ind w:left="1080" w:right="900" w:firstLine="383"/>
        <w:spacing w:after="0" w:line="276" w:lineRule="auto"/>
        <w:rPr>
          <w:sz w:val="20"/>
          <w:szCs w:val="20"/>
          <w:color w:val="auto"/>
        </w:rPr>
      </w:pPr>
      <w:r>
        <w:rPr>
          <w:rFonts w:ascii="Arial" w:cs="Arial" w:eastAsia="Arial" w:hAnsi="Arial"/>
          <w:sz w:val="13"/>
          <w:szCs w:val="13"/>
          <w:i w:val="1"/>
          <w:iCs w:val="1"/>
          <w:color w:val="auto"/>
        </w:rPr>
        <w:t xml:space="preserve">Acquisitions and growth initiatives </w:t>
      </w:r>
      <w:r>
        <w:rPr>
          <w:rFonts w:ascii="Arial" w:cs="Arial" w:eastAsia="Arial" w:hAnsi="Arial"/>
          <w:sz w:val="13"/>
          <w:szCs w:val="13"/>
          <w:color w:val="auto"/>
        </w:rPr>
        <w:t>— In both 2010 and 2009, we experienced cost increases attributable to recently acquired businesses and our various growth and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initiatives. These cost increases have affected each of the operating cost categories identified in the table below.</w:t>
      </w:r>
    </w:p>
    <w:p>
      <w:pPr>
        <w:spacing w:after="0" w:line="59" w:lineRule="exact"/>
        <w:rPr>
          <w:sz w:val="20"/>
          <w:szCs w:val="20"/>
          <w:color w:val="auto"/>
        </w:rPr>
      </w:pPr>
    </w:p>
    <w:p>
      <w:pPr>
        <w:ind w:left="1080" w:right="860" w:firstLine="383"/>
        <w:spacing w:after="0" w:line="264" w:lineRule="auto"/>
        <w:rPr>
          <w:sz w:val="20"/>
          <w:szCs w:val="20"/>
          <w:color w:val="auto"/>
        </w:rPr>
      </w:pPr>
      <w:r>
        <w:rPr>
          <w:rFonts w:ascii="Arial" w:cs="Arial" w:eastAsia="Arial" w:hAnsi="Arial"/>
          <w:sz w:val="13"/>
          <w:szCs w:val="13"/>
          <w:i w:val="1"/>
          <w:iCs w:val="1"/>
          <w:color w:val="auto"/>
        </w:rPr>
        <w:t xml:space="preserve">Fuel price changes </w:t>
      </w:r>
      <w:r>
        <w:rPr>
          <w:rFonts w:ascii="Arial" w:cs="Arial" w:eastAsia="Arial" w:hAnsi="Arial"/>
          <w:sz w:val="13"/>
          <w:szCs w:val="13"/>
          <w:color w:val="auto"/>
        </w:rPr>
        <w:t>— Higher market prices for fuel caused increases in both our direct fuel costs and our subcontractor costs for the year ended December 31, 2010, while</w:t>
      </w:r>
      <w:r>
        <w:rPr>
          <w:rFonts w:ascii="Arial" w:cs="Arial" w:eastAsia="Arial" w:hAnsi="Arial"/>
          <w:sz w:val="13"/>
          <w:szCs w:val="13"/>
          <w:i w:val="1"/>
          <w:iCs w:val="1"/>
          <w:color w:val="auto"/>
        </w:rPr>
        <w:t xml:space="preserve"> </w:t>
      </w:r>
      <w:r>
        <w:rPr>
          <w:rFonts w:ascii="Arial" w:cs="Arial" w:eastAsia="Arial" w:hAnsi="Arial"/>
          <w:sz w:val="13"/>
          <w:szCs w:val="13"/>
          <w:color w:val="auto"/>
        </w:rPr>
        <w:t>lower market prices caused decreases in these costs for the year ended December 31, 2009. On average, diesel fuel prices increased 21%, to $2.99 per gallon for 2010 from $2.46 per gallon for 2009; while they decreased in 2009 by 35%, from $3.81 per gallon in 2008.</w:t>
      </w:r>
    </w:p>
    <w:p>
      <w:pPr>
        <w:spacing w:after="0" w:line="67" w:lineRule="exact"/>
        <w:rPr>
          <w:sz w:val="20"/>
          <w:szCs w:val="20"/>
          <w:color w:val="auto"/>
        </w:rPr>
      </w:pPr>
    </w:p>
    <w:p>
      <w:pPr>
        <w:ind w:left="1080" w:right="860" w:firstLine="383"/>
        <w:spacing w:after="0" w:line="296" w:lineRule="auto"/>
        <w:rPr>
          <w:sz w:val="20"/>
          <w:szCs w:val="20"/>
          <w:color w:val="auto"/>
        </w:rPr>
      </w:pPr>
      <w:r>
        <w:rPr>
          <w:rFonts w:ascii="Arial" w:cs="Arial" w:eastAsia="Arial" w:hAnsi="Arial"/>
          <w:sz w:val="12"/>
          <w:szCs w:val="12"/>
          <w:i w:val="1"/>
          <w:iCs w:val="1"/>
          <w:color w:val="auto"/>
        </w:rPr>
        <w:t xml:space="preserve">Canadian exchange rates </w:t>
      </w:r>
      <w:r>
        <w:rPr>
          <w:rFonts w:ascii="Arial" w:cs="Arial" w:eastAsia="Arial" w:hAnsi="Arial"/>
          <w:sz w:val="12"/>
          <w:szCs w:val="12"/>
          <w:color w:val="auto"/>
        </w:rPr>
        <w:t>— When comparing the average exchange rate for the years ended December 31, 2010 and 2009, the Canadian exchange rate strengthened by 10%,</w:t>
      </w:r>
      <w:r>
        <w:rPr>
          <w:rFonts w:ascii="Arial" w:cs="Arial" w:eastAsia="Arial" w:hAnsi="Arial"/>
          <w:sz w:val="12"/>
          <w:szCs w:val="12"/>
          <w:i w:val="1"/>
          <w:iCs w:val="1"/>
          <w:color w:val="auto"/>
        </w:rPr>
        <w:t xml:space="preserve"> </w:t>
      </w:r>
      <w:r>
        <w:rPr>
          <w:rFonts w:ascii="Arial" w:cs="Arial" w:eastAsia="Arial" w:hAnsi="Arial"/>
          <w:sz w:val="12"/>
          <w:szCs w:val="12"/>
          <w:color w:val="auto"/>
        </w:rPr>
        <w:t>which increased our expenses in all operating cost categories. The strengthening of the Canadian dollar increased our total operating expenses by $52 million for 2010 as compared with 2009. When comparing 2009 with 2008, the Canadian exchange rate weakened by 7% and decreased our total operating expenses by $40 million.</w:t>
      </w:r>
    </w:p>
    <w:p>
      <w:pPr>
        <w:spacing w:after="0" w:line="50" w:lineRule="exact"/>
        <w:rPr>
          <w:sz w:val="20"/>
          <w:szCs w:val="20"/>
          <w:color w:val="auto"/>
        </w:rPr>
      </w:pPr>
    </w:p>
    <w:p>
      <w:pPr>
        <w:ind w:left="1080" w:right="800" w:firstLine="383"/>
        <w:spacing w:after="0" w:line="258" w:lineRule="auto"/>
        <w:rPr>
          <w:sz w:val="20"/>
          <w:szCs w:val="20"/>
          <w:color w:val="auto"/>
        </w:rPr>
      </w:pPr>
      <w:r>
        <w:rPr>
          <w:rFonts w:ascii="Arial" w:cs="Arial" w:eastAsia="Arial" w:hAnsi="Arial"/>
          <w:sz w:val="13"/>
          <w:szCs w:val="13"/>
          <w:i w:val="1"/>
          <w:iCs w:val="1"/>
          <w:color w:val="auto"/>
        </w:rPr>
        <w:t xml:space="preserve">Volume declines and divestitures </w:t>
      </w:r>
      <w:r>
        <w:rPr>
          <w:rFonts w:ascii="Arial" w:cs="Arial" w:eastAsia="Arial" w:hAnsi="Arial"/>
          <w:sz w:val="13"/>
          <w:szCs w:val="13"/>
          <w:color w:val="auto"/>
        </w:rPr>
        <w:t>— Throughout 2010 and 2009, we experienced volume declines as a result of the continued weakness of the overall economic environment,</w:t>
      </w:r>
      <w:r>
        <w:rPr>
          <w:rFonts w:ascii="Arial" w:cs="Arial" w:eastAsia="Arial" w:hAnsi="Arial"/>
          <w:sz w:val="13"/>
          <w:szCs w:val="13"/>
          <w:i w:val="1"/>
          <w:iCs w:val="1"/>
          <w:color w:val="auto"/>
        </w:rPr>
        <w:t xml:space="preserve"> </w:t>
      </w:r>
      <w:r>
        <w:rPr>
          <w:rFonts w:ascii="Arial" w:cs="Arial" w:eastAsia="Arial" w:hAnsi="Arial"/>
          <w:sz w:val="13"/>
          <w:szCs w:val="13"/>
          <w:color w:val="auto"/>
        </w:rPr>
        <w:t>pricing, competition and recent trends of waste reduction and diversion by consumers. Note that the revenue decline due to lower volume moderated in 2010 as compared with the volume decline in 2009, particularly in the second half of the year. During 2009 we also experienced volume declines as a result of divestitures. We continue to manage our fixed costs and reduce our variable costs as we experience volume declines, and have achieved significant cost savings as a result. These cost decreases have benefited each of the operating cost categories identified in the table below.</w:t>
      </w:r>
    </w:p>
    <w:p>
      <w:pPr>
        <w:spacing w:after="0" w:line="71"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The following table summarizes the major components of our operating expenses, including the impact of foreign currency translation, for the years ended December 31 (dollars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400" w:type="dxa"/>
            <w:vAlign w:val="bottom"/>
            <w:vMerge w:val="restart"/>
          </w:tcPr>
          <w:p>
            <w:pPr>
              <w:jc w:val="right"/>
              <w:ind w:right="35"/>
              <w:spacing w:after="0"/>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Period-to-</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Period-to-</w:t>
            </w: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tcPr>
          <w:p>
            <w:pPr>
              <w:jc w:val="right"/>
              <w:ind w:right="580"/>
              <w:spacing w:after="0"/>
              <w:rPr>
                <w:sz w:val="20"/>
                <w:szCs w:val="20"/>
                <w:color w:val="auto"/>
              </w:rPr>
            </w:pPr>
            <w:r>
              <w:rPr>
                <w:rFonts w:ascii="Arial" w:cs="Arial" w:eastAsia="Arial" w:hAnsi="Arial"/>
                <w:sz w:val="10"/>
                <w:szCs w:val="10"/>
                <w:b w:val="1"/>
                <w:bCs w:val="1"/>
                <w:color w:val="auto"/>
              </w:rPr>
              <w:t>Period Change</w:t>
            </w:r>
          </w:p>
        </w:tc>
        <w:tc>
          <w:tcPr>
            <w:tcW w:w="4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Period Change</w:t>
            </w: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7"/>
              </w:rPr>
              <w:t>$ 2,300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40</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7"/>
              </w:rPr>
              <w:t>$ 2,260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(160)</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$ 2,420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943</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6</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0.6</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937</w:t>
            </w:r>
          </w:p>
        </w:tc>
        <w:tc>
          <w:tcPr>
            <w:tcW w:w="120" w:type="dxa"/>
            <w:vAlign w:val="bottom"/>
          </w:tcPr>
          <w:p>
            <w:pPr>
              <w:spacing w:after="0"/>
              <w:rPr>
                <w:sz w:val="13"/>
                <w:szCs w:val="13"/>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(111)</w:t>
            </w:r>
          </w:p>
        </w:tc>
        <w:tc>
          <w:tcPr>
            <w:tcW w:w="820" w:type="dxa"/>
            <w:vAlign w:val="bottom"/>
            <w:gridSpan w:val="2"/>
          </w:tcPr>
          <w:p>
            <w:pPr>
              <w:jc w:val="right"/>
              <w:ind w:right="500"/>
              <w:spacing w:after="0"/>
              <w:rPr>
                <w:sz w:val="20"/>
                <w:szCs w:val="20"/>
                <w:color w:val="auto"/>
              </w:rPr>
            </w:pPr>
            <w:r>
              <w:rPr>
                <w:rFonts w:ascii="Arial" w:cs="Arial" w:eastAsia="Arial" w:hAnsi="Arial"/>
                <w:sz w:val="13"/>
                <w:szCs w:val="13"/>
                <w:color w:val="auto"/>
                <w:w w:val="88"/>
              </w:rPr>
              <w:t>(10.6)</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1,041</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8</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1,033</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(41)</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Subcontractor costs</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770</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70</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w w:val="94"/>
              </w:rPr>
              <w:t>10.0</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700</w:t>
            </w:r>
          </w:p>
        </w:tc>
        <w:tc>
          <w:tcPr>
            <w:tcW w:w="120" w:type="dxa"/>
            <w:vAlign w:val="bottom"/>
          </w:tcPr>
          <w:p>
            <w:pPr>
              <w:spacing w:after="0"/>
              <w:rPr>
                <w:sz w:val="13"/>
                <w:szCs w:val="13"/>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(201)</w:t>
            </w:r>
          </w:p>
        </w:tc>
        <w:tc>
          <w:tcPr>
            <w:tcW w:w="820" w:type="dxa"/>
            <w:vAlign w:val="bottom"/>
            <w:gridSpan w:val="2"/>
          </w:tcPr>
          <w:p>
            <w:pPr>
              <w:jc w:val="right"/>
              <w:ind w:right="500"/>
              <w:spacing w:after="0"/>
              <w:rPr>
                <w:sz w:val="20"/>
                <w:szCs w:val="20"/>
                <w:color w:val="auto"/>
              </w:rPr>
            </w:pPr>
            <w:r>
              <w:rPr>
                <w:rFonts w:ascii="Arial" w:cs="Arial" w:eastAsia="Arial" w:hAnsi="Arial"/>
                <w:sz w:val="13"/>
                <w:szCs w:val="13"/>
                <w:color w:val="auto"/>
                <w:w w:val="88"/>
              </w:rPr>
              <w:t>(22.3)</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776</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w w:val="92"/>
              </w:rPr>
              <w:t>288</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4"/>
              </w:rPr>
              <w:t>59.0</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(324)</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88"/>
              </w:rPr>
              <w:t>(39.9)</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Fuel</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493</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79</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w w:val="94"/>
              </w:rPr>
              <w:t>19.1</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414</w:t>
            </w:r>
          </w:p>
        </w:tc>
        <w:tc>
          <w:tcPr>
            <w:tcW w:w="120" w:type="dxa"/>
            <w:vAlign w:val="bottom"/>
          </w:tcPr>
          <w:p>
            <w:pPr>
              <w:spacing w:after="0"/>
              <w:rPr>
                <w:sz w:val="13"/>
                <w:szCs w:val="13"/>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(301)</w:t>
            </w:r>
          </w:p>
        </w:tc>
        <w:tc>
          <w:tcPr>
            <w:tcW w:w="820" w:type="dxa"/>
            <w:vAlign w:val="bottom"/>
            <w:gridSpan w:val="2"/>
          </w:tcPr>
          <w:p>
            <w:pPr>
              <w:jc w:val="right"/>
              <w:ind w:right="500"/>
              <w:spacing w:after="0"/>
              <w:rPr>
                <w:sz w:val="20"/>
                <w:szCs w:val="20"/>
                <w:color w:val="auto"/>
              </w:rPr>
            </w:pPr>
            <w:r>
              <w:rPr>
                <w:rFonts w:ascii="Arial" w:cs="Arial" w:eastAsia="Arial" w:hAnsi="Arial"/>
                <w:sz w:val="13"/>
                <w:szCs w:val="13"/>
                <w:color w:val="auto"/>
                <w:w w:val="88"/>
              </w:rPr>
              <w:t>(42.1)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589</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11</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(30)</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(4.9)</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294</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72</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w w:val="94"/>
              </w:rPr>
              <w:t>32.4</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3"/>
                <w:szCs w:val="13"/>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(69)</w:t>
            </w:r>
          </w:p>
        </w:tc>
        <w:tc>
          <w:tcPr>
            <w:tcW w:w="820" w:type="dxa"/>
            <w:vAlign w:val="bottom"/>
            <w:gridSpan w:val="2"/>
          </w:tcPr>
          <w:p>
            <w:pPr>
              <w:jc w:val="right"/>
              <w:ind w:right="500"/>
              <w:spacing w:after="0"/>
              <w:rPr>
                <w:sz w:val="20"/>
                <w:szCs w:val="20"/>
                <w:color w:val="auto"/>
              </w:rPr>
            </w:pPr>
            <w:r>
              <w:rPr>
                <w:rFonts w:ascii="Arial" w:cs="Arial" w:eastAsia="Arial" w:hAnsi="Arial"/>
                <w:sz w:val="13"/>
                <w:szCs w:val="13"/>
                <w:color w:val="auto"/>
                <w:w w:val="88"/>
              </w:rPr>
              <w:t>(23.7)</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w:t>
            </w: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1.0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Other</w:t>
            </w:r>
          </w:p>
        </w:tc>
        <w:tc>
          <w:tcPr>
            <w:tcW w:w="400" w:type="dxa"/>
            <w:vAlign w:val="bottom"/>
          </w:tcPr>
          <w:p>
            <w:pPr>
              <w:jc w:val="right"/>
              <w:spacing w:after="0"/>
              <w:rPr>
                <w:sz w:val="20"/>
                <w:szCs w:val="20"/>
                <w:color w:val="auto"/>
              </w:rPr>
            </w:pPr>
            <w:r>
              <w:rPr>
                <w:rFonts w:ascii="Arial" w:cs="Arial" w:eastAsia="Arial" w:hAnsi="Arial"/>
                <w:sz w:val="13"/>
                <w:szCs w:val="13"/>
                <w:color w:val="auto"/>
              </w:rPr>
              <w:t>416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18</w:t>
            </w:r>
          </w:p>
        </w:tc>
        <w:tc>
          <w:tcPr>
            <w:tcW w:w="460" w:type="dxa"/>
            <w:vAlign w:val="bottom"/>
          </w:tcPr>
          <w:p>
            <w:pPr>
              <w:spacing w:after="0"/>
              <w:rPr>
                <w:sz w:val="13"/>
                <w:szCs w:val="13"/>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398</w:t>
            </w:r>
          </w:p>
        </w:tc>
        <w:tc>
          <w:tcPr>
            <w:tcW w:w="120" w:type="dxa"/>
            <w:vAlign w:val="bottom"/>
          </w:tcPr>
          <w:p>
            <w:pPr>
              <w:spacing w:after="0"/>
              <w:rPr>
                <w:sz w:val="13"/>
                <w:szCs w:val="13"/>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10</w:t>
            </w:r>
          </w:p>
        </w:tc>
        <w:tc>
          <w:tcPr>
            <w:tcW w:w="820" w:type="dxa"/>
            <w:vAlign w:val="bottom"/>
            <w:gridSpan w:val="2"/>
          </w:tcPr>
          <w:p>
            <w:pPr>
              <w:jc w:val="right"/>
              <w:ind w:right="540"/>
              <w:spacing w:after="0"/>
              <w:rPr>
                <w:sz w:val="20"/>
                <w:szCs w:val="20"/>
                <w:color w:val="auto"/>
              </w:rPr>
            </w:pPr>
            <w:r>
              <w:rPr>
                <w:rFonts w:ascii="Arial" w:cs="Arial" w:eastAsia="Arial" w:hAnsi="Arial"/>
                <w:sz w:val="13"/>
                <w:szCs w:val="13"/>
                <w:color w:val="auto"/>
              </w:rPr>
              <w:t>2.6</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$ 7,824</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583</w:t>
            </w:r>
          </w:p>
        </w:tc>
        <w:tc>
          <w:tcPr>
            <w:tcW w:w="4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8.1%</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7"/>
              </w:rPr>
              <w:t>$ 7,241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97"/>
              </w:rPr>
              <w:t>(1,225)</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(14.5)%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$ 8,466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period-to-period changes for each category of operating expenses are discussed below.</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Our 2010 expenses increased as a result of (i) higher salaries and wages due to merit increases that were effective in July 2009 for hourly employees</w:t>
      </w:r>
      <w:r>
        <w:rPr>
          <w:rFonts w:ascii="Arial" w:cs="Arial" w:eastAsia="Arial" w:hAnsi="Arial"/>
          <w:sz w:val="13"/>
          <w:szCs w:val="13"/>
          <w:i w:val="1"/>
          <w:iCs w:val="1"/>
          <w:color w:val="auto"/>
        </w:rPr>
        <w:t xml:space="preserve"> </w:t>
      </w:r>
      <w:r>
        <w:rPr>
          <w:rFonts w:ascii="Arial" w:cs="Arial" w:eastAsia="Arial" w:hAnsi="Arial"/>
          <w:sz w:val="13"/>
          <w:szCs w:val="13"/>
          <w:color w:val="auto"/>
        </w:rPr>
        <w:t>and in April 2010 for both salaried and hourly employees; (ii) additional expenses incurred for acquisitions and growth opportunities; and (iii) the strengthening of the Canadian dollar. These cost increases were offset, in part, by cost savings that have been achieved as volumes declined.</w:t>
      </w:r>
    </w:p>
    <w:p>
      <w:pPr>
        <w:spacing w:after="0" w:line="67" w:lineRule="exact"/>
        <w:rPr>
          <w:sz w:val="20"/>
          <w:szCs w:val="20"/>
          <w:color w:val="auto"/>
        </w:rPr>
      </w:pPr>
    </w:p>
    <w:p>
      <w:pPr>
        <w:ind w:left="680" w:right="400" w:firstLine="399"/>
        <w:spacing w:after="0" w:line="305" w:lineRule="auto"/>
        <w:rPr>
          <w:sz w:val="20"/>
          <w:szCs w:val="20"/>
          <w:color w:val="auto"/>
        </w:rPr>
      </w:pPr>
      <w:r>
        <w:rPr>
          <w:rFonts w:ascii="Arial" w:cs="Arial" w:eastAsia="Arial" w:hAnsi="Arial"/>
          <w:sz w:val="11"/>
          <w:szCs w:val="11"/>
          <w:color w:val="auto"/>
        </w:rPr>
        <w:t>When comparing 2009 with 2008, the cost declines were generally a result of (i) headcount and overtime reductions related to volume declines; (ii) effects of foreign currency translation; (iii) a benefit from the restructuring we initiated in January of 2009, although most of these savings were reflected in our selling, general and administrative expenses; and</w:t>
      </w:r>
    </w:p>
    <w:p>
      <w:pPr>
        <w:spacing w:after="0" w:line="1" w:lineRule="exact"/>
        <w:rPr>
          <w:sz w:val="20"/>
          <w:szCs w:val="20"/>
          <w:color w:val="auto"/>
        </w:rPr>
      </w:pPr>
    </w:p>
    <w:p>
      <w:pPr>
        <w:ind w:left="680" w:right="80" w:firstLine="7"/>
        <w:spacing w:after="0" w:line="264" w:lineRule="auto"/>
        <w:tabs>
          <w:tab w:leader="none" w:pos="902"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cost savings provided by our operational improvement initiatives. These cost savings were offset, in part, by higher hourly wages due to merit increases and increased bonus expense as our performance against targets established by our incentive plans was stronger than it had been in 2008.</w:t>
      </w:r>
    </w:p>
    <w:p>
      <w:pPr>
        <w:spacing w:after="0" w:line="67" w:lineRule="exact"/>
        <w:rPr>
          <w:sz w:val="20"/>
          <w:szCs w:val="20"/>
          <w:color w:val="auto"/>
        </w:rPr>
      </w:pPr>
    </w:p>
    <w:p>
      <w:pPr>
        <w:ind w:left="680" w:right="440" w:firstLine="399"/>
        <w:spacing w:after="0" w:line="371" w:lineRule="auto"/>
        <w:rPr>
          <w:sz w:val="20"/>
          <w:szCs w:val="20"/>
          <w:color w:val="auto"/>
        </w:rPr>
      </w:pPr>
      <w:r>
        <w:rPr>
          <w:rFonts w:ascii="Arial" w:cs="Arial" w:eastAsia="Arial" w:hAnsi="Arial"/>
          <w:sz w:val="11"/>
          <w:szCs w:val="11"/>
          <w:color w:val="auto"/>
        </w:rPr>
        <w:t>The comparability of our labor and related benefits costs for the periods presented has also been affected by costs incurred primarily associated with the withdrawal of certain bargaining units from underfunded multiemployer pension plans. These costs increased 2010 expense by $26 million, 2009 expense by $9 million and 2008 expense by $42 million.</w:t>
      </w:r>
    </w:p>
    <w:p>
      <w:pPr>
        <w:spacing w:after="0" w:line="1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Transfer and disposal costs — </w:t>
      </w:r>
      <w:r>
        <w:rPr>
          <w:rFonts w:ascii="Arial" w:cs="Arial" w:eastAsia="Arial" w:hAnsi="Arial"/>
          <w:sz w:val="13"/>
          <w:szCs w:val="13"/>
          <w:color w:val="auto"/>
        </w:rPr>
        <w:t>During 2009 the cost decreases as compared with 2008 were a result of volume declines and our continued focus on reducing disposal costs associated</w:t>
      </w:r>
      <w:r>
        <w:rPr>
          <w:rFonts w:ascii="Arial" w:cs="Arial" w:eastAsia="Arial" w:hAnsi="Arial"/>
          <w:sz w:val="13"/>
          <w:szCs w:val="13"/>
          <w:i w:val="1"/>
          <w:iCs w:val="1"/>
          <w:color w:val="auto"/>
        </w:rPr>
        <w:t xml:space="preserve"> </w:t>
      </w:r>
      <w:r>
        <w:rPr>
          <w:rFonts w:ascii="Arial" w:cs="Arial" w:eastAsia="Arial" w:hAnsi="Arial"/>
          <w:sz w:val="13"/>
          <w:szCs w:val="13"/>
          <w:color w:val="auto"/>
        </w:rPr>
        <w:t>with our third-party disposal volumes by improving internalization. This decrease was also partially due to foreign currency translation.</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Maintenance and repairs — </w:t>
      </w:r>
      <w:r>
        <w:rPr>
          <w:rFonts w:ascii="Arial" w:cs="Arial" w:eastAsia="Arial" w:hAnsi="Arial"/>
          <w:sz w:val="13"/>
          <w:szCs w:val="13"/>
          <w:color w:val="auto"/>
        </w:rPr>
        <w:t>Comparing 2009 with 2008, these costs declined as a result of volume declines and various fleet initiatives that favorably affected our maintenance, parts</w:t>
      </w:r>
      <w:r>
        <w:rPr>
          <w:rFonts w:ascii="Arial" w:cs="Arial" w:eastAsia="Arial" w:hAnsi="Arial"/>
          <w:sz w:val="13"/>
          <w:szCs w:val="13"/>
          <w:i w:val="1"/>
          <w:iCs w:val="1"/>
          <w:color w:val="auto"/>
        </w:rPr>
        <w:t xml:space="preserve"> </w:t>
      </w:r>
      <w:r>
        <w:rPr>
          <w:rFonts w:ascii="Arial" w:cs="Arial" w:eastAsia="Arial" w:hAnsi="Arial"/>
          <w:sz w:val="13"/>
          <w:szCs w:val="13"/>
          <w:color w:val="auto"/>
        </w:rPr>
        <w:t>and supplies costs. These decreases were offset partially by cost increases due to differences in the timing and scope of planned maintenance projects at our waste-to-energy and landfill gas-to-energy facilities.</w:t>
      </w:r>
    </w:p>
    <w:p>
      <w:pPr>
        <w:spacing w:after="0" w:line="67"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Subcontractor costs </w:t>
      </w:r>
      <w:r>
        <w:rPr>
          <w:rFonts w:ascii="Arial" w:cs="Arial" w:eastAsia="Arial" w:hAnsi="Arial"/>
          <w:sz w:val="13"/>
          <w:szCs w:val="13"/>
          <w:color w:val="auto"/>
        </w:rPr>
        <w:t>— The 2010 increase in subcontractor costs is largely the result of oil spill clean-up activities along the Gulf Coast and is also attributable to higher diesel fuel</w:t>
      </w:r>
      <w:r>
        <w:rPr>
          <w:rFonts w:ascii="Arial" w:cs="Arial" w:eastAsia="Arial" w:hAnsi="Arial"/>
          <w:sz w:val="13"/>
          <w:szCs w:val="13"/>
          <w:i w:val="1"/>
          <w:iCs w:val="1"/>
          <w:color w:val="auto"/>
        </w:rPr>
        <w:t xml:space="preserve"> </w:t>
      </w:r>
      <w:r>
        <w:rPr>
          <w:rFonts w:ascii="Arial" w:cs="Arial" w:eastAsia="Arial" w:hAnsi="Arial"/>
          <w:sz w:val="13"/>
          <w:szCs w:val="13"/>
          <w:color w:val="auto"/>
        </w:rPr>
        <w:t>prices. We incurred $54 million in subcontractor costs related to oil spill clean-up activities this year. When comparing 2009 with 2008, the cost decreases are a result of volume declines, a significant decrease in diesel fuel prices and the effects of foreign currency translation.</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Cost of goods sold — </w:t>
      </w:r>
      <w:r>
        <w:rPr>
          <w:rFonts w:ascii="Arial" w:cs="Arial" w:eastAsia="Arial" w:hAnsi="Arial"/>
          <w:sz w:val="13"/>
          <w:szCs w:val="13"/>
          <w:color w:val="auto"/>
        </w:rPr>
        <w:t>The cost changes during the years presented are principally due to changes in the recycling commodity rebates we pay to our customers as a result of changes in</w:t>
      </w:r>
      <w:r>
        <w:rPr>
          <w:rFonts w:ascii="Arial" w:cs="Arial" w:eastAsia="Arial" w:hAnsi="Arial"/>
          <w:sz w:val="13"/>
          <w:szCs w:val="13"/>
          <w:i w:val="1"/>
          <w:iCs w:val="1"/>
          <w:color w:val="auto"/>
        </w:rPr>
        <w:t xml:space="preserve"> </w:t>
      </w:r>
      <w:r>
        <w:rPr>
          <w:rFonts w:ascii="Arial" w:cs="Arial" w:eastAsia="Arial" w:hAnsi="Arial"/>
          <w:sz w:val="13"/>
          <w:szCs w:val="13"/>
          <w:color w:val="auto"/>
        </w:rPr>
        <w:t>market prices for recyclable commodities.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Fuel — </w:t>
      </w:r>
      <w:r>
        <w:rPr>
          <w:rFonts w:ascii="Arial" w:cs="Arial" w:eastAsia="Arial" w:hAnsi="Arial"/>
          <w:sz w:val="13"/>
          <w:szCs w:val="13"/>
          <w:color w:val="auto"/>
        </w:rPr>
        <w:t>The cost changes for 2010 and 2009 are a result of changes in market prices for diesel fuel and volume declines.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Disposal and franchise fees and taxes — </w:t>
      </w:r>
      <w:r>
        <w:rPr>
          <w:rFonts w:ascii="Arial" w:cs="Arial" w:eastAsia="Arial" w:hAnsi="Arial"/>
          <w:sz w:val="13"/>
          <w:szCs w:val="13"/>
          <w:color w:val="auto"/>
        </w:rPr>
        <w:t>These cost decreases in 2009 as compared with 2008 are principally a result of volume declines.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Landfill operating costs </w:t>
      </w:r>
      <w:r>
        <w:rPr>
          <w:rFonts w:ascii="Arial" w:cs="Arial" w:eastAsia="Arial" w:hAnsi="Arial"/>
          <w:sz w:val="13"/>
          <w:szCs w:val="13"/>
          <w:color w:val="auto"/>
        </w:rPr>
        <w:t>— Increases in these costs in the current year were due, in part, to the recognition of additional estimated expense associated with environmental remediation</w:t>
      </w:r>
      <w:r>
        <w:rPr>
          <w:rFonts w:ascii="Arial" w:cs="Arial" w:eastAsia="Arial" w:hAnsi="Arial"/>
          <w:sz w:val="13"/>
          <w:szCs w:val="13"/>
          <w:i w:val="1"/>
          <w:iCs w:val="1"/>
          <w:color w:val="auto"/>
        </w:rPr>
        <w:t xml:space="preserve"> </w:t>
      </w:r>
      <w:r>
        <w:rPr>
          <w:rFonts w:ascii="Arial" w:cs="Arial" w:eastAsia="Arial" w:hAnsi="Arial"/>
          <w:sz w:val="13"/>
          <w:szCs w:val="13"/>
          <w:color w:val="auto"/>
        </w:rPr>
        <w:t>liabilities of $50 million at four closed sites during 2010.</w:t>
      </w:r>
    </w:p>
    <w:p>
      <w:pPr>
        <w:spacing w:after="0" w:line="5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The changes in this category for the years presented were also significantly impacted by the changes in U.S. Treasury rates used to estimate the present value of our environmental remediation obligations and recovery assets. As a result of changes in U.S. Treasury rates, we recognized $2 million of unfavorable adjustments during 2010, compared with $35 million of favorable adjustments during 2009 and $33 million of unfavorable adjustments during 2008. Over the course of 2010, the discount rate we use decreased slightly from 3.75% to 3.50%, although it reached as low as 2.50% in September. During 2009, the rate increased from 2.25% to 3.75% and during 2008, the rate declined from 4.00% to 2.25%.</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i w:val="1"/>
          <w:iCs w:val="1"/>
          <w:color w:val="auto"/>
        </w:rPr>
        <w:t xml:space="preserve">Risk management — </w:t>
      </w:r>
      <w:r>
        <w:rPr>
          <w:rFonts w:ascii="Arial" w:cs="Arial" w:eastAsia="Arial" w:hAnsi="Arial"/>
          <w:sz w:val="13"/>
          <w:szCs w:val="13"/>
          <w:color w:val="auto"/>
        </w:rPr>
        <w:t>The slight year-over-year decrease in 2010 and the consistent cost levels in 2009 and 2008 reflect the success we have had over the last several years in</w:t>
      </w:r>
      <w:r>
        <w:rPr>
          <w:rFonts w:ascii="Arial" w:cs="Arial" w:eastAsia="Arial" w:hAnsi="Arial"/>
          <w:sz w:val="13"/>
          <w:szCs w:val="13"/>
          <w:i w:val="1"/>
          <w:iCs w:val="1"/>
          <w:color w:val="auto"/>
        </w:rPr>
        <w:t xml:space="preserve"> </w:t>
      </w:r>
      <w:r>
        <w:rPr>
          <w:rFonts w:ascii="Arial" w:cs="Arial" w:eastAsia="Arial" w:hAnsi="Arial"/>
          <w:sz w:val="13"/>
          <w:szCs w:val="13"/>
          <w:color w:val="auto"/>
        </w:rPr>
        <w:t>managing these costs, which can be credited primarily to our continued focus on safety and reduced accident and injury rates.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The comparison of these costs has been significantly affected by the following:</w:t>
      </w:r>
    </w:p>
    <w:p>
      <w:pPr>
        <w:spacing w:after="0" w:line="96" w:lineRule="exact"/>
        <w:rPr>
          <w:sz w:val="20"/>
          <w:szCs w:val="20"/>
          <w:color w:val="auto"/>
        </w:rPr>
      </w:pPr>
    </w:p>
    <w:p>
      <w:pPr>
        <w:ind w:left="1280" w:hanging="190"/>
        <w:spacing w:after="0" w:line="320" w:lineRule="auto"/>
        <w:tabs>
          <w:tab w:leader="none" w:pos="1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 2010, the increase in costs compared with 2009 was attributable, in part, to (i) our various growth and business development initiatives, (ii) oil spill clean-up activities along the Gulf Coast, and (iii) recently acquired businesses. These cost increases were partially offset by an increase in gains recognized from the sale of surplus real estate assets.</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 2009, we had a significant increase in the property taxes assessed for one of our waste-to-energy facilities.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Our selling, general and administrative expenses consist of (i) labor and related benefit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travel and entertainment, rentals, postage and printing. In addition, the financial impacts of litigation settlements generally are included in our “Other” selling, general and administrative expenses.</w:t>
      </w:r>
    </w:p>
    <w:p>
      <w:pPr>
        <w:spacing w:after="0" w:line="71"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selling, general and administrative expenses increased by $97 million, or 7.1%, when comparing 2010 with 2009 and decreased $113 million, or 7.7%, when comparing 2009 with 2008. The current year increase is largely due to (i) increased costs of $52 million during 2010, incurred to support our strategic plan to grow into new markets and provide expanded service offerings and (ii) increased costs of $23 million during 2010, resulting from improvements we are making to our information technology systems. When comparing 2009 with 2008, the decrease was due in part to (i) the realization of benefits associated with our January 2009 restructuring and (ii) increased efforts to reduce controllable spending. Our selling, general and administrative expenses as a percentage of revenues were 11.7% in 2010, 11.6% in 2009 and 11.0% in 2008.</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major components of our selling, general and administrative costs for the years ended December 31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Period-to-</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Period-to-</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gridSpan w:val="4"/>
          </w:tcPr>
          <w:p>
            <w:pPr>
              <w:jc w:val="right"/>
              <w:ind w:right="68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Period Change</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845</w:t>
            </w:r>
          </w:p>
        </w:tc>
        <w:tc>
          <w:tcPr>
            <w:tcW w:w="72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w w:val="78"/>
              </w:rPr>
              <w:t>$ 70</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(78)</w:t>
            </w:r>
          </w:p>
        </w:tc>
        <w:tc>
          <w:tcPr>
            <w:tcW w:w="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853</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Professional fees</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175</w:t>
            </w:r>
          </w:p>
        </w:tc>
        <w:tc>
          <w:tcPr>
            <w:tcW w:w="720" w:type="dxa"/>
            <w:vAlign w:val="bottom"/>
            <w:gridSpan w:val="2"/>
          </w:tcPr>
          <w:p>
            <w:pPr>
              <w:jc w:val="right"/>
              <w:ind w:right="448"/>
              <w:spacing w:after="0"/>
              <w:rPr>
                <w:sz w:val="20"/>
                <w:szCs w:val="20"/>
                <w:color w:val="auto"/>
              </w:rPr>
            </w:pPr>
            <w:r>
              <w:rPr>
                <w:rFonts w:ascii="Arial" w:cs="Arial" w:eastAsia="Arial" w:hAnsi="Arial"/>
                <w:sz w:val="13"/>
                <w:szCs w:val="13"/>
                <w:color w:val="auto"/>
              </w:rPr>
              <w:t>8</w:t>
            </w:r>
          </w:p>
        </w:tc>
        <w:tc>
          <w:tcPr>
            <w:tcW w:w="780" w:type="dxa"/>
            <w:vAlign w:val="bottom"/>
            <w:gridSpan w:val="2"/>
          </w:tcPr>
          <w:p>
            <w:pPr>
              <w:jc w:val="right"/>
              <w:ind w:right="500"/>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3"/>
                <w:szCs w:val="13"/>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3"/>
                <w:szCs w:val="13"/>
                <w:color w:val="auto"/>
              </w:rPr>
              <w:t>(1)</w:t>
            </w:r>
          </w:p>
        </w:tc>
        <w:tc>
          <w:tcPr>
            <w:tcW w:w="760" w:type="dxa"/>
            <w:vAlign w:val="bottom"/>
            <w:gridSpan w:val="2"/>
          </w:tcPr>
          <w:p>
            <w:pPr>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w:t>
            </w:r>
          </w:p>
        </w:tc>
        <w:tc>
          <w:tcPr>
            <w:tcW w:w="7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(9)</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w w:val="88"/>
              </w:rPr>
              <w:t>(16.7)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w:t>
            </w:r>
          </w:p>
        </w:tc>
        <w:tc>
          <w:tcPr>
            <w:tcW w:w="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396</w:t>
            </w:r>
          </w:p>
        </w:tc>
        <w:tc>
          <w:tcPr>
            <w:tcW w:w="720" w:type="dxa"/>
            <w:vAlign w:val="bottom"/>
            <w:gridSpan w:val="2"/>
          </w:tcPr>
          <w:p>
            <w:pPr>
              <w:jc w:val="right"/>
              <w:ind w:right="448"/>
              <w:spacing w:after="0"/>
              <w:rPr>
                <w:sz w:val="20"/>
                <w:szCs w:val="20"/>
                <w:color w:val="auto"/>
              </w:rPr>
            </w:pPr>
            <w:r>
              <w:rPr>
                <w:rFonts w:ascii="Arial" w:cs="Arial" w:eastAsia="Arial" w:hAnsi="Arial"/>
                <w:sz w:val="13"/>
                <w:szCs w:val="13"/>
                <w:color w:val="auto"/>
              </w:rPr>
              <w:t>28</w:t>
            </w:r>
          </w:p>
        </w:tc>
        <w:tc>
          <w:tcPr>
            <w:tcW w:w="780" w:type="dxa"/>
            <w:vAlign w:val="bottom"/>
            <w:gridSpan w:val="2"/>
          </w:tcPr>
          <w:p>
            <w:pPr>
              <w:jc w:val="right"/>
              <w:ind w:right="500"/>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13"/>
                <w:szCs w:val="13"/>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3"/>
                <w:szCs w:val="13"/>
                <w:color w:val="auto"/>
              </w:rPr>
              <w:t>(31)</w:t>
            </w:r>
          </w:p>
        </w:tc>
        <w:tc>
          <w:tcPr>
            <w:tcW w:w="760" w:type="dxa"/>
            <w:vAlign w:val="bottom"/>
            <w:gridSpan w:val="2"/>
          </w:tcPr>
          <w:p>
            <w:pPr>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399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1,461</w:t>
            </w:r>
          </w:p>
        </w:tc>
        <w:tc>
          <w:tcPr>
            <w:tcW w:w="72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w w:val="78"/>
              </w:rPr>
              <w:t>$ 97</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1,364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w w:val="98"/>
              </w:rPr>
              <w:t>(113)</w:t>
            </w:r>
          </w:p>
        </w:tc>
        <w:tc>
          <w:tcPr>
            <w:tcW w:w="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1,477</w:t>
            </w:r>
          </w:p>
        </w:tc>
        <w:tc>
          <w:tcPr>
            <w:tcW w:w="0" w:type="dxa"/>
            <w:vAlign w:val="bottom"/>
          </w:tcPr>
          <w:p>
            <w:pPr>
              <w:spacing w:after="0"/>
              <w:rPr>
                <w:sz w:val="1"/>
                <w:szCs w:val="1"/>
                <w:color w:val="auto"/>
              </w:rPr>
            </w:pPr>
          </w:p>
        </w:tc>
      </w:tr>
      <w:tr>
        <w:trPr>
          <w:trHeight w:val="29"/>
        </w:trPr>
        <w:tc>
          <w:tcPr>
            <w:tcW w:w="4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Labor and related benefits </w:t>
      </w:r>
      <w:r>
        <w:rPr>
          <w:rFonts w:ascii="Arial" w:cs="Arial" w:eastAsia="Arial" w:hAnsi="Arial"/>
          <w:sz w:val="12"/>
          <w:szCs w:val="12"/>
          <w:color w:val="auto"/>
        </w:rPr>
        <w:t>— In 2010, our labor and related benefits costs increased due primarily to (i) higher salaries and hourly wages due to merit increases; (ii) higher</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costs due to an increase in headcount driven by our growth initiatives; (iii) additional bonus expense in 2010 because our performance against targets established by our annual incentive plans was stronger in 2010 compared with 2009; (iv) increased contract labor costs as a result of our current focus on optimizing our information technology systems; (v) increased severance costs; and (vi) higher non-cash compensation costs incurred for equity awards granted under our long-term incentive plans. During the second quarter of 2009, we reversed all compensation costs previously recognized for our 2008 performance share units based on a determination that it was no longer probable that the targets established for that award would be met. Additionally, stock option equity awards granted during the first quarter of 2010 provide for continued vesting for three years following an employee’s retirement, and because retirement-eligible employees are not required to provide any future service to vest in these awards, we recognized all of the compensation expense associated with their awards immediately. We did not incur similar charges in prior years because this retirement provision was not included in any of the equity awards that were granted in 2009 or in 2008.</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2009, our labor and related benefits costs decreased from 2008 because we realized benefits associated with our January 2009 restructuring. Our labor and related benefits expenses in 2009 were also affected by a significant decrease in non-cash compensation costs associated with the equity-based compensation provided for by our long-term incentive plans as a result of (i) a decline in the grant-date fair value of our equity awards; (ii) lower performance against established targets for certain awards than in the prior year; and (iii) the reversal of all compensation costs previously recognized for our 2008 performance share units. This decrease in non-cash compensation costs was offset, in part, by higher costs associated with our salary deferral plan, the costs of which are directly affected by equity-market conditions. Additionally, contract labor costs incurred for various Corporate support functions were lower during 2009 than in 2008.</w:t>
      </w:r>
    </w:p>
    <w:p>
      <w:pPr>
        <w:spacing w:after="0" w:line="72"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i w:val="1"/>
          <w:iCs w:val="1"/>
          <w:color w:val="auto"/>
        </w:rPr>
        <w:t xml:space="preserve">Professional fees </w:t>
      </w:r>
      <w:r>
        <w:rPr>
          <w:rFonts w:ascii="Arial" w:cs="Arial" w:eastAsia="Arial" w:hAnsi="Arial"/>
          <w:sz w:val="12"/>
          <w:szCs w:val="12"/>
          <w:color w:val="auto"/>
        </w:rPr>
        <w:t>— In 2010, our professional fees increased due to consulting fees, driven primarily by improvements we are making to our information technology systems and our</w:t>
      </w:r>
      <w:r>
        <w:rPr>
          <w:rFonts w:ascii="Arial" w:cs="Arial" w:eastAsia="Arial" w:hAnsi="Arial"/>
          <w:sz w:val="12"/>
          <w:szCs w:val="12"/>
          <w:i w:val="1"/>
          <w:iCs w:val="1"/>
          <w:color w:val="auto"/>
        </w:rPr>
        <w:t xml:space="preserve"> </w:t>
      </w:r>
      <w:r>
        <w:rPr>
          <w:rFonts w:ascii="Arial" w:cs="Arial" w:eastAsia="Arial" w:hAnsi="Arial"/>
          <w:sz w:val="12"/>
          <w:szCs w:val="12"/>
          <w:color w:val="auto"/>
        </w:rPr>
        <w:t>continued strategic focus to grow into new markets and provide expanded service offerings. This increase was partially offset by a reduction in legal fees in 2010.</w:t>
      </w:r>
    </w:p>
    <w:p>
      <w:pPr>
        <w:spacing w:after="0" w:line="35" w:lineRule="exact"/>
        <w:rPr>
          <w:sz w:val="20"/>
          <w:szCs w:val="20"/>
          <w:color w:val="auto"/>
        </w:rPr>
      </w:pPr>
    </w:p>
    <w:p>
      <w:pPr>
        <w:jc w:val="both"/>
        <w:ind w:left="680" w:right="400" w:firstLine="399"/>
        <w:spacing w:after="0" w:line="264" w:lineRule="auto"/>
        <w:rPr>
          <w:sz w:val="20"/>
          <w:szCs w:val="20"/>
          <w:color w:val="auto"/>
        </w:rPr>
      </w:pPr>
      <w:r>
        <w:rPr>
          <w:rFonts w:ascii="Arial" w:cs="Arial" w:eastAsia="Arial" w:hAnsi="Arial"/>
          <w:sz w:val="13"/>
          <w:szCs w:val="13"/>
          <w:i w:val="1"/>
          <w:iCs w:val="1"/>
          <w:color w:val="auto"/>
        </w:rPr>
        <w:t xml:space="preserve">Provision for bad debts </w:t>
      </w:r>
      <w:r>
        <w:rPr>
          <w:rFonts w:ascii="Arial" w:cs="Arial" w:eastAsia="Arial" w:hAnsi="Arial"/>
          <w:sz w:val="13"/>
          <w:szCs w:val="13"/>
          <w:color w:val="auto"/>
        </w:rPr>
        <w:t>— Our provision for bad debts was higher in 2009 and in 2008 as compared with 2010 as a result of the Company’s assessment of the weak economic</w:t>
      </w:r>
      <w:r>
        <w:rPr>
          <w:rFonts w:ascii="Arial" w:cs="Arial" w:eastAsia="Arial" w:hAnsi="Arial"/>
          <w:sz w:val="13"/>
          <w:szCs w:val="13"/>
          <w:i w:val="1"/>
          <w:iCs w:val="1"/>
          <w:color w:val="auto"/>
        </w:rPr>
        <w:t xml:space="preserve"> </w:t>
      </w:r>
      <w:r>
        <w:rPr>
          <w:rFonts w:ascii="Arial" w:cs="Arial" w:eastAsia="Arial" w:hAnsi="Arial"/>
          <w:sz w:val="13"/>
          <w:szCs w:val="13"/>
          <w:color w:val="auto"/>
        </w:rPr>
        <w:t>environment in those years and the resulting impacts on our collection risk. However, in the latter part of 2009 and during 2010 our collection risk moderated, thus resulting in a lower provision in 2010.</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During 2010, we experienced increases in our (i) litigation reserves, (ii) marketing and advertising costs, due in part to our strategic plan to grow into new markets and</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expanded service offerings, and (iii) computer costs, due in part to improvements we are making to our information technology systems.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2009, our focus on reducing controllable spending resulted in decreases in our advertising, meetings, seminars, and travel and entertainment costs. These lower costs were partially due to the January 2009 restructuring. This decline was offset partially by unfavorable litigation settlements in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Depreciation and amortization includes (i) depreciation of property and equipment, including assets recorded for capital leases, on a straight-line basis from three to 50 years;</w:t>
      </w:r>
    </w:p>
    <w:p>
      <w:pPr>
        <w:spacing w:after="0" w:line="27" w:lineRule="exact"/>
        <w:rPr>
          <w:sz w:val="20"/>
          <w:szCs w:val="20"/>
          <w:color w:val="auto"/>
        </w:rPr>
      </w:pPr>
    </w:p>
    <w:p>
      <w:pPr>
        <w:ind w:left="680" w:right="120" w:firstLine="7"/>
        <w:spacing w:after="0" w:line="281" w:lineRule="auto"/>
        <w:tabs>
          <w:tab w:leader="none" w:pos="873" w:val="left"/>
        </w:tabs>
        <w:numPr>
          <w:ilvl w:val="0"/>
          <w:numId w:val="31"/>
        </w:numPr>
        <w:rPr>
          <w:rFonts w:ascii="Arial" w:cs="Arial" w:eastAsia="Arial" w:hAnsi="Arial"/>
          <w:sz w:val="12"/>
          <w:szCs w:val="12"/>
          <w:color w:val="auto"/>
        </w:rPr>
      </w:pPr>
      <w:r>
        <w:rPr>
          <w:rFonts w:ascii="Arial" w:cs="Arial" w:eastAsia="Arial" w:hAnsi="Arial"/>
          <w:sz w:val="12"/>
          <w:szCs w:val="12"/>
          <w:color w:val="auto"/>
        </w:rPr>
        <w:t>amortization of landfill costs, including those incurred and all estimated future costs for landfill development, construction and asset retirement costs arising from closure and post-closure, on a units-of-consumption method as landfill airspace is consumed over the total estimated remaining capacity of a site, which includes both permitted capacity and expansion capacity that meets our Company-specific criteria for amortization purposes; (iii) amortization of landfill asset retirement costs arising from capping obligations on a units-of-consumption method as airspace is consumed over the estimated capacity associated with each capping event; and (iv) amortization of intangible assets with a definite life, either using a 150% declining balance approach or a straight-line basis over the definitive terms of the related agreements, which are generally from two to ten years depending on the type of asset.</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components of our depreciation and amortization costs for the years ended December 31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3"/>
              </w:rPr>
              <w:t>Period-to-</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4"/>
          </w:tcPr>
          <w:p>
            <w:pPr>
              <w:jc w:val="center"/>
              <w:ind w:right="720"/>
              <w:spacing w:after="0"/>
              <w:rPr>
                <w:sz w:val="20"/>
                <w:szCs w:val="20"/>
                <w:color w:val="auto"/>
              </w:rPr>
            </w:pPr>
            <w:r>
              <w:rPr>
                <w:rFonts w:ascii="Arial" w:cs="Arial" w:eastAsia="Arial" w:hAnsi="Arial"/>
                <w:sz w:val="10"/>
                <w:szCs w:val="10"/>
                <w:b w:val="1"/>
                <w:bCs w:val="1"/>
                <w:color w:val="auto"/>
                <w:w w:val="93"/>
              </w:rPr>
              <w:t>Period-to-</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2010</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center"/>
              <w:ind w:right="820"/>
              <w:spacing w:after="0" w:line="108" w:lineRule="exact"/>
              <w:rPr>
                <w:sz w:val="20"/>
                <w:szCs w:val="20"/>
                <w:color w:val="auto"/>
              </w:rPr>
            </w:pPr>
            <w:r>
              <w:rPr>
                <w:rFonts w:ascii="Arial" w:cs="Arial" w:eastAsia="Arial" w:hAnsi="Arial"/>
                <w:sz w:val="10"/>
                <w:szCs w:val="10"/>
                <w:b w:val="1"/>
                <w:bCs w:val="1"/>
                <w:color w:val="auto"/>
                <w:w w:val="96"/>
              </w:rPr>
              <w:t>Period</w:t>
            </w:r>
          </w:p>
        </w:tc>
        <w:tc>
          <w:tcPr>
            <w:tcW w:w="80" w:type="dxa"/>
            <w:vAlign w:val="bottom"/>
          </w:tcPr>
          <w:p>
            <w:pPr>
              <w:spacing w:after="0"/>
              <w:rPr>
                <w:sz w:val="9"/>
                <w:szCs w:val="9"/>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2009</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Period</w:t>
            </w: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660"/>
              <w:spacing w:after="0"/>
              <w:rPr>
                <w:sz w:val="20"/>
                <w:szCs w:val="20"/>
                <w:color w:val="auto"/>
              </w:rPr>
            </w:pPr>
            <w:r>
              <w:rPr>
                <w:rFonts w:ascii="Arial" w:cs="Arial" w:eastAsia="Arial" w:hAnsi="Arial"/>
                <w:sz w:val="10"/>
                <w:szCs w:val="10"/>
                <w:b w:val="1"/>
                <w:bCs w:val="1"/>
                <w:color w:val="auto"/>
                <w:w w:val="92"/>
              </w:rPr>
              <w:t>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4"/>
          </w:tcPr>
          <w:p>
            <w:pPr>
              <w:jc w:val="center"/>
              <w:ind w:right="700"/>
              <w:spacing w:after="0"/>
              <w:rPr>
                <w:sz w:val="20"/>
                <w:szCs w:val="20"/>
                <w:color w:val="auto"/>
              </w:rPr>
            </w:pPr>
            <w:r>
              <w:rPr>
                <w:rFonts w:ascii="Arial" w:cs="Arial" w:eastAsia="Arial" w:hAnsi="Arial"/>
                <w:sz w:val="10"/>
                <w:szCs w:val="10"/>
                <w:b w:val="1"/>
                <w:bCs w:val="1"/>
                <w:color w:val="auto"/>
                <w:w w:val="92"/>
              </w:rPr>
              <w:t>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7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779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(6)</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785</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372</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6"/>
              </w:rPr>
              <w:t>14</w:t>
            </w:r>
          </w:p>
        </w:tc>
        <w:tc>
          <w:tcPr>
            <w:tcW w:w="1120" w:type="dxa"/>
            <w:vAlign w:val="bottom"/>
            <w:gridSpan w:val="2"/>
          </w:tcPr>
          <w:p>
            <w:pPr>
              <w:jc w:val="right"/>
              <w:ind w:right="600"/>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3"/>
                <w:szCs w:val="13"/>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3"/>
                <w:szCs w:val="13"/>
                <w:color w:val="auto"/>
              </w:rPr>
              <w:t>358</w:t>
            </w:r>
          </w:p>
        </w:tc>
        <w:tc>
          <w:tcPr>
            <w:tcW w:w="80" w:type="dxa"/>
            <w:vAlign w:val="bottom"/>
          </w:tcPr>
          <w:p>
            <w:pPr>
              <w:spacing w:after="0"/>
              <w:rPr>
                <w:sz w:val="13"/>
                <w:szCs w:val="13"/>
                <w:color w:val="auto"/>
              </w:rPr>
            </w:pPr>
          </w:p>
        </w:tc>
        <w:tc>
          <w:tcPr>
            <w:tcW w:w="500" w:type="dxa"/>
            <w:vAlign w:val="bottom"/>
            <w:gridSpan w:val="2"/>
          </w:tcPr>
          <w:p>
            <w:pPr>
              <w:jc w:val="right"/>
              <w:ind w:right="208"/>
              <w:spacing w:after="0"/>
              <w:rPr>
                <w:sz w:val="20"/>
                <w:szCs w:val="20"/>
                <w:color w:val="auto"/>
              </w:rPr>
            </w:pPr>
            <w:r>
              <w:rPr>
                <w:rFonts w:ascii="Arial" w:cs="Arial" w:eastAsia="Arial" w:hAnsi="Arial"/>
                <w:sz w:val="13"/>
                <w:szCs w:val="13"/>
                <w:color w:val="auto"/>
                <w:w w:val="94"/>
              </w:rPr>
              <w:t>(71)</w:t>
            </w:r>
          </w:p>
        </w:tc>
        <w:tc>
          <w:tcPr>
            <w:tcW w:w="900" w:type="dxa"/>
            <w:vAlign w:val="bottom"/>
            <w:gridSpan w:val="2"/>
          </w:tcPr>
          <w:p>
            <w:pPr>
              <w:jc w:val="right"/>
              <w:ind w:right="600"/>
              <w:spacing w:after="0"/>
              <w:rPr>
                <w:sz w:val="20"/>
                <w:szCs w:val="20"/>
                <w:color w:val="auto"/>
              </w:rPr>
            </w:pPr>
            <w:r>
              <w:rPr>
                <w:rFonts w:ascii="Arial" w:cs="Arial" w:eastAsia="Arial" w:hAnsi="Arial"/>
                <w:sz w:val="13"/>
                <w:szCs w:val="13"/>
                <w:color w:val="auto"/>
                <w:w w:val="82"/>
              </w:rPr>
              <w:t>(16.6)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429</w:t>
            </w:r>
          </w:p>
        </w:tc>
        <w:tc>
          <w:tcPr>
            <w:tcW w:w="0" w:type="dxa"/>
            <w:vAlign w:val="bottom"/>
          </w:tcPr>
          <w:p>
            <w:pPr>
              <w:spacing w:after="0"/>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12</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41.4</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5</w:t>
            </w: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w w:val="94"/>
              </w:rPr>
              <w:t>20.8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3"/>
                <w:szCs w:val="13"/>
                <w:color w:val="auto"/>
              </w:rPr>
              <w:t>2.4%</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3"/>
                <w:szCs w:val="13"/>
                <w:color w:val="auto"/>
              </w:rPr>
              <w:t>(5.8)%</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1,194</w:t>
            </w:r>
          </w:p>
        </w:tc>
        <w:tc>
          <w:tcPr>
            <w:tcW w:w="5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6"/>
              </w:rPr>
              <w:t>28</w:t>
            </w:r>
          </w:p>
        </w:tc>
        <w:tc>
          <w:tcPr>
            <w:tcW w:w="112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580"/>
              <w:spacing w:after="0"/>
              <w:rPr>
                <w:sz w:val="20"/>
                <w:szCs w:val="20"/>
                <w:color w:val="auto"/>
              </w:rPr>
            </w:pPr>
            <w:r>
              <w:rPr>
                <w:rFonts w:ascii="Arial" w:cs="Arial" w:eastAsia="Arial" w:hAnsi="Arial"/>
                <w:sz w:val="13"/>
                <w:szCs w:val="13"/>
                <w:color w:val="auto"/>
                <w:w w:val="85"/>
              </w:rPr>
              <w:t>1,166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08"/>
              <w:spacing w:after="0"/>
              <w:rPr>
                <w:sz w:val="20"/>
                <w:szCs w:val="20"/>
                <w:color w:val="auto"/>
              </w:rPr>
            </w:pPr>
            <w:r>
              <w:rPr>
                <w:rFonts w:ascii="Arial" w:cs="Arial" w:eastAsia="Arial" w:hAnsi="Arial"/>
                <w:sz w:val="13"/>
                <w:szCs w:val="13"/>
                <w:color w:val="auto"/>
                <w:w w:val="94"/>
              </w:rPr>
              <w:t>(72)</w:t>
            </w:r>
          </w:p>
        </w:tc>
        <w:tc>
          <w:tcPr>
            <w:tcW w:w="90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1,238</w:t>
            </w:r>
          </w:p>
        </w:tc>
        <w:tc>
          <w:tcPr>
            <w:tcW w:w="0" w:type="dxa"/>
            <w:vAlign w:val="bottom"/>
          </w:tcPr>
          <w:p>
            <w:pPr>
              <w:spacing w:after="0"/>
              <w:rPr>
                <w:sz w:val="1"/>
                <w:szCs w:val="1"/>
                <w:color w:val="auto"/>
              </w:rPr>
            </w:pPr>
          </w:p>
        </w:tc>
      </w:tr>
      <w:tr>
        <w:trPr>
          <w:trHeight w:val="30"/>
        </w:trPr>
        <w:tc>
          <w:tcPr>
            <w:tcW w:w="4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increase in amortization expense of landfill airspace in 2010 is largely due to adjustments to the amortization rates at various landfill sites. These adjustments were principally attributable to increases in cost estimates. The decrease in amortization of landfill airspace expense in 2009 is largely due to volume declines as a</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1" w:lineRule="auto"/>
        <w:rPr>
          <w:sz w:val="20"/>
          <w:szCs w:val="20"/>
          <w:color w:val="auto"/>
        </w:rPr>
      </w:pPr>
      <w:r>
        <w:rPr>
          <w:rFonts w:ascii="Arial" w:cs="Arial" w:eastAsia="Arial" w:hAnsi="Arial"/>
          <w:sz w:val="12"/>
          <w:szCs w:val="12"/>
          <w:color w:val="auto"/>
        </w:rPr>
        <w:t>result of (i) the slowdown in the economy; (ii) our pricing strategy and competition, both of which significantly reduced our collection volumes; and (iii) the re-direction of waste to third-party disposal facilities in certain regions due to either the closure of our own landfills or the current capacity constraints of landfills where we are seeking an expansion permit. The comparability of our amortization of landfill airspace for the years ended December 31, 2010, 2009, and 2008 has also been affected by adjustments recorded in each year for changes in estimates related to our capping, closure and post-closure obligations. During the years ended December 31, 2010, 2009 and 2008, landfill amortization expense was reduced by $13 million, $14 million and $3 million, respectively, for the effects of these changes in estimates. In each year, the majority of the reduced expense resulting from the revised estimates was associated with capping changes that were generally the result of (i) concerted efforts to improve the operating efficiencies of our landfills and volume declines, both of which have allowed us to delay spending for capping activities; (ii) effectively managing the cost of capping material and construction; or (iii) landfill expansions that resulted in reduced or deferred capping costs.</w:t>
      </w:r>
    </w:p>
    <w:p>
      <w:pPr>
        <w:spacing w:after="0" w:line="5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increase in amortization expense of intangible assets in 2010 is due to our focus on the growth and development of our business through acquisitions and other investments. The current year increases are primarily related to the amortization of definite-lived operating permits acquired by our healthcare solutions operations, customer lists acquired by our Southern and Midwest Groups and gas rights acquired by our renewable energy operations.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January 2009, we took steps to further streamline our organization by (i) consolidating our Market Areas; (ii) integrating the management of our recycling operations with our other solid waste business; and (iii) realigning our Corporate organization with this new structure in order to provide support functions more efficiently.</w:t>
      </w:r>
    </w:p>
    <w:p>
      <w:pPr>
        <w:spacing w:after="0" w:line="59"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Our principal operations are managed through our Groups. Each of our four geographic Groups had been further divided into 45 Market Areas. As a result of our restructuring, the Market Areas were consolidated into 25 Areas. We found that our larger Market Areas generally were able to achieve efficiencies through economies of scale that were not present in our smaller Market Areas, and this reorganization has allowed us to lower costs and to continue to standardize processes and improve productivity. In addition, during the first quarter of 2009, responsibility for the oversight of day-to-day recycling operations at our material recovery facilities and secondary processing facilities was transferred from our Waste Management Recycle America, or WMRA, organization to our four geographic Groups. By integrating the management of our recycling facilities’ operations with our other solid waste business, we are able to more efficiently provide comprehensive environmental solutions to our customers. In addition, as a result of this realignment, we have significantly reduced the overhead costs associated with managing this portion of our business and have increased the geographic Groups’ focus on maximizing the profitability and return on invested capital of our business on an integrated basis.</w:t>
      </w:r>
    </w:p>
    <w:p>
      <w:pPr>
        <w:spacing w:after="0" w:line="76"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This restructuring eliminated over 1,500 employee positions throughout the Company. During 2009, we recognized $50 million of pre-tax charges associated with this restructuring, of which $41 million were related to employee severance and benefit costs. The remaining charges were primarily related to lease obligations for property that will no longer be utilized.</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2010, we recognized $2 million of income related to the reversal of pre-tax restructuring charges.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following table summarizes the major components of “(Income) expense from divestitures, asset impairments and unusual items” for the year ended December 31 for the respective periods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0"/>
                <w:szCs w:val="10"/>
                <w:b w:val="1"/>
                <w:bCs w:val="1"/>
                <w:color w:val="auto"/>
              </w:rPr>
              <w:t>Years Ended December 31,</w:t>
            </w:r>
          </w:p>
        </w:tc>
      </w:tr>
      <w:tr>
        <w:trPr>
          <w:trHeight w:val="98"/>
        </w:trPr>
        <w:tc>
          <w:tcPr>
            <w:tcW w:w="8260" w:type="dxa"/>
            <w:vAlign w:val="bottom"/>
          </w:tcPr>
          <w:p>
            <w:pPr>
              <w:spacing w:after="0"/>
              <w:rPr>
                <w:sz w:val="8"/>
                <w:szCs w:val="8"/>
                <w:color w:val="auto"/>
              </w:rPr>
            </w:pPr>
          </w:p>
        </w:tc>
        <w:tc>
          <w:tcPr>
            <w:tcW w:w="30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29"/>
        </w:trPr>
        <w:tc>
          <w:tcPr>
            <w:tcW w:w="8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60" w:type="dxa"/>
            <w:vAlign w:val="bottom"/>
            <w:shd w:val="clear" w:color="auto" w:fill="CCEEFF"/>
          </w:tcPr>
          <w:p>
            <w:pPr>
              <w:spacing w:after="0"/>
              <w:rPr>
                <w:sz w:val="20"/>
                <w:szCs w:val="20"/>
                <w:color w:val="auto"/>
              </w:rPr>
            </w:pPr>
            <w:r>
              <w:rPr>
                <w:rFonts w:ascii="Arial" w:cs="Arial" w:eastAsia="Arial" w:hAnsi="Arial"/>
                <w:sz w:val="13"/>
                <w:szCs w:val="13"/>
                <w:color w:val="auto"/>
              </w:rPr>
              <w:t>Income from divestitures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 —</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 (33)</w:t>
            </w:r>
          </w:p>
        </w:tc>
      </w:tr>
      <w:tr>
        <w:trPr>
          <w:trHeight w:val="157"/>
        </w:trPr>
        <w:tc>
          <w:tcPr>
            <w:tcW w:w="8260" w:type="dxa"/>
            <w:vAlign w:val="bottom"/>
          </w:tcPr>
          <w:p>
            <w:pPr>
              <w:spacing w:after="0"/>
              <w:rPr>
                <w:sz w:val="20"/>
                <w:szCs w:val="20"/>
                <w:color w:val="auto"/>
              </w:rPr>
            </w:pPr>
            <w:r>
              <w:rPr>
                <w:rFonts w:ascii="Arial" w:cs="Arial" w:eastAsia="Arial" w:hAnsi="Arial"/>
                <w:sz w:val="13"/>
                <w:szCs w:val="13"/>
                <w:color w:val="auto"/>
              </w:rPr>
              <w:t>Asset impairments</w:t>
            </w: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83</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r>
      <w:tr>
        <w:trPr>
          <w:trHeight w:val="157"/>
        </w:trPr>
        <w:tc>
          <w:tcPr>
            <w:tcW w:w="82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(77)</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8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(78)</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w w:val="86"/>
              </w:rPr>
              <w:t>$ 83</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 (29)</w:t>
            </w:r>
          </w:p>
        </w:tc>
      </w:tr>
      <w:tr>
        <w:trPr>
          <w:trHeight w:val="30"/>
        </w:trPr>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Income from Divestitures </w:t>
      </w:r>
      <w:r>
        <w:rPr>
          <w:rFonts w:ascii="Arial" w:cs="Arial" w:eastAsia="Arial" w:hAnsi="Arial"/>
          <w:sz w:val="13"/>
          <w:szCs w:val="13"/>
          <w:color w:val="auto"/>
        </w:rPr>
        <w:t>— The net gain from divestitures during 2008 was a result of our focus on selling underperforming businesses and primarily related to the divestiture of</w:t>
      </w:r>
      <w:r>
        <w:rPr>
          <w:rFonts w:ascii="Arial" w:cs="Arial" w:eastAsia="Arial" w:hAnsi="Arial"/>
          <w:sz w:val="13"/>
          <w:szCs w:val="13"/>
          <w:i w:val="1"/>
          <w:iCs w:val="1"/>
          <w:color w:val="auto"/>
        </w:rPr>
        <w:t xml:space="preserve"> </w:t>
      </w:r>
      <w:r>
        <w:rPr>
          <w:rFonts w:ascii="Arial" w:cs="Arial" w:eastAsia="Arial" w:hAnsi="Arial"/>
          <w:sz w:val="13"/>
          <w:szCs w:val="13"/>
          <w:color w:val="auto"/>
        </w:rPr>
        <w:t>underperforming collection operations in our Southern Group.</w:t>
      </w:r>
    </w:p>
    <w:p>
      <w:pPr>
        <w:spacing w:after="0" w:line="59"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i w:val="1"/>
          <w:iCs w:val="1"/>
          <w:color w:val="auto"/>
        </w:rPr>
        <w:t xml:space="preserve">Asset Impairments </w:t>
      </w:r>
      <w:r>
        <w:rPr>
          <w:rFonts w:ascii="Arial" w:cs="Arial" w:eastAsia="Arial" w:hAnsi="Arial"/>
          <w:sz w:val="12"/>
          <w:szCs w:val="12"/>
          <w:color w:val="auto"/>
        </w:rPr>
        <w:t>— Through December 31, 2008, we capitalized $70 million of accumulated costs associated with the development of a new waste and recycling revenue</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system. A significant portion of these costs was specifically associated with the purchase of a license for waste and recycling revenue management software and the efforts required to develop and configure that software for our use. After a failed pilot implementation of the software in one of our smallest Market Areas, the development efforts associated with the revenue management system were suspended in 2007. During 2009, we determined to enhance and improve our existing revenue management system and not pursue alternatives associated with the development and implementation of the licensed software. Accordingly, in 2009, we recognized a non-cash charge of $51 million, $49 million of which was recognized during the first quarter of 2009 and $2 million of which was recognized during the fourth quarter of 2009, for the abandonment of the licensed software.</w:t>
      </w:r>
    </w:p>
    <w:p>
      <w:pPr>
        <w:spacing w:after="0" w:line="59"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We recognized an additional $32 million of impairment charges during 2009, $27 million of which was recognized by our Western Group during the fourth quarter of 2009 to fully impair a landfill in California as a result of a change in our expectations for the future operations of the landfill. The remaining impairment charges were primarily attributable to a charge required to write down certain of our investments in portable self-storage operations to their fair value as a result of our acquisition of a controlling financial interest in those operations.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2008, we recognized a $4 million impairment charge, primarily as a result of a decision to close a landfill in our Southern Group.</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We filed a lawsuit in March 2008 related to the revenue management software implementation that was suspended in 2007 and abandoned in 2009. In April 2010, we settled</w:t>
      </w:r>
      <w:r>
        <w:rPr>
          <w:rFonts w:ascii="Arial" w:cs="Arial" w:eastAsia="Arial" w:hAnsi="Arial"/>
          <w:sz w:val="12"/>
          <w:szCs w:val="12"/>
          <w:i w:val="1"/>
          <w:iCs w:val="1"/>
          <w:color w:val="auto"/>
        </w:rPr>
        <w:t xml:space="preserve"> </w:t>
      </w:r>
      <w:r>
        <w:rPr>
          <w:rFonts w:ascii="Arial" w:cs="Arial" w:eastAsia="Arial" w:hAnsi="Arial"/>
          <w:sz w:val="12"/>
          <w:szCs w:val="12"/>
          <w:color w:val="auto"/>
        </w:rPr>
        <w:t>the lawsuit and received a one-time cash payment. The settlement resulted in an increase in income from operations for the year ended December 31, 2010 of $77 million.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income from operations by reportable segment for the years ended December 31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tcPr>
          <w:p>
            <w:pPr>
              <w:jc w:val="center"/>
              <w:ind w:right="760"/>
              <w:spacing w:after="0"/>
              <w:rPr>
                <w:sz w:val="20"/>
                <w:szCs w:val="20"/>
                <w:color w:val="auto"/>
              </w:rPr>
            </w:pPr>
            <w:r>
              <w:rPr>
                <w:rFonts w:ascii="Arial" w:cs="Arial" w:eastAsia="Arial" w:hAnsi="Arial"/>
                <w:sz w:val="10"/>
                <w:szCs w:val="10"/>
                <w:b w:val="1"/>
                <w:bCs w:val="1"/>
                <w:color w:val="auto"/>
                <w:w w:val="93"/>
              </w:rPr>
              <w:t>Period-to-</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4"/>
          </w:tcPr>
          <w:p>
            <w:pPr>
              <w:jc w:val="center"/>
              <w:ind w:right="860"/>
              <w:spacing w:after="0"/>
              <w:rPr>
                <w:sz w:val="20"/>
                <w:szCs w:val="20"/>
                <w:color w:val="auto"/>
              </w:rPr>
            </w:pPr>
            <w:r>
              <w:rPr>
                <w:rFonts w:ascii="Arial" w:cs="Arial" w:eastAsia="Arial" w:hAnsi="Arial"/>
                <w:sz w:val="10"/>
                <w:szCs w:val="10"/>
                <w:b w:val="1"/>
                <w:bCs w:val="1"/>
                <w:color w:val="auto"/>
                <w:w w:val="97"/>
              </w:rPr>
              <w:t>Period-to-</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w w:val="89"/>
              </w:rPr>
              <w:t>2010</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left="98"/>
              <w:spacing w:after="0" w:line="108" w:lineRule="exact"/>
              <w:rPr>
                <w:sz w:val="20"/>
                <w:szCs w:val="20"/>
                <w:color w:val="auto"/>
              </w:rPr>
            </w:pPr>
            <w:r>
              <w:rPr>
                <w:rFonts w:ascii="Arial" w:cs="Arial" w:eastAsia="Arial" w:hAnsi="Arial"/>
                <w:sz w:val="10"/>
                <w:szCs w:val="10"/>
                <w:b w:val="1"/>
                <w:bCs w:val="1"/>
                <w:color w:val="auto"/>
                <w:w w:val="89"/>
              </w:rPr>
              <w:t>Period</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w w:val="89"/>
              </w:rPr>
              <w:t>2009</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center"/>
              <w:ind w:left="118"/>
              <w:spacing w:after="0" w:line="108" w:lineRule="exact"/>
              <w:rPr>
                <w:sz w:val="20"/>
                <w:szCs w:val="20"/>
                <w:color w:val="auto"/>
              </w:rPr>
            </w:pPr>
            <w:r>
              <w:rPr>
                <w:rFonts w:ascii="Arial" w:cs="Arial" w:eastAsia="Arial" w:hAnsi="Arial"/>
                <w:sz w:val="10"/>
                <w:szCs w:val="10"/>
                <w:b w:val="1"/>
                <w:bCs w:val="1"/>
                <w:color w:val="auto"/>
                <w:w w:val="96"/>
              </w:rPr>
              <w:t>Period</w:t>
            </w: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center"/>
              <w:ind w:left="98"/>
              <w:spacing w:after="0"/>
              <w:rPr>
                <w:sz w:val="20"/>
                <w:szCs w:val="20"/>
                <w:color w:val="auto"/>
              </w:rPr>
            </w:pPr>
            <w:r>
              <w:rPr>
                <w:rFonts w:ascii="Arial" w:cs="Arial" w:eastAsia="Arial" w:hAnsi="Arial"/>
                <w:sz w:val="10"/>
                <w:szCs w:val="10"/>
                <w:b w:val="1"/>
                <w:bCs w:val="1"/>
                <w:color w:val="auto"/>
                <w:w w:val="98"/>
              </w:rPr>
              <w:t>Change</w:t>
            </w:r>
          </w:p>
        </w:tc>
        <w:tc>
          <w:tcPr>
            <w:tcW w:w="24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center"/>
              <w:ind w:left="118"/>
              <w:spacing w:after="0"/>
              <w:rPr>
                <w:sz w:val="20"/>
                <w:szCs w:val="20"/>
                <w:color w:val="auto"/>
              </w:rPr>
            </w:pPr>
            <w:r>
              <w:rPr>
                <w:rFonts w:ascii="Arial" w:cs="Arial" w:eastAsia="Arial" w:hAnsi="Arial"/>
                <w:sz w:val="10"/>
                <w:szCs w:val="10"/>
                <w:b w:val="1"/>
                <w:bCs w:val="1"/>
                <w:color w:val="auto"/>
                <w:w w:val="92"/>
              </w:rPr>
              <w:t>Change</w:t>
            </w:r>
          </w:p>
        </w:tc>
        <w:tc>
          <w:tcPr>
            <w:tcW w:w="30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Reportable segments: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40" w:type="dxa"/>
            <w:vAlign w:val="bottom"/>
            <w:gridSpan w:val="2"/>
          </w:tcPr>
          <w:p>
            <w:pPr>
              <w:ind w:left="140"/>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560"/>
              <w:spacing w:after="0"/>
              <w:rPr>
                <w:sz w:val="20"/>
                <w:szCs w:val="20"/>
                <w:color w:val="auto"/>
              </w:rPr>
            </w:pPr>
            <w:r>
              <w:rPr>
                <w:rFonts w:ascii="Arial" w:cs="Arial" w:eastAsia="Arial" w:hAnsi="Arial"/>
                <w:sz w:val="13"/>
                <w:szCs w:val="13"/>
                <w:color w:val="auto"/>
              </w:rPr>
              <w:t>516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300"/>
              <w:spacing w:after="0"/>
              <w:rPr>
                <w:sz w:val="20"/>
                <w:szCs w:val="20"/>
                <w:color w:val="auto"/>
              </w:rPr>
            </w:pPr>
            <w:r>
              <w:rPr>
                <w:rFonts w:ascii="Arial" w:cs="Arial" w:eastAsia="Arial" w:hAnsi="Arial"/>
                <w:sz w:val="13"/>
                <w:szCs w:val="13"/>
                <w:color w:val="auto"/>
              </w:rPr>
              <w:t>33</w:t>
            </w:r>
          </w:p>
        </w:tc>
        <w:tc>
          <w:tcPr>
            <w:tcW w:w="920" w:type="dxa"/>
            <w:vAlign w:val="bottom"/>
            <w:gridSpan w:val="2"/>
          </w:tcPr>
          <w:p>
            <w:pPr>
              <w:jc w:val="right"/>
              <w:ind w:right="580"/>
              <w:spacing w:after="0"/>
              <w:rPr>
                <w:sz w:val="20"/>
                <w:szCs w:val="20"/>
                <w:color w:val="auto"/>
              </w:rPr>
            </w:pPr>
            <w:r>
              <w:rPr>
                <w:rFonts w:ascii="Arial" w:cs="Arial" w:eastAsia="Arial" w:hAnsi="Arial"/>
                <w:sz w:val="13"/>
                <w:szCs w:val="13"/>
                <w:color w:val="auto"/>
              </w:rPr>
              <w:t>6.8%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580"/>
              <w:spacing w:after="0"/>
              <w:rPr>
                <w:sz w:val="20"/>
                <w:szCs w:val="20"/>
                <w:color w:val="auto"/>
              </w:rPr>
            </w:pPr>
            <w:r>
              <w:rPr>
                <w:rFonts w:ascii="Arial" w:cs="Arial" w:eastAsia="Arial" w:hAnsi="Arial"/>
                <w:sz w:val="13"/>
                <w:szCs w:val="13"/>
                <w:color w:val="auto"/>
              </w:rPr>
              <w:t>483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rPr>
              <w:t>(40)</w:t>
            </w:r>
          </w:p>
        </w:tc>
        <w:tc>
          <w:tcPr>
            <w:tcW w:w="1040" w:type="dxa"/>
            <w:vAlign w:val="bottom"/>
            <w:gridSpan w:val="2"/>
          </w:tcPr>
          <w:p>
            <w:pPr>
              <w:jc w:val="right"/>
              <w:ind w:right="600"/>
              <w:spacing w:after="0"/>
              <w:rPr>
                <w:sz w:val="20"/>
                <w:szCs w:val="20"/>
                <w:color w:val="auto"/>
              </w:rPr>
            </w:pPr>
            <w:r>
              <w:rPr>
                <w:rFonts w:ascii="Arial" w:cs="Arial" w:eastAsia="Arial" w:hAnsi="Arial"/>
                <w:sz w:val="13"/>
                <w:szCs w:val="13"/>
                <w:color w:val="auto"/>
              </w:rPr>
              <w:t>(7.6)%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157"/>
        </w:trPr>
        <w:tc>
          <w:tcPr>
            <w:tcW w:w="4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533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83</w:t>
            </w:r>
          </w:p>
        </w:tc>
        <w:tc>
          <w:tcPr>
            <w:tcW w:w="92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6"/>
              </w:rPr>
              <w:t>18.4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(25)</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475</w:t>
            </w:r>
          </w:p>
        </w:tc>
        <w:tc>
          <w:tcPr>
            <w:tcW w:w="0" w:type="dxa"/>
            <w:vAlign w:val="bottom"/>
          </w:tcPr>
          <w:p>
            <w:pPr>
              <w:spacing w:after="0"/>
              <w:rPr>
                <w:sz w:val="1"/>
                <w:szCs w:val="1"/>
                <w:color w:val="auto"/>
              </w:rPr>
            </w:pPr>
          </w:p>
        </w:tc>
      </w:tr>
      <w:tr>
        <w:trPr>
          <w:trHeight w:val="157"/>
        </w:trPr>
        <w:tc>
          <w:tcPr>
            <w:tcW w:w="4340" w:type="dxa"/>
            <w:vAlign w:val="bottom"/>
            <w:gridSpan w:val="2"/>
          </w:tcPr>
          <w:p>
            <w:pPr>
              <w:ind w:left="140"/>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3"/>
                <w:szCs w:val="13"/>
                <w:color w:val="auto"/>
              </w:rPr>
              <w:t>844</w:t>
            </w:r>
          </w:p>
        </w:tc>
        <w:tc>
          <w:tcPr>
            <w:tcW w:w="80" w:type="dxa"/>
            <w:vAlign w:val="bottom"/>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3"/>
                <w:szCs w:val="13"/>
                <w:color w:val="auto"/>
              </w:rPr>
              <w:t>76</w:t>
            </w:r>
          </w:p>
        </w:tc>
        <w:tc>
          <w:tcPr>
            <w:tcW w:w="920" w:type="dxa"/>
            <w:vAlign w:val="bottom"/>
            <w:gridSpan w:val="2"/>
          </w:tcPr>
          <w:p>
            <w:pPr>
              <w:jc w:val="right"/>
              <w:ind w:right="680"/>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3"/>
                <w:szCs w:val="13"/>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3"/>
                <w:szCs w:val="13"/>
                <w:color w:val="auto"/>
              </w:rPr>
              <w:t>768</w:t>
            </w:r>
          </w:p>
        </w:tc>
        <w:tc>
          <w:tcPr>
            <w:tcW w:w="10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w w:val="98"/>
              </w:rPr>
              <w:t>(104)</w:t>
            </w:r>
          </w:p>
        </w:tc>
        <w:tc>
          <w:tcPr>
            <w:tcW w:w="1040" w:type="dxa"/>
            <w:vAlign w:val="bottom"/>
            <w:gridSpan w:val="2"/>
          </w:tcPr>
          <w:p>
            <w:pPr>
              <w:jc w:val="right"/>
              <w:ind w:right="700"/>
              <w:spacing w:after="0"/>
              <w:rPr>
                <w:sz w:val="20"/>
                <w:szCs w:val="20"/>
                <w:color w:val="auto"/>
              </w:rPr>
            </w:pPr>
            <w:r>
              <w:rPr>
                <w:rFonts w:ascii="Arial" w:cs="Arial" w:eastAsia="Arial" w:hAnsi="Arial"/>
                <w:sz w:val="13"/>
                <w:szCs w:val="13"/>
                <w:color w:val="auto"/>
                <w:w w:val="94"/>
              </w:rPr>
              <w:t>(11.9)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872</w:t>
            </w:r>
          </w:p>
        </w:tc>
        <w:tc>
          <w:tcPr>
            <w:tcW w:w="0" w:type="dxa"/>
            <w:vAlign w:val="bottom"/>
          </w:tcPr>
          <w:p>
            <w:pPr>
              <w:spacing w:after="0"/>
              <w:rPr>
                <w:sz w:val="1"/>
                <w:szCs w:val="1"/>
                <w:color w:val="auto"/>
              </w:rPr>
            </w:pPr>
          </w:p>
        </w:tc>
      </w:tr>
      <w:tr>
        <w:trPr>
          <w:trHeight w:val="157"/>
        </w:trPr>
        <w:tc>
          <w:tcPr>
            <w:tcW w:w="4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569</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48</w:t>
            </w:r>
          </w:p>
        </w:tc>
        <w:tc>
          <w:tcPr>
            <w:tcW w:w="92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(91)</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w w:val="94"/>
              </w:rPr>
              <w:t>(14.9)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157"/>
        </w:trPr>
        <w:tc>
          <w:tcPr>
            <w:tcW w:w="4340" w:type="dxa"/>
            <w:vAlign w:val="bottom"/>
            <w:gridSpan w:val="2"/>
          </w:tcPr>
          <w:p>
            <w:pPr>
              <w:ind w:left="140"/>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3"/>
                <w:szCs w:val="13"/>
                <w:color w:val="auto"/>
              </w:rPr>
              <w:t>214</w:t>
            </w:r>
          </w:p>
        </w:tc>
        <w:tc>
          <w:tcPr>
            <w:tcW w:w="80" w:type="dxa"/>
            <w:vAlign w:val="bottom"/>
          </w:tcPr>
          <w:p>
            <w:pPr>
              <w:spacing w:after="0"/>
              <w:rPr>
                <w:sz w:val="13"/>
                <w:szCs w:val="13"/>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(21)</w:t>
            </w:r>
          </w:p>
        </w:tc>
        <w:tc>
          <w:tcPr>
            <w:tcW w:w="920" w:type="dxa"/>
            <w:vAlign w:val="bottom"/>
            <w:gridSpan w:val="2"/>
          </w:tcPr>
          <w:p>
            <w:pPr>
              <w:jc w:val="right"/>
              <w:ind w:right="640"/>
              <w:spacing w:after="0"/>
              <w:rPr>
                <w:sz w:val="20"/>
                <w:szCs w:val="20"/>
                <w:color w:val="auto"/>
              </w:rPr>
            </w:pPr>
            <w:r>
              <w:rPr>
                <w:rFonts w:ascii="Arial" w:cs="Arial" w:eastAsia="Arial" w:hAnsi="Arial"/>
                <w:sz w:val="13"/>
                <w:szCs w:val="13"/>
                <w:color w:val="auto"/>
                <w:w w:val="97"/>
              </w:rPr>
              <w:t>(8.9)</w:t>
            </w:r>
          </w:p>
        </w:tc>
        <w:tc>
          <w:tcPr>
            <w:tcW w:w="80" w:type="dxa"/>
            <w:vAlign w:val="bottom"/>
          </w:tcPr>
          <w:p>
            <w:pPr>
              <w:spacing w:after="0"/>
              <w:rPr>
                <w:sz w:val="13"/>
                <w:szCs w:val="13"/>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rPr>
              <w:t>(88)</w:t>
            </w:r>
          </w:p>
        </w:tc>
        <w:tc>
          <w:tcPr>
            <w:tcW w:w="1040" w:type="dxa"/>
            <w:vAlign w:val="bottom"/>
            <w:gridSpan w:val="2"/>
          </w:tcPr>
          <w:p>
            <w:pPr>
              <w:jc w:val="right"/>
              <w:ind w:right="700"/>
              <w:spacing w:after="0"/>
              <w:rPr>
                <w:sz w:val="20"/>
                <w:szCs w:val="20"/>
                <w:color w:val="auto"/>
              </w:rPr>
            </w:pPr>
            <w:r>
              <w:rPr>
                <w:rFonts w:ascii="Arial" w:cs="Arial" w:eastAsia="Arial" w:hAnsi="Arial"/>
                <w:sz w:val="13"/>
                <w:szCs w:val="13"/>
                <w:color w:val="auto"/>
                <w:w w:val="94"/>
              </w:rPr>
              <w:t>(27.2)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57"/>
        </w:trPr>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w:t>
            </w:r>
          </w:p>
        </w:tc>
        <w:tc>
          <w:tcPr>
            <w:tcW w:w="92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w w:val="97"/>
              </w:rPr>
              <w:t>(0.7)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(76)</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434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80" w:type="dxa"/>
            <w:vAlign w:val="bottom"/>
          </w:tcPr>
          <w:p>
            <w:pPr>
              <w:spacing w:after="0"/>
              <w:rPr>
                <w:sz w:val="13"/>
                <w:szCs w:val="13"/>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3"/>
                <w:szCs w:val="13"/>
                <w:color w:val="auto"/>
              </w:rPr>
              <w:t>(425)</w:t>
            </w:r>
          </w:p>
        </w:tc>
        <w:tc>
          <w:tcPr>
            <w:tcW w:w="80" w:type="dxa"/>
            <w:vAlign w:val="bottom"/>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3"/>
                <w:szCs w:val="13"/>
                <w:color w:val="auto"/>
              </w:rPr>
              <w:t>9</w:t>
            </w:r>
          </w:p>
        </w:tc>
        <w:tc>
          <w:tcPr>
            <w:tcW w:w="920" w:type="dxa"/>
            <w:vAlign w:val="bottom"/>
            <w:gridSpan w:val="2"/>
          </w:tcPr>
          <w:p>
            <w:pPr>
              <w:jc w:val="right"/>
              <w:ind w:right="640"/>
              <w:spacing w:after="0"/>
              <w:rPr>
                <w:sz w:val="20"/>
                <w:szCs w:val="20"/>
                <w:color w:val="auto"/>
              </w:rPr>
            </w:pPr>
            <w:r>
              <w:rPr>
                <w:rFonts w:ascii="Arial" w:cs="Arial" w:eastAsia="Arial" w:hAnsi="Arial"/>
                <w:sz w:val="13"/>
                <w:szCs w:val="13"/>
                <w:color w:val="auto"/>
                <w:w w:val="97"/>
              </w:rPr>
              <w:t>(2.1)</w:t>
            </w:r>
          </w:p>
        </w:tc>
        <w:tc>
          <w:tcPr>
            <w:tcW w:w="80" w:type="dxa"/>
            <w:vAlign w:val="bottom"/>
          </w:tcPr>
          <w:p>
            <w:pPr>
              <w:spacing w:after="0"/>
              <w:rPr>
                <w:sz w:val="13"/>
                <w:szCs w:val="13"/>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3"/>
                <w:szCs w:val="13"/>
                <w:color w:val="auto"/>
              </w:rPr>
              <w:t>(434)</w:t>
            </w:r>
          </w:p>
        </w:tc>
        <w:tc>
          <w:tcPr>
            <w:tcW w:w="100" w:type="dxa"/>
            <w:vAlign w:val="bottom"/>
          </w:tcPr>
          <w:p>
            <w:pPr>
              <w:spacing w:after="0"/>
              <w:rPr>
                <w:sz w:val="13"/>
                <w:szCs w:val="13"/>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3"/>
                <w:szCs w:val="13"/>
                <w:color w:val="auto"/>
              </w:rPr>
              <w:t>77</w:t>
            </w:r>
          </w:p>
        </w:tc>
        <w:tc>
          <w:tcPr>
            <w:tcW w:w="1040" w:type="dxa"/>
            <w:vAlign w:val="bottom"/>
            <w:gridSpan w:val="2"/>
          </w:tcPr>
          <w:p>
            <w:pPr>
              <w:jc w:val="right"/>
              <w:ind w:right="700"/>
              <w:spacing w:after="0"/>
              <w:rPr>
                <w:sz w:val="20"/>
                <w:szCs w:val="20"/>
                <w:color w:val="auto"/>
              </w:rPr>
            </w:pPr>
            <w:r>
              <w:rPr>
                <w:rFonts w:ascii="Arial" w:cs="Arial" w:eastAsia="Arial" w:hAnsi="Arial"/>
                <w:sz w:val="13"/>
                <w:szCs w:val="13"/>
                <w:color w:val="auto"/>
                <w:w w:val="94"/>
              </w:rPr>
              <w:t>(15.1)</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2,116</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2"/>
              </w:rPr>
              <w:t>229</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w w:val="86"/>
              </w:rPr>
              <w:t>12.1%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w w:val="92"/>
              </w:rPr>
              <w:t>1,887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8"/>
              </w:rPr>
              <w:t>(347)</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w w:val="92"/>
              </w:rPr>
              <w:t>(15.5)%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2,234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i w:val="1"/>
          <w:iCs w:val="1"/>
          <w:color w:val="auto"/>
        </w:rPr>
        <w:t xml:space="preserve">Reportable Segments — </w:t>
      </w:r>
      <w:r>
        <w:rPr>
          <w:rFonts w:ascii="Arial" w:cs="Arial" w:eastAsia="Arial" w:hAnsi="Arial"/>
          <w:sz w:val="13"/>
          <w:szCs w:val="13"/>
          <w:color w:val="auto"/>
        </w:rPr>
        <w:t>The most significant items affecting the results of operations of our four geographic Groups during the three-year period ended December 31, 2010 are</w:t>
      </w:r>
      <w:r>
        <w:rPr>
          <w:rFonts w:ascii="Arial" w:cs="Arial" w:eastAsia="Arial" w:hAnsi="Arial"/>
          <w:sz w:val="13"/>
          <w:szCs w:val="13"/>
          <w:i w:val="1"/>
          <w:iCs w:val="1"/>
          <w:color w:val="auto"/>
        </w:rPr>
        <w:t xml:space="preserve"> </w:t>
      </w:r>
      <w:r>
        <w:rPr>
          <w:rFonts w:ascii="Arial" w:cs="Arial" w:eastAsia="Arial" w:hAnsi="Arial"/>
          <w:sz w:val="13"/>
          <w:szCs w:val="13"/>
          <w:color w:val="auto"/>
        </w:rPr>
        <w:t>summarized below:</w:t>
      </w:r>
    </w:p>
    <w:p>
      <w:pPr>
        <w:spacing w:after="0" w:line="59"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revenue growth from yield on our base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market prices for recyclable commodities reflected significant improvement year-over-year during 2010 and a sharp decline during 2009 as compared with 2008;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accretive benefits of recent acquisitions, in particular during 2010 and to a lesser extent during 2009;</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continued volume declines due to economic conditions, increased pricing, competition and recent trends of waste reduction and waste diversion by consumers;</w:t>
      </w:r>
    </w:p>
    <w:p>
      <w:pPr>
        <w:spacing w:after="0" w:line="86"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increasing direct and indirect costs for diesel fuel, which outpaced the related revenue growth from our fuel surcharge program in both 2010 and 2009, although a portion of the 2010 shortfall was reduced during the fourth quarter due, in part, to changes we made in our fuel surcharge program;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higher salaries and wages due to annual merit increases that were effective in July 2009 for hourly employees and in April 2010 for both salaried and hourly employees.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comparability of each of our geographic Groups’ operating results for the periods was also affected by the restructuring charges recognized during the year ended December 31,</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2009.</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significant items affecting the comparability of our Groups’ results of operations for the years ended December 31, 2010, 2009 and 2008 are summarized below:</w:t>
      </w:r>
    </w:p>
    <w:p>
      <w:pPr>
        <w:spacing w:after="0" w:line="96" w:lineRule="exact"/>
        <w:rPr>
          <w:sz w:val="20"/>
          <w:szCs w:val="20"/>
          <w:color w:val="auto"/>
        </w:rPr>
      </w:pPr>
    </w:p>
    <w:p>
      <w:pPr>
        <w:ind w:left="1080" w:right="80" w:firstLine="383"/>
        <w:spacing w:after="0" w:line="371" w:lineRule="auto"/>
        <w:rPr>
          <w:sz w:val="20"/>
          <w:szCs w:val="20"/>
          <w:color w:val="auto"/>
        </w:rPr>
      </w:pPr>
      <w:r>
        <w:rPr>
          <w:rFonts w:ascii="Arial" w:cs="Arial" w:eastAsia="Arial" w:hAnsi="Arial"/>
          <w:sz w:val="11"/>
          <w:szCs w:val="11"/>
          <w:i w:val="1"/>
          <w:iCs w:val="1"/>
          <w:color w:val="auto"/>
        </w:rPr>
        <w:t xml:space="preserve">Eastern </w:t>
      </w:r>
      <w:r>
        <w:rPr>
          <w:rFonts w:ascii="Arial" w:cs="Arial" w:eastAsia="Arial" w:hAnsi="Arial"/>
          <w:sz w:val="11"/>
          <w:szCs w:val="11"/>
          <w:color w:val="auto"/>
        </w:rPr>
        <w:t>— During 2009, the Group recognized (i) an $18 million increase in revenues and income from operations associated with an oil and gas lease at one of our landfills;</w:t>
      </w:r>
      <w:r>
        <w:rPr>
          <w:rFonts w:ascii="Arial" w:cs="Arial" w:eastAsia="Arial" w:hAnsi="Arial"/>
          <w:sz w:val="11"/>
          <w:szCs w:val="11"/>
          <w:i w:val="1"/>
          <w:iCs w:val="1"/>
          <w:color w:val="auto"/>
        </w:rPr>
        <w:t xml:space="preserve"> </w:t>
      </w:r>
      <w:r>
        <w:rPr>
          <w:rFonts w:ascii="Arial" w:cs="Arial" w:eastAsia="Arial" w:hAnsi="Arial"/>
          <w:sz w:val="11"/>
          <w:szCs w:val="11"/>
          <w:color w:val="auto"/>
        </w:rPr>
        <w:t>and (ii) a $9 million charge related to bargaining unit employees in New Jersey agreeing to our proposal to withdraw them from an underfunded multiemployer pension fund.</w:t>
      </w:r>
    </w:p>
    <w:p>
      <w:pPr>
        <w:spacing w:after="0" w:line="12" w:lineRule="exact"/>
        <w:rPr>
          <w:sz w:val="20"/>
          <w:szCs w:val="20"/>
          <w:color w:val="auto"/>
        </w:rPr>
      </w:pPr>
    </w:p>
    <w:p>
      <w:pPr>
        <w:ind w:left="1080" w:right="80" w:firstLine="383"/>
        <w:spacing w:after="0" w:line="276" w:lineRule="auto"/>
        <w:rPr>
          <w:sz w:val="20"/>
          <w:szCs w:val="20"/>
          <w:color w:val="auto"/>
        </w:rPr>
      </w:pPr>
      <w:r>
        <w:rPr>
          <w:rFonts w:ascii="Arial" w:cs="Arial" w:eastAsia="Arial" w:hAnsi="Arial"/>
          <w:sz w:val="13"/>
          <w:szCs w:val="13"/>
          <w:color w:val="auto"/>
        </w:rPr>
        <w:t>During 2008, the Group’s operating income was negatively affected by a $14 million charge related to the withdrawal of certain collective bargaining units from underfunded multiemployer pension plans.</w:t>
      </w:r>
    </w:p>
    <w:p>
      <w:pPr>
        <w:spacing w:after="0" w:line="59" w:lineRule="exact"/>
        <w:rPr>
          <w:sz w:val="20"/>
          <w:szCs w:val="20"/>
          <w:color w:val="auto"/>
        </w:rPr>
      </w:pPr>
    </w:p>
    <w:p>
      <w:pPr>
        <w:ind w:left="1080" w:right="220" w:firstLine="383"/>
        <w:spacing w:after="0" w:line="276" w:lineRule="auto"/>
        <w:rPr>
          <w:sz w:val="20"/>
          <w:szCs w:val="20"/>
          <w:color w:val="auto"/>
        </w:rPr>
      </w:pPr>
      <w:r>
        <w:rPr>
          <w:rFonts w:ascii="Arial" w:cs="Arial" w:eastAsia="Arial" w:hAnsi="Arial"/>
          <w:sz w:val="13"/>
          <w:szCs w:val="13"/>
          <w:i w:val="1"/>
          <w:iCs w:val="1"/>
          <w:color w:val="auto"/>
        </w:rPr>
        <w:t xml:space="preserve">Midwest </w:t>
      </w:r>
      <w:r>
        <w:rPr>
          <w:rFonts w:ascii="Arial" w:cs="Arial" w:eastAsia="Arial" w:hAnsi="Arial"/>
          <w:sz w:val="13"/>
          <w:szCs w:val="13"/>
          <w:color w:val="auto"/>
        </w:rPr>
        <w:t>— The income from operations of our Midwest Group for 2010 was significantly affected by the recognition of charges of $26 million as a result of employees of</w:t>
      </w:r>
      <w:r>
        <w:rPr>
          <w:rFonts w:ascii="Arial" w:cs="Arial" w:eastAsia="Arial" w:hAnsi="Arial"/>
          <w:sz w:val="13"/>
          <w:szCs w:val="13"/>
          <w:i w:val="1"/>
          <w:iCs w:val="1"/>
          <w:color w:val="auto"/>
        </w:rPr>
        <w:t xml:space="preserve"> </w:t>
      </w:r>
      <w:r>
        <w:rPr>
          <w:rFonts w:ascii="Arial" w:cs="Arial" w:eastAsia="Arial" w:hAnsi="Arial"/>
          <w:sz w:val="13"/>
          <w:szCs w:val="13"/>
          <w:color w:val="auto"/>
        </w:rPr>
        <w:t>five bargaining units in Michigan and Ohio agreeing to our proposal to withdraw them from an underfunded multiemployer pension plan.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080" w:right="140" w:firstLine="383"/>
        <w:spacing w:after="0" w:line="264" w:lineRule="auto"/>
        <w:rPr>
          <w:sz w:val="20"/>
          <w:szCs w:val="20"/>
          <w:color w:val="auto"/>
        </w:rPr>
      </w:pPr>
      <w:r>
        <w:rPr>
          <w:rFonts w:ascii="Arial" w:cs="Arial" w:eastAsia="Arial" w:hAnsi="Arial"/>
          <w:sz w:val="13"/>
          <w:szCs w:val="13"/>
          <w:color w:val="auto"/>
        </w:rPr>
        <w:t>The Group’s 2008 operating results were negatively affected by $44 million of additional operating expenses primarily incurred as a result of a labor dispute in Milwaukee, Wisconsin. Included in the labor dispute expenses were $32 million in charges related to the withdrawal of certain of the Group’s bargaining units from underfunded multiemployer pension plans.</w:t>
      </w:r>
    </w:p>
    <w:p>
      <w:pPr>
        <w:spacing w:after="0" w:line="67" w:lineRule="exact"/>
        <w:rPr>
          <w:sz w:val="20"/>
          <w:szCs w:val="20"/>
          <w:color w:val="auto"/>
        </w:rPr>
      </w:pPr>
    </w:p>
    <w:p>
      <w:pPr>
        <w:ind w:left="1080" w:right="60" w:firstLine="383"/>
        <w:spacing w:after="0" w:line="296" w:lineRule="auto"/>
        <w:rPr>
          <w:sz w:val="20"/>
          <w:szCs w:val="20"/>
          <w:color w:val="auto"/>
        </w:rPr>
      </w:pPr>
      <w:r>
        <w:rPr>
          <w:rFonts w:ascii="Arial" w:cs="Arial" w:eastAsia="Arial" w:hAnsi="Arial"/>
          <w:sz w:val="12"/>
          <w:szCs w:val="12"/>
          <w:color w:val="auto"/>
        </w:rPr>
        <w:t>Additionally, when comparing the average exchange rate for 2010 with 2009, the Canadian exchange rate strengthened by 10%, which increased the Group’s income from operations. When comparing the average exchange rate for 2009 with 2008, the Canadian exchange rate weakened by 7%, which decreased the Group’s income from operations. The effects of foreign currency translation were the most significant to this Group because substantially all of our Canadian operations are managed by our Midwest Group.</w:t>
      </w:r>
    </w:p>
    <w:p>
      <w:pPr>
        <w:spacing w:after="0" w:line="50" w:lineRule="exact"/>
        <w:rPr>
          <w:sz w:val="20"/>
          <w:szCs w:val="20"/>
          <w:color w:val="auto"/>
        </w:rPr>
      </w:pPr>
    </w:p>
    <w:p>
      <w:pPr>
        <w:ind w:left="1080" w:right="140" w:firstLine="383"/>
        <w:spacing w:after="0" w:line="276" w:lineRule="auto"/>
        <w:rPr>
          <w:sz w:val="20"/>
          <w:szCs w:val="20"/>
          <w:color w:val="auto"/>
        </w:rPr>
      </w:pPr>
      <w:r>
        <w:rPr>
          <w:rFonts w:ascii="Arial" w:cs="Arial" w:eastAsia="Arial" w:hAnsi="Arial"/>
          <w:sz w:val="13"/>
          <w:szCs w:val="13"/>
          <w:i w:val="1"/>
          <w:iCs w:val="1"/>
          <w:color w:val="auto"/>
        </w:rPr>
        <w:t xml:space="preserve">Southern </w:t>
      </w:r>
      <w:r>
        <w:rPr>
          <w:rFonts w:ascii="Arial" w:cs="Arial" w:eastAsia="Arial" w:hAnsi="Arial"/>
          <w:sz w:val="13"/>
          <w:szCs w:val="13"/>
          <w:color w:val="auto"/>
        </w:rPr>
        <w:t>— Additional volumes from oil spill clean-up activities along the Gulf Coast and lower repair and maintenance costs favorably impacted the Group’s 2010 income</w:t>
      </w:r>
      <w:r>
        <w:rPr>
          <w:rFonts w:ascii="Arial" w:cs="Arial" w:eastAsia="Arial" w:hAnsi="Arial"/>
          <w:sz w:val="13"/>
          <w:szCs w:val="13"/>
          <w:i w:val="1"/>
          <w:iCs w:val="1"/>
          <w:color w:val="auto"/>
        </w:rPr>
        <w:t xml:space="preserve"> </w:t>
      </w:r>
      <w:r>
        <w:rPr>
          <w:rFonts w:ascii="Arial" w:cs="Arial" w:eastAsia="Arial" w:hAnsi="Arial"/>
          <w:sz w:val="13"/>
          <w:szCs w:val="13"/>
          <w:color w:val="auto"/>
        </w:rPr>
        <w:t>from operations.</w:t>
      </w:r>
    </w:p>
    <w:p>
      <w:pPr>
        <w:spacing w:after="0" w:line="59" w:lineRule="exact"/>
        <w:rPr>
          <w:sz w:val="20"/>
          <w:szCs w:val="20"/>
          <w:color w:val="auto"/>
        </w:rPr>
      </w:pPr>
    </w:p>
    <w:p>
      <w:pPr>
        <w:ind w:left="1080" w:right="340" w:firstLine="383"/>
        <w:spacing w:after="0" w:line="296" w:lineRule="auto"/>
        <w:rPr>
          <w:sz w:val="20"/>
          <w:szCs w:val="20"/>
          <w:color w:val="auto"/>
        </w:rPr>
      </w:pPr>
      <w:r>
        <w:rPr>
          <w:rFonts w:ascii="Arial" w:cs="Arial" w:eastAsia="Arial" w:hAnsi="Arial"/>
          <w:sz w:val="12"/>
          <w:szCs w:val="12"/>
          <w:color w:val="auto"/>
        </w:rPr>
        <w:t>During 2008, the Group’s operating income was favorably affected by $29 million of divestiture gains, offset, in part, by a $3 million landfill impairment charge. Also favorably affecting the comparison of the Group’s results in 2009 as compared with 2008 was the recognition of $9 million of favorable adjustments during 2009 resulting from changes in estimates associated with our obligations for landfill capping, closure and post-closure. Similar favorable adjustments impacted the Group’s results during 2010.</w:t>
      </w:r>
    </w:p>
    <w:p>
      <w:pPr>
        <w:spacing w:after="0" w:line="50" w:lineRule="exact"/>
        <w:rPr>
          <w:sz w:val="20"/>
          <w:szCs w:val="20"/>
          <w:color w:val="auto"/>
        </w:rPr>
      </w:pPr>
    </w:p>
    <w:p>
      <w:pPr>
        <w:ind w:left="1080" w:right="200" w:firstLine="383"/>
        <w:spacing w:after="0" w:line="276" w:lineRule="auto"/>
        <w:rPr>
          <w:sz w:val="20"/>
          <w:szCs w:val="20"/>
          <w:color w:val="auto"/>
        </w:rPr>
      </w:pPr>
      <w:r>
        <w:rPr>
          <w:rFonts w:ascii="Arial" w:cs="Arial" w:eastAsia="Arial" w:hAnsi="Arial"/>
          <w:sz w:val="13"/>
          <w:szCs w:val="13"/>
          <w:i w:val="1"/>
          <w:iCs w:val="1"/>
          <w:color w:val="auto"/>
        </w:rPr>
        <w:t xml:space="preserve">Western </w:t>
      </w:r>
      <w:r>
        <w:rPr>
          <w:rFonts w:ascii="Arial" w:cs="Arial" w:eastAsia="Arial" w:hAnsi="Arial"/>
          <w:sz w:val="13"/>
          <w:szCs w:val="13"/>
          <w:color w:val="auto"/>
        </w:rPr>
        <w:t>— The Group’s 2010 income from operations includes $12 million of additional “Selling, general and administrative” expense recognized as a result of a litigation</w:t>
      </w:r>
      <w:r>
        <w:rPr>
          <w:rFonts w:ascii="Arial" w:cs="Arial" w:eastAsia="Arial" w:hAnsi="Arial"/>
          <w:sz w:val="13"/>
          <w:szCs w:val="13"/>
          <w:i w:val="1"/>
          <w:iCs w:val="1"/>
          <w:color w:val="auto"/>
        </w:rPr>
        <w:t xml:space="preserve"> </w:t>
      </w:r>
      <w:r>
        <w:rPr>
          <w:rFonts w:ascii="Arial" w:cs="Arial" w:eastAsia="Arial" w:hAnsi="Arial"/>
          <w:sz w:val="13"/>
          <w:szCs w:val="13"/>
          <w:color w:val="auto"/>
        </w:rPr>
        <w:t>settlement.</w:t>
      </w:r>
    </w:p>
    <w:p>
      <w:pPr>
        <w:spacing w:after="0" w:line="59" w:lineRule="exact"/>
        <w:rPr>
          <w:sz w:val="20"/>
          <w:szCs w:val="20"/>
          <w:color w:val="auto"/>
        </w:rPr>
      </w:pPr>
    </w:p>
    <w:p>
      <w:pPr>
        <w:ind w:left="1080" w:right="100" w:firstLine="383"/>
        <w:spacing w:after="0" w:line="276" w:lineRule="auto"/>
        <w:rPr>
          <w:sz w:val="20"/>
          <w:szCs w:val="20"/>
          <w:color w:val="auto"/>
        </w:rPr>
      </w:pPr>
      <w:r>
        <w:rPr>
          <w:rFonts w:ascii="Arial" w:cs="Arial" w:eastAsia="Arial" w:hAnsi="Arial"/>
          <w:sz w:val="13"/>
          <w:szCs w:val="13"/>
          <w:color w:val="auto"/>
        </w:rPr>
        <w:t>The Group’s 2009 income from operations includes the recognition of an impairment charge of $27 million as a result of a change in expectations for the future operations of an inactive landfill in California.</w:t>
      </w:r>
    </w:p>
    <w:p>
      <w:pPr>
        <w:spacing w:after="0" w:line="59" w:lineRule="exact"/>
        <w:rPr>
          <w:sz w:val="20"/>
          <w:szCs w:val="20"/>
          <w:color w:val="auto"/>
        </w:rPr>
      </w:pPr>
    </w:p>
    <w:p>
      <w:pPr>
        <w:ind w:left="1080" w:right="40" w:firstLine="383"/>
        <w:spacing w:after="0" w:line="289" w:lineRule="auto"/>
        <w:rPr>
          <w:sz w:val="20"/>
          <w:szCs w:val="20"/>
          <w:color w:val="auto"/>
        </w:rPr>
      </w:pPr>
      <w:r>
        <w:rPr>
          <w:rFonts w:ascii="Arial" w:cs="Arial" w:eastAsia="Arial" w:hAnsi="Arial"/>
          <w:sz w:val="12"/>
          <w:szCs w:val="12"/>
          <w:color w:val="auto"/>
        </w:rPr>
        <w:t>Further affecting the comparison of 2010 results with 2009 was the recognition of $7 million of favorable adjustments to landfill amortization expense during 2010 associated with our obligations for landfill capping, closure and post-closure, and a net $5 million of expense recognized for adjustments related to these obligations during 2009. The unfavorable adjustments during 2009 primarily related to a closed landfill in Los Angeles, California for which the Group recognized additional amortization expense. The additional expense in 2009 did not affect the comparison to 2008 because, during 2008, we recognized an unfavorable adjustment at the same landfill which was of a similar magnitude.</w:t>
      </w:r>
    </w:p>
    <w:p>
      <w:pPr>
        <w:spacing w:after="0" w:line="53" w:lineRule="exact"/>
        <w:rPr>
          <w:sz w:val="20"/>
          <w:szCs w:val="20"/>
          <w:color w:val="auto"/>
        </w:rPr>
      </w:pPr>
    </w:p>
    <w:p>
      <w:pPr>
        <w:ind w:left="1080" w:firstLine="383"/>
        <w:spacing w:after="0" w:line="258"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 The decrease in the income from operations of our Wheelabrator Group for the year ended December 31, 2010 as compared to 2009 was driven by an</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in maintenance-related outages as compared with the prior year, which resulted in decreased electricity generation and increased plant maintenance costs. These increases are attributable to the acceleration of repair and maintenance expenses at our facility in Portsmouth, Virginia that we acquired in April 2010, and expenses at certain of our other facilities. The Group also experienced an increase in litigation settlement costs as compared with 2009. These unfavorable items were partially offset by the benefit of increased revenues from the sale of metals.</w:t>
      </w:r>
    </w:p>
    <w:p>
      <w:pPr>
        <w:spacing w:after="0" w:line="71" w:lineRule="exact"/>
        <w:rPr>
          <w:sz w:val="20"/>
          <w:szCs w:val="20"/>
          <w:color w:val="auto"/>
        </w:rPr>
      </w:pPr>
    </w:p>
    <w:p>
      <w:pPr>
        <w:ind w:left="1080" w:right="40" w:firstLine="383"/>
        <w:spacing w:after="0" w:line="289" w:lineRule="auto"/>
        <w:rPr>
          <w:sz w:val="20"/>
          <w:szCs w:val="20"/>
          <w:color w:val="auto"/>
        </w:rPr>
      </w:pPr>
      <w:r>
        <w:rPr>
          <w:rFonts w:ascii="Arial" w:cs="Arial" w:eastAsia="Arial" w:hAnsi="Arial"/>
          <w:sz w:val="12"/>
          <w:szCs w:val="12"/>
          <w:color w:val="auto"/>
        </w:rPr>
        <w:t>The comparability of the Group’s 2009 income from operations with 2008 was significantly affected by (i) a decline in market prices for electricity, which had a significant impact on the Group’s results in 2009 due to the expiration of several long-term energy contracts and short-term pricing arrangements; (ii) an increase in costs for international and domestic business development activities; and (iii) an increase in “Operating” expenses of $11 million as a result of a significant increase in the property taxes assessed for one of our waste-to-energy facilities. Exposure to current electricity market prices increased from 24% of total electricity production in 2008 to 46% in 2009.</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Significant items affecting the comparability of the remaining components of our results of operations for the years ended December 31, 2010, 2009 and 2008 are summarized below:</w:t>
      </w:r>
    </w:p>
    <w:p>
      <w:pPr>
        <w:spacing w:after="0" w:line="119" w:lineRule="exact"/>
        <w:rPr>
          <w:sz w:val="20"/>
          <w:szCs w:val="20"/>
          <w:color w:val="auto"/>
        </w:rPr>
      </w:pPr>
    </w:p>
    <w:p>
      <w:pPr>
        <w:ind w:left="1080" w:right="100" w:firstLine="383"/>
        <w:spacing w:after="0" w:line="260"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Our “Other” income from operations includes (i) the effects of those elements of our in-plant services, landfill gas-to-energy operations, and third-party subcontract</w:t>
      </w:r>
      <w:r>
        <w:rPr>
          <w:rFonts w:ascii="Arial" w:cs="Arial" w:eastAsia="Arial" w:hAnsi="Arial"/>
          <w:sz w:val="13"/>
          <w:szCs w:val="13"/>
          <w:i w:val="1"/>
          <w:iCs w:val="1"/>
          <w:color w:val="auto"/>
        </w:rPr>
        <w:t xml:space="preserve"> </w:t>
      </w:r>
      <w:r>
        <w:rPr>
          <w:rFonts w:ascii="Arial" w:cs="Arial" w:eastAsia="Arial" w:hAnsi="Arial"/>
          <w:sz w:val="13"/>
          <w:szCs w:val="13"/>
          <w:color w:val="auto"/>
        </w:rPr>
        <w:t>and administration revenues managed by our Upstream</w:t>
      </w:r>
      <w:r>
        <w:rPr>
          <w:rFonts w:ascii="Arial" w:cs="Arial" w:eastAsia="Arial" w:hAnsi="Arial"/>
          <w:sz w:val="11"/>
          <w:szCs w:val="11"/>
          <w:color w:val="auto"/>
        </w:rPr>
        <w:t>®</w:t>
      </w:r>
      <w:r>
        <w:rPr>
          <w:rFonts w:ascii="Arial" w:cs="Arial" w:eastAsia="Arial" w:hAnsi="Arial"/>
          <w:sz w:val="13"/>
          <w:szCs w:val="13"/>
          <w:color w:val="auto"/>
        </w:rPr>
        <w:t>, Renewable Energy and Strategic Accounts organizations, respectively, that are not included with the operations of our reportable segments; (ii) our recycling and electronic recycling brokerage services; and (iii) the impacts of investments that we are making in expanded service offerings such as portable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line="296" w:lineRule="auto"/>
        <w:rPr>
          <w:sz w:val="20"/>
          <w:szCs w:val="20"/>
          <w:color w:val="auto"/>
        </w:rPr>
      </w:pPr>
      <w:r>
        <w:rPr>
          <w:rFonts w:ascii="Arial" w:cs="Arial" w:eastAsia="Arial" w:hAnsi="Arial"/>
          <w:sz w:val="12"/>
          <w:szCs w:val="12"/>
          <w:color w:val="auto"/>
        </w:rPr>
        <w:t>self-storage and fluorescent lamp recycling. In addition, our “Other” income from operations reflects the impacts of non-operating entities that provide financial assurance and self-insurance support for the Groups or financing for our Canadian operations and also includes certain year-end adjustments recorded in consolidation related to the reportable segments that were not included in the measure of segment profit or loss used to assess their performance for the periods disclosed.</w:t>
      </w:r>
    </w:p>
    <w:p>
      <w:pPr>
        <w:spacing w:after="0" w:line="50" w:lineRule="exact"/>
        <w:rPr>
          <w:sz w:val="20"/>
          <w:szCs w:val="20"/>
          <w:color w:val="auto"/>
        </w:rPr>
      </w:pPr>
    </w:p>
    <w:p>
      <w:pPr>
        <w:ind w:left="1080" w:right="120" w:firstLine="383"/>
        <w:spacing w:after="0" w:line="285" w:lineRule="auto"/>
        <w:rPr>
          <w:sz w:val="20"/>
          <w:szCs w:val="20"/>
          <w:color w:val="auto"/>
        </w:rPr>
      </w:pPr>
      <w:r>
        <w:rPr>
          <w:rFonts w:ascii="Arial" w:cs="Arial" w:eastAsia="Arial" w:hAnsi="Arial"/>
          <w:sz w:val="12"/>
          <w:szCs w:val="12"/>
          <w:color w:val="auto"/>
        </w:rPr>
        <w:t>The slight improvement in operating results for our “Other” businesses during 2010 as compared with 2009 is due to improvements in our recycling brokerage business as a result of higher recycling commodity prices this year, largely offset by the unfavorable effects of (i) additional costs in the current year to support the Company’s strategic plan to grow into new markets and provide expanded service offerings and (ii) certain year-end adjustments recorded in consolidation related to our reportable segments that were not included in the measure of segment income from operations used to assess their performance for the periods disclosed. For 2010, the adjustments were primarily related to $15 million of additional expense recognized for litigation reserves and associated costs in the Southern and Wheelabrator Groups.</w:t>
      </w:r>
    </w:p>
    <w:p>
      <w:pPr>
        <w:spacing w:after="0" w:line="55" w:lineRule="exact"/>
        <w:rPr>
          <w:sz w:val="20"/>
          <w:szCs w:val="20"/>
          <w:color w:val="auto"/>
        </w:rPr>
      </w:pPr>
    </w:p>
    <w:p>
      <w:pPr>
        <w:ind w:left="1080" w:right="140" w:firstLine="383"/>
        <w:spacing w:after="0" w:line="305" w:lineRule="auto"/>
        <w:rPr>
          <w:sz w:val="20"/>
          <w:szCs w:val="20"/>
          <w:color w:val="auto"/>
        </w:rPr>
      </w:pPr>
      <w:r>
        <w:rPr>
          <w:rFonts w:ascii="Arial" w:cs="Arial" w:eastAsia="Arial" w:hAnsi="Arial"/>
          <w:sz w:val="11"/>
          <w:szCs w:val="11"/>
          <w:color w:val="auto"/>
        </w:rPr>
        <w:t>The unfavorable change in 2009 operating results compared with 2008 is largely due to (i) the effect that the previously discussed lower recycling commodity prices had on our recycling brokerage activities; (ii) an increase in costs incurred to support the identification and development of new lines of business that will complement our core business;</w:t>
      </w:r>
    </w:p>
    <w:p>
      <w:pPr>
        <w:spacing w:after="0" w:line="1" w:lineRule="exact"/>
        <w:rPr>
          <w:sz w:val="20"/>
          <w:szCs w:val="20"/>
          <w:color w:val="auto"/>
        </w:rPr>
      </w:pPr>
    </w:p>
    <w:p>
      <w:pPr>
        <w:ind w:left="1080" w:right="120" w:firstLine="6"/>
        <w:spacing w:after="0" w:line="307" w:lineRule="auto"/>
        <w:tabs>
          <w:tab w:leader="none" w:pos="1309"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unfavorable impact lower energy prices during 2009 had on our landfill-gas-to-energy operations; and (iv) certain year-end adjustments recorded in consolidation related to our reportable segments that were not included in the measure of segment income from operations used to assess their performance for the periods disclosed.</w:t>
      </w:r>
    </w:p>
    <w:p>
      <w:pPr>
        <w:spacing w:after="0" w:line="42"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 Significant items affecting the comparability of expenses for the periods presented include:</w:t>
      </w:r>
    </w:p>
    <w:p>
      <w:pPr>
        <w:spacing w:after="0" w:line="96" w:lineRule="exact"/>
        <w:rPr>
          <w:sz w:val="20"/>
          <w:szCs w:val="20"/>
          <w:color w:val="auto"/>
        </w:rPr>
      </w:pPr>
    </w:p>
    <w:p>
      <w:pPr>
        <w:ind w:left="1280" w:hanging="190"/>
        <w:spacing w:after="0" w:line="264"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benefit of $128 million when comparing 2010 with 2009 associated with the revenue management software implementation that was suspended in 2007 and abandoned in 2009, comprised of (i) a current year benefit of $77 million resulting from a one-time cash payment from a litigation settlement that occurred in April 2010 and (ii) $51 million in charges recognized during 2009 for the abandonment of the licensed software;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recognition of net charges of $50 million during 2010 for estimates associated with environmental remediation liabilities at four closed sites;</w:t>
      </w:r>
    </w:p>
    <w:p>
      <w:pPr>
        <w:spacing w:after="0" w:line="86" w:lineRule="exact"/>
        <w:rPr>
          <w:rFonts w:ascii="Arial" w:cs="Arial" w:eastAsia="Arial" w:hAnsi="Arial"/>
          <w:sz w:val="13"/>
          <w:szCs w:val="13"/>
          <w:color w:val="auto"/>
        </w:rPr>
      </w:pPr>
    </w:p>
    <w:p>
      <w:pPr>
        <w:ind w:left="1280" w:right="200" w:hanging="190"/>
        <w:spacing w:after="0" w:line="264"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recognition of $34 million of favorable adjustments during 2009 by our closed sites management group due to increases in U.S. Treasury rates used to estimate the present value of our environmental remediation obligations and environmental remediation recovery assets, while in 2010 and 2008 the same group recognized charges to landfill operating costs of $2 million and $32 million, respectively, due to declines in U.S. Treasury rates during those periods;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recognition of $9 million in restructuring charges during 2009;</w:t>
      </w:r>
    </w:p>
    <w:p>
      <w:pPr>
        <w:spacing w:after="0" w:line="86"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significant increase in “Selling, general and administrative” expenses during 2010 as result of cost increases related to our equity compensation, consulting fees, bonus expense, annual salary and wage increases and headcount increases to support the Company’s strategic initiatives; partially offset by a favorable litigation settlement during the third quarter of 2010; and</w:t>
      </w:r>
    </w:p>
    <w:p>
      <w:pPr>
        <w:spacing w:after="0" w:line="57"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significant decline in “Selling, general and administrative” expenses in 2009 as compared with 2008 resulting from workforce reductions associated with the January 2009 restructuring, increased efforts to reduce our controllable spending and lower equity compensation costs.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Renewable Energy Operations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have extracted value from the waste streams we manage for years, and we are focusing on increasing our ability to do so, particularly in the field of clean and renewable energy. Most significantly, our current operations produce renewable energy through the waste-to-energy facilities that are managed by our Wheelabrator Group and our landfill gas-to-energy operations. We are actively seeking opportunities to enhance our existing renewable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energy service offerings to ensure that we can respond to the shifting demands of consumers and to ensure that we are acting as a leader in environmental stewardship.</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are disclosing the following supplemental information related to the operating results of our renewable energy operations for 2010 (in millions) because we believe that it provides information related to the significance of our current renewable energy operations, the profitability of these operations and the costs we are incurring to develop these operations:</w:t>
      </w:r>
    </w:p>
    <w:p>
      <w:pPr>
        <w:spacing w:after="0" w:line="3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Wheelabrator</w:t>
            </w:r>
          </w:p>
        </w:tc>
        <w:tc>
          <w:tcPr>
            <w:tcW w:w="120" w:type="dxa"/>
            <w:vAlign w:val="bottom"/>
          </w:tcPr>
          <w:p>
            <w:pPr>
              <w:spacing w:after="0"/>
              <w:rPr>
                <w:sz w:val="10"/>
                <w:szCs w:val="10"/>
                <w:color w:val="auto"/>
              </w:rPr>
            </w:pPr>
          </w:p>
        </w:tc>
        <w:tc>
          <w:tcPr>
            <w:tcW w:w="1180" w:type="dxa"/>
            <w:vAlign w:val="bottom"/>
            <w:gridSpan w:val="2"/>
          </w:tcPr>
          <w:p>
            <w:pPr>
              <w:ind w:left="40"/>
              <w:spacing w:after="0"/>
              <w:rPr>
                <w:sz w:val="20"/>
                <w:szCs w:val="20"/>
                <w:color w:val="auto"/>
              </w:rPr>
            </w:pPr>
            <w:r>
              <w:rPr>
                <w:rFonts w:ascii="Arial" w:cs="Arial" w:eastAsia="Arial" w:hAnsi="Arial"/>
                <w:sz w:val="10"/>
                <w:szCs w:val="10"/>
                <w:b w:val="1"/>
                <w:bCs w:val="1"/>
                <w:color w:val="auto"/>
              </w:rPr>
              <w:t>Landfill Gas-</w:t>
            </w:r>
          </w:p>
        </w:tc>
        <w:tc>
          <w:tcPr>
            <w:tcW w:w="140" w:type="dxa"/>
            <w:vAlign w:val="bottom"/>
          </w:tcPr>
          <w:p>
            <w:pPr>
              <w:spacing w:after="0"/>
              <w:rPr>
                <w:sz w:val="10"/>
                <w:szCs w:val="10"/>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0"/>
                <w:szCs w:val="10"/>
                <w:b w:val="1"/>
                <w:bCs w:val="1"/>
                <w:color w:val="auto"/>
              </w:rPr>
              <w:t>Growth</w:t>
            </w:r>
          </w:p>
        </w:tc>
        <w:tc>
          <w:tcPr>
            <w:tcW w:w="100" w:type="dxa"/>
            <w:vAlign w:val="bottom"/>
          </w:tcPr>
          <w:p>
            <w:pPr>
              <w:spacing w:after="0"/>
              <w:rPr>
                <w:sz w:val="10"/>
                <w:szCs w:val="10"/>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ind w:left="40"/>
              <w:spacing w:after="0"/>
              <w:rPr>
                <w:sz w:val="20"/>
                <w:szCs w:val="20"/>
                <w:color w:val="auto"/>
              </w:rPr>
            </w:pPr>
            <w:r>
              <w:rPr>
                <w:rFonts w:ascii="Arial" w:cs="Arial" w:eastAsia="Arial" w:hAnsi="Arial"/>
                <w:sz w:val="10"/>
                <w:szCs w:val="10"/>
                <w:b w:val="1"/>
                <w:bCs w:val="1"/>
                <w:color w:val="auto"/>
              </w:rPr>
              <w:t>to-Energy(a)</w:t>
            </w:r>
          </w:p>
        </w:tc>
        <w:tc>
          <w:tcPr>
            <w:tcW w:w="140" w:type="dxa"/>
            <w:vAlign w:val="bottom"/>
          </w:tcPr>
          <w:p>
            <w:pPr>
              <w:spacing w:after="0"/>
              <w:rPr>
                <w:sz w:val="10"/>
                <w:szCs w:val="1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Opportunities(b)</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revenues (including intercompany)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1,015</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512</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r>
        <w:trPr>
          <w:trHeight w:val="157"/>
        </w:trPr>
        <w:tc>
          <w:tcPr>
            <w:tcW w:w="5100" w:type="dxa"/>
            <w:vAlign w:val="bottom"/>
            <w:gridSpan w:val="2"/>
          </w:tcPr>
          <w:p>
            <w:pPr>
              <w:ind w:left="140"/>
              <w:spacing w:after="0"/>
              <w:rPr>
                <w:sz w:val="20"/>
                <w:szCs w:val="20"/>
                <w:color w:val="auto"/>
              </w:rPr>
            </w:pPr>
            <w:r>
              <w:rPr>
                <w:rFonts w:ascii="Arial" w:cs="Arial" w:eastAsia="Arial" w:hAnsi="Arial"/>
                <w:sz w:val="13"/>
                <w:szCs w:val="13"/>
                <w:color w:val="auto"/>
              </w:rPr>
              <w:t>Selling, general &amp; administrative</w:t>
            </w:r>
          </w:p>
        </w:tc>
        <w:tc>
          <w:tcPr>
            <w:tcW w:w="1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675</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78</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758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380" w:hanging="393"/>
        <w:spacing w:after="0" w:line="264" w:lineRule="auto"/>
        <w:tabs>
          <w:tab w:leader="none" w:pos="10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landfill gas-to-energy business focuses on generating a renewable energy source from the methane that is produced as waste decomposes. The operating results include the revenues and expenses of landfill gas-to-energy plants that we own and operate, as well as revenues generated from the sale of landfill gas to third-party owner/operators. The operating results of our landfill gas-to-energy business are included within our geographic reportable segments and “Other”.</w:t>
      </w:r>
    </w:p>
    <w:p>
      <w:pPr>
        <w:spacing w:after="0" w:line="17" w:lineRule="exact"/>
        <w:rPr>
          <w:rFonts w:ascii="Arial" w:cs="Arial" w:eastAsia="Arial" w:hAnsi="Arial"/>
          <w:sz w:val="13"/>
          <w:szCs w:val="13"/>
          <w:color w:val="auto"/>
        </w:rPr>
      </w:pPr>
    </w:p>
    <w:p>
      <w:pPr>
        <w:ind w:left="1080" w:right="200" w:hanging="393"/>
        <w:spacing w:after="0" w:line="264" w:lineRule="auto"/>
        <w:tabs>
          <w:tab w:leader="none" w:pos="10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businesses and entities we have acquired or invested in through our organic growth group’s business development efforts. These businesses include a landfill gas-to-LNG facility; landfill gas-to-diesel fuels technologies; organic waste streams-to-fuels technologies; and other engineered fuels technologies. The operating results of our Growth Opportunities are included within “Other” in our assessment of our income from operations by segment.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interest expense was $473 million in 2010, $426 million in 2009 and $455 million in 2008. When comparing 2010 with 2009, the significant increase in our interest expense is primarily due to (i) the issuance of an additional $600 million of senior notes in November 2009 to support acquisitions and investments made throughout 2010, (ii) significantly higher costs related to the execution and maintenance of our revolving credit facility, which was refinanced in June 2010, and (iii) a decrease in benefits to interest expense provided by active interest rate swaps as a result of decreases in the notional amount of swaps outstanding. These increases in interest expense were offset, in part, by a decline in market interest rates, which has reduced the interest costs of our tax-exempt borrowings and our Canadian credit facility.</w:t>
      </w:r>
    </w:p>
    <w:p>
      <w:pPr>
        <w:spacing w:after="0" w:line="71"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When comparing 2009 with 2008, the decrease in interest expense was primarily due to declines in market interest rates, which increased the benefits to interest expense provided by our active interest rate swap agreements and reduced the interest expense associated with our tax-exempt bonds and our Canadian credit facility.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Interest income was $4 million in 2010, $13 million in 2009 and $19 million in 2008. The decreases in interest income are primarily related to a decline in market interest rates. Although our average cash and cash equivalents balances increased each year, near-historic low short-term interest rates have resulted in insignificant interest income being generated on current balances.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in Net Losses of Unconsolidated Entities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 xml:space="preserve">During 2010, our “Equity in net losses of unconsolidated entities” was primarily related to our noncontrolling interest in a limited liability company established to invest in and manage low-income housing properties. The equity losses generated by the limited liability company were more than offset by tax benefits realized as a result of this investment as discussed below in </w:t>
      </w:r>
      <w:r>
        <w:rPr>
          <w:rFonts w:ascii="Arial" w:cs="Arial" w:eastAsia="Arial" w:hAnsi="Arial"/>
          <w:sz w:val="12"/>
          <w:szCs w:val="12"/>
          <w:i w:val="1"/>
          <w:iCs w:val="1"/>
          <w:color w:val="auto"/>
        </w:rPr>
        <w:t>Provision for Income Taxes.</w:t>
      </w:r>
      <w:r>
        <w:rPr>
          <w:rFonts w:ascii="Arial" w:cs="Arial" w:eastAsia="Arial" w:hAnsi="Arial"/>
          <w:sz w:val="12"/>
          <w:szCs w:val="12"/>
          <w:color w:val="auto"/>
        </w:rPr>
        <w:t xml:space="preserve"> Refer to Note 9 to the Consolidated Financial Statements for more information related to our federal low-income housing investment.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96" w:lineRule="exact"/>
        <w:rPr>
          <w:sz w:val="20"/>
          <w:szCs w:val="20"/>
          <w:color w:val="auto"/>
        </w:rPr>
      </w:pPr>
    </w:p>
    <w:p>
      <w:pPr>
        <w:ind w:left="680" w:right="80" w:firstLine="399"/>
        <w:spacing w:after="0" w:line="303" w:lineRule="auto"/>
        <w:rPr>
          <w:sz w:val="20"/>
          <w:szCs w:val="20"/>
          <w:color w:val="auto"/>
        </w:rPr>
      </w:pPr>
      <w:r>
        <w:rPr>
          <w:rFonts w:ascii="Arial" w:cs="Arial" w:eastAsia="Arial" w:hAnsi="Arial"/>
          <w:sz w:val="11"/>
          <w:szCs w:val="11"/>
          <w:color w:val="auto"/>
        </w:rPr>
        <w:t>We recorded provisions for income taxes of $629 million in 2010, $413 million in 2009 and $669 million in 2008. These tax provisions resulted in an effective income tax rate of approximately 38.5%, 28.1%, and 37.2% for 2010, 2009 and 2008, respectively. The comparability of our reported income taxes for the years ended December 31, 2010, 2009 and 2008 is primarily affected by (i) variations in our income before income taxes; (ii) the utilization of a capital loss carry-back; (iii) the realization of state net operating loss and credit carry-forwards;</w:t>
      </w:r>
    </w:p>
    <w:p>
      <w:pPr>
        <w:ind w:left="680" w:right="440" w:firstLine="7"/>
        <w:spacing w:after="0" w:line="264" w:lineRule="auto"/>
        <w:tabs>
          <w:tab w:leader="none" w:pos="902" w:val="left"/>
        </w:tabs>
        <w:numPr>
          <w:ilvl w:val="0"/>
          <w:numId w:val="37"/>
        </w:numPr>
        <w:rPr>
          <w:rFonts w:ascii="Arial" w:cs="Arial" w:eastAsia="Arial" w:hAnsi="Arial"/>
          <w:sz w:val="13"/>
          <w:szCs w:val="13"/>
          <w:color w:val="auto"/>
        </w:rPr>
      </w:pPr>
      <w:r>
        <w:rPr>
          <w:rFonts w:ascii="Arial" w:cs="Arial" w:eastAsia="Arial" w:hAnsi="Arial"/>
          <w:sz w:val="13"/>
          <w:szCs w:val="13"/>
          <w:color w:val="auto"/>
        </w:rPr>
        <w:t>changes in effective state and Canadian statutory tax rates; (v) tax audit settlements; and (vi) the impact of federal low-income housing tax credits. The impacts of these items are summarized below:</w:t>
      </w:r>
    </w:p>
    <w:p>
      <w:pPr>
        <w:spacing w:after="0" w:line="66" w:lineRule="exact"/>
        <w:rPr>
          <w:rFonts w:ascii="Arial" w:cs="Arial" w:eastAsia="Arial" w:hAnsi="Arial"/>
          <w:sz w:val="13"/>
          <w:szCs w:val="13"/>
          <w:color w:val="auto"/>
        </w:rPr>
      </w:pPr>
    </w:p>
    <w:p>
      <w:pPr>
        <w:ind w:left="1280" w:right="180" w:hanging="190"/>
        <w:spacing w:after="0" w:line="276" w:lineRule="auto"/>
        <w:tabs>
          <w:tab w:leader="none" w:pos="1280" w:val="left"/>
        </w:tabs>
        <w:numPr>
          <w:ilvl w:val="1"/>
          <w:numId w:val="37"/>
        </w:numPr>
        <w:rPr>
          <w:rFonts w:ascii="Arial" w:cs="Arial" w:eastAsia="Arial" w:hAnsi="Arial"/>
          <w:sz w:val="13"/>
          <w:szCs w:val="13"/>
          <w:color w:val="auto"/>
        </w:rPr>
      </w:pPr>
      <w:r>
        <w:rPr>
          <w:rFonts w:ascii="Arial" w:cs="Arial" w:eastAsia="Arial" w:hAnsi="Arial"/>
          <w:sz w:val="13"/>
          <w:szCs w:val="13"/>
          <w:color w:val="auto"/>
        </w:rPr>
        <w:t>C</w:t>
      </w:r>
      <w:r>
        <w:rPr>
          <w:rFonts w:ascii="Arial" w:cs="Arial" w:eastAsia="Arial" w:hAnsi="Arial"/>
          <w:sz w:val="13"/>
          <w:szCs w:val="13"/>
          <w:i w:val="1"/>
          <w:iCs w:val="1"/>
          <w:color w:val="auto"/>
        </w:rPr>
        <w:t>apital Loss Carry-back</w:t>
      </w:r>
      <w:r>
        <w:rPr>
          <w:rFonts w:ascii="Arial" w:cs="Arial" w:eastAsia="Arial" w:hAnsi="Arial"/>
          <w:sz w:val="13"/>
          <w:szCs w:val="13"/>
          <w:color w:val="auto"/>
        </w:rPr>
        <w:t xml:space="preserve"> — During 2009, we generated a capital loss from the liquidation of a foreign subsidiary. We determined that the capital loss could be utilized to offset capital gains from 2006 and 2007, which resulted in a reduction to our 2009 “Provision for income taxes” of $65 million.</w:t>
      </w:r>
    </w:p>
    <w:p>
      <w:pPr>
        <w:spacing w:after="0" w:line="49" w:lineRule="exact"/>
        <w:rPr>
          <w:rFonts w:ascii="Arial" w:cs="Arial" w:eastAsia="Arial" w:hAnsi="Arial"/>
          <w:sz w:val="13"/>
          <w:szCs w:val="13"/>
          <w:color w:val="auto"/>
        </w:rPr>
      </w:pPr>
    </w:p>
    <w:p>
      <w:pPr>
        <w:ind w:left="1280" w:right="40" w:hanging="190"/>
        <w:spacing w:after="0" w:line="276" w:lineRule="auto"/>
        <w:tabs>
          <w:tab w:leader="none" w:pos="1280" w:val="left"/>
        </w:tabs>
        <w:numPr>
          <w:ilvl w:val="1"/>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State Net Operating Loss and Credit Carry-forwards </w:t>
      </w:r>
      <w:r>
        <w:rPr>
          <w:rFonts w:ascii="Arial" w:cs="Arial" w:eastAsia="Arial" w:hAnsi="Arial"/>
          <w:sz w:val="13"/>
          <w:szCs w:val="13"/>
          <w:color w:val="auto"/>
        </w:rPr>
        <w:t>— During 2010, 2009 and 2008, we released state net operating loss and credit carry-forwards resulting in a reduction to our</w:t>
      </w:r>
      <w:r>
        <w:rPr>
          <w:rFonts w:ascii="Arial" w:cs="Arial" w:eastAsia="Arial" w:hAnsi="Arial"/>
          <w:sz w:val="13"/>
          <w:szCs w:val="13"/>
          <w:i w:val="1"/>
          <w:iCs w:val="1"/>
          <w:color w:val="auto"/>
        </w:rPr>
        <w:t xml:space="preserve"> </w:t>
      </w:r>
      <w:r>
        <w:rPr>
          <w:rFonts w:ascii="Arial" w:cs="Arial" w:eastAsia="Arial" w:hAnsi="Arial"/>
          <w:sz w:val="13"/>
          <w:szCs w:val="13"/>
          <w:color w:val="auto"/>
        </w:rPr>
        <w:t>“Provision for income taxes” for those periods of $4 million, $35 million and $3 million, respectively.</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1"/>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Canadian and State Tax Rate Changes </w:t>
      </w:r>
      <w:r>
        <w:rPr>
          <w:rFonts w:ascii="Arial" w:cs="Arial" w:eastAsia="Arial" w:hAnsi="Arial"/>
          <w:sz w:val="13"/>
          <w:szCs w:val="13"/>
          <w:color w:val="auto"/>
        </w:rPr>
        <w:t>— During 2009, the provincial tax rates in Ontario were reduced, which resulted in a $13 million tax benefit as a result of the revaluation</w:t>
      </w:r>
      <w:r>
        <w:rPr>
          <w:rFonts w:ascii="Arial" w:cs="Arial" w:eastAsia="Arial" w:hAnsi="Arial"/>
          <w:sz w:val="13"/>
          <w:szCs w:val="13"/>
          <w:i w:val="1"/>
          <w:iCs w:val="1"/>
          <w:color w:val="auto"/>
        </w:rPr>
        <w:t xml:space="preserve"> </w:t>
      </w:r>
      <w:r>
        <w:rPr>
          <w:rFonts w:ascii="Arial" w:cs="Arial" w:eastAsia="Arial" w:hAnsi="Arial"/>
          <w:sz w:val="13"/>
          <w:szCs w:val="13"/>
          <w:color w:val="auto"/>
        </w:rPr>
        <w:t>of the related deferred tax balances.</w:t>
      </w:r>
    </w:p>
    <w:p>
      <w:pPr>
        <w:spacing w:after="0" w:line="59" w:lineRule="exact"/>
        <w:rPr>
          <w:rFonts w:ascii="Arial" w:cs="Arial" w:eastAsia="Arial" w:hAnsi="Arial"/>
          <w:sz w:val="13"/>
          <w:szCs w:val="13"/>
          <w:color w:val="auto"/>
        </w:rPr>
      </w:pPr>
    </w:p>
    <w:p>
      <w:pPr>
        <w:ind w:left="1280" w:right="220"/>
        <w:spacing w:after="0" w:line="303" w:lineRule="auto"/>
        <w:rPr>
          <w:rFonts w:ascii="Arial" w:cs="Arial" w:eastAsia="Arial" w:hAnsi="Arial"/>
          <w:sz w:val="13"/>
          <w:szCs w:val="13"/>
          <w:color w:val="auto"/>
        </w:rPr>
      </w:pPr>
      <w:r>
        <w:rPr>
          <w:rFonts w:ascii="Arial" w:cs="Arial" w:eastAsia="Arial" w:hAnsi="Arial"/>
          <w:sz w:val="11"/>
          <w:szCs w:val="11"/>
          <w:color w:val="auto"/>
        </w:rPr>
        <w:t>During 2010, our current state tax rate increased from 6.25% to 6.75% resulting in an increase to our provision for income taxes of $5 million. In addition, our state deferred income taxes increased $37 million to reflect the impact of changes in the estimated tax rate at which existing temporary differences will be realized. During 2009, our current state tax rate increased from 6.0% to 6.25% and our deferred state tax rate increased from 5.5% to 5.75%, resulting in an increase to our income taxes of $3 million and</w:t>
      </w:r>
    </w:p>
    <w:p>
      <w:pPr>
        <w:ind w:left="1280" w:right="140"/>
        <w:spacing w:after="0" w:line="290" w:lineRule="auto"/>
        <w:rPr>
          <w:rFonts w:ascii="Arial" w:cs="Arial" w:eastAsia="Arial" w:hAnsi="Arial"/>
          <w:sz w:val="13"/>
          <w:szCs w:val="13"/>
          <w:color w:val="auto"/>
        </w:rPr>
      </w:pPr>
      <w:r>
        <w:rPr>
          <w:rFonts w:ascii="Arial" w:cs="Arial" w:eastAsia="Arial" w:hAnsi="Arial"/>
          <w:sz w:val="12"/>
          <w:szCs w:val="12"/>
          <w:color w:val="auto"/>
        </w:rPr>
        <w:t>$6 million, respectively. During 2008, our current state tax rate increased from 5.5% to 6.0%, resulting in an increase to our income taxes of $5 million. The increases in these rates are primarily due to changes in state law. The comparison of our effective state tax rate during the reported periods has also been affected by return-to-accrual adjustments, which increased our “Provision for income taxes” in 2010 and reduced our “Provision for income taxes” in 2009 and 2008.</w:t>
      </w:r>
    </w:p>
    <w:p>
      <w:pPr>
        <w:spacing w:after="0" w:line="52" w:lineRule="exact"/>
        <w:rPr>
          <w:rFonts w:ascii="Arial" w:cs="Arial" w:eastAsia="Arial" w:hAnsi="Arial"/>
          <w:sz w:val="13"/>
          <w:szCs w:val="13"/>
          <w:color w:val="auto"/>
        </w:rPr>
      </w:pPr>
    </w:p>
    <w:p>
      <w:pPr>
        <w:ind w:left="1280" w:hanging="190"/>
        <w:spacing w:after="0" w:line="276" w:lineRule="auto"/>
        <w:tabs>
          <w:tab w:leader="none" w:pos="1280" w:val="left"/>
        </w:tabs>
        <w:numPr>
          <w:ilvl w:val="1"/>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Tax Audit Settlements </w:t>
      </w:r>
      <w:r>
        <w:rPr>
          <w:rFonts w:ascii="Arial" w:cs="Arial" w:eastAsia="Arial" w:hAnsi="Arial"/>
          <w:sz w:val="13"/>
          <w:szCs w:val="13"/>
          <w:color w:val="auto"/>
        </w:rPr>
        <w:t>— The settlement of various tax audits resulted in reductions in income tax expense of $8 million for the year ended December 31, 2010, $11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2009 and $26 million for the year ended December 31, 2008.</w:t>
      </w:r>
    </w:p>
    <w:p>
      <w:pPr>
        <w:spacing w:after="0" w:line="49" w:lineRule="exact"/>
        <w:rPr>
          <w:rFonts w:ascii="Arial" w:cs="Arial" w:eastAsia="Arial" w:hAnsi="Arial"/>
          <w:sz w:val="13"/>
          <w:szCs w:val="13"/>
          <w:color w:val="auto"/>
        </w:rPr>
      </w:pPr>
    </w:p>
    <w:p>
      <w:pPr>
        <w:ind w:left="1280" w:right="100" w:hanging="190"/>
        <w:spacing w:after="0" w:line="320" w:lineRule="auto"/>
        <w:tabs>
          <w:tab w:leader="none" w:pos="1280" w:val="left"/>
        </w:tabs>
        <w:numPr>
          <w:ilvl w:val="1"/>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Federal Low-income Housing Tax Credits </w:t>
      </w:r>
      <w:r>
        <w:rPr>
          <w:rFonts w:ascii="Arial" w:cs="Arial" w:eastAsia="Arial" w:hAnsi="Arial"/>
          <w:sz w:val="12"/>
          <w:szCs w:val="12"/>
          <w:color w:val="auto"/>
        </w:rPr>
        <w:t>— Our federal low-income housing investment and the resulting credits reduced our provision for income taxes by $26 million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year ended December 31, 2010. Refer to Note 9 to the Consolidated Financial Statements for more information related to our federal low-income housing investment.</w:t>
      </w:r>
    </w:p>
    <w:p>
      <w:pPr>
        <w:spacing w:after="0" w:line="35"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expect our 2011 recurring effective tax rate will be approximately 35.7% based on expected income levels and additional Section 45 tax credits resulting from our investment in a refined coal facility. Specifically, in January 2011, we acquired a noncontrolling interest in a limited liability company established to invest in and manage a refined coal facility. The facility’s refinement processes qualify for federal tax credits which we expect to realize through 2019 in accordance with Section 45 of the Internal Revenue Code.</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Small Business Jobs Act, signed into law in September 2010, contains a tax incentive package that includes a one-year extension through 2010 of the 50 percent bonus, or accelerated, depreciation provision first enacted in 2008 and subsequently renewed in 2009. The provision had expired at the end of 2009. Under the bonus depreciation provision, 50 percent of the basis of qualified capital expenditures may be deducted in the year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96" w:lineRule="auto"/>
        <w:rPr>
          <w:sz w:val="20"/>
          <w:szCs w:val="20"/>
          <w:color w:val="auto"/>
        </w:rPr>
      </w:pPr>
      <w:r>
        <w:rPr>
          <w:rFonts w:ascii="Arial" w:cs="Arial" w:eastAsia="Arial" w:hAnsi="Arial"/>
          <w:sz w:val="12"/>
          <w:szCs w:val="12"/>
          <w:color w:val="auto"/>
        </w:rPr>
        <w:t>property is placed in service and the remaining 50 percent deducted under normal depreciation rules. The acceleration of deductions on 2010 capital expenditures resulting from the bonus depreciation provision had no impact on our effective tax rate. However, the ability to accelerate depreciation deductions did decrease our 2010 cash taxes by $60 million. Taking the accelerated tax depreciation will result in increased cash taxes in future periods when the accelerated deductions for these capital expenditures would have otherwise been taken.</w:t>
      </w:r>
    </w:p>
    <w:p>
      <w:pPr>
        <w:spacing w:after="0" w:line="50" w:lineRule="exact"/>
        <w:rPr>
          <w:sz w:val="20"/>
          <w:szCs w:val="20"/>
          <w:color w:val="auto"/>
        </w:rPr>
      </w:pPr>
    </w:p>
    <w:p>
      <w:pPr>
        <w:jc w:val="both"/>
        <w:ind w:left="680" w:right="240" w:firstLine="399"/>
        <w:spacing w:after="0" w:line="322" w:lineRule="auto"/>
        <w:rPr>
          <w:sz w:val="20"/>
          <w:szCs w:val="20"/>
          <w:color w:val="auto"/>
        </w:rPr>
      </w:pPr>
      <w:r>
        <w:rPr>
          <w:rFonts w:ascii="Arial" w:cs="Arial" w:eastAsia="Arial" w:hAnsi="Arial"/>
          <w:sz w:val="11"/>
          <w:szCs w:val="11"/>
          <w:color w:val="auto"/>
        </w:rPr>
        <w:t>In addition, new tax law signed on December 17, 2010 includes an extension of the bonus depreciation allowance through the end of 2011, and increases the amount of qualifying capital expenditures that can be depreciated immediately from 50 percent to 100 percent. The 100 percent depreciation deduction applies to qualifying property placed in service between September 8, 2010 and December 31, 2011. The passage of the extension of bonus depreciation is estimated to decrease our 2011 cash taxes by approximately $190 million. The cash tax benefit realized in 2011 will result in increased cash taxes in future periods when the deduction for these capital expenditures would have otherwise been realized.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Noncontrolling Interests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Net income attributable to noncontrolling interests was $49 million in 2010, $66 million in 2009 and $41 million in 2008. In each period, these amounts have been principally related to third parties’ equity interests in two limited liability companies that own three waste-to-energy facilities operated by our Wheelabrator Group. However the comparison of these amounts for the reported periods has been affected by (i) our January 2010 acquisition of a controlling financial interest in a portable self-storage business and (ii) the deconsolidation of certain capping, closure, post-closure and environmental remediation trusts as a result of our implementation of authoritative accounting guidance, effective January 1, 2010, associated with variable interest entities.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Landfill and Environmental Remediation Discussion and Analysis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owned or operated 266 solid waste and five secure hazardous waste landfills at December 31, 2010 and we owned or operated 268 solid waste and five hazardous waste landfills at December 31, 2009. At December 31, 2010 and 2009, the expected remaining capacity, in cubic yards and tonnage of waste that can be accepted at our owned or operated landfills, is shown below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1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3"/>
              </w:rPr>
              <w:t>December 31, 2010</w:t>
            </w:r>
          </w:p>
        </w:tc>
        <w:tc>
          <w:tcPr>
            <w:tcW w:w="86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3"/>
              </w:rPr>
              <w:t>December 31, 2009</w:t>
            </w: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100" w:type="dxa"/>
            <w:vAlign w:val="bottom"/>
          </w:tcPr>
          <w:p>
            <w:pPr>
              <w:spacing w:after="0"/>
              <w:rPr>
                <w:sz w:val="7"/>
                <w:szCs w:val="7"/>
                <w:color w:val="auto"/>
              </w:rPr>
            </w:pPr>
          </w:p>
        </w:tc>
        <w:tc>
          <w:tcPr>
            <w:tcW w:w="8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Remaining</w:t>
            </w:r>
          </w:p>
        </w:tc>
        <w:tc>
          <w:tcPr>
            <w:tcW w:w="260" w:type="dxa"/>
            <w:vAlign w:val="bottom"/>
          </w:tcPr>
          <w:p>
            <w:pPr>
              <w:spacing w:after="0"/>
              <w:rPr>
                <w:sz w:val="7"/>
                <w:szCs w:val="7"/>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4"/>
              </w:rPr>
              <w:t>Expansion</w:t>
            </w:r>
          </w:p>
        </w:tc>
        <w:tc>
          <w:tcPr>
            <w:tcW w:w="8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Total</w:t>
            </w:r>
          </w:p>
        </w:tc>
        <w:tc>
          <w:tcPr>
            <w:tcW w:w="920" w:type="dxa"/>
            <w:vAlign w:val="bottom"/>
          </w:tcPr>
          <w:p>
            <w:pPr>
              <w:spacing w:after="0"/>
              <w:rPr>
                <w:sz w:val="7"/>
                <w:szCs w:val="7"/>
                <w:color w:val="auto"/>
              </w:rPr>
            </w:pPr>
          </w:p>
        </w:tc>
        <w:tc>
          <w:tcPr>
            <w:tcW w:w="8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Remaining</w:t>
            </w:r>
          </w:p>
        </w:tc>
        <w:tc>
          <w:tcPr>
            <w:tcW w:w="240" w:type="dxa"/>
            <w:vAlign w:val="bottom"/>
          </w:tcPr>
          <w:p>
            <w:pPr>
              <w:spacing w:after="0"/>
              <w:rPr>
                <w:sz w:val="7"/>
                <w:szCs w:val="7"/>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0"/>
              </w:rPr>
              <w:t>Expansion</w:t>
            </w:r>
          </w:p>
        </w:tc>
        <w:tc>
          <w:tcPr>
            <w:tcW w:w="8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Permitted</w:t>
            </w: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Permitted</w:t>
            </w: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10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26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Capacity</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Capacity</w:t>
            </w:r>
          </w:p>
        </w:tc>
        <w:tc>
          <w:tcPr>
            <w:tcW w:w="9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Capacity</w:t>
            </w:r>
          </w:p>
        </w:tc>
        <w:tc>
          <w:tcPr>
            <w:tcW w:w="24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Capacity</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0" w:type="dxa"/>
            <w:vAlign w:val="bottom"/>
          </w:tcPr>
          <w:p>
            <w:pPr>
              <w:spacing w:after="0"/>
              <w:rPr>
                <w:sz w:val="1"/>
                <w:szCs w:val="1"/>
                <w:color w:val="auto"/>
              </w:rPr>
            </w:pPr>
          </w:p>
        </w:tc>
      </w:tr>
      <w:tr>
        <w:trPr>
          <w:trHeight w:val="29"/>
        </w:trPr>
        <w:tc>
          <w:tcPr>
            <w:tcW w:w="31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Remaining cubic yards</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4,793</w:t>
            </w:r>
          </w:p>
        </w:tc>
        <w:tc>
          <w:tcPr>
            <w:tcW w:w="1020" w:type="dxa"/>
            <w:vAlign w:val="bottom"/>
            <w:gridSpan w:val="2"/>
            <w:shd w:val="clear" w:color="auto" w:fill="CCEEFF"/>
          </w:tcPr>
          <w:p>
            <w:pPr>
              <w:jc w:val="center"/>
              <w:ind w:left="199"/>
              <w:spacing w:after="0"/>
              <w:rPr>
                <w:sz w:val="20"/>
                <w:szCs w:val="20"/>
                <w:color w:val="auto"/>
              </w:rPr>
            </w:pPr>
            <w:r>
              <w:rPr>
                <w:rFonts w:ascii="Arial" w:cs="Arial" w:eastAsia="Arial" w:hAnsi="Arial"/>
                <w:sz w:val="13"/>
                <w:szCs w:val="13"/>
                <w:color w:val="auto"/>
                <w:w w:val="92"/>
              </w:rPr>
              <w:t>600</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5,393</w:t>
            </w:r>
          </w:p>
        </w:tc>
        <w:tc>
          <w:tcPr>
            <w:tcW w:w="1780" w:type="dxa"/>
            <w:vAlign w:val="bottom"/>
            <w:gridSpan w:val="2"/>
            <w:shd w:val="clear" w:color="auto" w:fill="CCEEFF"/>
          </w:tcPr>
          <w:p>
            <w:pPr>
              <w:jc w:val="center"/>
              <w:ind w:left="854"/>
              <w:spacing w:after="0"/>
              <w:rPr>
                <w:sz w:val="20"/>
                <w:szCs w:val="20"/>
                <w:color w:val="auto"/>
              </w:rPr>
            </w:pPr>
            <w:r>
              <w:rPr>
                <w:rFonts w:ascii="Arial" w:cs="Arial" w:eastAsia="Arial" w:hAnsi="Arial"/>
                <w:sz w:val="13"/>
                <w:szCs w:val="13"/>
                <w:color w:val="auto"/>
                <w:w w:val="92"/>
              </w:rPr>
              <w:t>4,546</w:t>
            </w:r>
          </w:p>
        </w:tc>
        <w:tc>
          <w:tcPr>
            <w:tcW w:w="1020" w:type="dxa"/>
            <w:vAlign w:val="bottom"/>
            <w:gridSpan w:val="2"/>
            <w:shd w:val="clear" w:color="auto" w:fill="CCEEFF"/>
          </w:tcPr>
          <w:p>
            <w:pPr>
              <w:jc w:val="center"/>
              <w:ind w:left="179"/>
              <w:spacing w:after="0"/>
              <w:rPr>
                <w:sz w:val="20"/>
                <w:szCs w:val="20"/>
                <w:color w:val="auto"/>
              </w:rPr>
            </w:pPr>
            <w:r>
              <w:rPr>
                <w:rFonts w:ascii="Arial" w:cs="Arial" w:eastAsia="Arial" w:hAnsi="Arial"/>
                <w:sz w:val="13"/>
                <w:szCs w:val="13"/>
                <w:color w:val="auto"/>
                <w:w w:val="82"/>
              </w:rPr>
              <w:t>739</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5,285</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20"/>
                <w:szCs w:val="20"/>
                <w:color w:val="auto"/>
              </w:rPr>
            </w:pPr>
            <w:r>
              <w:rPr>
                <w:rFonts w:ascii="Arial" w:cs="Arial" w:eastAsia="Arial" w:hAnsi="Arial"/>
                <w:sz w:val="13"/>
                <w:szCs w:val="13"/>
                <w:color w:val="auto"/>
              </w:rPr>
              <w:t>Remaining tonnage</w:t>
            </w: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4,391</w:t>
            </w:r>
          </w:p>
        </w:tc>
        <w:tc>
          <w:tcPr>
            <w:tcW w:w="1020" w:type="dxa"/>
            <w:vAlign w:val="bottom"/>
            <w:gridSpan w:val="2"/>
          </w:tcPr>
          <w:p>
            <w:pPr>
              <w:jc w:val="center"/>
              <w:ind w:left="199"/>
              <w:spacing w:after="0"/>
              <w:rPr>
                <w:sz w:val="20"/>
                <w:szCs w:val="20"/>
                <w:color w:val="auto"/>
              </w:rPr>
            </w:pPr>
            <w:r>
              <w:rPr>
                <w:rFonts w:ascii="Arial" w:cs="Arial" w:eastAsia="Arial" w:hAnsi="Arial"/>
                <w:sz w:val="13"/>
                <w:szCs w:val="13"/>
                <w:color w:val="auto"/>
                <w:w w:val="92"/>
              </w:rPr>
              <w:t>603</w:t>
            </w:r>
          </w:p>
        </w:tc>
        <w:tc>
          <w:tcPr>
            <w:tcW w:w="2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2"/>
              </w:rPr>
              <w:t>4,994</w:t>
            </w:r>
          </w:p>
        </w:tc>
        <w:tc>
          <w:tcPr>
            <w:tcW w:w="1780" w:type="dxa"/>
            <w:vAlign w:val="bottom"/>
            <w:gridSpan w:val="2"/>
          </w:tcPr>
          <w:p>
            <w:pPr>
              <w:jc w:val="center"/>
              <w:ind w:left="854"/>
              <w:spacing w:after="0"/>
              <w:rPr>
                <w:sz w:val="20"/>
                <w:szCs w:val="20"/>
                <w:color w:val="auto"/>
              </w:rPr>
            </w:pPr>
            <w:r>
              <w:rPr>
                <w:rFonts w:ascii="Arial" w:cs="Arial" w:eastAsia="Arial" w:hAnsi="Arial"/>
                <w:sz w:val="13"/>
                <w:szCs w:val="13"/>
                <w:color w:val="auto"/>
                <w:w w:val="92"/>
              </w:rPr>
              <w:t>4,075</w:t>
            </w:r>
          </w:p>
        </w:tc>
        <w:tc>
          <w:tcPr>
            <w:tcW w:w="1020" w:type="dxa"/>
            <w:vAlign w:val="bottom"/>
            <w:gridSpan w:val="2"/>
          </w:tcPr>
          <w:p>
            <w:pPr>
              <w:jc w:val="center"/>
              <w:ind w:left="179"/>
              <w:spacing w:after="0"/>
              <w:rPr>
                <w:sz w:val="20"/>
                <w:szCs w:val="20"/>
                <w:color w:val="auto"/>
              </w:rPr>
            </w:pPr>
            <w:r>
              <w:rPr>
                <w:rFonts w:ascii="Arial" w:cs="Arial" w:eastAsia="Arial" w:hAnsi="Arial"/>
                <w:sz w:val="13"/>
                <w:szCs w:val="13"/>
                <w:color w:val="auto"/>
                <w:w w:val="82"/>
              </w:rPr>
              <w:t>726</w:t>
            </w:r>
          </w:p>
        </w:tc>
        <w:tc>
          <w:tcPr>
            <w:tcW w:w="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2"/>
              </w:rPr>
              <w:t>4,801</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 xml:space="preserve">Based on remaining permitted airspace as of December 31, 2010 and projected annual disposal volumes, the weighted average remaining landfill life for all of our owned or operated landfills is approximately 40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permit. We are seeking expansion permits at 33 of our landfills that meet the expansion criteria outlined in the </w:t>
      </w:r>
      <w:r>
        <w:rPr>
          <w:rFonts w:ascii="Arial" w:cs="Arial" w:eastAsia="Arial" w:hAnsi="Arial"/>
          <w:sz w:val="12"/>
          <w:szCs w:val="12"/>
          <w:i w:val="1"/>
          <w:iCs w:val="1"/>
          <w:color w:val="auto"/>
        </w:rPr>
        <w:t>Critical Accounting Estimates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Assumptions </w:t>
      </w:r>
      <w:r>
        <w:rPr>
          <w:rFonts w:ascii="Arial" w:cs="Arial" w:eastAsia="Arial" w:hAnsi="Arial"/>
          <w:sz w:val="12"/>
          <w:szCs w:val="12"/>
          <w:color w:val="auto"/>
        </w:rPr>
        <w:t>section above. Although no assurances can be made that all future expansions will be permitted or permitted as designed, the weighted average remaining landfill life for all</w:t>
      </w:r>
      <w:r>
        <w:rPr>
          <w:rFonts w:ascii="Arial" w:cs="Arial" w:eastAsia="Arial" w:hAnsi="Arial"/>
          <w:sz w:val="12"/>
          <w:szCs w:val="12"/>
          <w:i w:val="1"/>
          <w:iCs w:val="1"/>
          <w:color w:val="auto"/>
        </w:rPr>
        <w:t xml:space="preserve"> </w:t>
      </w:r>
      <w:r>
        <w:rPr>
          <w:rFonts w:ascii="Arial" w:cs="Arial" w:eastAsia="Arial" w:hAnsi="Arial"/>
          <w:sz w:val="12"/>
          <w:szCs w:val="12"/>
          <w:color w:val="auto"/>
        </w:rPr>
        <w:t>owned or operated landfills is approximately 45 years when considering remaining permitted airspace, expansion airspace and projected annual disposal volume.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number of landfills we own or operate as of December 31, 2010, segregated by their estimated operating lives (in years), based on remaining permitted and expansion airspace and projected annual disposal volume, was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0 to 5</w:t>
            </w:r>
          </w:p>
        </w:tc>
        <w:tc>
          <w:tcPr>
            <w:tcW w:w="80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6 to 10</w:t>
            </w:r>
          </w:p>
        </w:tc>
        <w:tc>
          <w:tcPr>
            <w:tcW w:w="8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11 to 20</w:t>
            </w:r>
          </w:p>
        </w:tc>
        <w:tc>
          <w:tcPr>
            <w:tcW w:w="8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21 to 40</w:t>
            </w:r>
          </w:p>
        </w:tc>
        <w:tc>
          <w:tcPr>
            <w:tcW w:w="300" w:type="dxa"/>
            <w:vAlign w:val="bottom"/>
          </w:tcPr>
          <w:p>
            <w:pPr>
              <w:jc w:val="right"/>
              <w:spacing w:after="0"/>
              <w:rPr>
                <w:sz w:val="20"/>
                <w:szCs w:val="20"/>
                <w:color w:val="auto"/>
              </w:rPr>
            </w:pPr>
            <w:r>
              <w:rPr>
                <w:rFonts w:ascii="Arial" w:cs="Arial" w:eastAsia="Arial" w:hAnsi="Arial"/>
                <w:sz w:val="10"/>
                <w:szCs w:val="10"/>
                <w:b w:val="1"/>
                <w:bCs w:val="1"/>
                <w:color w:val="auto"/>
              </w:rPr>
              <w:t>41+</w:t>
            </w:r>
          </w:p>
        </w:tc>
        <w:tc>
          <w:tcPr>
            <w:tcW w:w="400" w:type="dxa"/>
            <w:vAlign w:val="bottom"/>
          </w:tcPr>
          <w:p>
            <w:pPr>
              <w:spacing w:after="0"/>
              <w:rPr>
                <w:sz w:val="10"/>
                <w:szCs w:val="1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Owned</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70</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157"/>
        </w:trPr>
        <w:tc>
          <w:tcPr>
            <w:tcW w:w="5660" w:type="dxa"/>
            <w:vAlign w:val="bottom"/>
            <w:gridSpan w:val="2"/>
          </w:tcPr>
          <w:p>
            <w:pPr>
              <w:spacing w:after="0"/>
              <w:rPr>
                <w:sz w:val="20"/>
                <w:szCs w:val="20"/>
                <w:color w:val="auto"/>
              </w:rPr>
            </w:pPr>
            <w:r>
              <w:rPr>
                <w:rFonts w:ascii="Arial" w:cs="Arial" w:eastAsia="Arial" w:hAnsi="Arial"/>
                <w:sz w:val="13"/>
                <w:szCs w:val="13"/>
                <w:color w:val="auto"/>
              </w:rPr>
              <w:t>Operated through lease(a)</w:t>
            </w:r>
          </w:p>
        </w:tc>
        <w:tc>
          <w:tcPr>
            <w:tcW w:w="300" w:type="dxa"/>
            <w:vAlign w:val="bottom"/>
          </w:tcPr>
          <w:p>
            <w:pPr>
              <w:jc w:val="right"/>
              <w:spacing w:after="0"/>
              <w:rPr>
                <w:sz w:val="20"/>
                <w:szCs w:val="20"/>
                <w:color w:val="auto"/>
              </w:rPr>
            </w:pPr>
            <w:r>
              <w:rPr>
                <w:rFonts w:ascii="Arial" w:cs="Arial" w:eastAsia="Arial" w:hAnsi="Arial"/>
                <w:sz w:val="13"/>
                <w:szCs w:val="13"/>
                <w:color w:val="auto"/>
              </w:rPr>
              <w:t>5</w:t>
            </w:r>
          </w:p>
        </w:tc>
        <w:tc>
          <w:tcPr>
            <w:tcW w:w="3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3</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9</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5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contracts(b)</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3"/>
                <w:szCs w:val="13"/>
                <w:color w:val="auto"/>
              </w:rPr>
              <w:t>Total landfills</w:t>
            </w: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60" w:type="dxa"/>
            <w:vAlign w:val="bottom"/>
            <w:gridSpan w:val="2"/>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27</w:t>
            </w:r>
          </w:p>
        </w:tc>
        <w:tc>
          <w:tcPr>
            <w:tcW w:w="3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49</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77</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101</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260" w:hanging="393"/>
        <w:spacing w:after="0" w:line="264" w:lineRule="auto"/>
        <w:tabs>
          <w:tab w:leader="none" w:pos="10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From an operating perspective, landfills we operate through lease agreements are similar to landfills we own because we own the landfill’s operating permit and will operate the landfill for the entire lease term, which in many cases is the life of the landfill. We are usually responsible for the capping, closure and post-closure obligations of the landfills we lease.</w:t>
      </w:r>
    </w:p>
    <w:p>
      <w:pPr>
        <w:spacing w:after="0" w:line="17" w:lineRule="exact"/>
        <w:rPr>
          <w:rFonts w:ascii="Arial" w:cs="Arial" w:eastAsia="Arial" w:hAnsi="Arial"/>
          <w:sz w:val="13"/>
          <w:szCs w:val="13"/>
          <w:color w:val="auto"/>
        </w:rPr>
      </w:pPr>
    </w:p>
    <w:p>
      <w:pPr>
        <w:ind w:left="1080" w:right="440" w:hanging="393"/>
        <w:spacing w:after="0" w:line="276" w:lineRule="auto"/>
        <w:tabs>
          <w:tab w:leader="none" w:pos="10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For operating contracts, the property owner owns the permit and we operate the landfill for a contracted term, which may be the life of the landfill. However, we are generally responsible for capping, closure and post-closure obligations under the operating contracts.</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following table reflects landfill capacity and airspace changes, as measured in tons of waste, for landfills owned or operated by us during the years ended December 31, 2010 and 2009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0"/>
                <w:szCs w:val="10"/>
                <w:b w:val="1"/>
                <w:bCs w:val="1"/>
                <w:color w:val="auto"/>
              </w:rPr>
              <w:t>December 31, 2010</w:t>
            </w: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0"/>
                <w:szCs w:val="10"/>
                <w:b w:val="1"/>
                <w:bCs w:val="1"/>
                <w:color w:val="auto"/>
              </w:rPr>
              <w:t>December 31, 2009</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88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Remaining</w:t>
            </w:r>
          </w:p>
        </w:tc>
        <w:tc>
          <w:tcPr>
            <w:tcW w:w="240" w:type="dxa"/>
            <w:vAlign w:val="bottom"/>
          </w:tcPr>
          <w:p>
            <w:pPr>
              <w:spacing w:after="0"/>
              <w:rPr>
                <w:sz w:val="7"/>
                <w:szCs w:val="7"/>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Expansion</w:t>
            </w: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Total</w:t>
            </w:r>
          </w:p>
        </w:tc>
        <w:tc>
          <w:tcPr>
            <w:tcW w:w="84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Remaining</w:t>
            </w:r>
          </w:p>
        </w:tc>
        <w:tc>
          <w:tcPr>
            <w:tcW w:w="240" w:type="dxa"/>
            <w:vAlign w:val="bottom"/>
          </w:tcPr>
          <w:p>
            <w:pPr>
              <w:spacing w:after="0"/>
              <w:rPr>
                <w:sz w:val="7"/>
                <w:szCs w:val="7"/>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Expansion</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5"/>
              </w:rPr>
              <w:t>Permitted</w:t>
            </w: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5"/>
              </w:rPr>
              <w:t>Permitted</w:t>
            </w:r>
          </w:p>
        </w:tc>
        <w:tc>
          <w:tcPr>
            <w:tcW w:w="2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Capacity</w:t>
            </w:r>
          </w:p>
        </w:tc>
        <w:tc>
          <w:tcPr>
            <w:tcW w:w="240" w:type="dxa"/>
            <w:vAlign w:val="bottom"/>
          </w:tcPr>
          <w:p>
            <w:pPr>
              <w:spacing w:after="0"/>
              <w:rPr>
                <w:sz w:val="10"/>
                <w:szCs w:val="1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Capacity</w:t>
            </w: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Capacity</w:t>
            </w: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Capacity</w:t>
            </w:r>
          </w:p>
        </w:tc>
        <w:tc>
          <w:tcPr>
            <w:tcW w:w="240" w:type="dxa"/>
            <w:vAlign w:val="bottom"/>
          </w:tcPr>
          <w:p>
            <w:pPr>
              <w:spacing w:after="0"/>
              <w:rPr>
                <w:sz w:val="10"/>
                <w:szCs w:val="1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Capacity</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Capacity</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beginning of year</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4,075</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726</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4,801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3,979</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794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4,773</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Acquisitions, divestitures, newly permitted landfills and closures</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14</w:t>
            </w:r>
          </w:p>
        </w:tc>
        <w:tc>
          <w:tcPr>
            <w:tcW w:w="24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33</w:t>
            </w:r>
          </w:p>
        </w:tc>
        <w:tc>
          <w:tcPr>
            <w:tcW w:w="24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Changes in expansions pursued(a)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120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Expansion permits granted(b)</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238</w:t>
            </w:r>
          </w:p>
        </w:tc>
        <w:tc>
          <w:tcPr>
            <w:tcW w:w="1360" w:type="dxa"/>
            <w:vAlign w:val="bottom"/>
            <w:gridSpan w:val="3"/>
          </w:tcPr>
          <w:p>
            <w:pPr>
              <w:jc w:val="right"/>
              <w:ind w:right="360"/>
              <w:spacing w:after="0"/>
              <w:rPr>
                <w:sz w:val="20"/>
                <w:szCs w:val="20"/>
                <w:color w:val="auto"/>
              </w:rPr>
            </w:pPr>
            <w:r>
              <w:rPr>
                <w:rFonts w:ascii="Arial" w:cs="Arial" w:eastAsia="Arial" w:hAnsi="Arial"/>
                <w:sz w:val="13"/>
                <w:szCs w:val="13"/>
                <w:color w:val="auto"/>
              </w:rPr>
              <w:t>(238)</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129</w:t>
            </w:r>
          </w:p>
        </w:tc>
        <w:tc>
          <w:tcPr>
            <w:tcW w:w="1320" w:type="dxa"/>
            <w:vAlign w:val="bottom"/>
            <w:gridSpan w:val="3"/>
          </w:tcPr>
          <w:p>
            <w:pPr>
              <w:jc w:val="right"/>
              <w:ind w:right="360"/>
              <w:spacing w:after="0"/>
              <w:rPr>
                <w:sz w:val="20"/>
                <w:szCs w:val="20"/>
                <w:color w:val="auto"/>
              </w:rPr>
            </w:pPr>
            <w:r>
              <w:rPr>
                <w:rFonts w:ascii="Arial" w:cs="Arial" w:eastAsia="Arial" w:hAnsi="Arial"/>
                <w:sz w:val="13"/>
                <w:szCs w:val="13"/>
                <w:color w:val="auto"/>
              </w:rPr>
              <w:t>(129)</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Airspace consumed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(92)</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Changes in engineering estimates and other(c)</w:t>
            </w:r>
          </w:p>
        </w:tc>
        <w:tc>
          <w:tcPr>
            <w:tcW w:w="720" w:type="dxa"/>
            <w:vAlign w:val="bottom"/>
          </w:tcPr>
          <w:p>
            <w:pPr>
              <w:jc w:val="right"/>
              <w:spacing w:after="0"/>
              <w:rPr>
                <w:sz w:val="20"/>
                <w:szCs w:val="20"/>
                <w:color w:val="auto"/>
              </w:rPr>
            </w:pPr>
            <w:r>
              <w:rPr>
                <w:rFonts w:ascii="Arial" w:cs="Arial" w:eastAsia="Arial" w:hAnsi="Arial"/>
                <w:sz w:val="13"/>
                <w:szCs w:val="13"/>
                <w:color w:val="auto"/>
              </w:rPr>
              <w:t>155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150</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26</w:t>
            </w:r>
          </w:p>
        </w:tc>
        <w:tc>
          <w:tcPr>
            <w:tcW w:w="1320" w:type="dxa"/>
            <w:vAlign w:val="bottom"/>
            <w:gridSpan w:val="3"/>
          </w:tcPr>
          <w:p>
            <w:pPr>
              <w:jc w:val="right"/>
              <w:ind w:right="360"/>
              <w:spacing w:after="0"/>
              <w:rPr>
                <w:sz w:val="20"/>
                <w:szCs w:val="20"/>
                <w:color w:val="auto"/>
              </w:rPr>
            </w:pPr>
            <w:r>
              <w:rPr>
                <w:rFonts w:ascii="Arial" w:cs="Arial" w:eastAsia="Arial" w:hAnsi="Arial"/>
                <w:sz w:val="13"/>
                <w:szCs w:val="13"/>
                <w:color w:val="auto"/>
              </w:rPr>
              <w:t>(22)</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end of year</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4,391</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4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4,994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4,075</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726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4,801</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480" w:hanging="393"/>
        <w:spacing w:after="0" w:line="335" w:lineRule="auto"/>
        <w:tabs>
          <w:tab w:leader="none" w:pos="1080" w:val="left"/>
        </w:tabs>
        <w:numPr>
          <w:ilvl w:val="0"/>
          <w:numId w:val="39"/>
        </w:numPr>
        <w:rPr>
          <w:rFonts w:ascii="Arial" w:cs="Arial" w:eastAsia="Arial" w:hAnsi="Arial"/>
          <w:sz w:val="11"/>
          <w:szCs w:val="11"/>
          <w:color w:val="auto"/>
        </w:rPr>
      </w:pPr>
      <w:r>
        <w:rPr>
          <w:rFonts w:ascii="Arial" w:cs="Arial" w:eastAsia="Arial" w:hAnsi="Arial"/>
          <w:sz w:val="11"/>
          <w:szCs w:val="11"/>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w:t>
      </w:r>
    </w:p>
    <w:p>
      <w:pPr>
        <w:ind w:left="1080" w:right="400" w:hanging="393"/>
        <w:spacing w:after="0" w:line="276" w:lineRule="auto"/>
        <w:tabs>
          <w:tab w:leader="none" w:pos="10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We received expansion permits at 13 of our landfills during 2010 and ten of our landfills during 2009, demonstrating our continued success in working with municipalities and regulatory agencies to expand the disposal capacity of our existing landfills.</w:t>
      </w:r>
    </w:p>
    <w:p>
      <w:pPr>
        <w:spacing w:after="0" w:line="10" w:lineRule="exact"/>
        <w:rPr>
          <w:rFonts w:ascii="Arial" w:cs="Arial" w:eastAsia="Arial" w:hAnsi="Arial"/>
          <w:sz w:val="13"/>
          <w:szCs w:val="13"/>
          <w:color w:val="auto"/>
        </w:rPr>
      </w:pPr>
    </w:p>
    <w:p>
      <w:pPr>
        <w:ind w:left="1080" w:hanging="393"/>
        <w:spacing w:after="0" w:line="258" w:lineRule="auto"/>
        <w:tabs>
          <w:tab w:leader="none" w:pos="10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Changes in engineering estimates can result in changes to the estimated available remaining capacity of a landfill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280"/>
        <w:spacing w:after="0" w:line="276" w:lineRule="auto"/>
        <w:rPr>
          <w:sz w:val="20"/>
          <w:szCs w:val="20"/>
          <w:color w:val="auto"/>
        </w:rPr>
      </w:pPr>
      <w:r>
        <w:rPr>
          <w:rFonts w:ascii="Arial" w:cs="Arial" w:eastAsia="Arial" w:hAnsi="Arial"/>
          <w:sz w:val="13"/>
          <w:szCs w:val="13"/>
          <w:color w:val="auto"/>
        </w:rPr>
        <w:t>airspace through efforts that include recirculating landfill leachate where allowed by permit; optimizing the placement of daily cover materials; and increasing initial compaction through improved landfill equipment, operations and training.</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tons received at our landfills in 2010 and 2009 are shown below (tons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2010</w:t>
            </w:r>
          </w:p>
        </w:tc>
        <w:tc>
          <w:tcPr>
            <w:tcW w:w="4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2009</w:t>
            </w: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3940" w:type="dxa"/>
            <w:vAlign w:val="bottom"/>
          </w:tcPr>
          <w:p>
            <w:pPr>
              <w:spacing w:after="0"/>
              <w:rPr>
                <w:sz w:val="7"/>
                <w:szCs w:val="7"/>
                <w:color w:val="auto"/>
              </w:rPr>
            </w:pPr>
          </w:p>
        </w:tc>
        <w:tc>
          <w:tcPr>
            <w:tcW w:w="740" w:type="dxa"/>
            <w:vAlign w:val="bottom"/>
            <w:gridSpan w:val="2"/>
          </w:tcPr>
          <w:p>
            <w:pPr>
              <w:jc w:val="right"/>
              <w:ind w:right="500"/>
              <w:spacing w:after="0" w:line="81" w:lineRule="exact"/>
              <w:rPr>
                <w:sz w:val="20"/>
                <w:szCs w:val="20"/>
                <w:color w:val="auto"/>
              </w:rPr>
            </w:pPr>
            <w:r>
              <w:rPr>
                <w:rFonts w:ascii="Arial" w:cs="Arial" w:eastAsia="Arial" w:hAnsi="Arial"/>
                <w:sz w:val="9"/>
                <w:szCs w:val="9"/>
                <w:b w:val="1"/>
                <w:bCs w:val="1"/>
                <w:color w:val="auto"/>
              </w:rPr>
              <w:t># of</w:t>
            </w:r>
          </w:p>
        </w:tc>
        <w:tc>
          <w:tcPr>
            <w:tcW w:w="920" w:type="dxa"/>
            <w:vAlign w:val="bottom"/>
            <w:gridSpan w:val="2"/>
          </w:tcPr>
          <w:p>
            <w:pPr>
              <w:jc w:val="right"/>
              <w:ind w:right="560"/>
              <w:spacing w:after="0" w:line="81" w:lineRule="exact"/>
              <w:rPr>
                <w:sz w:val="20"/>
                <w:szCs w:val="20"/>
                <w:color w:val="auto"/>
              </w:rPr>
            </w:pPr>
            <w:r>
              <w:rPr>
                <w:rFonts w:ascii="Arial" w:cs="Arial" w:eastAsia="Arial" w:hAnsi="Arial"/>
                <w:sz w:val="9"/>
                <w:szCs w:val="9"/>
                <w:b w:val="1"/>
                <w:bCs w:val="1"/>
                <w:color w:val="auto"/>
              </w:rPr>
              <w:t>Total</w:t>
            </w:r>
          </w:p>
        </w:tc>
        <w:tc>
          <w:tcPr>
            <w:tcW w:w="5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Tons</w:t>
            </w:r>
          </w:p>
        </w:tc>
        <w:tc>
          <w:tcPr>
            <w:tcW w:w="380" w:type="dxa"/>
            <w:vAlign w:val="bottom"/>
          </w:tcPr>
          <w:p>
            <w:pPr>
              <w:spacing w:after="0"/>
              <w:rPr>
                <w:sz w:val="7"/>
                <w:szCs w:val="7"/>
                <w:color w:val="auto"/>
              </w:rPr>
            </w:pPr>
          </w:p>
        </w:tc>
        <w:tc>
          <w:tcPr>
            <w:tcW w:w="6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 of</w:t>
            </w:r>
          </w:p>
        </w:tc>
        <w:tc>
          <w:tcPr>
            <w:tcW w:w="940" w:type="dxa"/>
            <w:vAlign w:val="bottom"/>
            <w:gridSpan w:val="2"/>
          </w:tcPr>
          <w:p>
            <w:pPr>
              <w:jc w:val="right"/>
              <w:ind w:right="580"/>
              <w:spacing w:after="0" w:line="81" w:lineRule="exact"/>
              <w:rPr>
                <w:sz w:val="20"/>
                <w:szCs w:val="20"/>
                <w:color w:val="auto"/>
              </w:rPr>
            </w:pPr>
            <w:r>
              <w:rPr>
                <w:rFonts w:ascii="Arial" w:cs="Arial" w:eastAsia="Arial" w:hAnsi="Arial"/>
                <w:sz w:val="9"/>
                <w:szCs w:val="9"/>
                <w:b w:val="1"/>
                <w:bCs w:val="1"/>
                <w:color w:val="auto"/>
              </w:rPr>
              <w:t>Total</w:t>
            </w:r>
          </w:p>
        </w:tc>
        <w:tc>
          <w:tcPr>
            <w:tcW w:w="480" w:type="dxa"/>
            <w:vAlign w:val="bottom"/>
          </w:tcPr>
          <w:p>
            <w:pPr>
              <w:jc w:val="right"/>
              <w:ind w:right="81"/>
              <w:spacing w:after="0" w:line="81" w:lineRule="exact"/>
              <w:rPr>
                <w:sz w:val="20"/>
                <w:szCs w:val="20"/>
                <w:color w:val="auto"/>
              </w:rPr>
            </w:pPr>
            <w:r>
              <w:rPr>
                <w:rFonts w:ascii="Arial" w:cs="Arial" w:eastAsia="Arial" w:hAnsi="Arial"/>
                <w:sz w:val="9"/>
                <w:szCs w:val="9"/>
                <w:b w:val="1"/>
                <w:bCs w:val="1"/>
                <w:color w:val="auto"/>
              </w:rPr>
              <w:t>Tons</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Sites</w:t>
            </w:r>
          </w:p>
        </w:tc>
        <w:tc>
          <w:tcPr>
            <w:tcW w:w="92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Tons</w:t>
            </w:r>
          </w:p>
        </w:tc>
        <w:tc>
          <w:tcPr>
            <w:tcW w:w="8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8"/>
              </w:rPr>
              <w:t>per Day</w:t>
            </w:r>
          </w:p>
        </w:tc>
        <w:tc>
          <w:tcPr>
            <w:tcW w:w="6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Sites</w:t>
            </w:r>
          </w:p>
        </w:tc>
        <w:tc>
          <w:tcPr>
            <w:tcW w:w="94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Tons</w:t>
            </w:r>
          </w:p>
        </w:tc>
        <w:tc>
          <w:tcPr>
            <w:tcW w:w="5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per Day</w:t>
            </w:r>
          </w:p>
        </w:tc>
      </w:tr>
      <w:tr>
        <w:trPr>
          <w:trHeight w:val="29"/>
        </w:trPr>
        <w:tc>
          <w:tcPr>
            <w:tcW w:w="13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Solid waste landfills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266(a)</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91,863</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268</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91,901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w:t>
            </w:r>
          </w:p>
        </w:tc>
      </w:tr>
      <w:tr>
        <w:trPr>
          <w:trHeight w:val="157"/>
        </w:trPr>
        <w:tc>
          <w:tcPr>
            <w:tcW w:w="5240" w:type="dxa"/>
            <w:vAlign w:val="bottom"/>
            <w:gridSpan w:val="2"/>
          </w:tcPr>
          <w:p>
            <w:pPr>
              <w:spacing w:after="0"/>
              <w:rPr>
                <w:sz w:val="20"/>
                <w:szCs w:val="20"/>
                <w:color w:val="auto"/>
              </w:rPr>
            </w:pPr>
            <w:r>
              <w:rPr>
                <w:rFonts w:ascii="Arial" w:cs="Arial" w:eastAsia="Arial" w:hAnsi="Arial"/>
                <w:sz w:val="13"/>
                <w:szCs w:val="13"/>
                <w:color w:val="auto"/>
              </w:rPr>
              <w:t>Hazardous waste landfills</w:t>
            </w:r>
          </w:p>
        </w:tc>
        <w:tc>
          <w:tcPr>
            <w:tcW w:w="740" w:type="dxa"/>
            <w:vAlign w:val="bottom"/>
            <w:gridSpan w:val="2"/>
          </w:tcPr>
          <w:p>
            <w:pPr>
              <w:jc w:val="right"/>
              <w:ind w:right="440"/>
              <w:spacing w:after="0"/>
              <w:rPr>
                <w:sz w:val="20"/>
                <w:szCs w:val="20"/>
                <w:color w:val="auto"/>
              </w:rPr>
            </w:pPr>
            <w:r>
              <w:rPr>
                <w:rFonts w:ascii="Arial" w:cs="Arial" w:eastAsia="Arial" w:hAnsi="Arial"/>
                <w:sz w:val="13"/>
                <w:szCs w:val="13"/>
                <w:color w:val="auto"/>
              </w:rPr>
              <w:t>5</w:t>
            </w:r>
          </w:p>
        </w:tc>
        <w:tc>
          <w:tcPr>
            <w:tcW w:w="920" w:type="dxa"/>
            <w:vAlign w:val="bottom"/>
            <w:gridSpan w:val="2"/>
          </w:tcPr>
          <w:p>
            <w:pPr>
              <w:jc w:val="right"/>
              <w:ind w:right="440"/>
              <w:spacing w:after="0"/>
              <w:rPr>
                <w:sz w:val="20"/>
                <w:szCs w:val="20"/>
                <w:color w:val="auto"/>
              </w:rPr>
            </w:pPr>
            <w:r>
              <w:rPr>
                <w:rFonts w:ascii="Arial" w:cs="Arial" w:eastAsia="Arial" w:hAnsi="Arial"/>
                <w:sz w:val="13"/>
                <w:szCs w:val="13"/>
                <w:color w:val="auto"/>
              </w:rPr>
              <w:t>667</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2</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5</w:t>
            </w:r>
          </w:p>
        </w:tc>
        <w:tc>
          <w:tcPr>
            <w:tcW w:w="940" w:type="dxa"/>
            <w:vAlign w:val="bottom"/>
            <w:gridSpan w:val="2"/>
          </w:tcPr>
          <w:p>
            <w:pPr>
              <w:jc w:val="right"/>
              <w:ind w:right="440"/>
              <w:spacing w:after="0"/>
              <w:rPr>
                <w:sz w:val="20"/>
                <w:szCs w:val="20"/>
                <w:color w:val="auto"/>
              </w:rPr>
            </w:pPr>
            <w:r>
              <w:rPr>
                <w:rFonts w:ascii="Arial" w:cs="Arial" w:eastAsia="Arial" w:hAnsi="Arial"/>
                <w:sz w:val="13"/>
                <w:szCs w:val="13"/>
                <w:color w:val="auto"/>
              </w:rPr>
              <w:t>1,026</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r>
      <w:tr>
        <w:trPr>
          <w:trHeight w:val="20"/>
        </w:trPr>
        <w:tc>
          <w:tcPr>
            <w:tcW w:w="1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271</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92,530</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338</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273</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92,927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341</w:t>
            </w:r>
          </w:p>
        </w:tc>
      </w:tr>
      <w:tr>
        <w:trPr>
          <w:trHeight w:val="166"/>
        </w:trPr>
        <w:tc>
          <w:tcPr>
            <w:tcW w:w="5240" w:type="dxa"/>
            <w:vAlign w:val="bottom"/>
            <w:gridSpan w:val="2"/>
          </w:tcPr>
          <w:p>
            <w:pPr>
              <w:spacing w:after="0"/>
              <w:rPr>
                <w:sz w:val="20"/>
                <w:szCs w:val="20"/>
                <w:color w:val="auto"/>
              </w:rPr>
            </w:pPr>
            <w:r>
              <w:rPr>
                <w:rFonts w:ascii="Arial" w:cs="Arial" w:eastAsia="Arial" w:hAnsi="Arial"/>
                <w:sz w:val="13"/>
                <w:szCs w:val="13"/>
                <w:color w:val="auto"/>
              </w:rPr>
              <w:t>Solid waste landfills closed or divested during related year</w:t>
            </w:r>
          </w:p>
        </w:tc>
        <w:tc>
          <w:tcPr>
            <w:tcW w:w="740" w:type="dxa"/>
            <w:vAlign w:val="bottom"/>
            <w:gridSpan w:val="2"/>
          </w:tcPr>
          <w:p>
            <w:pPr>
              <w:jc w:val="right"/>
              <w:ind w:right="440"/>
              <w:spacing w:after="0"/>
              <w:rPr>
                <w:sz w:val="20"/>
                <w:szCs w:val="20"/>
                <w:color w:val="auto"/>
              </w:rPr>
            </w:pPr>
            <w:r>
              <w:rPr>
                <w:rFonts w:ascii="Arial" w:cs="Arial" w:eastAsia="Arial" w:hAnsi="Arial"/>
                <w:sz w:val="13"/>
                <w:szCs w:val="13"/>
                <w:color w:val="auto"/>
              </w:rPr>
              <w:t>3</w:t>
            </w:r>
          </w:p>
        </w:tc>
        <w:tc>
          <w:tcPr>
            <w:tcW w:w="920" w:type="dxa"/>
            <w:vAlign w:val="bottom"/>
            <w:gridSpan w:val="2"/>
          </w:tcPr>
          <w:p>
            <w:pPr>
              <w:jc w:val="right"/>
              <w:ind w:right="440"/>
              <w:spacing w:after="0"/>
              <w:rPr>
                <w:sz w:val="20"/>
                <w:szCs w:val="20"/>
                <w:color w:val="auto"/>
              </w:rPr>
            </w:pPr>
            <w:r>
              <w:rPr>
                <w:rFonts w:ascii="Arial" w:cs="Arial" w:eastAsia="Arial" w:hAnsi="Arial"/>
                <w:sz w:val="13"/>
                <w:szCs w:val="13"/>
                <w:color w:val="auto"/>
              </w:rPr>
              <w:t>295</w:t>
            </w:r>
          </w:p>
        </w:tc>
        <w:tc>
          <w:tcPr>
            <w:tcW w:w="5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4</w:t>
            </w:r>
          </w:p>
        </w:tc>
        <w:tc>
          <w:tcPr>
            <w:tcW w:w="940" w:type="dxa"/>
            <w:vAlign w:val="bottom"/>
            <w:gridSpan w:val="2"/>
          </w:tcPr>
          <w:p>
            <w:pPr>
              <w:jc w:val="right"/>
              <w:ind w:right="440"/>
              <w:spacing w:after="0"/>
              <w:rPr>
                <w:sz w:val="20"/>
                <w:szCs w:val="20"/>
                <w:color w:val="auto"/>
              </w:rPr>
            </w:pPr>
            <w:r>
              <w:rPr>
                <w:rFonts w:ascii="Arial" w:cs="Arial" w:eastAsia="Arial" w:hAnsi="Arial"/>
                <w:sz w:val="13"/>
                <w:szCs w:val="13"/>
                <w:color w:val="auto"/>
              </w:rPr>
              <w:t>328</w:t>
            </w: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130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92,825(b)</w:t>
            </w: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93,255(b)</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80" w:hanging="393"/>
        <w:spacing w:after="0"/>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 2010, we developed one landfill, closed two landfills and our contract expired at one landfill.</w:t>
      </w:r>
    </w:p>
    <w:p>
      <w:pPr>
        <w:spacing w:after="0" w:line="47" w:lineRule="exact"/>
        <w:rPr>
          <w:rFonts w:ascii="Arial" w:cs="Arial" w:eastAsia="Arial" w:hAnsi="Arial"/>
          <w:sz w:val="13"/>
          <w:szCs w:val="13"/>
          <w:color w:val="auto"/>
        </w:rPr>
      </w:pPr>
    </w:p>
    <w:p>
      <w:pPr>
        <w:ind w:left="1080" w:right="40" w:hanging="393"/>
        <w:spacing w:after="0" w:line="264" w:lineRule="auto"/>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These amounts include 1.7 million tons at December 31, 2010 and 1.5 million tons at December 31, 2009 that were received at our landfills but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When a landfill we own or operate receives certification of closure from the applicable regulatory agency, we generally transfer the management of the site, including any remediation activities, to our closed sites management group. As of December 31, 2010, our closed sites management group managed 202 closed landfills.</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i w:val="1"/>
          <w:iCs w:val="1"/>
          <w:color w:val="auto"/>
        </w:rPr>
        <w:t xml:space="preserve">Landfill Assets </w:t>
      </w:r>
      <w:r>
        <w:rPr>
          <w:rFonts w:ascii="Arial" w:cs="Arial" w:eastAsia="Arial" w:hAnsi="Arial"/>
          <w:sz w:val="12"/>
          <w:szCs w:val="12"/>
          <w:color w:val="auto"/>
        </w:rPr>
        <w:t>— We capitalize various costs that we incur to prepare a landfill to accept waste. These costs generally include expenditures for land (including the landfill footprint</w:t>
      </w:r>
      <w:r>
        <w:rPr>
          <w:rFonts w:ascii="Arial" w:cs="Arial" w:eastAsia="Arial" w:hAnsi="Arial"/>
          <w:sz w:val="12"/>
          <w:szCs w:val="12"/>
          <w:i w:val="1"/>
          <w:iCs w:val="1"/>
          <w:color w:val="auto"/>
        </w:rPr>
        <w:t xml:space="preserve"> </w:t>
      </w:r>
      <w:r>
        <w:rPr>
          <w:rFonts w:ascii="Arial" w:cs="Arial" w:eastAsia="Arial" w:hAnsi="Arial"/>
          <w:sz w:val="12"/>
          <w:szCs w:val="12"/>
          <w:color w:val="auto"/>
        </w:rPr>
        <w:t>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capping, closure and post-closure activities, which are discussed further below.</w:t>
      </w:r>
    </w:p>
    <w:p>
      <w:pPr>
        <w:spacing w:after="0" w:line="5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following table reflects the total cost basis of our landfill assets and accumulated landfill airspace amortization as of December 31, 2010 and 2009, and summarizes significant changes in these amounts during 2010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Cost Basis of</w:t>
            </w:r>
          </w:p>
        </w:tc>
        <w:tc>
          <w:tcPr>
            <w:tcW w:w="160" w:type="dxa"/>
            <w:vAlign w:val="bottom"/>
          </w:tcPr>
          <w:p>
            <w:pPr>
              <w:spacing w:after="0"/>
              <w:rPr>
                <w:sz w:val="10"/>
                <w:szCs w:val="10"/>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Accumulated</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9"/>
              </w:rPr>
              <w:t>Landfill Airspace</w:t>
            </w:r>
          </w:p>
        </w:tc>
        <w:tc>
          <w:tcPr>
            <w:tcW w:w="140" w:type="dxa"/>
            <w:vAlign w:val="bottom"/>
          </w:tcPr>
          <w:p>
            <w:pPr>
              <w:spacing w:after="0"/>
              <w:rPr>
                <w:sz w:val="9"/>
                <w:szCs w:val="9"/>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Landfill Assets</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Landfill Assets</w:t>
            </w:r>
          </w:p>
        </w:tc>
        <w:tc>
          <w:tcPr>
            <w:tcW w:w="160" w:type="dxa"/>
            <w:vAlign w:val="bottom"/>
          </w:tcPr>
          <w:p>
            <w:pPr>
              <w:spacing w:after="0"/>
              <w:rPr>
                <w:sz w:val="10"/>
                <w:szCs w:val="10"/>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8"/>
              </w:rPr>
              <w:t>Amortization</w:t>
            </w: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(6,448)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5,853</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Capital additions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428</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Asset retirement obligations incurred and capitalized</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Acquisitions</w:t>
            </w:r>
          </w:p>
        </w:tc>
        <w:tc>
          <w:tcPr>
            <w:tcW w:w="160" w:type="dxa"/>
            <w:vAlign w:val="bottom"/>
          </w:tcPr>
          <w:p>
            <w:pPr>
              <w:spacing w:after="0"/>
              <w:rPr>
                <w:sz w:val="13"/>
                <w:szCs w:val="13"/>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landfill airspace</w:t>
            </w:r>
          </w:p>
        </w:tc>
        <w:tc>
          <w:tcPr>
            <w:tcW w:w="1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(372)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Asset retirements and other adjustments</w:t>
            </w:r>
          </w:p>
        </w:tc>
        <w:tc>
          <w:tcPr>
            <w:tcW w:w="1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(69)</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color w:val="auto"/>
              </w:rPr>
              <w:t>December 31, 2010</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12,777</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360"/>
              <w:spacing w:after="0"/>
              <w:rPr>
                <w:sz w:val="20"/>
                <w:szCs w:val="20"/>
                <w:color w:val="auto"/>
              </w:rPr>
            </w:pPr>
            <w:r>
              <w:rPr>
                <w:rFonts w:ascii="Arial" w:cs="Arial" w:eastAsia="Arial" w:hAnsi="Arial"/>
                <w:sz w:val="13"/>
                <w:szCs w:val="13"/>
                <w:color w:val="auto"/>
              </w:rPr>
              <w:t>(6,792)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5,985</w:t>
            </w:r>
          </w:p>
        </w:tc>
        <w:tc>
          <w:tcPr>
            <w:tcW w:w="0" w:type="dxa"/>
            <w:vAlign w:val="bottom"/>
          </w:tcPr>
          <w:p>
            <w:pPr>
              <w:spacing w:after="0"/>
              <w:rPr>
                <w:sz w:val="1"/>
                <w:szCs w:val="1"/>
                <w:color w:val="auto"/>
              </w:rPr>
            </w:pPr>
          </w:p>
        </w:tc>
      </w:tr>
      <w:tr>
        <w:trPr>
          <w:trHeight w:val="30"/>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As of December 31, 2010, we estimate that we will spend approximately $400 million in 2011, and approximately $1 billion in 2012 and 2013 combined for the construction and development of our landfill assets. The specific timing of landfill capital spending is dependent on future events and spending estimates are subject to</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change due to fluctuations in landfill waste volumes, changes in environmental requirements and other factors impacting landfill operations.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Landfill and Environmental Remediation Liabilities </w:t>
      </w:r>
      <w:r>
        <w:rPr>
          <w:rFonts w:ascii="Arial" w:cs="Arial" w:eastAsia="Arial" w:hAnsi="Arial"/>
          <w:sz w:val="13"/>
          <w:szCs w:val="13"/>
          <w:color w:val="auto"/>
        </w:rPr>
        <w:t>— As we accept waste at our landfills, we incur significant asset retirement obligations, which include liabilities associated with</w:t>
      </w:r>
      <w:r>
        <w:rPr>
          <w:rFonts w:ascii="Arial" w:cs="Arial" w:eastAsia="Arial" w:hAnsi="Arial"/>
          <w:sz w:val="13"/>
          <w:szCs w:val="13"/>
          <w:i w:val="1"/>
          <w:iCs w:val="1"/>
          <w:color w:val="auto"/>
        </w:rPr>
        <w:t xml:space="preserve"> </w:t>
      </w:r>
      <w:r>
        <w:rPr>
          <w:rFonts w:ascii="Arial" w:cs="Arial" w:eastAsia="Arial" w:hAnsi="Arial"/>
          <w:sz w:val="13"/>
          <w:szCs w:val="13"/>
          <w:color w:val="auto"/>
        </w:rPr>
        <w:t>landfill capping, closure and post-closure activities. These liabilities are accounted for in accordance with authoritative guidance associated with accounting for asset retirement obligations, and are discussed in Note 3 of our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pacing w:after="0" w:line="71"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reflects our landfill liabilities and our environmental remediation liabilities as of December 31, 2010 and 2009, and summarizes significant changes in these amounts during 2010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82</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Revisions in cost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Landfill Costs and Expenses </w:t>
      </w:r>
      <w:r>
        <w:rPr>
          <w:rFonts w:ascii="Arial" w:cs="Arial" w:eastAsia="Arial" w:hAnsi="Arial"/>
          <w:sz w:val="13"/>
          <w:szCs w:val="13"/>
          <w:color w:val="auto"/>
        </w:rPr>
        <w:t>— As disclosed in the</w:t>
      </w:r>
      <w:r>
        <w:rPr>
          <w:rFonts w:ascii="Arial" w:cs="Arial" w:eastAsia="Arial" w:hAnsi="Arial"/>
          <w:sz w:val="13"/>
          <w:szCs w:val="13"/>
          <w:i w:val="1"/>
          <w:iCs w:val="1"/>
          <w:color w:val="auto"/>
        </w:rPr>
        <w:t xml:space="preserve"> Operating Expenses </w:t>
      </w:r>
      <w:r>
        <w:rPr>
          <w:rFonts w:ascii="Arial" w:cs="Arial" w:eastAsia="Arial" w:hAnsi="Arial"/>
          <w:sz w:val="13"/>
          <w:szCs w:val="13"/>
          <w:color w:val="auto"/>
        </w:rPr>
        <w:t>section above, our landfill operating costs include interest accretion on asset retirement obligations, interest</w:t>
      </w:r>
      <w:r>
        <w:rPr>
          <w:rFonts w:ascii="Arial" w:cs="Arial" w:eastAsia="Arial" w:hAnsi="Arial"/>
          <w:sz w:val="13"/>
          <w:szCs w:val="13"/>
          <w:i w:val="1"/>
          <w:iCs w:val="1"/>
          <w:color w:val="auto"/>
        </w:rPr>
        <w:t xml:space="preserve"> </w:t>
      </w:r>
      <w:r>
        <w:rPr>
          <w:rFonts w:ascii="Arial" w:cs="Arial" w:eastAsia="Arial" w:hAnsi="Arial"/>
          <w:sz w:val="13"/>
          <w:szCs w:val="13"/>
          <w:color w:val="auto"/>
        </w:rPr>
        <w:t>accretion on and discount rate adjustments to environmental remediation liabilities and recovery assets, leachate and methane collection and treatment, landfill remediation costs, and other landfill site costs. The following table summarizes these costs for each of the three years indicated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3"/>
              </w:rPr>
              <w:t>Years Ended December 31,</w:t>
            </w: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0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780" w:type="dxa"/>
            <w:vAlign w:val="bottom"/>
            <w:gridSpan w:val="3"/>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500" w:type="dxa"/>
            <w:vAlign w:val="bottom"/>
          </w:tcPr>
          <w:p>
            <w:pPr>
              <w:spacing w:after="0"/>
              <w:rPr>
                <w:sz w:val="8"/>
                <w:szCs w:val="8"/>
                <w:color w:val="auto"/>
              </w:rPr>
            </w:pPr>
          </w:p>
        </w:tc>
        <w:tc>
          <w:tcPr>
            <w:tcW w:w="28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Interest accretion on landfill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Interest accretion on and discount rate adjustments to environmental remediation liabilities and recovery assets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8</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Leachate and methane collection and treatment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Landfill remediation costs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63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Other landfill site costs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3"/>
                <w:szCs w:val="13"/>
                <w:color w:val="auto"/>
              </w:rPr>
              <w:t>Total landfill operating costs</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w w:val="92"/>
              </w:rPr>
              <w:t>294</w:t>
            </w:r>
          </w:p>
        </w:tc>
        <w:tc>
          <w:tcPr>
            <w:tcW w:w="4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500"/>
              <w:spacing w:after="0"/>
              <w:rPr>
                <w:sz w:val="20"/>
                <w:szCs w:val="20"/>
                <w:color w:val="auto"/>
              </w:rPr>
            </w:pPr>
            <w:r>
              <w:rPr>
                <w:rFonts w:ascii="Arial" w:cs="Arial" w:eastAsia="Arial" w:hAnsi="Arial"/>
                <w:sz w:val="13"/>
                <w:szCs w:val="13"/>
                <w:color w:val="auto"/>
                <w:w w:val="92"/>
              </w:rPr>
              <w:t>222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291</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comparison of these costs for the reported periods has been significantly affected by accounting for changes in the risk-free discount rate that we use to estimate the present value of our environmental remediation liabilities and environmental remediation recovery assets, which is based on the rate for U.S. Treasury bonds with a term approximating the weighted-average period until settlement of the underlying obligations. Additionally, in 2010, we increased our cost estimates associated with environmental remediation obligations primarily based on a review and evaluation of existing remediation projects. As these remediation projects progressed, more defined reclamation plans were developed, resulting in an increase in remediation expense to reflect the more likely remedies.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Amortization of landfill airspace, which is included as a component of “Depreciation and amortization” expense, includes the following:</w:t>
      </w:r>
    </w:p>
    <w:p>
      <w:pPr>
        <w:spacing w:after="0" w:line="96" w:lineRule="exact"/>
        <w:rPr>
          <w:sz w:val="20"/>
          <w:szCs w:val="20"/>
          <w:color w:val="auto"/>
        </w:rPr>
      </w:pPr>
    </w:p>
    <w:p>
      <w:pPr>
        <w:ind w:left="1280" w:right="400" w:hanging="190"/>
        <w:spacing w:after="0" w:line="276"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amortization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49"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amortization of asset retirement costs arising from landfill capping, closure and post-closure obligations, including (i) costs that have been incurred and capitalized and (ii) projected asset retirement costs.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Amortization expense is recorded on a units-of-consumption basis, applying cost as a rate per ton. The rate per ton is calculated by dividing each component of the amortizable basis of a landfill by the number of tons needed to fill the corresponding asset’s airspace. Landfill capital costs and closure and post-closure asset retirement costs are generally incurred to support the operation of the landfill over its entire operating life, and are, therefore, amortized on a per-ton basis using a landfill’s total airspace capacity. Capping asset retirement costs are attributed to a specific capping event, and are, therefore, amortized on a per-ton basis using each discrete capping event’s estimated airspace capacity. Accordingly, each landfill has multiple per-ton amortization rates.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calculates our landfill airspace amortization expense on a per-ton basis: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w w:val="96"/>
              </w:rPr>
              <w:t>Years Ended December 31,</w:t>
            </w:r>
          </w:p>
        </w:tc>
        <w:tc>
          <w:tcPr>
            <w:tcW w:w="560" w:type="dxa"/>
            <w:vAlign w:val="bottom"/>
            <w:tcBorders>
              <w:bottom w:val="single" w:sz="8" w:color="auto"/>
            </w:tcBorders>
          </w:tcPr>
          <w:p>
            <w:pPr>
              <w:spacing w:after="0"/>
              <w:rPr>
                <w:sz w:val="10"/>
                <w:szCs w:val="10"/>
                <w:color w:val="auto"/>
              </w:rPr>
            </w:pPr>
          </w:p>
        </w:tc>
      </w:tr>
      <w:tr>
        <w:trPr>
          <w:trHeight w:val="98"/>
        </w:trPr>
        <w:tc>
          <w:tcPr>
            <w:tcW w:w="7520" w:type="dxa"/>
            <w:vAlign w:val="bottom"/>
          </w:tcPr>
          <w:p>
            <w:pPr>
              <w:spacing w:after="0"/>
              <w:rPr>
                <w:sz w:val="8"/>
                <w:szCs w:val="8"/>
                <w:color w:val="auto"/>
              </w:rPr>
            </w:pPr>
          </w:p>
        </w:tc>
        <w:tc>
          <w:tcPr>
            <w:tcW w:w="540" w:type="dxa"/>
            <w:vAlign w:val="bottom"/>
          </w:tcPr>
          <w:p>
            <w:pPr>
              <w:jc w:val="right"/>
              <w:ind w:right="58"/>
              <w:spacing w:after="0" w:line="98" w:lineRule="exact"/>
              <w:rPr>
                <w:sz w:val="20"/>
                <w:szCs w:val="20"/>
                <w:color w:val="auto"/>
              </w:rPr>
            </w:pPr>
            <w:r>
              <w:rPr>
                <w:rFonts w:ascii="Arial" w:cs="Arial" w:eastAsia="Arial" w:hAnsi="Arial"/>
                <w:sz w:val="10"/>
                <w:szCs w:val="10"/>
                <w:b w:val="1"/>
                <w:bCs w:val="1"/>
                <w:color w:val="auto"/>
              </w:rPr>
              <w:t>2010</w:t>
            </w:r>
          </w:p>
        </w:tc>
        <w:tc>
          <w:tcPr>
            <w:tcW w:w="1000" w:type="dxa"/>
            <w:vAlign w:val="bottom"/>
            <w:gridSpan w:val="3"/>
          </w:tcPr>
          <w:p>
            <w:pPr>
              <w:jc w:val="right"/>
              <w:ind w:right="200"/>
              <w:spacing w:after="0" w:line="98" w:lineRule="exact"/>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ind w:right="138"/>
              <w:spacing w:after="0" w:line="98" w:lineRule="exact"/>
              <w:rPr>
                <w:sz w:val="20"/>
                <w:szCs w:val="20"/>
                <w:color w:val="auto"/>
              </w:rPr>
            </w:pPr>
            <w:r>
              <w:rPr>
                <w:rFonts w:ascii="Arial" w:cs="Arial" w:eastAsia="Arial" w:hAnsi="Arial"/>
                <w:sz w:val="10"/>
                <w:szCs w:val="10"/>
                <w:b w:val="1"/>
                <w:bCs w:val="1"/>
                <w:color w:val="auto"/>
              </w:rPr>
              <w:t>2008</w:t>
            </w:r>
          </w:p>
        </w:tc>
      </w:tr>
      <w:tr>
        <w:trPr>
          <w:trHeight w:val="29"/>
        </w:trPr>
        <w:tc>
          <w:tcPr>
            <w:tcW w:w="75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r>
      <w:tr>
        <w:trPr>
          <w:trHeight w:val="157"/>
        </w:trPr>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landfill airspace (in millions)</w:t>
            </w: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$ 372</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$ 358</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$ 429</w:t>
            </w:r>
          </w:p>
        </w:tc>
      </w:tr>
      <w:tr>
        <w:trPr>
          <w:trHeight w:val="157"/>
        </w:trPr>
        <w:tc>
          <w:tcPr>
            <w:tcW w:w="7520" w:type="dxa"/>
            <w:vAlign w:val="bottom"/>
          </w:tcPr>
          <w:p>
            <w:pPr>
              <w:spacing w:after="0"/>
              <w:rPr>
                <w:sz w:val="20"/>
                <w:szCs w:val="20"/>
                <w:color w:val="auto"/>
              </w:rPr>
            </w:pPr>
            <w:r>
              <w:rPr>
                <w:rFonts w:ascii="Arial" w:cs="Arial" w:eastAsia="Arial" w:hAnsi="Arial"/>
                <w:sz w:val="13"/>
                <w:szCs w:val="13"/>
                <w:color w:val="auto"/>
              </w:rPr>
              <w:t>Tons received, net of redirected waste (in millions)</w:t>
            </w:r>
          </w:p>
        </w:tc>
        <w:tc>
          <w:tcPr>
            <w:tcW w:w="540" w:type="dxa"/>
            <w:vAlign w:val="bottom"/>
          </w:tcPr>
          <w:p>
            <w:pPr>
              <w:jc w:val="right"/>
              <w:ind w:right="38"/>
              <w:spacing w:after="0"/>
              <w:rPr>
                <w:sz w:val="20"/>
                <w:szCs w:val="20"/>
                <w:color w:val="auto"/>
              </w:rPr>
            </w:pPr>
            <w:r>
              <w:rPr>
                <w:rFonts w:ascii="Arial" w:cs="Arial" w:eastAsia="Arial" w:hAnsi="Arial"/>
                <w:sz w:val="13"/>
                <w:szCs w:val="13"/>
                <w:color w:val="auto"/>
              </w:rPr>
              <w:t>91</w:t>
            </w: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92</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ind w:right="138"/>
              <w:spacing w:after="0"/>
              <w:rPr>
                <w:sz w:val="20"/>
                <w:szCs w:val="20"/>
                <w:color w:val="auto"/>
              </w:rPr>
            </w:pPr>
            <w:r>
              <w:rPr>
                <w:rFonts w:ascii="Arial" w:cs="Arial" w:eastAsia="Arial" w:hAnsi="Arial"/>
                <w:sz w:val="13"/>
                <w:szCs w:val="13"/>
                <w:color w:val="auto"/>
              </w:rPr>
              <w:t>107</w:t>
            </w:r>
          </w:p>
        </w:tc>
      </w:tr>
      <w:tr>
        <w:trPr>
          <w:trHeight w:val="157"/>
        </w:trPr>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Average landfill airspace amortization expense per ton</w:t>
            </w: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$4.08</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$3.90</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$4.01</w:t>
            </w:r>
          </w:p>
        </w:tc>
      </w:tr>
    </w:tbl>
    <w:p>
      <w:pPr>
        <w:spacing w:after="0" w:line="8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Different per-ton amortization rates are applied at each of our 271 landfills, and per-ton amortization rates vary significantly from one landfill to another due to (i) inconsistencies that often exist in construction costs and provincial, state and local regulatory requirements for landfill development and landfill capping, closure and post-closure activities; and (ii) differences in the cost basis of landfills that we develop versus those that we acquire. Accordingly, our landfill airspace amortization expense measured on a per-ton basis can fluctuate due to changes in the mix of volumes we receive across the Company year-over-year. The comparability of our total Company average landfill airspace amortization expense per ton for the years ended December 31, 2010, 2009 and 2008 has also been affected by the recognition of reductions to amortization expense for changes in our estimates related to our capping, closure and post-closure obligations. Landfill amortization expense was reduced by $13 million in 2010, $14 million in 2009 and $3 million in 2008, for the effects of these changes in estimates. In each year, the majority of the reduced expense resulted from revisions in the estimated timing or cost of capping events that were generally the result of (i) concerted efforts to improve the operating efficiencies of our landfills and volume declines, both of which have allowed us to delay spending for capping activities; (ii) effectively managing the cost of capping material and construction; or (iii) landfill expansions that resulted in reduced or deferred capping costs.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and landfill equipment;</w:t>
      </w:r>
    </w:p>
    <w:p>
      <w:pPr>
        <w:spacing w:after="0" w:line="1" w:lineRule="exact"/>
        <w:rPr>
          <w:sz w:val="20"/>
          <w:szCs w:val="20"/>
          <w:color w:val="auto"/>
        </w:rPr>
      </w:pPr>
    </w:p>
    <w:p>
      <w:pPr>
        <w:ind w:left="680" w:right="160" w:firstLine="7"/>
        <w:spacing w:after="0" w:line="256" w:lineRule="auto"/>
        <w:tabs>
          <w:tab w:leader="none" w:pos="909"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construction, refurbishments and improvements at waste-to-energy and materials recovery facilities; (iv) the container and equipment needs of our operations; (v) capping, closure and post-closure activities at our landfills; (vi) the repayment of debt and discharging of other obligations; and (vii) investments and acquisitions that we believe will be accretive and provide continued growth in our business. We also are committed to providing our shareholders with a return on their investment through our capital allocation program that provides for dividend payments and share repurchases.</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and Cash Equivalents, Restricted Trust and Escrow Accounts and Debt Obligations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and cash equivalents, restricted trust and escrow accounts and debt balances as of December 31, 2010 and 2009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0" w:type="dxa"/>
            <w:vAlign w:val="bottom"/>
          </w:tcPr>
          <w:p>
            <w:pPr>
              <w:spacing w:after="0"/>
              <w:rPr>
                <w:sz w:val="1"/>
                <w:szCs w:val="1"/>
                <w:color w:val="auto"/>
              </w:rPr>
            </w:pPr>
          </w:p>
        </w:tc>
      </w:tr>
      <w:tr>
        <w:trPr>
          <w:trHeight w:val="166"/>
        </w:trPr>
        <w:tc>
          <w:tcPr>
            <w:tcW w:w="850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Capping, closure, post-closure and environmental remediation funds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Tax-exempt bond funds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5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65"/>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Debt:</w:t>
            </w: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Current portion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portion</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8,674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8,124</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280"/>
              <w:spacing w:after="0"/>
              <w:rPr>
                <w:sz w:val="20"/>
                <w:szCs w:val="20"/>
                <w:color w:val="auto"/>
              </w:rPr>
            </w:pPr>
            <w:r>
              <w:rPr>
                <w:rFonts w:ascii="Arial" w:cs="Arial" w:eastAsia="Arial" w:hAnsi="Arial"/>
                <w:sz w:val="13"/>
                <w:szCs w:val="13"/>
                <w:color w:val="auto"/>
              </w:rPr>
              <w:t>Total debt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8,907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8,873</w:t>
            </w:r>
          </w:p>
        </w:tc>
        <w:tc>
          <w:tcPr>
            <w:tcW w:w="0" w:type="dxa"/>
            <w:vAlign w:val="bottom"/>
          </w:tcPr>
          <w:p>
            <w:pPr>
              <w:spacing w:after="0"/>
              <w:rPr>
                <w:sz w:val="1"/>
                <w:szCs w:val="1"/>
                <w:color w:val="auto"/>
              </w:rPr>
            </w:pPr>
          </w:p>
        </w:tc>
      </w:tr>
      <w:tr>
        <w:trPr>
          <w:trHeight w:val="33"/>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Cash and cash equivalents </w:t>
      </w:r>
      <w:r>
        <w:rPr>
          <w:rFonts w:ascii="Arial" w:cs="Arial" w:eastAsia="Arial" w:hAnsi="Arial"/>
          <w:sz w:val="12"/>
          <w:szCs w:val="12"/>
          <w:color w:val="auto"/>
        </w:rPr>
        <w:t>— Cash and cash equivalents consist primarily of cash on deposit and money market funds that invest in U.S. government obligations with original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maturities of three months or less. The year-over-year decrease in our cash balances is largely attributable to our November 2009 senior note issuance. We used a significant portion of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proceeds of this debt issuance to fund investments and acquisitions during the first half of 2010, including (i) our acquisition of a waste-to-energy facility in Portsmouth, Virginia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 million and (ii) our purchase of a 40% equity investment in SEG, a subsidiary of Shanghai Chengtou Holding Co., Ltd., for $142 million. Pending application of the offering proceeds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as described, we temporarily invested the proceeds in money market funds, which were reflected as cash equivalents in our December 31, 2009 Consolidated Balance Sheet.</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Restricted trust and escrow accounts </w:t>
      </w:r>
      <w:r>
        <w:rPr>
          <w:rFonts w:ascii="Arial" w:cs="Arial" w:eastAsia="Arial" w:hAnsi="Arial"/>
          <w:sz w:val="13"/>
          <w:szCs w:val="13"/>
          <w:color w:val="auto"/>
        </w:rPr>
        <w:t>— Restricted trust and escrow accounts consist primarily of (i) funds deposited for purposes of settling landfill capping, closure, post-closure</w:t>
      </w:r>
      <w:r>
        <w:rPr>
          <w:rFonts w:ascii="Arial" w:cs="Arial" w:eastAsia="Arial" w:hAnsi="Arial"/>
          <w:sz w:val="13"/>
          <w:szCs w:val="13"/>
          <w:i w:val="1"/>
          <w:iCs w:val="1"/>
          <w:color w:val="auto"/>
        </w:rPr>
        <w:t xml:space="preserve"> </w:t>
      </w:r>
      <w:r>
        <w:rPr>
          <w:rFonts w:ascii="Arial" w:cs="Arial" w:eastAsia="Arial" w:hAnsi="Arial"/>
          <w:sz w:val="13"/>
          <w:szCs w:val="13"/>
          <w:color w:val="auto"/>
        </w:rPr>
        <w:t>and environmental remediation obligations; and (ii) funds received from the issuance of tax-exempt bonds held in trust for the construction of various projects or facilities. These balances are primarily included within long-term “Other assets” in our Consolidated Balance Sheets.</w:t>
      </w:r>
    </w:p>
    <w:p>
      <w:pPr>
        <w:spacing w:after="0" w:line="67"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decrease in capping, closure, post-closure and environmental remediation funds from December 31, 2009 is due to our implementation of revised accounting guidance related to the consolidation of variable interest entities. Effective January 1, 2010, we were required to deconsolidate trusts for which power over significant activities is shared, which reduced our restricted trust and escrow accounts by $109 million. Beginning in 2010, our interests in these variable interest entities were accounted for as investments in unconsolidated entities and receivables. These amounts are recorded in “Other receivables” and as long-term “Other assets” in our Consolidated Balance Sheet.</w:t>
      </w:r>
    </w:p>
    <w:p>
      <w:pPr>
        <w:spacing w:after="0" w:line="53"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decrease in tax-exempt bond funds is attributable to reimbursements distributed to us by the trust funds for approved construction and equipment expenditures and to a decrease in new tax-exempt borrowings.</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Debt </w:t>
      </w:r>
      <w:r>
        <w:rPr>
          <w:rFonts w:ascii="Arial" w:cs="Arial" w:eastAsia="Arial" w:hAnsi="Arial"/>
          <w:sz w:val="13"/>
          <w:szCs w:val="13"/>
          <w:color w:val="auto"/>
        </w:rPr>
        <w:t>— We use long-term borrowings in addition to the cash we generate from operations as part of our overall financial strategy to support and grow our business. We primarily use</w:t>
      </w:r>
      <w:r>
        <w:rPr>
          <w:rFonts w:ascii="Arial" w:cs="Arial" w:eastAsia="Arial" w:hAnsi="Arial"/>
          <w:sz w:val="13"/>
          <w:szCs w:val="13"/>
          <w:i w:val="1"/>
          <w:iCs w:val="1"/>
          <w:color w:val="auto"/>
        </w:rPr>
        <w:t xml:space="preserve"> </w:t>
      </w:r>
      <w:r>
        <w:rPr>
          <w:rFonts w:ascii="Arial" w:cs="Arial" w:eastAsia="Arial" w:hAnsi="Arial"/>
          <w:sz w:val="13"/>
          <w:szCs w:val="13"/>
          <w:color w:val="auto"/>
        </w:rPr>
        <w:t>senior notes and tax-exempt bonds to borrow on a long-term basis, but also use other instruments and facilities when appropriate. The components of our long-term borrowings as of December 31, 2010 are described in Note 7 to the Consolidated Financial Statements.</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Changes in our outstanding debt balances from December 31, 2009 to December 31, 2010 can primarily be attributed to (i) $908 million of cash borrowings, including $592 million in net proceeds from the June 2010 issuance of $600 million of senior notes; (ii) the cash repayment of $1,112 million of outstanding borrowings at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their scheduled maturities, including the repayment of $600 million of senior notes in August 2010 and; (iii) our investment in an entity that invests in and manages federal low-income housing projects, which increased our debt obligation by $215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December 31, 2010, we had (i) $502 million of debt maturing within twelve months, including U.S.$212 million under our Canadian credit facility and $147 million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7.65% senior notes that mature in March 2011; and (ii) $405 million of fixed-rate tax-exempt borrowings subject to re-pricing within the next twelve months. The amount reported as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current portion of long-term debt as of December 31, 2010 excludes $674 million of these amounts because we have the intent and ability to refinance portions of our current maturities on a</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long-term basis.</w:t>
      </w:r>
    </w:p>
    <w:p>
      <w:pPr>
        <w:spacing w:after="0" w:line="8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credit facilities in place to support our liquidity and financial assurance needs. The following table summarizes our outstanding letters of credit (in millions) at December 31, categorized by type of facility:</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r>
      <w:tr>
        <w:trPr>
          <w:trHeight w:val="29"/>
        </w:trPr>
        <w:tc>
          <w:tcPr>
            <w:tcW w:w="13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Revolving credit facility(a)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1,578</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Letter of credit facilities(b)</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505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371</w:t>
            </w: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Other(c)</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w:t>
            </w: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1,880</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2,122</w:t>
            </w: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80" w:right="340" w:hanging="393"/>
        <w:spacing w:after="0" w:line="264" w:lineRule="auto"/>
        <w:tabs>
          <w:tab w:leader="none" w:pos="10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 June 2010, we entered into a three-year, $2.0 billion revolving credit facility, replacing the $2.4 billion revolving credit facility that would have matured in August 2011. At December 31, 2010, we had no outstanding borrowings and $1,138 million of letters of credit issued and supported by the facility. The unused and available credit capacity was $862 million at December 31, 2010.</w:t>
      </w:r>
    </w:p>
    <w:p>
      <w:pPr>
        <w:spacing w:after="0" w:line="17" w:lineRule="exact"/>
        <w:rPr>
          <w:rFonts w:ascii="Arial" w:cs="Arial" w:eastAsia="Arial" w:hAnsi="Arial"/>
          <w:sz w:val="13"/>
          <w:szCs w:val="13"/>
          <w:color w:val="auto"/>
        </w:rPr>
      </w:pPr>
    </w:p>
    <w:p>
      <w:pPr>
        <w:ind w:left="1080" w:right="240" w:hanging="393"/>
        <w:spacing w:after="0" w:line="276" w:lineRule="auto"/>
        <w:tabs>
          <w:tab w:leader="none" w:pos="10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As of December 31, 2010, we had an aggregate committed capacity of $505 million under letter of credit facilities with maturities that extend from June 2013 to June 2015. As of December 31, 2010, no borrowings were outstanding under these letter of credit facilities and we had no unused or available credit capacity.</w:t>
      </w:r>
    </w:p>
    <w:p>
      <w:pPr>
        <w:spacing w:after="0" w:line="10" w:lineRule="exact"/>
        <w:rPr>
          <w:rFonts w:ascii="Arial" w:cs="Arial" w:eastAsia="Arial" w:hAnsi="Arial"/>
          <w:sz w:val="13"/>
          <w:szCs w:val="13"/>
          <w:color w:val="auto"/>
        </w:rPr>
      </w:pPr>
    </w:p>
    <w:p>
      <w:pPr>
        <w:ind w:left="1080" w:hanging="393"/>
        <w:spacing w:after="0"/>
        <w:tabs>
          <w:tab w:leader="none" w:pos="10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These letters of credit are outstanding under various arrangements that do not obligate the counterparty to provide a committed capacity.</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The decrease in the utilization of the revolving credit facility and the increase in the utilization of our letter of credit and other facilities is due to the significantly higher costs associated with the $2.0 billion revolving credit facility that was executed in June 2010.</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flows for the years ended December 31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2,575</w:t>
            </w: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(1,606)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(1,250)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(1,183)</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(1,273)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(1,256)</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Provided by Operating Activities </w:t>
      </w:r>
      <w:r>
        <w:rPr>
          <w:rFonts w:ascii="Arial" w:cs="Arial" w:eastAsia="Arial" w:hAnsi="Arial"/>
          <w:sz w:val="12"/>
          <w:szCs w:val="12"/>
          <w:color w:val="auto"/>
        </w:rPr>
        <w:t>— The most significant items affecting the comparison of our operating cash flows for 2010 and 2009 are summarized below:</w:t>
      </w:r>
    </w:p>
    <w:p>
      <w:pPr>
        <w:spacing w:after="0" w:line="108" w:lineRule="exact"/>
        <w:rPr>
          <w:sz w:val="20"/>
          <w:szCs w:val="20"/>
          <w:color w:val="auto"/>
        </w:rPr>
      </w:pPr>
    </w:p>
    <w:p>
      <w:pPr>
        <w:ind w:left="1280" w:right="40" w:hanging="190"/>
        <w:spacing w:after="0" w:line="260" w:lineRule="auto"/>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 xml:space="preserve">Increase in earnings </w:t>
      </w:r>
      <w:r>
        <w:rPr>
          <w:rFonts w:ascii="Arial" w:cs="Arial" w:eastAsia="Arial" w:hAnsi="Arial"/>
          <w:sz w:val="13"/>
          <w:szCs w:val="13"/>
          <w:color w:val="auto"/>
        </w:rPr>
        <w:t>— Our income from operations increased by $229 million on a year-over-year basis, driven, in part, by a favorable cash benefit of $77 million resulting from</w:t>
      </w:r>
      <w:r>
        <w:rPr>
          <w:rFonts w:ascii="Arial" w:cs="Arial" w:eastAsia="Arial" w:hAnsi="Arial"/>
          <w:sz w:val="13"/>
          <w:szCs w:val="13"/>
          <w:i w:val="1"/>
          <w:iCs w:val="1"/>
          <w:color w:val="auto"/>
        </w:rPr>
        <w:t xml:space="preserve"> </w:t>
      </w:r>
      <w:r>
        <w:rPr>
          <w:rFonts w:ascii="Arial" w:cs="Arial" w:eastAsia="Arial" w:hAnsi="Arial"/>
          <w:sz w:val="13"/>
          <w:szCs w:val="13"/>
          <w:color w:val="auto"/>
        </w:rPr>
        <w:t>a litigation settlement in April 2010. This earnings increase was also impacted by (i) the recognition of a $51 million non-cash charge during the fourth quarter of 2009 associated with the abandonment of licensed revenue management software and (ii) the recognition of a $27 million non-cash charge in the fourth quarter of 2009 as a result of a change in expectations for the future operations of an inactive landfill in California.</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340"/>
        <w:spacing w:after="0" w:line="305" w:lineRule="auto"/>
        <w:rPr>
          <w:sz w:val="20"/>
          <w:szCs w:val="20"/>
          <w:color w:val="auto"/>
        </w:rPr>
      </w:pPr>
      <w:r>
        <w:rPr>
          <w:rFonts w:ascii="Arial" w:cs="Arial" w:eastAsia="Arial" w:hAnsi="Arial"/>
          <w:sz w:val="11"/>
          <w:szCs w:val="11"/>
          <w:color w:val="auto"/>
        </w:rPr>
        <w:t>The comparison of our 2010 and 2009 income from operations was also affected by a $91 million increase in non-cash charges attributable to (i) equity-based compensation expense; (ii) interest accretion on landfill liabilities; (iii) interest accretion and discount rate adjustments on environmental remediation liabilities and recovery assets;</w:t>
      </w:r>
    </w:p>
    <w:p>
      <w:pPr>
        <w:spacing w:after="0" w:line="1" w:lineRule="exact"/>
        <w:rPr>
          <w:sz w:val="20"/>
          <w:szCs w:val="20"/>
          <w:color w:val="auto"/>
        </w:rPr>
      </w:pPr>
    </w:p>
    <w:p>
      <w:pPr>
        <w:ind w:left="1280" w:right="240"/>
        <w:spacing w:after="0" w:line="264" w:lineRule="auto"/>
        <w:rPr>
          <w:sz w:val="20"/>
          <w:szCs w:val="20"/>
          <w:color w:val="auto"/>
        </w:rPr>
      </w:pPr>
      <w:r>
        <w:rPr>
          <w:rFonts w:ascii="Arial" w:cs="Arial" w:eastAsia="Arial" w:hAnsi="Arial"/>
          <w:sz w:val="13"/>
          <w:szCs w:val="13"/>
          <w:color w:val="auto"/>
        </w:rPr>
        <w:t>(iv) depreciation and amortization; and (v) the impact of the withdrawal of certain bargaining units from multiemployer pension plans. While the increase in non-cash charges unfavorably affected our earnings comparison, there is no impact on net cash provided by operating activities.</w:t>
      </w:r>
    </w:p>
    <w:p>
      <w:pPr>
        <w:spacing w:after="0" w:line="66" w:lineRule="exact"/>
        <w:rPr>
          <w:sz w:val="20"/>
          <w:szCs w:val="20"/>
          <w:color w:val="auto"/>
        </w:rPr>
      </w:pPr>
    </w:p>
    <w:p>
      <w:pPr>
        <w:ind w:left="1280" w:right="20" w:hanging="190"/>
        <w:spacing w:after="0" w:line="260" w:lineRule="auto"/>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 xml:space="preserve">Changes in assets and liabilities, net of effects from business acquisitions and divestitures — </w:t>
      </w:r>
      <w:r>
        <w:rPr>
          <w:rFonts w:ascii="Arial" w:cs="Arial" w:eastAsia="Arial" w:hAnsi="Arial"/>
          <w:sz w:val="13"/>
          <w:szCs w:val="13"/>
          <w:color w:val="auto"/>
        </w:rPr>
        <w:t>Our cash flow from operations was negatively impacted in 2010 and favorably</w:t>
      </w:r>
      <w:r>
        <w:rPr>
          <w:rFonts w:ascii="Arial" w:cs="Arial" w:eastAsia="Arial" w:hAnsi="Arial"/>
          <w:sz w:val="13"/>
          <w:szCs w:val="13"/>
          <w:i w:val="1"/>
          <w:iCs w:val="1"/>
          <w:color w:val="auto"/>
        </w:rPr>
        <w:t xml:space="preserve"> </w:t>
      </w:r>
      <w:r>
        <w:rPr>
          <w:rFonts w:ascii="Arial" w:cs="Arial" w:eastAsia="Arial" w:hAnsi="Arial"/>
          <w:sz w:val="13"/>
          <w:szCs w:val="13"/>
          <w:color w:val="auto"/>
        </w:rPr>
        <w:t>impacted in 2009, by changes in our working capital accounts. Although our working capital changes may vary from year to year, they are typically driven by changes in accounts receivable, which are affected by both revenue changes and timing of payments received, and accounts payable changes, which are affected by both cost changes and timing of payments. Additionally, the following are other significant items that affected our cash flow from operations:</w:t>
      </w:r>
    </w:p>
    <w:p>
      <w:pPr>
        <w:spacing w:after="0" w:line="69" w:lineRule="exact"/>
        <w:rPr>
          <w:rFonts w:ascii="Arial" w:cs="Arial" w:eastAsia="Arial" w:hAnsi="Arial"/>
          <w:sz w:val="13"/>
          <w:szCs w:val="13"/>
          <w:color w:val="auto"/>
        </w:rPr>
      </w:pPr>
    </w:p>
    <w:p>
      <w:pPr>
        <w:ind w:left="1500" w:hanging="206"/>
        <w:spacing w:after="0" w:line="276" w:lineRule="auto"/>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Increased income tax payments</w:t>
      </w:r>
      <w:r>
        <w:rPr>
          <w:rFonts w:ascii="Arial" w:cs="Arial" w:eastAsia="Arial" w:hAnsi="Arial"/>
          <w:sz w:val="13"/>
          <w:szCs w:val="13"/>
          <w:color w:val="auto"/>
        </w:rPr>
        <w:t xml:space="preserve"> — Cash paid for income taxes, net of excess tax benefits associated with equity-based transactions, was approximately $86 million higher on a year-over-year basis. The comparability of our effective tax rates is discussed in the </w:t>
      </w:r>
      <w:r>
        <w:rPr>
          <w:rFonts w:ascii="Arial" w:cs="Arial" w:eastAsia="Arial" w:hAnsi="Arial"/>
          <w:sz w:val="13"/>
          <w:szCs w:val="13"/>
          <w:i w:val="1"/>
          <w:iCs w:val="1"/>
          <w:color w:val="auto"/>
        </w:rPr>
        <w:t>Provision for income taxes</w:t>
      </w:r>
      <w:r>
        <w:rPr>
          <w:rFonts w:ascii="Arial" w:cs="Arial" w:eastAsia="Arial" w:hAnsi="Arial"/>
          <w:sz w:val="13"/>
          <w:szCs w:val="13"/>
          <w:color w:val="auto"/>
        </w:rPr>
        <w:t xml:space="preserve"> section above.</w:t>
      </w:r>
    </w:p>
    <w:p>
      <w:pPr>
        <w:spacing w:after="0" w:line="49" w:lineRule="exact"/>
        <w:rPr>
          <w:rFonts w:ascii="Arial" w:cs="Arial" w:eastAsia="Arial" w:hAnsi="Arial"/>
          <w:sz w:val="13"/>
          <w:szCs w:val="13"/>
          <w:color w:val="auto"/>
        </w:rPr>
      </w:pPr>
    </w:p>
    <w:p>
      <w:pPr>
        <w:ind w:left="1500" w:right="120" w:hanging="206"/>
        <w:spacing w:after="0" w:line="260" w:lineRule="auto"/>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Increased interest payments</w:t>
      </w:r>
      <w:r>
        <w:rPr>
          <w:rFonts w:ascii="Arial" w:cs="Arial" w:eastAsia="Arial" w:hAnsi="Arial"/>
          <w:sz w:val="13"/>
          <w:szCs w:val="13"/>
          <w:color w:val="auto"/>
        </w:rPr>
        <w:t xml:space="preserve"> — Cash paid for interest was approximately $61 million higher on a year-over-year basis. This increase is primarily due to (i) the issuance of an additional $600 million of senior notes in November 2009 to support acquisitions and investments made throughout 2010; (ii) significantly higher costs related to the execution and maintenance of our revolving credit facility, which was refinanced in June 2010; and (iii) a decrease in benefits to interest expense provided by active interest rate swaps as a result of decreases in the notional amount of swaps outstanding.</w:t>
      </w:r>
    </w:p>
    <w:p>
      <w:pPr>
        <w:spacing w:after="0" w:line="59" w:lineRule="exact"/>
        <w:rPr>
          <w:rFonts w:ascii="Arial" w:cs="Arial" w:eastAsia="Arial" w:hAnsi="Arial"/>
          <w:sz w:val="13"/>
          <w:szCs w:val="13"/>
          <w:color w:val="auto"/>
        </w:rPr>
      </w:pPr>
    </w:p>
    <w:p>
      <w:pPr>
        <w:ind w:left="1500" w:right="200" w:hanging="206"/>
        <w:spacing w:after="0" w:line="264" w:lineRule="auto"/>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Settlement of Canadian hedge</w:t>
      </w:r>
      <w:r>
        <w:rPr>
          <w:rFonts w:ascii="Arial" w:cs="Arial" w:eastAsia="Arial" w:hAnsi="Arial"/>
          <w:sz w:val="13"/>
          <w:szCs w:val="13"/>
          <w:color w:val="auto"/>
        </w:rPr>
        <w:t xml:space="preserve"> — In December 2010, our previously existing foreign currency hedges matured and we paid cash of $37 million upon settlement. The cash payment from the settlement has been classified as a change in accrued liabilities within “Net cash provided by operating activities” in the Consolidated Statement of Cash Flows.</w:t>
      </w:r>
    </w:p>
    <w:p>
      <w:pPr>
        <w:spacing w:after="0" w:line="57" w:lineRule="exact"/>
        <w:rPr>
          <w:rFonts w:ascii="Arial" w:cs="Arial" w:eastAsia="Arial" w:hAnsi="Arial"/>
          <w:sz w:val="13"/>
          <w:szCs w:val="13"/>
          <w:color w:val="auto"/>
        </w:rPr>
      </w:pPr>
    </w:p>
    <w:p>
      <w:pPr>
        <w:ind w:left="1500" w:right="120" w:hanging="206"/>
        <w:spacing w:after="0" w:line="320" w:lineRule="auto"/>
        <w:rPr>
          <w:rFonts w:ascii="Arial" w:cs="Arial" w:eastAsia="Arial" w:hAnsi="Arial"/>
          <w:sz w:val="13"/>
          <w:szCs w:val="13"/>
          <w:color w:val="auto"/>
        </w:rPr>
      </w:pPr>
      <w:r>
        <w:rPr>
          <w:rFonts w:ascii="Arial" w:cs="Arial" w:eastAsia="Arial" w:hAnsi="Arial"/>
          <w:sz w:val="12"/>
          <w:szCs w:val="12"/>
          <w:color w:val="auto"/>
        </w:rPr>
        <w:t xml:space="preserve">• </w:t>
      </w:r>
      <w:r>
        <w:rPr>
          <w:rFonts w:ascii="Arial" w:cs="Arial" w:eastAsia="Arial" w:hAnsi="Arial"/>
          <w:sz w:val="12"/>
          <w:szCs w:val="12"/>
          <w:i w:val="1"/>
          <w:iCs w:val="1"/>
          <w:color w:val="auto"/>
        </w:rPr>
        <w:t>Liquidation of a foreign subsidiary</w:t>
      </w:r>
      <w:r>
        <w:rPr>
          <w:rFonts w:ascii="Arial" w:cs="Arial" w:eastAsia="Arial" w:hAnsi="Arial"/>
          <w:sz w:val="12"/>
          <w:szCs w:val="12"/>
          <w:color w:val="auto"/>
        </w:rPr>
        <w:t xml:space="preserve"> — We received a $65 million federal tax refund in the third quarter of 2010 related to the liquidation of a foreign subsidiary in 2009. The cash proceeds have been classified as a change in other current assets within “Net cash provided b</w:t>
      </w:r>
      <w:r>
        <w:rPr>
          <w:rFonts w:ascii="Arial" w:cs="Arial" w:eastAsia="Arial" w:hAnsi="Arial"/>
          <w:sz w:val="12"/>
          <w:szCs w:val="12"/>
          <w:i w:val="1"/>
          <w:iCs w:val="1"/>
          <w:color w:val="auto"/>
        </w:rPr>
        <w:t>y</w:t>
      </w:r>
      <w:r>
        <w:rPr>
          <w:rFonts w:ascii="Arial" w:cs="Arial" w:eastAsia="Arial" w:hAnsi="Arial"/>
          <w:sz w:val="12"/>
          <w:szCs w:val="12"/>
          <w:color w:val="auto"/>
        </w:rPr>
        <w:t xml:space="preserve"> operating activities” in the Consolidated Statement of Cash Flows.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most significant items affecting the comparison of our operating cash flows for 2009 and 2008 are summarized below:</w:t>
      </w:r>
    </w:p>
    <w:p>
      <w:pPr>
        <w:spacing w:after="0" w:line="96" w:lineRule="exact"/>
        <w:rPr>
          <w:sz w:val="20"/>
          <w:szCs w:val="20"/>
          <w:color w:val="auto"/>
        </w:rPr>
      </w:pPr>
    </w:p>
    <w:p>
      <w:pPr>
        <w:ind w:left="1280" w:right="160" w:hanging="190"/>
        <w:spacing w:after="0" w:line="260" w:lineRule="auto"/>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 xml:space="preserve">Decrease in earnings </w:t>
      </w:r>
      <w:r>
        <w:rPr>
          <w:rFonts w:ascii="Arial" w:cs="Arial" w:eastAsia="Arial" w:hAnsi="Arial"/>
          <w:sz w:val="13"/>
          <w:szCs w:val="13"/>
          <w:color w:val="auto"/>
        </w:rPr>
        <w:t>— Our income from operations, excluding depreciation and amortization, decreased by $419 million on a year-over-year basis. However, this earnings</w:t>
      </w:r>
      <w:r>
        <w:rPr>
          <w:rFonts w:ascii="Arial" w:cs="Arial" w:eastAsia="Arial" w:hAnsi="Arial"/>
          <w:sz w:val="13"/>
          <w:szCs w:val="13"/>
          <w:i w:val="1"/>
          <w:iCs w:val="1"/>
          <w:color w:val="auto"/>
        </w:rPr>
        <w:t xml:space="preserve"> </w:t>
      </w:r>
      <w:r>
        <w:rPr>
          <w:rFonts w:ascii="Arial" w:cs="Arial" w:eastAsia="Arial" w:hAnsi="Arial"/>
          <w:sz w:val="13"/>
          <w:szCs w:val="13"/>
          <w:color w:val="auto"/>
        </w:rPr>
        <w:t>decline was also impacted by (i) the recognition of a $51 million non-cash charge during the fourth quarter of 2009 associated with the abandonment of licensed revenue management software and (ii) the recognition of a $27 million non-cash charge in the fourth quarter of 2009 as a result of a change in expectations for the future operations of a landfill in California.</w:t>
      </w:r>
    </w:p>
    <w:p>
      <w:pPr>
        <w:spacing w:after="0" w:line="69" w:lineRule="exact"/>
        <w:rPr>
          <w:rFonts w:ascii="Arial" w:cs="Arial" w:eastAsia="Arial" w:hAnsi="Arial"/>
          <w:sz w:val="13"/>
          <w:szCs w:val="13"/>
          <w:color w:val="auto"/>
        </w:rPr>
      </w:pPr>
    </w:p>
    <w:p>
      <w:pPr>
        <w:ind w:left="1280" w:right="360"/>
        <w:spacing w:after="0" w:line="276" w:lineRule="auto"/>
        <w:rPr>
          <w:rFonts w:ascii="Arial" w:cs="Arial" w:eastAsia="Arial" w:hAnsi="Arial"/>
          <w:sz w:val="13"/>
          <w:szCs w:val="13"/>
          <w:color w:val="auto"/>
        </w:rPr>
      </w:pPr>
      <w:r>
        <w:rPr>
          <w:rFonts w:ascii="Arial" w:cs="Arial" w:eastAsia="Arial" w:hAnsi="Arial"/>
          <w:sz w:val="13"/>
          <w:szCs w:val="13"/>
          <w:color w:val="auto"/>
        </w:rPr>
        <w:t>Further, approximately $55 million of the year-over-year decrease in earnings is related to the impact of divestiture gains and gains on sale of assets for which the cash flow impacts are reflected in investing activities in the caption “Proceeds from divestitures of businesses and other sales of assets.”</w:t>
      </w:r>
    </w:p>
    <w:p>
      <w:pPr>
        <w:spacing w:after="0" w:line="59" w:lineRule="exact"/>
        <w:rPr>
          <w:rFonts w:ascii="Arial" w:cs="Arial" w:eastAsia="Arial" w:hAnsi="Arial"/>
          <w:sz w:val="13"/>
          <w:szCs w:val="13"/>
          <w:color w:val="auto"/>
        </w:rPr>
      </w:pPr>
    </w:p>
    <w:p>
      <w:pPr>
        <w:jc w:val="both"/>
        <w:ind w:left="1280" w:right="80"/>
        <w:spacing w:after="0" w:line="296" w:lineRule="auto"/>
        <w:rPr>
          <w:rFonts w:ascii="Arial" w:cs="Arial" w:eastAsia="Arial" w:hAnsi="Arial"/>
          <w:sz w:val="13"/>
          <w:szCs w:val="13"/>
          <w:color w:val="auto"/>
        </w:rPr>
      </w:pPr>
      <w:r>
        <w:rPr>
          <w:rFonts w:ascii="Arial" w:cs="Arial" w:eastAsia="Arial" w:hAnsi="Arial"/>
          <w:sz w:val="12"/>
          <w:szCs w:val="12"/>
          <w:color w:val="auto"/>
        </w:rPr>
        <w:t>The comparison of our 2009 and 2008 income from operations was also affected by an $86 million decrease in non-cash charges attributable to (i) interest accretion and discount rate adjustments on environmental remediation liabilities and recovery assets; (ii) equity-based compensation expense; and (iii) interest accretion on landfill liabilities. While the decrease in non-cash charges favorably affected our earnings comparison, there is no impact on net cash provided by operating activities.</w:t>
      </w:r>
    </w:p>
    <w:p>
      <w:pPr>
        <w:spacing w:after="0" w:line="49" w:lineRule="exact"/>
        <w:rPr>
          <w:rFonts w:ascii="Arial" w:cs="Arial" w:eastAsia="Arial" w:hAnsi="Arial"/>
          <w:sz w:val="13"/>
          <w:szCs w:val="13"/>
          <w:color w:val="auto"/>
        </w:rPr>
      </w:pPr>
    </w:p>
    <w:p>
      <w:pPr>
        <w:ind w:left="1280" w:right="540" w:hanging="190"/>
        <w:spacing w:after="0" w:line="320" w:lineRule="auto"/>
        <w:tabs>
          <w:tab w:leader="none" w:pos="1280"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 xml:space="preserve">Change in receivables </w:t>
      </w:r>
      <w:r>
        <w:rPr>
          <w:rFonts w:ascii="Arial" w:cs="Arial" w:eastAsia="Arial" w:hAnsi="Arial"/>
          <w:sz w:val="12"/>
          <w:szCs w:val="12"/>
          <w:color w:val="auto"/>
        </w:rPr>
        <w:t>— There was a significant decrease in the operating cash flows provided by changes in our receivables balances, net of effects of acquisitions and</w:t>
      </w:r>
      <w:r>
        <w:rPr>
          <w:rFonts w:ascii="Arial" w:cs="Arial" w:eastAsia="Arial" w:hAnsi="Arial"/>
          <w:sz w:val="12"/>
          <w:szCs w:val="12"/>
          <w:i w:val="1"/>
          <w:iCs w:val="1"/>
          <w:color w:val="auto"/>
        </w:rPr>
        <w:t xml:space="preserve"> </w:t>
      </w:r>
      <w:r>
        <w:rPr>
          <w:rFonts w:ascii="Arial" w:cs="Arial" w:eastAsia="Arial" w:hAnsi="Arial"/>
          <w:sz w:val="12"/>
          <w:szCs w:val="12"/>
          <w:color w:val="auto"/>
        </w:rPr>
        <w:t>divestitures, when comparing 2009 with 2008. This decrease is primarily attributable to unusual activity in 2008, including (i) the significant decrease in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280" w:right="320"/>
        <w:spacing w:after="0" w:line="264" w:lineRule="auto"/>
        <w:rPr>
          <w:sz w:val="20"/>
          <w:szCs w:val="20"/>
          <w:color w:val="auto"/>
        </w:rPr>
      </w:pPr>
      <w:r>
        <w:rPr>
          <w:rFonts w:ascii="Arial" w:cs="Arial" w:eastAsia="Arial" w:hAnsi="Arial"/>
          <w:sz w:val="13"/>
          <w:szCs w:val="13"/>
          <w:color w:val="auto"/>
        </w:rPr>
        <w:t>sequential quarter revenues when comparing the fourth quarter of 2008 with the third quarter of 2008, which was driven by the decline in the demand and market prices for recyclable commodities; and (ii) the collection of a $60 million outstanding receivable related to our investments in synthetic fuel production facilities that provided us with Section 45K tax credits through 2007.</w:t>
      </w:r>
    </w:p>
    <w:p>
      <w:pPr>
        <w:spacing w:after="0" w:line="67" w:lineRule="exact"/>
        <w:rPr>
          <w:sz w:val="20"/>
          <w:szCs w:val="20"/>
          <w:color w:val="auto"/>
        </w:rPr>
      </w:pPr>
    </w:p>
    <w:p>
      <w:pPr>
        <w:ind w:left="1280" w:right="100" w:hanging="190"/>
        <w:spacing w:after="0" w:line="276"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Decreased income tax payments </w:t>
      </w:r>
      <w:r>
        <w:rPr>
          <w:rFonts w:ascii="Arial" w:cs="Arial" w:eastAsia="Arial" w:hAnsi="Arial"/>
          <w:sz w:val="13"/>
          <w:szCs w:val="13"/>
          <w:color w:val="auto"/>
        </w:rPr>
        <w:t>— Cash paid for income taxes, net of excess tax benefits associated with equity-based transactions, was approximately $140 million lower on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year-over-year basis. The comparability of our effective tax rates is discussed in the </w:t>
      </w:r>
      <w:r>
        <w:rPr>
          <w:rFonts w:ascii="Arial" w:cs="Arial" w:eastAsia="Arial" w:hAnsi="Arial"/>
          <w:sz w:val="13"/>
          <w:szCs w:val="13"/>
          <w:i w:val="1"/>
          <w:iCs w:val="1"/>
          <w:color w:val="auto"/>
        </w:rPr>
        <w:t>Provision for income taxes</w:t>
      </w:r>
      <w:r>
        <w:rPr>
          <w:rFonts w:ascii="Arial" w:cs="Arial" w:eastAsia="Arial" w:hAnsi="Arial"/>
          <w:sz w:val="13"/>
          <w:szCs w:val="13"/>
          <w:color w:val="auto"/>
        </w:rPr>
        <w:t xml:space="preserve"> section above.</w:t>
      </w:r>
    </w:p>
    <w:p>
      <w:pPr>
        <w:spacing w:after="0" w:line="49" w:lineRule="exact"/>
        <w:rPr>
          <w:rFonts w:ascii="Arial" w:cs="Arial" w:eastAsia="Arial" w:hAnsi="Arial"/>
          <w:sz w:val="13"/>
          <w:szCs w:val="13"/>
          <w:color w:val="auto"/>
        </w:rPr>
      </w:pPr>
    </w:p>
    <w:p>
      <w:pPr>
        <w:ind w:left="1280" w:right="300" w:hanging="190"/>
        <w:spacing w:after="0" w:line="264"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Decreased interest payments </w:t>
      </w:r>
      <w:r>
        <w:rPr>
          <w:rFonts w:ascii="Arial" w:cs="Arial" w:eastAsia="Arial" w:hAnsi="Arial"/>
          <w:sz w:val="13"/>
          <w:szCs w:val="13"/>
          <w:color w:val="auto"/>
        </w:rPr>
        <w:t>— Cash paid for interest was approximately $60 million lower on a year-over-year basis. This decrease is primarily due to a decline in market</w:t>
      </w:r>
      <w:r>
        <w:rPr>
          <w:rFonts w:ascii="Arial" w:cs="Arial" w:eastAsia="Arial" w:hAnsi="Arial"/>
          <w:sz w:val="13"/>
          <w:szCs w:val="13"/>
          <w:i w:val="1"/>
          <w:iCs w:val="1"/>
          <w:color w:val="auto"/>
        </w:rPr>
        <w:t xml:space="preserve"> </w:t>
      </w:r>
      <w:r>
        <w:rPr>
          <w:rFonts w:ascii="Arial" w:cs="Arial" w:eastAsia="Arial" w:hAnsi="Arial"/>
          <w:sz w:val="13"/>
          <w:szCs w:val="13"/>
          <w:color w:val="auto"/>
        </w:rPr>
        <w:t>interest rates, which (i) increased the benefits to our interest costs provided by our active interest rate swap agreements and (ii) reduced the interest costs associated with our variable-rate tax-exempt debt.</w:t>
      </w:r>
    </w:p>
    <w:p>
      <w:pPr>
        <w:spacing w:after="0" w:line="57" w:lineRule="exact"/>
        <w:rPr>
          <w:rFonts w:ascii="Arial" w:cs="Arial" w:eastAsia="Arial" w:hAnsi="Arial"/>
          <w:sz w:val="13"/>
          <w:szCs w:val="13"/>
          <w:color w:val="auto"/>
        </w:rPr>
      </w:pPr>
    </w:p>
    <w:p>
      <w:pPr>
        <w:jc w:val="both"/>
        <w:ind w:left="1280" w:right="140" w:hanging="190"/>
        <w:spacing w:after="0" w:line="264"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Decreased bonus payments </w:t>
      </w:r>
      <w:r>
        <w:rPr>
          <w:rFonts w:ascii="Arial" w:cs="Arial" w:eastAsia="Arial" w:hAnsi="Arial"/>
          <w:sz w:val="13"/>
          <w:szCs w:val="13"/>
          <w:color w:val="auto"/>
        </w:rPr>
        <w:t>— Employee bonus payments earned in 2008, which were paid in the first quarter of 2009, were lower than the bonus payments earned in 2007 but</w:t>
      </w:r>
      <w:r>
        <w:rPr>
          <w:rFonts w:ascii="Arial" w:cs="Arial" w:eastAsia="Arial" w:hAnsi="Arial"/>
          <w:sz w:val="13"/>
          <w:szCs w:val="13"/>
          <w:i w:val="1"/>
          <w:iCs w:val="1"/>
          <w:color w:val="auto"/>
        </w:rPr>
        <w:t xml:space="preserve"> </w:t>
      </w:r>
      <w:r>
        <w:rPr>
          <w:rFonts w:ascii="Arial" w:cs="Arial" w:eastAsia="Arial" w:hAnsi="Arial"/>
          <w:sz w:val="13"/>
          <w:szCs w:val="13"/>
          <w:color w:val="auto"/>
        </w:rPr>
        <w:t>paid in 2008 due to the relative strength of our financial performance against incentive measures in 2007 as compared with 2008. The year-over-year decrease in cash bonuses favorably affected the comparison of our cash flow from operations by approximately $35 million.</w:t>
      </w:r>
    </w:p>
    <w:p>
      <w:pPr>
        <w:spacing w:after="0" w:line="57" w:lineRule="exact"/>
        <w:rPr>
          <w:rFonts w:ascii="Arial" w:cs="Arial" w:eastAsia="Arial" w:hAnsi="Arial"/>
          <w:sz w:val="13"/>
          <w:szCs w:val="13"/>
          <w:color w:val="auto"/>
        </w:rPr>
      </w:pPr>
    </w:p>
    <w:p>
      <w:pPr>
        <w:ind w:left="1280" w:right="100" w:hanging="190"/>
        <w:spacing w:after="0" w:line="260"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Termination of interest rate swaps </w:t>
      </w:r>
      <w:r>
        <w:rPr>
          <w:rFonts w:ascii="Arial" w:cs="Arial" w:eastAsia="Arial" w:hAnsi="Arial"/>
          <w:sz w:val="13"/>
          <w:szCs w:val="13"/>
          <w:color w:val="auto"/>
        </w:rPr>
        <w:t>— In December 2009, we elected to terminate interest rate swaps with a notional amount of $350 million that were scheduled to mature in</w:t>
      </w:r>
      <w:r>
        <w:rPr>
          <w:rFonts w:ascii="Arial" w:cs="Arial" w:eastAsia="Arial" w:hAnsi="Arial"/>
          <w:sz w:val="13"/>
          <w:szCs w:val="13"/>
          <w:i w:val="1"/>
          <w:iCs w:val="1"/>
          <w:color w:val="auto"/>
        </w:rPr>
        <w:t xml:space="preserve"> </w:t>
      </w:r>
      <w:r>
        <w:rPr>
          <w:rFonts w:ascii="Arial" w:cs="Arial" w:eastAsia="Arial" w:hAnsi="Arial"/>
          <w:sz w:val="13"/>
          <w:szCs w:val="13"/>
          <w:color w:val="auto"/>
        </w:rPr>
        <w:t>November 2012. Upon termination of the swaps, we received $20 million in cash for their fair value plus accrued interest receivable. The cash proceeds received from the termination of interest rate swap agreements have been classified as a change in other assets within “Net cash provided by operating activities” in the Consolidated Statement of Cash Flows.</w:t>
      </w:r>
    </w:p>
    <w:p>
      <w:pPr>
        <w:spacing w:after="0" w:line="59"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Accounts payable processes </w:t>
      </w:r>
      <w:r>
        <w:rPr>
          <w:rFonts w:ascii="Arial" w:cs="Arial" w:eastAsia="Arial" w:hAnsi="Arial"/>
          <w:sz w:val="13"/>
          <w:szCs w:val="13"/>
          <w:color w:val="auto"/>
        </w:rPr>
        <w:t>— Changes in our accounts payable balances have favorably impacted our year-over-year cash flow from operations change by approximately</w:t>
      </w:r>
      <w:r>
        <w:rPr>
          <w:rFonts w:ascii="Arial" w:cs="Arial" w:eastAsia="Arial" w:hAnsi="Arial"/>
          <w:sz w:val="13"/>
          <w:szCs w:val="13"/>
          <w:i w:val="1"/>
          <w:iCs w:val="1"/>
          <w:color w:val="auto"/>
        </w:rPr>
        <w:t xml:space="preserve"> </w:t>
      </w:r>
      <w:r>
        <w:rPr>
          <w:rFonts w:ascii="Arial" w:cs="Arial" w:eastAsia="Arial" w:hAnsi="Arial"/>
          <w:sz w:val="13"/>
          <w:szCs w:val="13"/>
          <w:color w:val="auto"/>
        </w:rPr>
        <w:t>$20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Used in Investing Activities </w:t>
      </w:r>
      <w:r>
        <w:rPr>
          <w:rFonts w:ascii="Arial" w:cs="Arial" w:eastAsia="Arial" w:hAnsi="Arial"/>
          <w:sz w:val="12"/>
          <w:szCs w:val="12"/>
          <w:color w:val="auto"/>
        </w:rPr>
        <w:t>— The most significant items affecting the comparison of our investing cash flows for the periods presented are summarized below:</w:t>
      </w:r>
    </w:p>
    <w:p>
      <w:pPr>
        <w:spacing w:after="0" w:line="108" w:lineRule="exact"/>
        <w:rPr>
          <w:sz w:val="20"/>
          <w:szCs w:val="20"/>
          <w:color w:val="auto"/>
        </w:rPr>
      </w:pPr>
    </w:p>
    <w:p>
      <w:pPr>
        <w:ind w:left="1280" w:right="240" w:hanging="190"/>
        <w:spacing w:after="0" w:line="264"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 </w:t>
      </w:r>
      <w:r>
        <w:rPr>
          <w:rFonts w:ascii="Arial" w:cs="Arial" w:eastAsia="Arial" w:hAnsi="Arial"/>
          <w:sz w:val="13"/>
          <w:szCs w:val="13"/>
          <w:color w:val="auto"/>
        </w:rPr>
        <w:t>Our spending on acquisitions increased from $280 million and $281 million during 2008 and 2009, respectively, to $407 million in 2010. During the second</w:t>
      </w:r>
      <w:r>
        <w:rPr>
          <w:rFonts w:ascii="Arial" w:cs="Arial" w:eastAsia="Arial" w:hAnsi="Arial"/>
          <w:sz w:val="13"/>
          <w:szCs w:val="13"/>
          <w:i w:val="1"/>
          <w:iCs w:val="1"/>
          <w:color w:val="auto"/>
        </w:rPr>
        <w:t xml:space="preserve"> </w:t>
      </w:r>
      <w:r>
        <w:rPr>
          <w:rFonts w:ascii="Arial" w:cs="Arial" w:eastAsia="Arial" w:hAnsi="Arial"/>
          <w:sz w:val="13"/>
          <w:szCs w:val="13"/>
          <w:color w:val="auto"/>
        </w:rPr>
        <w:t>quarter of 2010, we paid approximately $150 million to acquire a waste-to-energy facility in Portsmouth, Virginia. We continue to focus on accretive acquisitions and growth opportunities that will contribute to improved future results of operations and enhance and expand our existing service offerings.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Capital expenditures — </w:t>
      </w:r>
      <w:r>
        <w:rPr>
          <w:rFonts w:ascii="Arial" w:cs="Arial" w:eastAsia="Arial" w:hAnsi="Arial"/>
          <w:sz w:val="13"/>
          <w:szCs w:val="13"/>
          <w:color w:val="auto"/>
        </w:rPr>
        <w:t>We used $1,104 million during 2010 for capital expenditures, compared with $1,179 million in 2009 and $1,221 million in 2008.</w:t>
      </w:r>
    </w:p>
    <w:p>
      <w:pPr>
        <w:spacing w:after="0" w:line="86" w:lineRule="exact"/>
        <w:rPr>
          <w:rFonts w:ascii="Arial" w:cs="Arial" w:eastAsia="Arial" w:hAnsi="Arial"/>
          <w:sz w:val="13"/>
          <w:szCs w:val="13"/>
          <w:color w:val="auto"/>
        </w:rPr>
      </w:pPr>
    </w:p>
    <w:p>
      <w:pPr>
        <w:ind w:left="1280" w:right="40" w:hanging="190"/>
        <w:spacing w:after="0" w:line="264"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Net receipts from restricted funds — </w:t>
      </w:r>
      <w:r>
        <w:rPr>
          <w:rFonts w:ascii="Arial" w:cs="Arial" w:eastAsia="Arial" w:hAnsi="Arial"/>
          <w:sz w:val="13"/>
          <w:szCs w:val="13"/>
          <w:color w:val="auto"/>
        </w:rPr>
        <w:t>Net cash received from our restricted trust and escrow accounts, which are largely generated from the issuance of tax-exempt bonds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needs, contributed $48 million to our investing activities in 2010 compared with $196 million in 2009 and $178 million in 2008. The significant decrease in cash received from our restricted trust and escrow accounts during 2010 is due to a decrease in tax-exempt borrowings.</w:t>
      </w:r>
    </w:p>
    <w:p>
      <w:pPr>
        <w:spacing w:after="0" w:line="57"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Investments in unconsolidated entities </w:t>
      </w:r>
      <w:r>
        <w:rPr>
          <w:rFonts w:ascii="Arial" w:cs="Arial" w:eastAsia="Arial" w:hAnsi="Arial"/>
          <w:sz w:val="13"/>
          <w:szCs w:val="13"/>
          <w:color w:val="auto"/>
        </w:rPr>
        <w:t>— We made $173 million of cash investments in unconsolidated entities during 2010. These cash investments were primarily related to a</w:t>
      </w:r>
      <w:r>
        <w:rPr>
          <w:rFonts w:ascii="Arial" w:cs="Arial" w:eastAsia="Arial" w:hAnsi="Arial"/>
          <w:sz w:val="13"/>
          <w:szCs w:val="13"/>
          <w:i w:val="1"/>
          <w:iCs w:val="1"/>
          <w:color w:val="auto"/>
        </w:rPr>
        <w:t xml:space="preserve"> </w:t>
      </w:r>
      <w:r>
        <w:rPr>
          <w:rFonts w:ascii="Arial" w:cs="Arial" w:eastAsia="Arial" w:hAnsi="Arial"/>
          <w:sz w:val="13"/>
          <w:szCs w:val="13"/>
          <w:color w:val="auto"/>
        </w:rPr>
        <w:t>$142 million payment made to acquire a 40% equity investment in Shanghai Environment Group, a subsidiary of Shanghai Chengtou Holding Co., Ltd. As a joint venture partner in SEG, we will participate in the operation and management of waste-to-energy and other waste services in the Chinese market. SEG will also focus on building new waste-to-energy facilities in China.</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Used in Financing Activities </w:t>
      </w:r>
      <w:r>
        <w:rPr>
          <w:rFonts w:ascii="Arial" w:cs="Arial" w:eastAsia="Arial" w:hAnsi="Arial"/>
          <w:sz w:val="12"/>
          <w:szCs w:val="12"/>
          <w:color w:val="auto"/>
        </w:rPr>
        <w:t>— The most significant items affecting the comparison of our financing cash flows for the periods presented are summarized below:</w:t>
      </w:r>
    </w:p>
    <w:p>
      <w:pPr>
        <w:spacing w:after="0" w:line="108" w:lineRule="exact"/>
        <w:rPr>
          <w:sz w:val="20"/>
          <w:szCs w:val="20"/>
          <w:color w:val="auto"/>
        </w:rPr>
      </w:pPr>
    </w:p>
    <w:p>
      <w:pPr>
        <w:ind w:left="1280" w:right="80" w:hanging="190"/>
        <w:spacing w:after="0" w:line="276" w:lineRule="auto"/>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 xml:space="preserve">Share repurchases and dividend payments — </w:t>
      </w:r>
      <w:r>
        <w:rPr>
          <w:rFonts w:ascii="Arial" w:cs="Arial" w:eastAsia="Arial" w:hAnsi="Arial"/>
          <w:sz w:val="13"/>
          <w:szCs w:val="13"/>
          <w:color w:val="auto"/>
        </w:rPr>
        <w:t>Our 2010, 2009 and 2008 share repurchases and dividend payments have been made in accordance with capital allocation programs</w:t>
      </w:r>
      <w:r>
        <w:rPr>
          <w:rFonts w:ascii="Arial" w:cs="Arial" w:eastAsia="Arial" w:hAnsi="Arial"/>
          <w:sz w:val="13"/>
          <w:szCs w:val="13"/>
          <w:i w:val="1"/>
          <w:iCs w:val="1"/>
          <w:color w:val="auto"/>
        </w:rPr>
        <w:t xml:space="preserve"> </w:t>
      </w:r>
      <w:r>
        <w:rPr>
          <w:rFonts w:ascii="Arial" w:cs="Arial" w:eastAsia="Arial" w:hAnsi="Arial"/>
          <w:sz w:val="13"/>
          <w:szCs w:val="13"/>
          <w:color w:val="auto"/>
        </w:rPr>
        <w:t>approved by our Board of Directors.</w:t>
      </w:r>
    </w:p>
    <w:p>
      <w:pPr>
        <w:spacing w:after="0" w:line="59"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2"/>
          <w:szCs w:val="12"/>
          <w:color w:val="auto"/>
        </w:rPr>
        <w:t>We paid $501 million for share repurchases in 2010, compared with $226 million in 2009 and $410 million in 2008. We repurchased approximately 15 million, 7 million and</w:t>
      </w:r>
    </w:p>
    <w:p>
      <w:pPr>
        <w:spacing w:after="0" w:line="26" w:lineRule="exact"/>
        <w:rPr>
          <w:rFonts w:ascii="Arial" w:cs="Arial" w:eastAsia="Arial" w:hAnsi="Arial"/>
          <w:sz w:val="13"/>
          <w:szCs w:val="13"/>
          <w:color w:val="auto"/>
        </w:rPr>
      </w:pPr>
    </w:p>
    <w:p>
      <w:pPr>
        <w:jc w:val="both"/>
        <w:ind w:left="1280" w:right="180"/>
        <w:spacing w:after="0" w:line="258" w:lineRule="auto"/>
        <w:rPr>
          <w:rFonts w:ascii="Arial" w:cs="Arial" w:eastAsia="Arial" w:hAnsi="Arial"/>
          <w:sz w:val="13"/>
          <w:szCs w:val="13"/>
          <w:color w:val="auto"/>
        </w:rPr>
      </w:pPr>
      <w:r>
        <w:rPr>
          <w:rFonts w:ascii="Arial" w:cs="Arial" w:eastAsia="Arial" w:hAnsi="Arial"/>
          <w:sz w:val="13"/>
          <w:szCs w:val="13"/>
          <w:color w:val="auto"/>
        </w:rPr>
        <w:t>12 million shares of our common stock in 2010, 2009 and 2008, respectively. The decline in share repurchases during 2009 is largely attributable to the suspension of our share repurchases in July 2008 in connection with a proposed acquisition and to the state of the financial markets and the economy. Given the stabilization of the capital markets and economic conditions, we elected to resume our share repurchases during the third quarter of 2009.</w:t>
      </w:r>
    </w:p>
    <w:p>
      <w:pPr>
        <w:spacing w:after="0" w:line="70" w:lineRule="exact"/>
        <w:rPr>
          <w:rFonts w:ascii="Arial" w:cs="Arial" w:eastAsia="Arial" w:hAnsi="Arial"/>
          <w:sz w:val="13"/>
          <w:szCs w:val="13"/>
          <w:color w:val="auto"/>
        </w:rPr>
      </w:pPr>
    </w:p>
    <w:p>
      <w:pPr>
        <w:ind w:left="1280" w:right="80"/>
        <w:spacing w:after="0" w:line="264" w:lineRule="auto"/>
        <w:rPr>
          <w:rFonts w:ascii="Arial" w:cs="Arial" w:eastAsia="Arial" w:hAnsi="Arial"/>
          <w:sz w:val="13"/>
          <w:szCs w:val="13"/>
          <w:color w:val="auto"/>
        </w:rPr>
      </w:pPr>
      <w:r>
        <w:rPr>
          <w:rFonts w:ascii="Arial" w:cs="Arial" w:eastAsia="Arial" w:hAnsi="Arial"/>
          <w:sz w:val="13"/>
          <w:szCs w:val="13"/>
          <w:color w:val="auto"/>
        </w:rPr>
        <w:t>We paid an aggregate of $604 million in cash dividends during 2010, compared with $569 million in 2009 and $531 million in 2008. The increase in dividend payments is due to our quarterly per share dividend increasing from $0.27 in 2008, to $0.29 in 2009 and to $0.315 in 2010, and has been offset in part by a reduction in our common stock outstanding as a result of our share repurchase programs.</w:t>
      </w:r>
    </w:p>
    <w:p>
      <w:pPr>
        <w:spacing w:after="0" w:line="66" w:lineRule="exact"/>
        <w:rPr>
          <w:rFonts w:ascii="Arial" w:cs="Arial" w:eastAsia="Arial" w:hAnsi="Arial"/>
          <w:sz w:val="13"/>
          <w:szCs w:val="13"/>
          <w:color w:val="auto"/>
        </w:rPr>
      </w:pPr>
    </w:p>
    <w:p>
      <w:pPr>
        <w:ind w:left="1280" w:right="40"/>
        <w:spacing w:after="0" w:line="260" w:lineRule="auto"/>
        <w:rPr>
          <w:rFonts w:ascii="Arial" w:cs="Arial" w:eastAsia="Arial" w:hAnsi="Arial"/>
          <w:sz w:val="13"/>
          <w:szCs w:val="13"/>
          <w:color w:val="auto"/>
        </w:rPr>
      </w:pPr>
      <w:r>
        <w:rPr>
          <w:rFonts w:ascii="Arial" w:cs="Arial" w:eastAsia="Arial" w:hAnsi="Arial"/>
          <w:sz w:val="13"/>
          <w:szCs w:val="13"/>
          <w:color w:val="auto"/>
        </w:rPr>
        <w:t>In December 2010, the Board of Directors announced that it expects future quarterly dividend payments will be $0.34 per share for dividends declared in 2011. All 2011 share repurchases will be made at the discretion of management, up to $575 million, as approved by the Board of Directors in December 2010, and all actual future dividends must first be declared by the Board of Directors at its discretion, with all decisions dependent on various factors, including our net earnings, financial condition, cash required for future acquisitions and investments and other factors deemed relevant.</w:t>
      </w:r>
    </w:p>
    <w:p>
      <w:pPr>
        <w:spacing w:after="0" w:line="6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 xml:space="preserve">Proceeds from the exercise of common stock options— </w:t>
      </w:r>
      <w:r>
        <w:rPr>
          <w:rFonts w:ascii="Arial" w:cs="Arial" w:eastAsia="Arial" w:hAnsi="Arial"/>
          <w:sz w:val="13"/>
          <w:szCs w:val="13"/>
          <w:color w:val="auto"/>
        </w:rPr>
        <w:t>The exercise of common stock options and the related excess tax benefits generated a total of $54 million of financing cash</w:t>
      </w:r>
      <w:r>
        <w:rPr>
          <w:rFonts w:ascii="Arial" w:cs="Arial" w:eastAsia="Arial" w:hAnsi="Arial"/>
          <w:sz w:val="13"/>
          <w:szCs w:val="13"/>
          <w:i w:val="1"/>
          <w:iCs w:val="1"/>
          <w:color w:val="auto"/>
        </w:rPr>
        <w:t xml:space="preserve"> </w:t>
      </w:r>
      <w:r>
        <w:rPr>
          <w:rFonts w:ascii="Arial" w:cs="Arial" w:eastAsia="Arial" w:hAnsi="Arial"/>
          <w:sz w:val="13"/>
          <w:szCs w:val="13"/>
          <w:color w:val="auto"/>
        </w:rPr>
        <w:t>inflows during 2010 compared with $20 million during 2009 and $37 million in 2008.</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 xml:space="preserve">Net debt repayments — </w:t>
      </w:r>
      <w:r>
        <w:rPr>
          <w:rFonts w:ascii="Arial" w:cs="Arial" w:eastAsia="Arial" w:hAnsi="Arial"/>
          <w:sz w:val="13"/>
          <w:szCs w:val="13"/>
          <w:color w:val="auto"/>
        </w:rPr>
        <w:t>Net debt repayments were $204 million in 2010, net debt borrowings were $414 million in 2009 and net debt repayments were $260 million in 2008. The</w:t>
      </w:r>
      <w:r>
        <w:rPr>
          <w:rFonts w:ascii="Arial" w:cs="Arial" w:eastAsia="Arial" w:hAnsi="Arial"/>
          <w:sz w:val="13"/>
          <w:szCs w:val="13"/>
          <w:i w:val="1"/>
          <w:iCs w:val="1"/>
          <w:color w:val="auto"/>
        </w:rPr>
        <w:t xml:space="preserve"> </w:t>
      </w:r>
      <w:r>
        <w:rPr>
          <w:rFonts w:ascii="Arial" w:cs="Arial" w:eastAsia="Arial" w:hAnsi="Arial"/>
          <w:sz w:val="13"/>
          <w:szCs w:val="13"/>
          <w:color w:val="auto"/>
        </w:rPr>
        <w:t>following summarizes our most significant cash borrowings and debt repayments made during each year (in millions):</w:t>
      </w:r>
    </w:p>
    <w:p>
      <w:pPr>
        <w:spacing w:after="0" w:line="61" w:lineRule="exact"/>
        <w:rPr>
          <w:sz w:val="20"/>
          <w:szCs w:val="20"/>
          <w:color w:val="auto"/>
        </w:rPr>
      </w:pPr>
    </w:p>
    <w:tbl>
      <w:tblPr>
        <w:tblLayout w:type="fixed"/>
        <w:tblInd w:w="2480" w:type="dxa"/>
        <w:tblCellMar>
          <w:top w:w="0" w:type="dxa"/>
          <w:left w:w="0" w:type="dxa"/>
          <w:bottom w:w="0" w:type="dxa"/>
          <w:right w:w="0" w:type="dxa"/>
        </w:tblCellMar>
      </w:tblPr>
      <w:tr>
        <w:trPr>
          <w:trHeight w:val="125"/>
        </w:trPr>
        <w:tc>
          <w:tcPr>
            <w:tcW w:w="4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8"/>
          </w:tcPr>
          <w:p>
            <w:pPr>
              <w:jc w:val="center"/>
              <w:ind w:right="140"/>
              <w:spacing w:after="0"/>
              <w:rPr>
                <w:sz w:val="20"/>
                <w:szCs w:val="20"/>
                <w:color w:val="auto"/>
              </w:rPr>
            </w:pPr>
            <w:r>
              <w:rPr>
                <w:rFonts w:ascii="Arial" w:cs="Arial" w:eastAsia="Arial" w:hAnsi="Arial"/>
                <w:sz w:val="10"/>
                <w:szCs w:val="10"/>
                <w:b w:val="1"/>
                <w:bCs w:val="1"/>
                <w:color w:val="auto"/>
                <w:w w:val="93"/>
              </w:rPr>
              <w:t>Years Ended December 31,</w:t>
            </w:r>
          </w:p>
        </w:tc>
        <w:tc>
          <w:tcPr>
            <w:tcW w:w="0" w:type="dxa"/>
            <w:vAlign w:val="bottom"/>
          </w:tcPr>
          <w:p>
            <w:pPr>
              <w:spacing w:after="0"/>
              <w:rPr>
                <w:sz w:val="1"/>
                <w:szCs w:val="1"/>
                <w:color w:val="auto"/>
              </w:rPr>
            </w:pPr>
          </w:p>
        </w:tc>
      </w:tr>
      <w:tr>
        <w:trPr>
          <w:trHeight w:val="98"/>
        </w:trPr>
        <w:tc>
          <w:tcPr>
            <w:tcW w:w="46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2010</w:t>
            </w:r>
          </w:p>
        </w:tc>
        <w:tc>
          <w:tcPr>
            <w:tcW w:w="26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98"/>
              </w:rPr>
              <w:t>2009</w:t>
            </w:r>
          </w:p>
        </w:tc>
        <w:tc>
          <w:tcPr>
            <w:tcW w:w="26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98"/>
              </w:rPr>
              <w:t>2008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Revolving credit facility</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Canadian credit facility</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316</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364</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Senior notes</w:t>
            </w:r>
          </w:p>
        </w:tc>
        <w:tc>
          <w:tcPr>
            <w:tcW w:w="8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592</w:t>
            </w:r>
          </w:p>
        </w:tc>
        <w:tc>
          <w:tcPr>
            <w:tcW w:w="6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w w:val="98"/>
              </w:rPr>
              <w:t>1,385</w:t>
            </w:r>
          </w:p>
        </w:tc>
        <w:tc>
          <w:tcPr>
            <w:tcW w:w="6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594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8"/>
              </w:rPr>
              <w:t>1,749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1,525</w:t>
            </w:r>
          </w:p>
        </w:tc>
        <w:tc>
          <w:tcPr>
            <w:tcW w:w="0" w:type="dxa"/>
            <w:vAlign w:val="bottom"/>
          </w:tcPr>
          <w:p>
            <w:pPr>
              <w:spacing w:after="0"/>
              <w:rPr>
                <w:sz w:val="1"/>
                <w:szCs w:val="1"/>
                <w:color w:val="auto"/>
              </w:rPr>
            </w:pPr>
          </w:p>
        </w:tc>
      </w:tr>
      <w:tr>
        <w:trPr>
          <w:trHeight w:val="156"/>
        </w:trPr>
        <w:tc>
          <w:tcPr>
            <w:tcW w:w="4600" w:type="dxa"/>
            <w:vAlign w:val="bottom"/>
          </w:tcPr>
          <w:p>
            <w:pPr>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Revolving 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Canadian credit facility</w:t>
            </w:r>
          </w:p>
        </w:tc>
        <w:tc>
          <w:tcPr>
            <w:tcW w:w="8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(372)</w:t>
            </w: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(395)</w:t>
            </w:r>
          </w:p>
        </w:tc>
        <w:tc>
          <w:tcPr>
            <w:tcW w:w="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(634)</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notes</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(600)</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(500)</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Tax exempt bonds</w:t>
            </w:r>
          </w:p>
        </w:tc>
        <w:tc>
          <w:tcPr>
            <w:tcW w:w="8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(52)</w:t>
            </w: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(65)</w:t>
            </w:r>
          </w:p>
        </w:tc>
        <w:tc>
          <w:tcPr>
            <w:tcW w:w="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 exempt project bonds</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(39)</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(39)</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Capital leases and other debt</w:t>
            </w:r>
          </w:p>
        </w:tc>
        <w:tc>
          <w:tcPr>
            <w:tcW w:w="8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(49)</w:t>
            </w: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(26)</w:t>
            </w:r>
          </w:p>
        </w:tc>
        <w:tc>
          <w:tcPr>
            <w:tcW w:w="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7"/>
              </w:rPr>
              <w:t>(1,112)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(1,335)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(1,785)</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3"/>
                <w:szCs w:val="13"/>
                <w:i w:val="1"/>
                <w:iCs w:val="1"/>
                <w:color w:val="auto"/>
              </w:rPr>
              <w:t>Net borrowings (repayments)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(204)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414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30"/>
        </w:trPr>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280"/>
        <w:spacing w:after="0" w:line="276" w:lineRule="auto"/>
        <w:rPr>
          <w:sz w:val="20"/>
          <w:szCs w:val="20"/>
          <w:color w:val="auto"/>
        </w:rPr>
      </w:pPr>
      <w:r>
        <w:rPr>
          <w:rFonts w:ascii="Arial" w:cs="Arial" w:eastAsia="Arial" w:hAnsi="Arial"/>
          <w:sz w:val="13"/>
          <w:szCs w:val="13"/>
          <w:color w:val="auto"/>
        </w:rPr>
        <w:t>This summary excludes the impacts of non-cash borrowings and debt repayments. During the year ended December 31, 2010, we had a $215 million non-cash increase in our debt obligations as a result of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140"/>
        <w:spacing w:after="0" w:line="334" w:lineRule="auto"/>
        <w:rPr>
          <w:sz w:val="20"/>
          <w:szCs w:val="20"/>
          <w:color w:val="auto"/>
        </w:rPr>
      </w:pPr>
      <w:r>
        <w:rPr>
          <w:rFonts w:ascii="Arial" w:cs="Arial" w:eastAsia="Arial" w:hAnsi="Arial"/>
          <w:sz w:val="11"/>
          <w:szCs w:val="11"/>
          <w:color w:val="auto"/>
        </w:rPr>
        <w:t>issuance of a note payable in return for a noncontrolling interest in a limited liability company established to invest in and manage low-income housing properties. This investment is discussed in detail in Note 9. For the years ended December 31, 2009 and 2008, these non-cash financing activities were primarily associated with our tax-exempt bond financings. Proceeds from tax-exempt bond issuances, net of principal repayments made directly from trust funds, were $105 million in 2009 and $169 million in 2008.</w:t>
      </w:r>
    </w:p>
    <w:p>
      <w:pPr>
        <w:spacing w:after="0" w:line="32" w:lineRule="exact"/>
        <w:rPr>
          <w:sz w:val="20"/>
          <w:szCs w:val="20"/>
          <w:color w:val="auto"/>
        </w:rPr>
      </w:pPr>
    </w:p>
    <w:p>
      <w:pPr>
        <w:ind w:left="1280" w:right="120" w:hanging="190"/>
        <w:spacing w:after="0" w:line="296" w:lineRule="auto"/>
        <w:tabs>
          <w:tab w:leader="none" w:pos="1280" w:val="left"/>
        </w:tabs>
        <w:numPr>
          <w:ilvl w:val="0"/>
          <w:numId w:val="50"/>
        </w:numPr>
        <w:rPr>
          <w:rFonts w:ascii="Arial" w:cs="Arial" w:eastAsia="Arial" w:hAnsi="Arial"/>
          <w:sz w:val="12"/>
          <w:szCs w:val="12"/>
          <w:color w:val="auto"/>
        </w:rPr>
      </w:pPr>
      <w:r>
        <w:rPr>
          <w:rFonts w:ascii="Arial" w:cs="Arial" w:eastAsia="Arial" w:hAnsi="Arial"/>
          <w:sz w:val="12"/>
          <w:szCs w:val="12"/>
          <w:i w:val="1"/>
          <w:iCs w:val="1"/>
          <w:color w:val="auto"/>
        </w:rPr>
        <w:t xml:space="preserve">Other — </w:t>
      </w:r>
      <w:r>
        <w:rPr>
          <w:rFonts w:ascii="Arial" w:cs="Arial" w:eastAsia="Arial" w:hAnsi="Arial"/>
          <w:sz w:val="12"/>
          <w:szCs w:val="12"/>
          <w:color w:val="auto"/>
        </w:rPr>
        <w:t>Net cash provided by other financing activities was $18 million in 2010 while net cash used in other financing activities was $50 million in 2009 and $43 million in</w:t>
      </w:r>
      <w:r>
        <w:rPr>
          <w:rFonts w:ascii="Arial" w:cs="Arial" w:eastAsia="Arial" w:hAnsi="Arial"/>
          <w:sz w:val="12"/>
          <w:szCs w:val="12"/>
          <w:i w:val="1"/>
          <w:iCs w:val="1"/>
          <w:color w:val="auto"/>
        </w:rPr>
        <w:t xml:space="preserve"> </w:t>
      </w:r>
      <w:r>
        <w:rPr>
          <w:rFonts w:ascii="Arial" w:cs="Arial" w:eastAsia="Arial" w:hAnsi="Arial"/>
          <w:sz w:val="12"/>
          <w:szCs w:val="12"/>
          <w:color w:val="auto"/>
        </w:rPr>
        <w:t>2008. These activities are primarily attributable to changes in our accrued liabilities for checks written in excess of cash balances due to the timing of cash deposits or payments. The cash provided by these activities in 2010 was offset, in part, by $13 million of financing costs paid to execute our new $2.0 billion revolving credit facility.</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of 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our contractual obligations as of December 31, 2010 and the anticipated effect of these obligations on our liquidity in future years (in millions):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b w:val="1"/>
                <w:bCs w:val="1"/>
                <w:color w:val="auto"/>
              </w:rPr>
              <w:t>2012</w:t>
            </w:r>
          </w:p>
        </w:tc>
        <w:tc>
          <w:tcPr>
            <w:tcW w:w="40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2013</w:t>
            </w:r>
          </w:p>
        </w:tc>
        <w:tc>
          <w:tcPr>
            <w:tcW w:w="4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b w:val="1"/>
                <w:bCs w:val="1"/>
                <w:color w:val="auto"/>
              </w:rPr>
              <w:t>2014</w:t>
            </w:r>
          </w:p>
        </w:tc>
        <w:tc>
          <w:tcPr>
            <w:tcW w:w="38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b w:val="1"/>
                <w:bCs w:val="1"/>
                <w:color w:val="auto"/>
              </w:rPr>
              <w:t>2015</w:t>
            </w:r>
          </w:p>
        </w:tc>
        <w:tc>
          <w:tcPr>
            <w:tcW w:w="400" w:type="dxa"/>
            <w:vAlign w:val="bottom"/>
          </w:tcPr>
          <w:p>
            <w:pPr>
              <w:spacing w:after="0"/>
              <w:rPr>
                <w:sz w:val="10"/>
                <w:szCs w:val="10"/>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Thereafter</w:t>
            </w:r>
          </w:p>
        </w:tc>
        <w:tc>
          <w:tcPr>
            <w:tcW w:w="120" w:type="dxa"/>
            <w:vAlign w:val="bottom"/>
          </w:tcPr>
          <w:p>
            <w:pPr>
              <w:spacing w:after="0"/>
              <w:rPr>
                <w:sz w:val="10"/>
                <w:szCs w:val="10"/>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7"/>
        </w:trPr>
        <w:tc>
          <w:tcPr>
            <w:tcW w:w="48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Recorded Obligations:</w:t>
            </w:r>
          </w:p>
        </w:tc>
        <w:tc>
          <w:tcPr>
            <w:tcW w:w="32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Expected environmental liabilities(a)</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Capping, closure and post-closure</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$ 105</w:t>
            </w:r>
          </w:p>
        </w:tc>
        <w:tc>
          <w:tcPr>
            <w:tcW w:w="4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$ 116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$ 102</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$ 107</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2,469</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Environmental remediation</w:t>
            </w:r>
          </w:p>
        </w:tc>
        <w:tc>
          <w:tcPr>
            <w:tcW w:w="320" w:type="dxa"/>
            <w:vAlign w:val="bottom"/>
          </w:tcPr>
          <w:p>
            <w:pPr>
              <w:jc w:val="right"/>
              <w:spacing w:after="0"/>
              <w:rPr>
                <w:sz w:val="20"/>
                <w:szCs w:val="20"/>
                <w:color w:val="auto"/>
              </w:rPr>
            </w:pPr>
            <w:r>
              <w:rPr>
                <w:rFonts w:ascii="Arial" w:cs="Arial" w:eastAsia="Arial" w:hAnsi="Arial"/>
                <w:sz w:val="13"/>
                <w:szCs w:val="13"/>
                <w:color w:val="auto"/>
              </w:rPr>
              <w:t>43</w:t>
            </w:r>
          </w:p>
        </w:tc>
        <w:tc>
          <w:tcPr>
            <w:tcW w:w="42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21</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30</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1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35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4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117</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132</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2,765</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Debt payments(b),(c),(d)</w:t>
            </w:r>
          </w:p>
        </w:tc>
        <w:tc>
          <w:tcPr>
            <w:tcW w:w="320" w:type="dxa"/>
            <w:vAlign w:val="bottom"/>
          </w:tcPr>
          <w:p>
            <w:pPr>
              <w:jc w:val="right"/>
              <w:spacing w:after="0"/>
              <w:rPr>
                <w:sz w:val="20"/>
                <w:szCs w:val="20"/>
                <w:color w:val="auto"/>
              </w:rPr>
            </w:pPr>
            <w:r>
              <w:rPr>
                <w:rFonts w:ascii="Arial" w:cs="Arial" w:eastAsia="Arial" w:hAnsi="Arial"/>
                <w:sz w:val="13"/>
                <w:szCs w:val="13"/>
                <w:color w:val="auto"/>
              </w:rPr>
              <w:t>511</w:t>
            </w:r>
          </w:p>
        </w:tc>
        <w:tc>
          <w:tcPr>
            <w:tcW w:w="42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614</w:t>
            </w: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w w:val="82"/>
              </w:rPr>
              <w:t>203</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459</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452</w:t>
            </w:r>
          </w:p>
        </w:tc>
        <w:tc>
          <w:tcPr>
            <w:tcW w:w="1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6,600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8,839</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Unrecorded Obligations:</w:t>
            </w:r>
            <w:r>
              <w:rPr>
                <w:rFonts w:ascii="Arial" w:cs="Arial" w:eastAsia="Arial" w:hAnsi="Arial"/>
                <w:sz w:val="13"/>
                <w:szCs w:val="13"/>
                <w:color w:val="auto"/>
              </w:rPr>
              <w:t>(e)</w:t>
            </w: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Non-cancelable operating lease obligations</w:t>
            </w:r>
          </w:p>
        </w:tc>
        <w:tc>
          <w:tcPr>
            <w:tcW w:w="320" w:type="dxa"/>
            <w:vAlign w:val="bottom"/>
          </w:tcPr>
          <w:p>
            <w:pPr>
              <w:jc w:val="right"/>
              <w:spacing w:after="0"/>
              <w:rPr>
                <w:sz w:val="20"/>
                <w:szCs w:val="20"/>
                <w:color w:val="auto"/>
              </w:rPr>
            </w:pPr>
            <w:r>
              <w:rPr>
                <w:rFonts w:ascii="Arial" w:cs="Arial" w:eastAsia="Arial" w:hAnsi="Arial"/>
                <w:sz w:val="13"/>
                <w:szCs w:val="13"/>
                <w:color w:val="auto"/>
              </w:rPr>
              <w:t>82</w:t>
            </w:r>
          </w:p>
        </w:tc>
        <w:tc>
          <w:tcPr>
            <w:tcW w:w="42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62</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51</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40</w:t>
            </w:r>
          </w:p>
        </w:tc>
        <w:tc>
          <w:tcPr>
            <w:tcW w:w="1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Estimated unconditional purchase obligations(f)</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4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140"/>
              <w:spacing w:after="0"/>
              <w:rPr>
                <w:sz w:val="20"/>
                <w:szCs w:val="20"/>
                <w:color w:val="auto"/>
              </w:rPr>
            </w:pPr>
            <w:r>
              <w:rPr>
                <w:rFonts w:ascii="Arial" w:cs="Arial" w:eastAsia="Arial" w:hAnsi="Arial"/>
                <w:sz w:val="13"/>
                <w:szCs w:val="13"/>
                <w:color w:val="auto"/>
              </w:rPr>
              <w:t>Anticipated liquidity impact as of December 31, 2010</w:t>
            </w: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800" w:type="dxa"/>
            <w:vAlign w:val="bottom"/>
            <w:gridSpan w:val="2"/>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$ 826</w:t>
            </w:r>
          </w:p>
        </w:tc>
        <w:tc>
          <w:tcPr>
            <w:tcW w:w="42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$ 927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w w:val="82"/>
              </w:rPr>
              <w:t>440</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w w:val="85"/>
              </w:rPr>
              <w:t>$ 663</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$ 639</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9,137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12,632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220" w:hanging="393"/>
        <w:spacing w:after="0" w:line="264" w:lineRule="auto"/>
        <w:tabs>
          <w:tab w:leader="none" w:pos="10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Environmental liabilities include capping, closure, post-closure and environmental remediation costs. The amounts included here reflect environmental liabilities recorded in our Consolidated Balance Sheet as of December 31, 2010 without the impact of discounting and inflation. Our recorded environmental liabilities for capping, closure and post-closure will increase as we continue to place additional tons within the permitted airspace at our landfills.</w:t>
      </w:r>
    </w:p>
    <w:p>
      <w:pPr>
        <w:spacing w:after="0" w:line="17" w:lineRule="exact"/>
        <w:rPr>
          <w:rFonts w:ascii="Arial" w:cs="Arial" w:eastAsia="Arial" w:hAnsi="Arial"/>
          <w:sz w:val="13"/>
          <w:szCs w:val="13"/>
          <w:color w:val="auto"/>
        </w:rPr>
      </w:pPr>
    </w:p>
    <w:p>
      <w:pPr>
        <w:ind w:left="1080" w:right="500" w:hanging="393"/>
        <w:spacing w:after="0" w:line="276" w:lineRule="auto"/>
        <w:tabs>
          <w:tab w:leader="none" w:pos="10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amounts reported here represent the scheduled principal payments related to our long-term debt, excluding related interest. Refer to Note 7 to the Consolidated Financial Statements for information regarding interest rates.</w:t>
      </w:r>
    </w:p>
    <w:p>
      <w:pPr>
        <w:spacing w:after="0" w:line="10" w:lineRule="exact"/>
        <w:rPr>
          <w:rFonts w:ascii="Arial" w:cs="Arial" w:eastAsia="Arial" w:hAnsi="Arial"/>
          <w:sz w:val="13"/>
          <w:szCs w:val="13"/>
          <w:color w:val="auto"/>
        </w:rPr>
      </w:pPr>
    </w:p>
    <w:p>
      <w:pPr>
        <w:ind w:left="1080" w:right="20" w:hanging="393"/>
        <w:spacing w:after="0" w:line="289" w:lineRule="auto"/>
        <w:tabs>
          <w:tab w:leader="none" w:pos="10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Our debt obligations as of December 31, 2010 include $405 million of tax-exempt bonds subject to re-pricing within the next twelve months, which is prior to their scheduled maturities. If the re-offerings of the bonds are unsuccessful, then the bonds can be put to us, requiring immediate repayment. We have classified the anticipated cash flows for these contractual obligations based on the scheduled maturity of the borrowing for purposes of this disclosure. For additional information regarding the classification of these borrowings in our Consolidated Balance Sheet as of December 31, 2010, refer to Note 7 to the Consolidated Financial Statements.</w:t>
      </w:r>
    </w:p>
    <w:p>
      <w:pPr>
        <w:spacing w:after="0" w:line="3" w:lineRule="exact"/>
        <w:rPr>
          <w:rFonts w:ascii="Arial" w:cs="Arial" w:eastAsia="Arial" w:hAnsi="Arial"/>
          <w:sz w:val="12"/>
          <w:szCs w:val="12"/>
          <w:color w:val="auto"/>
        </w:rPr>
      </w:pPr>
    </w:p>
    <w:p>
      <w:pPr>
        <w:ind w:left="1080" w:right="120" w:hanging="393"/>
        <w:spacing w:after="0" w:line="276" w:lineRule="auto"/>
        <w:tabs>
          <w:tab w:leader="none" w:pos="10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Our recorded debt obligations include non-cash adjustments associated with discounts, premiums and fair value adjustments for interest rate hedging activities. These amounts have been excluded here because they will not result in an impact to our liquidity in future periods.</w:t>
      </w:r>
    </w:p>
    <w:p>
      <w:pPr>
        <w:spacing w:after="0" w:line="10" w:lineRule="exact"/>
        <w:rPr>
          <w:rFonts w:ascii="Arial" w:cs="Arial" w:eastAsia="Arial" w:hAnsi="Arial"/>
          <w:sz w:val="13"/>
          <w:szCs w:val="13"/>
          <w:color w:val="auto"/>
        </w:rPr>
      </w:pPr>
    </w:p>
    <w:p>
      <w:pPr>
        <w:ind w:left="1080" w:right="20" w:hanging="393"/>
        <w:spacing w:after="0" w:line="264" w:lineRule="auto"/>
        <w:tabs>
          <w:tab w:leader="none" w:pos="10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Our unrecorded obligations represent operating lease obligations and purchase commitments from which we expect to realize an economic benefit in future periods. We have also made certain guarantees, as discussed in Note 11 to the Consolidated Financial Statements, that we do not expect to materially affect our current or future financial position, results of operations or liquidity.</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right="60" w:hanging="393"/>
        <w:spacing w:after="0" w:line="260" w:lineRule="auto"/>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Our unconditional purchase obligations are for various contractual obligations that we generally incur in the ordinary course of our business. Certain of our obligations are quantity driven. For these contracts, we have estimated our future obligations based on the current market values of the underlying products or services. Accordingly, the amounts reported in the table are not necessarily indicative of our actual cash flow obligations. See Note 11 to the Consolidated Financial Statements for discussion of the nature and terms of our unconditional purchase obligations.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discussed in Note 9 of our Consolidated Financial Statements, we have liabilities associated with unrecognized tax benefits and related interest. These liabilities are primarily included as a component of long-term “Other liabilities” in our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11 to the Consolidated Financial Statements. These arrangements have not materially affected our financial position, results of operations or liquidity during the year ended December 31, 2010 nor are they expected to have a material impact on our future financial position, results of operations or liquidity.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Inflation</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While inflationary increases in costs, including the cost of diesel fuel, have affected our operating margins in recent years, we believe that inflation generally has not had, and in the near future is not expected to have, any material adverse effect on our results of operations. However, as of December 31, 2010, over 35%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October 2009, the FASB amended authoritative guidance associated with multiple-deliverable revenue arrangements. This</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guidance addresses the determination of when individual deliverables within an arrangement may be treated as separate units of accounting and modifies the manner in which consideration is allocated across the separately identifiable deliverables. The amendments to authoritative guidance associated with multiple-deliverable revenue arrangements became effective for the Company on January 1, 2011. The new accounting standard may be applied either retrospectively for all periods presented or prospectively to arrangements entered into or materially modified after the date of adoption. We do not expect that the adoption of this guidance will have a material impact on our consolidated financial statements.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However, our adoption of this guidance may significantly impact our accounting and reporting for future revenue arrangements to the extent they are material.</w:t>
      </w:r>
    </w:p>
    <w:p>
      <w:pPr>
        <w:spacing w:after="0" w:line="12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71"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In the normal course of business, we are exposed to market risks, including changes in interest rates, Canadian currency rates and certain commodity prices. From time to time, we use derivatives to manage some portion of these risks. Our derivatives are agreements with independent counterparties that provide for payments based on a notional amount. As of December 31, 2010, all of our derivative transactions were related to actual or anticipated economic exposures. We are exposed to credit risk in the event of non-performance by our derivative counterparties. However, we monitor our derivative positions by regularly evaluating our positions and the creditworthiness of the counterparties.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Interest Rate Exposure </w:t>
      </w:r>
      <w:r>
        <w:rPr>
          <w:rFonts w:ascii="Arial" w:cs="Arial" w:eastAsia="Arial" w:hAnsi="Arial"/>
          <w:sz w:val="13"/>
          <w:szCs w:val="13"/>
          <w:color w:val="auto"/>
        </w:rPr>
        <w:t>— Our exposure to market risk for changes in interest rates relates primarily to our financing activities, although our interest costs can also be significantly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affected by our on-going financial assurance needs, which are discussed in the </w:t>
      </w:r>
      <w:r>
        <w:rPr>
          <w:rFonts w:ascii="Arial" w:cs="Arial" w:eastAsia="Arial" w:hAnsi="Arial"/>
          <w:sz w:val="13"/>
          <w:szCs w:val="13"/>
          <w:i w:val="1"/>
          <w:iCs w:val="1"/>
          <w:color w:val="auto"/>
        </w:rPr>
        <w:t>Financial Assurance and Insurance Obligations</w:t>
      </w:r>
      <w:r>
        <w:rPr>
          <w:rFonts w:ascii="Arial" w:cs="Arial" w:eastAsia="Arial" w:hAnsi="Arial"/>
          <w:sz w:val="13"/>
          <w:szCs w:val="13"/>
          <w:color w:val="auto"/>
        </w:rPr>
        <w:t xml:space="preserve"> section of Item 1.</w:t>
      </w:r>
    </w:p>
    <w:p>
      <w:pPr>
        <w:spacing w:after="0" w:line="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of December 31, 2010, we had $8.8 billion of long-term debt when excluding the impacts of accounting for fair value adjustments attributable to interest rate derivatives, discounts and premiums. The effective interest rates of approximately $1.8 billion of our outstanding debt obligations are subject to change during 2011. The most significant components of our variable-rate debt obligations are (i) $500 million of “receive fixed, pay variable” interest rate swaps associated with outstanding fixed-rate senior notes; (ii) $611 million of tax-exempt bonds that are subject to re-pricing on either a daily or weekly basis through a remarketing process; (iii) $405 million of tax-exempt bonds with term interest rate periods that are subject to re-pricing within twelve months; and (iv) $215 million of outstanding advances under our Canadian Credit Facility. As of December 31, 2009, the effective interest rates of approximately $3.0 billion of our outstanding debt obligations were subject to change within twelve months.</w:t>
      </w:r>
    </w:p>
    <w:p>
      <w:pPr>
        <w:spacing w:after="0" w:line="4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decrease in outstanding debt obligations exposed to variable interest rates in 2010 is generally a result of a $600 million decrease in the notional amount of active interest rate swaps and decreases in our variable-rate tax-exempt bonds. The decline in our variable-rate debt obligations has reduced the potential volatility to our operating results and cash flows that results from fluctuations in market interest rates. We currently estimate that a 100 basis point increase in the interest rates of our outstanding variable-rate debt obligations would increase our 2011 interest expense by approximately $13 million.</w:t>
      </w:r>
    </w:p>
    <w:p>
      <w:pPr>
        <w:spacing w:after="0" w:line="40"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Our remaining outstanding debt obligations have fixed interest rates through either the scheduled maturity of the debt or, for certain of our “fixed-rate” tax exempt bonds, through the end of a term interest rate period that exceeds twelve months. In addition, as of December 31, 2010, we have forward-starting interest rate swaps with a notional amount of $525 million. The fair value of our fixed-rate debt obligations and various interest rate derivative instruments can increase or decrease significantly if market interest rates change.</w:t>
      </w:r>
    </w:p>
    <w:p>
      <w:pPr>
        <w:spacing w:after="0" w:line="3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have performed sensitivity analyses to determine how market rate changes might affect the fair value of our market risk-sensitive derivatives and related positions. These analyses are inherently limited because they reflect a singular, hypothetical set of assumptions. Actual market movements may vary significantly from our assumptions. An instantaneous, one percentage point increase in interest rates across all maturities and applicable yield curves attributable to these instruments would have decreased the fair value of our combined debt and interest rate derivative positions by approximately $658 million at December 31, 2010.</w:t>
      </w:r>
    </w:p>
    <w:p>
      <w:pPr>
        <w:spacing w:after="0" w:line="40"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We are also exposed to interest rate market risk because we have significant cash and cash equivalent balances as well as assets held in restricted trust funds and escrow accounts. These assets are generally invested in high quality, liquid instruments including money market funds that invest in U.S. government obligations with original maturities of three months or less. Because of the short terms to maturity of these investments, we believe that our exposure to changes in fair value due to interest rate fluctuations is insignificant.</w:t>
      </w:r>
    </w:p>
    <w:p>
      <w:pPr>
        <w:spacing w:after="0" w:line="2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i w:val="1"/>
          <w:iCs w:val="1"/>
          <w:color w:val="auto"/>
        </w:rPr>
        <w:t xml:space="preserve">Commodity Price Exposure </w:t>
      </w:r>
      <w:r>
        <w:rPr>
          <w:rFonts w:ascii="Arial" w:cs="Arial" w:eastAsia="Arial" w:hAnsi="Arial"/>
          <w:sz w:val="13"/>
          <w:szCs w:val="13"/>
          <w:color w:val="auto"/>
        </w:rPr>
        <w:t>— In the normal course of our business, we are subject to operating agreements that expose us to market risks arising from changes in the prices for</w:t>
      </w:r>
      <w:r>
        <w:rPr>
          <w:rFonts w:ascii="Arial" w:cs="Arial" w:eastAsia="Arial" w:hAnsi="Arial"/>
          <w:sz w:val="13"/>
          <w:szCs w:val="13"/>
          <w:i w:val="1"/>
          <w:iCs w:val="1"/>
          <w:color w:val="auto"/>
        </w:rPr>
        <w:t xml:space="preserve"> </w:t>
      </w:r>
      <w:r>
        <w:rPr>
          <w:rFonts w:ascii="Arial" w:cs="Arial" w:eastAsia="Arial" w:hAnsi="Arial"/>
          <w:sz w:val="13"/>
          <w:szCs w:val="13"/>
          <w:color w:val="auto"/>
        </w:rPr>
        <w:t>commodities such as diesel fuel; recyclable materials, including aluminum, old corrugated cardboard and old newsprint; and electricity, which generally correlates with natural gas prices in many of the markets where we operate. With the exception of electricity commodity derivatives, which are discussed below, we generally have not entered into derivatives to hedge the risks associated with changes in the market prices of these commodities during the three years ended December 31, 2010. Alternatively, we attempt to manage these risks through operational strategies that focus on capturing our costs in the prices we charge our customers for the services provided. Accordingly, as the market prices for these commodities increase or decrease, our revenues also increase or decrease.</w:t>
      </w:r>
    </w:p>
    <w:p>
      <w:pPr>
        <w:spacing w:after="0" w:line="52"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During 2010, approximately 47% of the electricity revenue at our waste-to-energy facilities was subject to current market rates, and we currently expect that nearly 54% of our electricity revenues at our waste-to-energy facilities will be at market rates by the end of 2011. Our exposure to variability associated with changes in market prices for electricity has increased because several long-term power purchase agreements have expired. The energy markets have changed significantly since the expiring contracts were executed and we have found that medium- and long-term electricity contracts are less favorable in the current environment. As we renegotiate our power-purchase agreements, we expect that a more substantial portion of our energy sales at our waste-to-energy facilities and landfill gas-to-energy plants will be based on current market rates. Accordingly, in 2010 we implemented a more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actively managed energy program, which includes a hedging strategy intended to decrease the exposure of our revenues to volatility due to market prices for electricity. Refer to Note 8 of the Consolidated Financial Statements for additional information regarding our electricity commodity derivatives.</w:t>
      </w:r>
    </w:p>
    <w:p>
      <w:pPr>
        <w:spacing w:after="0" w:line="59" w:lineRule="exact"/>
        <w:rPr>
          <w:sz w:val="20"/>
          <w:szCs w:val="20"/>
          <w:color w:val="auto"/>
        </w:rPr>
      </w:pPr>
    </w:p>
    <w:p>
      <w:pPr>
        <w:ind w:left="680" w:right="340" w:firstLine="399"/>
        <w:spacing w:after="0" w:line="289" w:lineRule="auto"/>
        <w:rPr>
          <w:sz w:val="20"/>
          <w:szCs w:val="20"/>
          <w:color w:val="auto"/>
        </w:rPr>
      </w:pPr>
      <w:r>
        <w:rPr>
          <w:rFonts w:ascii="Arial" w:cs="Arial" w:eastAsia="Arial" w:hAnsi="Arial"/>
          <w:sz w:val="12"/>
          <w:szCs w:val="12"/>
          <w:i w:val="1"/>
          <w:iCs w:val="1"/>
          <w:color w:val="auto"/>
        </w:rPr>
        <w:t xml:space="preserve">Currency Rate Exposure </w:t>
      </w:r>
      <w:r>
        <w:rPr>
          <w:rFonts w:ascii="Arial" w:cs="Arial" w:eastAsia="Arial" w:hAnsi="Arial"/>
          <w:sz w:val="12"/>
          <w:szCs w:val="12"/>
          <w:color w:val="auto"/>
        </w:rPr>
        <w:t>— From time to time, we use currency derivatives to mitigate the impact of currency translation on cash flows of intercompany Canadian-currency</w:t>
      </w:r>
      <w:r>
        <w:rPr>
          <w:rFonts w:ascii="Arial" w:cs="Arial" w:eastAsia="Arial" w:hAnsi="Arial"/>
          <w:sz w:val="12"/>
          <w:szCs w:val="12"/>
          <w:i w:val="1"/>
          <w:iCs w:val="1"/>
          <w:color w:val="auto"/>
        </w:rPr>
        <w:t xml:space="preserve"> </w:t>
      </w:r>
      <w:r>
        <w:rPr>
          <w:rFonts w:ascii="Arial" w:cs="Arial" w:eastAsia="Arial" w:hAnsi="Arial"/>
          <w:sz w:val="12"/>
          <w:szCs w:val="12"/>
          <w:color w:val="auto"/>
        </w:rPr>
        <w:t>denominated debt transactions. Our foreign currency derivatives have not materially affected our financial position or results of operations for the periods presented. In addition, while changes in foreign currency exchange rates could significantly affect the fair value of our foreign currency derivatives, we believe these changes in fair value would not have a material impact to the Company. Refer to Note 8 of the Consolidated Financial Statements for additional information regarding our foreign currency derivatives.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82"/>
        </w:trPr>
        <w:tc>
          <w:tcPr>
            <w:tcW w:w="1280" w:type="dxa"/>
            <w:vAlign w:val="bottom"/>
            <w:gridSpan w:val="3"/>
          </w:tcPr>
          <w:p>
            <w:pPr>
              <w:ind w:left="680"/>
              <w:spacing w:after="0"/>
              <w:rPr>
                <w:sz w:val="20"/>
                <w:szCs w:val="20"/>
                <w:color w:val="auto"/>
              </w:rPr>
            </w:pPr>
            <w:r>
              <w:rPr>
                <w:rFonts w:ascii="Arial" w:cs="Arial" w:eastAsia="Arial" w:hAnsi="Arial"/>
                <w:sz w:val="13"/>
                <w:szCs w:val="13"/>
                <w:b w:val="1"/>
                <w:bCs w:val="1"/>
                <w:color w:val="auto"/>
              </w:rPr>
              <w:t>Item 8.</w:t>
            </w:r>
          </w:p>
        </w:tc>
        <w:tc>
          <w:tcPr>
            <w:tcW w:w="9060" w:type="dxa"/>
            <w:vAlign w:val="bottom"/>
            <w:gridSpan w:val="8"/>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320" w:type="dxa"/>
            <w:vAlign w:val="bottom"/>
          </w:tcPr>
          <w:p>
            <w:pPr>
              <w:spacing w:after="0"/>
              <w:rPr>
                <w:sz w:val="24"/>
                <w:szCs w:val="24"/>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jc w:val="center"/>
              <w:ind w:right="4220"/>
              <w:spacing w:after="0"/>
              <w:rPr>
                <w:sz w:val="20"/>
                <w:szCs w:val="20"/>
                <w:color w:val="auto"/>
              </w:rPr>
            </w:pPr>
            <w:r>
              <w:rPr>
                <w:rFonts w:ascii="Arial" w:cs="Arial" w:eastAsia="Arial" w:hAnsi="Arial"/>
                <w:sz w:val="13"/>
                <w:szCs w:val="13"/>
                <w:b w:val="1"/>
                <w:bCs w:val="1"/>
                <w:color w:val="auto"/>
              </w:rPr>
              <w:t>INDEX TO</w:t>
            </w:r>
          </w:p>
        </w:tc>
        <w:tc>
          <w:tcPr>
            <w:tcW w:w="32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40" w:type="dxa"/>
            <w:vAlign w:val="bottom"/>
            <w:gridSpan w:val="4"/>
          </w:tcPr>
          <w:p>
            <w:pPr>
              <w:jc w:val="center"/>
              <w:ind w:right="2900"/>
              <w:spacing w:after="0"/>
              <w:rPr>
                <w:sz w:val="20"/>
                <w:szCs w:val="20"/>
                <w:color w:val="auto"/>
              </w:rPr>
            </w:pPr>
            <w:r>
              <w:rPr>
                <w:rFonts w:ascii="Arial" w:cs="Arial" w:eastAsia="Arial" w:hAnsi="Arial"/>
                <w:sz w:val="13"/>
                <w:szCs w:val="13"/>
                <w:b w:val="1"/>
                <w:bCs w:val="1"/>
                <w:color w:val="auto"/>
              </w:rPr>
              <w:t>CONSOLIDATED FINANCIAL STATEMENTS</w:t>
            </w:r>
          </w:p>
        </w:tc>
        <w:tc>
          <w:tcPr>
            <w:tcW w:w="320" w:type="dxa"/>
            <w:vAlign w:val="bottom"/>
          </w:tcPr>
          <w:p>
            <w:pPr>
              <w:spacing w:after="0"/>
              <w:rPr>
                <w:sz w:val="21"/>
                <w:szCs w:val="21"/>
                <w:color w:val="auto"/>
              </w:rPr>
            </w:pPr>
          </w:p>
        </w:tc>
      </w:tr>
      <w:tr>
        <w:trPr>
          <w:trHeight w:val="45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r>
      <w:tr>
        <w:trPr>
          <w:trHeight w:val="147"/>
        </w:trPr>
        <w:tc>
          <w:tcPr>
            <w:tcW w:w="680" w:type="dxa"/>
            <w:vAlign w:val="bottom"/>
          </w:tcPr>
          <w:p>
            <w:pPr>
              <w:spacing w:after="0"/>
              <w:rPr>
                <w:sz w:val="12"/>
                <w:szCs w:val="12"/>
                <w:color w:val="auto"/>
              </w:rPr>
            </w:pPr>
          </w:p>
        </w:tc>
        <w:tc>
          <w:tcPr>
            <w:tcW w:w="9660" w:type="dxa"/>
            <w:vAlign w:val="bottom"/>
            <w:gridSpan w:val="10"/>
          </w:tcPr>
          <w:p>
            <w:pPr>
              <w:spacing w:after="0"/>
              <w:rPr>
                <w:rFonts w:ascii="Arial" w:cs="Arial" w:eastAsia="Arial" w:hAnsi="Arial"/>
                <w:sz w:val="12"/>
                <w:szCs w:val="12"/>
                <w:color w:val="0000EE"/>
              </w:rPr>
            </w:pPr>
            <w:hyperlink w:anchor="page66">
              <w:r>
                <w:rPr>
                  <w:rFonts w:ascii="Arial" w:cs="Arial" w:eastAsia="Arial" w:hAnsi="Arial"/>
                  <w:sz w:val="12"/>
                  <w:szCs w:val="12"/>
                  <w:color w:val="0000EE"/>
                </w:rPr>
                <w:t>Management’s Report on Internal Control Over Financial Reporting</w:t>
              </w:r>
            </w:hyperlink>
          </w:p>
        </w:tc>
        <w:tc>
          <w:tcPr>
            <w:tcW w:w="320" w:type="dxa"/>
            <w:vAlign w:val="bottom"/>
          </w:tcPr>
          <w:p>
            <w:pPr>
              <w:jc w:val="center"/>
              <w:spacing w:after="0"/>
              <w:rPr>
                <w:sz w:val="20"/>
                <w:szCs w:val="20"/>
                <w:color w:val="auto"/>
              </w:rPr>
            </w:pPr>
            <w:r>
              <w:rPr>
                <w:rFonts w:ascii="Arial" w:cs="Arial" w:eastAsia="Arial" w:hAnsi="Arial"/>
                <w:sz w:val="12"/>
                <w:szCs w:val="12"/>
                <w:color w:val="auto"/>
                <w:w w:val="89"/>
              </w:rPr>
              <w:t>64</w:t>
            </w:r>
          </w:p>
        </w:tc>
      </w:tr>
      <w:tr>
        <w:trPr>
          <w:trHeight w:val="127"/>
        </w:trPr>
        <w:tc>
          <w:tcPr>
            <w:tcW w:w="680" w:type="dxa"/>
            <w:vAlign w:val="bottom"/>
          </w:tcPr>
          <w:p>
            <w:pPr>
              <w:spacing w:after="0"/>
              <w:rPr>
                <w:sz w:val="11"/>
                <w:szCs w:val="11"/>
                <w:color w:val="auto"/>
              </w:rPr>
            </w:pPr>
          </w:p>
        </w:tc>
        <w:tc>
          <w:tcPr>
            <w:tcW w:w="2820" w:type="dxa"/>
            <w:vAlign w:val="bottom"/>
            <w:tcBorders>
              <w:top w:val="single" w:sz="8" w:color="0000EE"/>
              <w:bottom w:val="single" w:sz="8" w:color="0000EE"/>
            </w:tcBorders>
            <w:gridSpan w:val="4"/>
          </w:tcPr>
          <w:p>
            <w:pPr>
              <w:spacing w:after="0" w:line="128" w:lineRule="exact"/>
              <w:rPr>
                <w:rFonts w:ascii="Arial" w:cs="Arial" w:eastAsia="Arial" w:hAnsi="Arial"/>
                <w:sz w:val="12"/>
                <w:szCs w:val="12"/>
                <w:color w:val="0000EE"/>
                <w:w w:val="89"/>
              </w:rPr>
            </w:pPr>
            <w:hyperlink w:anchor="page67">
              <w:r>
                <w:rPr>
                  <w:rFonts w:ascii="Arial" w:cs="Arial" w:eastAsia="Arial" w:hAnsi="Arial"/>
                  <w:sz w:val="12"/>
                  <w:szCs w:val="12"/>
                  <w:color w:val="0000EE"/>
                  <w:w w:val="89"/>
                </w:rPr>
                <w:t>Reports of Independent Registered Public Accounting Firm</w:t>
              </w:r>
            </w:hyperlink>
          </w:p>
        </w:tc>
        <w:tc>
          <w:tcPr>
            <w:tcW w:w="400" w:type="dxa"/>
            <w:vAlign w:val="bottom"/>
            <w:tcBorders>
              <w:top w:val="single" w:sz="8" w:color="0000EE"/>
            </w:tcBorders>
            <w:gridSpan w:val="2"/>
          </w:tcPr>
          <w:p>
            <w:pPr>
              <w:spacing w:after="0"/>
              <w:rPr>
                <w:sz w:val="11"/>
                <w:szCs w:val="11"/>
                <w:color w:val="auto"/>
              </w:rPr>
            </w:pPr>
          </w:p>
        </w:tc>
        <w:tc>
          <w:tcPr>
            <w:tcW w:w="6440" w:type="dxa"/>
            <w:vAlign w:val="bottom"/>
            <w:gridSpan w:val="4"/>
          </w:tcPr>
          <w:p>
            <w:pPr>
              <w:spacing w:after="0"/>
              <w:rPr>
                <w:sz w:val="11"/>
                <w:szCs w:val="11"/>
                <w:color w:val="auto"/>
              </w:rPr>
            </w:pPr>
          </w:p>
        </w:tc>
        <w:tc>
          <w:tcPr>
            <w:tcW w:w="320" w:type="dxa"/>
            <w:vAlign w:val="bottom"/>
          </w:tcPr>
          <w:p>
            <w:pPr>
              <w:jc w:val="center"/>
              <w:spacing w:after="0" w:line="128" w:lineRule="exact"/>
              <w:rPr>
                <w:sz w:val="20"/>
                <w:szCs w:val="20"/>
                <w:color w:val="auto"/>
              </w:rPr>
            </w:pPr>
            <w:r>
              <w:rPr>
                <w:rFonts w:ascii="Arial" w:cs="Arial" w:eastAsia="Arial" w:hAnsi="Arial"/>
                <w:sz w:val="12"/>
                <w:szCs w:val="12"/>
                <w:color w:val="auto"/>
                <w:w w:val="89"/>
              </w:rPr>
              <w:t>65</w:t>
            </w:r>
          </w:p>
        </w:tc>
      </w:tr>
      <w:tr>
        <w:trPr>
          <w:trHeight w:val="127"/>
        </w:trPr>
        <w:tc>
          <w:tcPr>
            <w:tcW w:w="680" w:type="dxa"/>
            <w:vAlign w:val="bottom"/>
          </w:tcPr>
          <w:p>
            <w:pPr>
              <w:spacing w:after="0"/>
              <w:rPr>
                <w:sz w:val="11"/>
                <w:szCs w:val="11"/>
                <w:color w:val="auto"/>
              </w:rPr>
            </w:pPr>
          </w:p>
        </w:tc>
        <w:tc>
          <w:tcPr>
            <w:tcW w:w="3060" w:type="dxa"/>
            <w:vAlign w:val="bottom"/>
            <w:tcBorders>
              <w:bottom w:val="single" w:sz="8" w:color="0000EE"/>
            </w:tcBorders>
            <w:gridSpan w:val="5"/>
          </w:tcPr>
          <w:p>
            <w:pPr>
              <w:spacing w:after="0" w:line="128" w:lineRule="exact"/>
              <w:rPr>
                <w:rFonts w:ascii="Arial" w:cs="Arial" w:eastAsia="Arial" w:hAnsi="Arial"/>
                <w:sz w:val="12"/>
                <w:szCs w:val="12"/>
                <w:color w:val="0000EE"/>
                <w:w w:val="87"/>
              </w:rPr>
            </w:pPr>
            <w:hyperlink w:anchor="page69">
              <w:r>
                <w:rPr>
                  <w:rFonts w:ascii="Arial" w:cs="Arial" w:eastAsia="Arial" w:hAnsi="Arial"/>
                  <w:sz w:val="12"/>
                  <w:szCs w:val="12"/>
                  <w:color w:val="0000EE"/>
                  <w:w w:val="87"/>
                </w:rPr>
                <w:t>Consolidated Balance Sheets as of December 31, 2010 and 2009</w:t>
              </w:r>
            </w:hyperlink>
          </w:p>
        </w:tc>
        <w:tc>
          <w:tcPr>
            <w:tcW w:w="6600" w:type="dxa"/>
            <w:vAlign w:val="bottom"/>
            <w:gridSpan w:val="5"/>
          </w:tcPr>
          <w:p>
            <w:pPr>
              <w:spacing w:after="0"/>
              <w:rPr>
                <w:sz w:val="11"/>
                <w:szCs w:val="11"/>
                <w:color w:val="auto"/>
              </w:rPr>
            </w:pPr>
          </w:p>
        </w:tc>
        <w:tc>
          <w:tcPr>
            <w:tcW w:w="320" w:type="dxa"/>
            <w:vAlign w:val="bottom"/>
          </w:tcPr>
          <w:p>
            <w:pPr>
              <w:jc w:val="center"/>
              <w:spacing w:after="0" w:line="128" w:lineRule="exact"/>
              <w:rPr>
                <w:sz w:val="20"/>
                <w:szCs w:val="20"/>
                <w:color w:val="auto"/>
              </w:rPr>
            </w:pPr>
            <w:r>
              <w:rPr>
                <w:rFonts w:ascii="Arial" w:cs="Arial" w:eastAsia="Arial" w:hAnsi="Arial"/>
                <w:sz w:val="12"/>
                <w:szCs w:val="12"/>
                <w:color w:val="auto"/>
                <w:w w:val="89"/>
              </w:rPr>
              <w:t>67</w:t>
            </w:r>
          </w:p>
        </w:tc>
      </w:tr>
      <w:tr>
        <w:trPr>
          <w:trHeight w:val="127"/>
        </w:trPr>
        <w:tc>
          <w:tcPr>
            <w:tcW w:w="680" w:type="dxa"/>
            <w:vAlign w:val="bottom"/>
          </w:tcPr>
          <w:p>
            <w:pPr>
              <w:spacing w:after="0"/>
              <w:rPr>
                <w:sz w:val="11"/>
                <w:szCs w:val="11"/>
                <w:color w:val="auto"/>
              </w:rPr>
            </w:pPr>
          </w:p>
        </w:tc>
        <w:tc>
          <w:tcPr>
            <w:tcW w:w="4540" w:type="dxa"/>
            <w:vAlign w:val="bottom"/>
            <w:tcBorders>
              <w:bottom w:val="single" w:sz="8" w:color="0000EE"/>
            </w:tcBorders>
            <w:gridSpan w:val="7"/>
          </w:tcPr>
          <w:p>
            <w:pPr>
              <w:spacing w:after="0" w:line="128" w:lineRule="exact"/>
              <w:rPr>
                <w:rFonts w:ascii="Arial" w:cs="Arial" w:eastAsia="Arial" w:hAnsi="Arial"/>
                <w:sz w:val="12"/>
                <w:szCs w:val="12"/>
                <w:color w:val="0000EE"/>
                <w:w w:val="87"/>
              </w:rPr>
            </w:pPr>
            <w:hyperlink w:anchor="page70">
              <w:r>
                <w:rPr>
                  <w:rFonts w:ascii="Arial" w:cs="Arial" w:eastAsia="Arial" w:hAnsi="Arial"/>
                  <w:sz w:val="12"/>
                  <w:szCs w:val="12"/>
                  <w:color w:val="0000EE"/>
                  <w:w w:val="87"/>
                </w:rPr>
                <w:t>Consolidated Statements of Operations for the Years Ended December 31, 2010, 2009 and 2008</w:t>
              </w:r>
            </w:hyperlink>
          </w:p>
        </w:tc>
        <w:tc>
          <w:tcPr>
            <w:tcW w:w="5120" w:type="dxa"/>
            <w:vAlign w:val="bottom"/>
            <w:gridSpan w:val="3"/>
          </w:tcPr>
          <w:p>
            <w:pPr>
              <w:spacing w:after="0"/>
              <w:rPr>
                <w:sz w:val="11"/>
                <w:szCs w:val="11"/>
                <w:color w:val="auto"/>
              </w:rPr>
            </w:pPr>
          </w:p>
        </w:tc>
        <w:tc>
          <w:tcPr>
            <w:tcW w:w="320" w:type="dxa"/>
            <w:vAlign w:val="bottom"/>
          </w:tcPr>
          <w:p>
            <w:pPr>
              <w:jc w:val="center"/>
              <w:spacing w:after="0" w:line="128" w:lineRule="exact"/>
              <w:rPr>
                <w:sz w:val="20"/>
                <w:szCs w:val="20"/>
                <w:color w:val="auto"/>
              </w:rPr>
            </w:pPr>
            <w:r>
              <w:rPr>
                <w:rFonts w:ascii="Arial" w:cs="Arial" w:eastAsia="Arial" w:hAnsi="Arial"/>
                <w:sz w:val="12"/>
                <w:szCs w:val="12"/>
                <w:color w:val="auto"/>
                <w:w w:val="89"/>
              </w:rPr>
              <w:t>68</w:t>
            </w:r>
          </w:p>
        </w:tc>
      </w:tr>
      <w:tr>
        <w:trPr>
          <w:trHeight w:val="127"/>
        </w:trPr>
        <w:tc>
          <w:tcPr>
            <w:tcW w:w="680" w:type="dxa"/>
            <w:vAlign w:val="bottom"/>
          </w:tcPr>
          <w:p>
            <w:pPr>
              <w:spacing w:after="0"/>
              <w:rPr>
                <w:sz w:val="11"/>
                <w:szCs w:val="11"/>
                <w:color w:val="auto"/>
              </w:rPr>
            </w:pPr>
          </w:p>
        </w:tc>
        <w:tc>
          <w:tcPr>
            <w:tcW w:w="9660" w:type="dxa"/>
            <w:vAlign w:val="bottom"/>
            <w:gridSpan w:val="10"/>
          </w:tcPr>
          <w:p>
            <w:pPr>
              <w:spacing w:after="0" w:line="128" w:lineRule="exact"/>
              <w:rPr>
                <w:rFonts w:ascii="Arial" w:cs="Arial" w:eastAsia="Arial" w:hAnsi="Arial"/>
                <w:sz w:val="12"/>
                <w:szCs w:val="12"/>
                <w:color w:val="0000EE"/>
              </w:rPr>
            </w:pPr>
            <w:hyperlink w:anchor="page71">
              <w:r>
                <w:rPr>
                  <w:rFonts w:ascii="Arial" w:cs="Arial" w:eastAsia="Arial" w:hAnsi="Arial"/>
                  <w:sz w:val="12"/>
                  <w:szCs w:val="12"/>
                  <w:color w:val="0000EE"/>
                </w:rPr>
                <w:t>Consolidated Statements of Cash Flows for the Years Ended December 31, 2010, 2009 and 2008</w:t>
              </w:r>
            </w:hyperlink>
          </w:p>
        </w:tc>
        <w:tc>
          <w:tcPr>
            <w:tcW w:w="320" w:type="dxa"/>
            <w:vAlign w:val="bottom"/>
          </w:tcPr>
          <w:p>
            <w:pPr>
              <w:jc w:val="center"/>
              <w:spacing w:after="0" w:line="128" w:lineRule="exact"/>
              <w:rPr>
                <w:sz w:val="20"/>
                <w:szCs w:val="20"/>
                <w:color w:val="auto"/>
              </w:rPr>
            </w:pPr>
            <w:r>
              <w:rPr>
                <w:rFonts w:ascii="Arial" w:cs="Arial" w:eastAsia="Arial" w:hAnsi="Arial"/>
                <w:sz w:val="12"/>
                <w:szCs w:val="12"/>
                <w:color w:val="auto"/>
                <w:w w:val="89"/>
              </w:rPr>
              <w:t>69</w:t>
            </w:r>
          </w:p>
        </w:tc>
      </w:tr>
      <w:tr>
        <w:trPr>
          <w:trHeight w:val="20"/>
        </w:trPr>
        <w:tc>
          <w:tcPr>
            <w:tcW w:w="68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9660" w:type="dxa"/>
            <w:vAlign w:val="bottom"/>
            <w:gridSpan w:val="10"/>
          </w:tcPr>
          <w:p>
            <w:pPr>
              <w:spacing w:after="0" w:line="128" w:lineRule="exact"/>
              <w:rPr>
                <w:rFonts w:ascii="Arial" w:cs="Arial" w:eastAsia="Arial" w:hAnsi="Arial"/>
                <w:sz w:val="12"/>
                <w:szCs w:val="12"/>
                <w:color w:val="0000EE"/>
              </w:rPr>
            </w:pPr>
            <w:hyperlink w:anchor="page72">
              <w:r>
                <w:rPr>
                  <w:rFonts w:ascii="Arial" w:cs="Arial" w:eastAsia="Arial" w:hAnsi="Arial"/>
                  <w:sz w:val="12"/>
                  <w:szCs w:val="12"/>
                  <w:color w:val="0000EE"/>
                </w:rPr>
                <w:t>Consolidated Statements of Changes in Equity for the Years Ended December 31, 2010, 2009 and 2008</w:t>
              </w:r>
            </w:hyperlink>
          </w:p>
        </w:tc>
        <w:tc>
          <w:tcPr>
            <w:tcW w:w="320" w:type="dxa"/>
            <w:vAlign w:val="bottom"/>
          </w:tcPr>
          <w:p>
            <w:pPr>
              <w:jc w:val="center"/>
              <w:spacing w:after="0" w:line="128" w:lineRule="exact"/>
              <w:rPr>
                <w:sz w:val="20"/>
                <w:szCs w:val="20"/>
                <w:color w:val="auto"/>
              </w:rPr>
            </w:pPr>
            <w:r>
              <w:rPr>
                <w:rFonts w:ascii="Arial" w:cs="Arial" w:eastAsia="Arial" w:hAnsi="Arial"/>
                <w:sz w:val="12"/>
                <w:szCs w:val="12"/>
                <w:color w:val="auto"/>
                <w:w w:val="89"/>
              </w:rPr>
              <w:t>70</w:t>
            </w:r>
          </w:p>
        </w:tc>
      </w:tr>
      <w:tr>
        <w:trPr>
          <w:trHeight w:val="127"/>
        </w:trPr>
        <w:tc>
          <w:tcPr>
            <w:tcW w:w="680" w:type="dxa"/>
            <w:vAlign w:val="bottom"/>
          </w:tcPr>
          <w:p>
            <w:pPr>
              <w:spacing w:after="0"/>
              <w:rPr>
                <w:sz w:val="11"/>
                <w:szCs w:val="11"/>
                <w:color w:val="auto"/>
              </w:rPr>
            </w:pPr>
          </w:p>
        </w:tc>
        <w:tc>
          <w:tcPr>
            <w:tcW w:w="2080" w:type="dxa"/>
            <w:vAlign w:val="bottom"/>
            <w:tcBorders>
              <w:top w:val="single" w:sz="8" w:color="0000EE"/>
              <w:bottom w:val="single" w:sz="8" w:color="0000EE"/>
            </w:tcBorders>
            <w:gridSpan w:val="3"/>
          </w:tcPr>
          <w:p>
            <w:pPr>
              <w:spacing w:after="0" w:line="128" w:lineRule="exact"/>
              <w:rPr>
                <w:rFonts w:ascii="Arial" w:cs="Arial" w:eastAsia="Arial" w:hAnsi="Arial"/>
                <w:sz w:val="12"/>
                <w:szCs w:val="12"/>
                <w:color w:val="0000EE"/>
                <w:w w:val="88"/>
              </w:rPr>
            </w:pPr>
            <w:hyperlink w:anchor="page74">
              <w:r>
                <w:rPr>
                  <w:rFonts w:ascii="Arial" w:cs="Arial" w:eastAsia="Arial" w:hAnsi="Arial"/>
                  <w:sz w:val="12"/>
                  <w:szCs w:val="12"/>
                  <w:color w:val="0000EE"/>
                  <w:w w:val="88"/>
                </w:rPr>
                <w:t>Notes to Consolidated Financial Statements</w:t>
              </w:r>
            </w:hyperlink>
          </w:p>
        </w:tc>
        <w:tc>
          <w:tcPr>
            <w:tcW w:w="2800" w:type="dxa"/>
            <w:vAlign w:val="bottom"/>
            <w:tcBorders>
              <w:top w:val="single" w:sz="8" w:color="0000EE"/>
            </w:tcBorders>
            <w:gridSpan w:val="6"/>
          </w:tcPr>
          <w:p>
            <w:pPr>
              <w:spacing w:after="0"/>
              <w:rPr>
                <w:sz w:val="11"/>
                <w:szCs w:val="11"/>
                <w:color w:val="auto"/>
              </w:rPr>
            </w:pPr>
          </w:p>
        </w:tc>
        <w:tc>
          <w:tcPr>
            <w:tcW w:w="4780" w:type="dxa"/>
            <w:vAlign w:val="bottom"/>
          </w:tcPr>
          <w:p>
            <w:pPr>
              <w:spacing w:after="0"/>
              <w:rPr>
                <w:sz w:val="11"/>
                <w:szCs w:val="11"/>
                <w:color w:val="auto"/>
              </w:rPr>
            </w:pPr>
          </w:p>
        </w:tc>
        <w:tc>
          <w:tcPr>
            <w:tcW w:w="320" w:type="dxa"/>
            <w:vAlign w:val="bottom"/>
          </w:tcPr>
          <w:p>
            <w:pPr>
              <w:jc w:val="center"/>
              <w:spacing w:after="0" w:line="128" w:lineRule="exact"/>
              <w:rPr>
                <w:sz w:val="20"/>
                <w:szCs w:val="20"/>
                <w:color w:val="auto"/>
              </w:rPr>
            </w:pPr>
            <w:r>
              <w:rPr>
                <w:rFonts w:ascii="Arial" w:cs="Arial" w:eastAsia="Arial" w:hAnsi="Arial"/>
                <w:sz w:val="12"/>
                <w:szCs w:val="12"/>
                <w:color w:val="auto"/>
                <w:w w:val="89"/>
              </w:rPr>
              <w:t>72</w:t>
            </w:r>
          </w:p>
        </w:tc>
      </w:tr>
    </w:tbl>
    <w:p>
      <w:pPr>
        <w:spacing w:after="0" w:line="30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MANAGEMENT’S REPORT ON INTERNAL CONTROL</w:t>
      </w:r>
    </w:p>
    <w:p>
      <w:pPr>
        <w:spacing w:after="0" w:line="19"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OVER FINANCIAL REPORTING</w:t>
      </w:r>
    </w:p>
    <w:p>
      <w:pPr>
        <w:spacing w:after="0" w:line="1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Management of the Company, including the Chief Executive Officer and the Chief Financial Officer, is responsible for establishing and maintaining adequate internal control over financial reporting, as defined in Rules 13a-15(f) and 15d-15(f) of the Securities Exchange Act of 1934, as amended. Our internal controls were designed to provide reasonable assurance as to (i) the reliability of our financial reporting; (ii) the reliability of the preparation and presentation of the consolidated financial statements for external purposes in accordance with accounting principles generally accepted in the United States; and (iii) the safeguarding of assets from unauthorized use or disposition.</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conducted an evaluation of the effectiveness of our internal control over financial reporting as of December 31, 2010 based on the Internal Control — Integrated Framework issued by the Committee of Sponsoring Organizations of the Treadway Commission. Through this evaluation, we did not identify any material weaknesses in our internal controls. There are inherent limitations in the effectiveness of any system of internal control over financial reporting; however, based on our evaluation, we have concluded that our internal control over financial reporting was effective as of December 31, 2010.</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effectiveness of our internal control over financial reporting has been audited by Ernst &amp; Young LLP, an independent registered public accounting firm, as stated in their report which is included herein.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Waste Management, Inc.</w:t>
      </w:r>
    </w:p>
    <w:p>
      <w:pPr>
        <w:spacing w:after="0" w:line="96"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We have audited Waste Management, Inc.’s internal control over financial reporting as of December 31, 2010, based on criteria established in Internal Control-Integrated Framework issued by the Committee of Sponsoring Organizations of the Treadway Commission (the COSO criteria). Waste Management,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our opinion, Waste Management, Inc. maintained, in all material respects, effective internal control over financial reporting as of December 31, 2010, based on the COSO criteria.</w:t>
      </w:r>
    </w:p>
    <w:p>
      <w:pPr>
        <w:spacing w:after="0" w:line="10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Waste Management, Inc. as of December 31, 2010 and 2009, and the related consolidated statements of operations, cash flows, and changes in equity for each of the three years in the period ended December 31, 2010, and our report dated February 17, 2011 expressed an unqualified opinion thereon.</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17, 2011</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Waste Management, Inc.</w:t>
      </w:r>
    </w:p>
    <w:p>
      <w:pPr>
        <w:spacing w:after="0" w:line="96" w:lineRule="exact"/>
        <w:rPr>
          <w:sz w:val="20"/>
          <w:szCs w:val="20"/>
          <w:color w:val="auto"/>
        </w:rPr>
      </w:pPr>
    </w:p>
    <w:p>
      <w:pPr>
        <w:jc w:val="both"/>
        <w:ind w:left="680" w:right="400" w:firstLine="399"/>
        <w:spacing w:after="0" w:line="264" w:lineRule="auto"/>
        <w:rPr>
          <w:sz w:val="20"/>
          <w:szCs w:val="20"/>
          <w:color w:val="auto"/>
        </w:rPr>
      </w:pPr>
      <w:r>
        <w:rPr>
          <w:rFonts w:ascii="Arial" w:cs="Arial" w:eastAsia="Arial" w:hAnsi="Arial"/>
          <w:sz w:val="13"/>
          <w:szCs w:val="13"/>
          <w:color w:val="auto"/>
        </w:rPr>
        <w:t>We have audited the accompanying consolidated balance sheets of Waste Management, Inc. (the “Company”) as of December 31, 2010 and 2009, and the related consolidated statements of operations, cash flows, and changes in equity for each of the three years in the period ended December 31, 2010. These financial statements are the responsibility of the Company’s management. Our responsibility is to express an opinion on these financial statements based on our audits.</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Waste Management, Inc. at December 31, 2010 and 2009, and the consolidated results of its operations and its cash flows for each of the three years in the period ended December 31, 2010, in conformity with U.S. generally accepted accounting principles.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As discussed in Note 2 to the consolidated financial statements, effective January 1, 2009, the Company adopted certain provisions of ASC Topic 810, “Consolidation” related to noncontrolling interests in consolidated financial statements. Additionally, effective January 1, 2010, the Company adopted certain provisions of ASC Topic 810, “Consolidation” related to the consolidation of variable interest entities.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Waste Management, Inc.’s internal control over financial reporting as of December 31, 2010, based on criteria established in Internal Control-Integrated Framework issued by the Committee of Sponsoring Organizations of the Treadway Commission and our report dated February 17, 2011 expressed an unqualified opinion thereon.</w:t>
      </w:r>
    </w:p>
    <w:p>
      <w:pPr>
        <w:spacing w:after="0" w:line="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17, 2011</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Share and Par Value Amounts)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500" w:type="dxa"/>
            <w:vAlign w:val="bottom"/>
            <w:shd w:val="clear" w:color="auto" w:fill="CCEEFF"/>
          </w:tcPr>
          <w:p>
            <w:pPr>
              <w:ind w:left="4780"/>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1,140</w:t>
            </w:r>
          </w:p>
        </w:tc>
        <w:tc>
          <w:tcPr>
            <w:tcW w:w="0" w:type="dxa"/>
            <w:vAlign w:val="bottom"/>
          </w:tcPr>
          <w:p>
            <w:pPr>
              <w:spacing w:after="0"/>
              <w:rPr>
                <w:sz w:val="1"/>
                <w:szCs w:val="1"/>
                <w:color w:val="auto"/>
              </w:rPr>
            </w:pPr>
          </w:p>
        </w:tc>
      </w:tr>
      <w:tr>
        <w:trPr>
          <w:trHeight w:val="147"/>
        </w:trPr>
        <w:tc>
          <w:tcPr>
            <w:tcW w:w="8500" w:type="dxa"/>
            <w:vAlign w:val="bottom"/>
          </w:tcPr>
          <w:p>
            <w:pPr>
              <w:ind w:left="120"/>
              <w:spacing w:after="0"/>
              <w:rPr>
                <w:sz w:val="20"/>
                <w:szCs w:val="20"/>
                <w:color w:val="auto"/>
              </w:rPr>
            </w:pPr>
            <w:r>
              <w:rPr>
                <w:rFonts w:ascii="Arial" w:cs="Arial" w:eastAsia="Arial" w:hAnsi="Arial"/>
                <w:sz w:val="12"/>
                <w:szCs w:val="12"/>
                <w:color w:val="auto"/>
              </w:rPr>
              <w:t>Accounts receivable, net of allowance for doubtful accounts of $26 and $31, respectively</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1,510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1,408</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receivables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7"/>
        </w:trPr>
        <w:tc>
          <w:tcPr>
            <w:tcW w:w="8500" w:type="dxa"/>
            <w:vAlign w:val="bottom"/>
          </w:tcPr>
          <w:p>
            <w:pPr>
              <w:ind w:left="120"/>
              <w:spacing w:after="0"/>
              <w:rPr>
                <w:sz w:val="20"/>
                <w:szCs w:val="20"/>
                <w:color w:val="auto"/>
              </w:rPr>
            </w:pPr>
            <w:r>
              <w:rPr>
                <w:rFonts w:ascii="Arial" w:cs="Arial" w:eastAsia="Arial" w:hAnsi="Arial"/>
                <w:sz w:val="12"/>
                <w:szCs w:val="12"/>
                <w:color w:val="auto"/>
              </w:rPr>
              <w:t>Parts and supplies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47"/>
        </w:trPr>
        <w:tc>
          <w:tcPr>
            <w:tcW w:w="8500" w:type="dxa"/>
            <w:vAlign w:val="bottom"/>
          </w:tcPr>
          <w:p>
            <w:pPr>
              <w:ind w:left="120"/>
              <w:spacing w:after="0"/>
              <w:rPr>
                <w:sz w:val="20"/>
                <w:szCs w:val="20"/>
                <w:color w:val="auto"/>
              </w:rPr>
            </w:pPr>
            <w:r>
              <w:rPr>
                <w:rFonts w:ascii="Arial" w:cs="Arial" w:eastAsia="Arial" w:hAnsi="Arial"/>
                <w:sz w:val="12"/>
                <w:szCs w:val="12"/>
                <w:color w:val="auto"/>
              </w:rPr>
              <w:t>Other assets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117</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3,010</w:t>
            </w: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Property and equipment, net of accumulated depreciation and amortization of $14,690 and $13,994, respectively</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11,868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11,541</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5,632</w:t>
            </w: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Other intangible assets, net</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295</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238</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1,105</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733</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240"/>
              <w:spacing w:after="0"/>
              <w:rPr>
                <w:sz w:val="20"/>
                <w:szCs w:val="20"/>
                <w:color w:val="auto"/>
              </w:rPr>
            </w:pPr>
            <w:r>
              <w:rPr>
                <w:rFonts w:ascii="Arial" w:cs="Arial" w:eastAsia="Arial" w:hAnsi="Arial"/>
                <w:sz w:val="12"/>
                <w:szCs w:val="12"/>
                <w:color w:val="auto"/>
              </w:rPr>
              <w:t>Total assets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21,476</w:t>
            </w:r>
          </w:p>
        </w:tc>
        <w:tc>
          <w:tcPr>
            <w:tcW w:w="40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21,154</w:t>
            </w:r>
          </w:p>
        </w:tc>
        <w:tc>
          <w:tcPr>
            <w:tcW w:w="0" w:type="dxa"/>
            <w:vAlign w:val="bottom"/>
          </w:tcPr>
          <w:p>
            <w:pPr>
              <w:spacing w:after="0"/>
              <w:rPr>
                <w:sz w:val="1"/>
                <w:szCs w:val="1"/>
                <w:color w:val="auto"/>
              </w:rPr>
            </w:pPr>
          </w:p>
        </w:tc>
      </w:tr>
      <w:tr>
        <w:trPr>
          <w:trHeight w:val="128"/>
        </w:trPr>
        <w:tc>
          <w:tcPr>
            <w:tcW w:w="8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4240"/>
              <w:spacing w:after="0"/>
              <w:rPr>
                <w:sz w:val="20"/>
                <w:szCs w:val="20"/>
                <w:color w:val="auto"/>
              </w:rPr>
            </w:pPr>
            <w:r>
              <w:rPr>
                <w:rFonts w:ascii="Arial" w:cs="Arial" w:eastAsia="Arial" w:hAnsi="Arial"/>
                <w:sz w:val="12"/>
                <w:szCs w:val="12"/>
                <w:b w:val="1"/>
                <w:bCs w:val="1"/>
                <w:color w:val="auto"/>
              </w:rPr>
              <w:t>LIABILITIES AND EQUITY</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47"/>
        </w:trPr>
        <w:tc>
          <w:tcPr>
            <w:tcW w:w="8500" w:type="dxa"/>
            <w:vAlign w:val="bottom"/>
          </w:tcPr>
          <w:p>
            <w:pPr>
              <w:ind w:left="120"/>
              <w:spacing w:after="0"/>
              <w:rPr>
                <w:sz w:val="20"/>
                <w:szCs w:val="20"/>
                <w:color w:val="auto"/>
              </w:rPr>
            </w:pPr>
            <w:r>
              <w:rPr>
                <w:rFonts w:ascii="Arial" w:cs="Arial" w:eastAsia="Arial" w:hAnsi="Arial"/>
                <w:sz w:val="12"/>
                <w:szCs w:val="12"/>
                <w:color w:val="auto"/>
              </w:rPr>
              <w:t>Accrued liabilities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1,100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1,128</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revenues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457</w:t>
            </w:r>
          </w:p>
        </w:tc>
        <w:tc>
          <w:tcPr>
            <w:tcW w:w="0" w:type="dxa"/>
            <w:vAlign w:val="bottom"/>
          </w:tcPr>
          <w:p>
            <w:pPr>
              <w:spacing w:after="0"/>
              <w:rPr>
                <w:sz w:val="1"/>
                <w:szCs w:val="1"/>
                <w:color w:val="auto"/>
              </w:rPr>
            </w:pPr>
          </w:p>
        </w:tc>
      </w:tr>
      <w:tr>
        <w:trPr>
          <w:trHeight w:val="147"/>
        </w:trPr>
        <w:tc>
          <w:tcPr>
            <w:tcW w:w="8500" w:type="dxa"/>
            <w:vAlign w:val="bottom"/>
          </w:tcPr>
          <w:p>
            <w:pPr>
              <w:ind w:left="120"/>
              <w:spacing w:after="0"/>
              <w:rPr>
                <w:sz w:val="20"/>
                <w:szCs w:val="20"/>
                <w:color w:val="auto"/>
              </w:rPr>
            </w:pPr>
            <w:r>
              <w:rPr>
                <w:rFonts w:ascii="Arial" w:cs="Arial" w:eastAsia="Arial" w:hAnsi="Arial"/>
                <w:sz w:val="12"/>
                <w:szCs w:val="12"/>
                <w:color w:val="auto"/>
              </w:rPr>
              <w:t>Current portion of long-term debt</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233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749</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2,485</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2,901</w:t>
            </w: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Long-term debt, less current portion</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8,674</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8,124</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1,509</w:t>
            </w: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Landfill and environmental remediation liabilities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1,402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1,357</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672</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240"/>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14,885</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14,563</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tcPr>
          <w:p>
            <w:pPr>
              <w:spacing w:after="0"/>
              <w:rPr>
                <w:sz w:val="20"/>
                <w:szCs w:val="20"/>
                <w:color w:val="auto"/>
              </w:rPr>
            </w:pPr>
            <w:r>
              <w:rPr>
                <w:rFonts w:ascii="Arial" w:cs="Arial" w:eastAsia="Arial" w:hAnsi="Arial"/>
                <w:sz w:val="12"/>
                <w:szCs w:val="12"/>
                <w:color w:val="auto"/>
              </w:rPr>
              <w:t>Equity:</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Waste Management, Inc. stockholders’ equity:</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500" w:type="dxa"/>
            <w:vAlign w:val="bottom"/>
          </w:tcPr>
          <w:p>
            <w:pPr>
              <w:ind w:left="240"/>
              <w:spacing w:after="0"/>
              <w:rPr>
                <w:sz w:val="20"/>
                <w:szCs w:val="20"/>
                <w:color w:val="auto"/>
              </w:rPr>
            </w:pPr>
            <w:r>
              <w:rPr>
                <w:rFonts w:ascii="Arial" w:cs="Arial" w:eastAsia="Arial" w:hAnsi="Arial"/>
                <w:sz w:val="12"/>
                <w:szCs w:val="12"/>
                <w:color w:val="auto"/>
              </w:rPr>
              <w:t>Common stock, $0.01 par value; 1,500,000,000 shares authorized; 630,282,461 shares issued</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4,528</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4,543</w:t>
            </w:r>
          </w:p>
        </w:tc>
        <w:tc>
          <w:tcPr>
            <w:tcW w:w="0" w:type="dxa"/>
            <w:vAlign w:val="bottom"/>
          </w:tcPr>
          <w:p>
            <w:pPr>
              <w:spacing w:after="0"/>
              <w:rPr>
                <w:sz w:val="1"/>
                <w:szCs w:val="1"/>
                <w:color w:val="auto"/>
              </w:rPr>
            </w:pPr>
          </w:p>
        </w:tc>
      </w:tr>
      <w:tr>
        <w:trPr>
          <w:trHeight w:val="147"/>
        </w:trPr>
        <w:tc>
          <w:tcPr>
            <w:tcW w:w="8500" w:type="dxa"/>
            <w:vAlign w:val="bottom"/>
          </w:tcPr>
          <w:p>
            <w:pPr>
              <w:ind w:left="240"/>
              <w:spacing w:after="0"/>
              <w:rPr>
                <w:sz w:val="20"/>
                <w:szCs w:val="20"/>
                <w:color w:val="auto"/>
              </w:rPr>
            </w:pPr>
            <w:r>
              <w:rPr>
                <w:rFonts w:ascii="Arial" w:cs="Arial" w:eastAsia="Arial" w:hAnsi="Arial"/>
                <w:sz w:val="12"/>
                <w:szCs w:val="12"/>
                <w:color w:val="auto"/>
              </w:rPr>
              <w:t>Retained earnings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6,400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6,053</w:t>
            </w:r>
          </w:p>
        </w:tc>
        <w:tc>
          <w:tcPr>
            <w:tcW w:w="0" w:type="dxa"/>
            <w:vAlign w:val="bottom"/>
          </w:tcPr>
          <w:p>
            <w:pPr>
              <w:spacing w:after="0"/>
              <w:rPr>
                <w:sz w:val="1"/>
                <w:szCs w:val="1"/>
                <w:color w:val="auto"/>
              </w:rPr>
            </w:pPr>
          </w:p>
        </w:tc>
      </w:tr>
      <w:tr>
        <w:trPr>
          <w:trHeight w:val="147"/>
        </w:trPr>
        <w:tc>
          <w:tcPr>
            <w:tcW w:w="8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income</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47"/>
        </w:trPr>
        <w:tc>
          <w:tcPr>
            <w:tcW w:w="8500" w:type="dxa"/>
            <w:vAlign w:val="bottom"/>
          </w:tcPr>
          <w:p>
            <w:pPr>
              <w:ind w:left="240"/>
              <w:spacing w:after="0"/>
              <w:rPr>
                <w:sz w:val="20"/>
                <w:szCs w:val="20"/>
                <w:color w:val="auto"/>
              </w:rPr>
            </w:pPr>
            <w:r>
              <w:rPr>
                <w:rFonts w:ascii="Arial" w:cs="Arial" w:eastAsia="Arial" w:hAnsi="Arial"/>
                <w:sz w:val="12"/>
                <w:szCs w:val="12"/>
                <w:color w:val="auto"/>
              </w:rPr>
              <w:t>Treasury stock at cost, 155,235,711 and 144,162,063 shares, respectively</w:t>
            </w:r>
          </w:p>
        </w:tc>
        <w:tc>
          <w:tcPr>
            <w:tcW w:w="10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color w:val="auto"/>
              </w:rPr>
              <w:t>(4,904)</w:t>
            </w:r>
          </w:p>
        </w:tc>
        <w:tc>
          <w:tcPr>
            <w:tcW w:w="12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(4,525)</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Waste Management, Inc. stockholders’ equity</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6,285</w:t>
            </w:r>
          </w:p>
        </w:tc>
        <w:tc>
          <w:tcPr>
            <w:tcW w:w="0" w:type="dxa"/>
            <w:vAlign w:val="bottom"/>
          </w:tcPr>
          <w:p>
            <w:pPr>
              <w:spacing w:after="0"/>
              <w:rPr>
                <w:sz w:val="1"/>
                <w:szCs w:val="1"/>
                <w:color w:val="auto"/>
              </w:rPr>
            </w:pPr>
          </w:p>
        </w:tc>
      </w:tr>
      <w:tr>
        <w:trPr>
          <w:trHeight w:val="147"/>
        </w:trPr>
        <w:tc>
          <w:tcPr>
            <w:tcW w:w="8500" w:type="dxa"/>
            <w:vAlign w:val="bottom"/>
          </w:tcPr>
          <w:p>
            <w:pPr>
              <w:ind w:left="120"/>
              <w:spacing w:after="0"/>
              <w:rPr>
                <w:sz w:val="20"/>
                <w:szCs w:val="20"/>
                <w:color w:val="auto"/>
              </w:rPr>
            </w:pPr>
            <w:r>
              <w:rPr>
                <w:rFonts w:ascii="Arial" w:cs="Arial" w:eastAsia="Arial" w:hAnsi="Arial"/>
                <w:sz w:val="12"/>
                <w:szCs w:val="12"/>
                <w:color w:val="auto"/>
              </w:rPr>
              <w:t>Noncontrolling interests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331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equity</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6,591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6,591</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2"/>
                <w:szCs w:val="12"/>
                <w:color w:val="auto"/>
              </w:rPr>
              <w:t>Total liabilities and equity</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50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21,476</w:t>
            </w:r>
          </w:p>
        </w:tc>
        <w:tc>
          <w:tcPr>
            <w:tcW w:w="40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21,154</w:t>
            </w:r>
          </w:p>
        </w:tc>
        <w:tc>
          <w:tcPr>
            <w:tcW w:w="0" w:type="dxa"/>
            <w:vAlign w:val="bottom"/>
          </w:tcPr>
          <w:p>
            <w:pPr>
              <w:spacing w:after="0"/>
              <w:rPr>
                <w:sz w:val="1"/>
                <w:szCs w:val="1"/>
                <w:color w:val="auto"/>
              </w:rPr>
            </w:pPr>
          </w:p>
        </w:tc>
      </w:tr>
      <w:tr>
        <w:trPr>
          <w:trHeight w:val="32"/>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12,515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11,791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7,824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7,241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1,461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1,364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1,194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(78)</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10,399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9,904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11,154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2,116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Other income (expense):</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(426)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Other, net</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(485)</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1,631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1,473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629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1,002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1,060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Net income attributable to noncontrolling interests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953</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994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Diluted earnings per common share</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1.98</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declared per common share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7300" w:type="dxa"/>
            <w:vAlign w:val="bottom"/>
          </w:tcPr>
          <w:p>
            <w:pPr>
              <w:ind w:left="3740"/>
              <w:spacing w:after="0"/>
              <w:rPr>
                <w:sz w:val="20"/>
                <w:szCs w:val="20"/>
                <w:color w:val="auto"/>
              </w:rPr>
            </w:pPr>
            <w:r>
              <w:rPr>
                <w:rFonts w:ascii="Arial" w:cs="Arial" w:eastAsia="Arial" w:hAnsi="Arial"/>
                <w:sz w:val="13"/>
                <w:szCs w:val="13"/>
                <w:color w:val="auto"/>
              </w:rPr>
              <w:t>See notes to Consolidated Financial Statements.</w:t>
            </w: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300" w:type="dxa"/>
            <w:vAlign w:val="bottom"/>
          </w:tcPr>
          <w:p>
            <w:pPr>
              <w:ind w:left="4940"/>
              <w:spacing w:after="0"/>
              <w:rPr>
                <w:sz w:val="20"/>
                <w:szCs w:val="20"/>
                <w:color w:val="auto"/>
              </w:rPr>
            </w:pPr>
            <w:r>
              <w:rPr>
                <w:rFonts w:ascii="Arial" w:cs="Arial" w:eastAsia="Arial" w:hAnsi="Arial"/>
                <w:sz w:val="13"/>
                <w:szCs w:val="13"/>
                <w:color w:val="auto"/>
              </w:rPr>
              <w:t>68</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6"/>
          </w:tcPr>
          <w:p>
            <w:pPr>
              <w:jc w:val="center"/>
              <w:ind w:left="201"/>
              <w:spacing w:after="0"/>
              <w:rPr>
                <w:sz w:val="20"/>
                <w:szCs w:val="20"/>
                <w:color w:val="auto"/>
              </w:rPr>
            </w:pPr>
            <w:r>
              <w:rPr>
                <w:rFonts w:ascii="Arial" w:cs="Arial" w:eastAsia="Arial" w:hAnsi="Arial"/>
                <w:sz w:val="10"/>
                <w:szCs w:val="10"/>
                <w:b w:val="1"/>
                <w:bCs w:val="1"/>
                <w:color w:val="auto"/>
                <w:w w:val="94"/>
              </w:rPr>
              <w:t>Years Ended December 31,</w:t>
            </w: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w w:val="98"/>
              </w:rPr>
              <w:t>2010</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spacing w:after="0"/>
              <w:rPr>
                <w:sz w:val="20"/>
                <w:szCs w:val="20"/>
                <w:color w:val="auto"/>
              </w:rPr>
            </w:pPr>
            <w:r>
              <w:rPr>
                <w:rFonts w:ascii="Arial" w:cs="Arial" w:eastAsia="Arial" w:hAnsi="Arial"/>
                <w:sz w:val="12"/>
                <w:szCs w:val="12"/>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1,002</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1,060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1,128</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consolidated net income to net cash provided by operating activities: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1,194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1,166</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1,238</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 (benefit) provision</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(94)</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Interest accretion on landfill liabilities</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82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accretion on and discount rate adjustments to environmental remediation liabilities and recovery assets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Provision for bad debts</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Equity-based compensation expense</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Equity in net losses of unconsolidated entities, net of dividends</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gain from disposal of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Effect of (income) expense from divestitures, asset impairments and unusual items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Change in operating assets and liabilities, net of effects of acquisitions and divestitures: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Receivables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(159)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216</w:t>
            </w:r>
          </w:p>
        </w:tc>
        <w:tc>
          <w:tcPr>
            <w:tcW w:w="0" w:type="dxa"/>
            <w:vAlign w:val="bottom"/>
          </w:tcPr>
          <w:p>
            <w:pPr>
              <w:spacing w:after="0"/>
              <w:rPr>
                <w:sz w:val="1"/>
                <w:szCs w:val="1"/>
                <w:color w:val="auto"/>
              </w:rPr>
            </w:pPr>
          </w:p>
        </w:tc>
      </w:tr>
      <w:tr>
        <w:trPr>
          <w:trHeight w:val="147"/>
        </w:trPr>
        <w:tc>
          <w:tcPr>
            <w:tcW w:w="7880" w:type="dxa"/>
            <w:vAlign w:val="bottom"/>
          </w:tcPr>
          <w:p>
            <w:pPr>
              <w:ind w:left="240"/>
              <w:spacing w:after="0"/>
              <w:rPr>
                <w:sz w:val="20"/>
                <w:szCs w:val="20"/>
                <w:color w:val="auto"/>
              </w:rPr>
            </w:pPr>
            <w:r>
              <w:rPr>
                <w:rFonts w:ascii="Arial" w:cs="Arial" w:eastAsia="Arial" w:hAnsi="Arial"/>
                <w:sz w:val="12"/>
                <w:szCs w:val="12"/>
                <w:color w:val="auto"/>
              </w:rPr>
              <w:t>Other current assets</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7"/>
        </w:trPr>
        <w:tc>
          <w:tcPr>
            <w:tcW w:w="7880" w:type="dxa"/>
            <w:vAlign w:val="bottom"/>
          </w:tcPr>
          <w:p>
            <w:pPr>
              <w:ind w:left="240"/>
              <w:spacing w:after="0"/>
              <w:rPr>
                <w:sz w:val="20"/>
                <w:szCs w:val="20"/>
                <w:color w:val="auto"/>
              </w:rPr>
            </w:pPr>
            <w:r>
              <w:rPr>
                <w:rFonts w:ascii="Arial" w:cs="Arial" w:eastAsia="Arial" w:hAnsi="Arial"/>
                <w:sz w:val="12"/>
                <w:szCs w:val="12"/>
                <w:color w:val="auto"/>
              </w:rPr>
              <w:t>Accounts payable and accrued liabilities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(57)</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revenues and other liabilities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(62)</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2,275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2,362</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2,575</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(407)</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(281)</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(280)</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Capital expenditures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4"/>
              </w:rPr>
              <w:t>(1,104)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89"/>
              </w:rPr>
              <w:t>(1,179)</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(1,221)</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receipts from restricted trust and escrow accounts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196</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Investments in unconsolidated entities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(173)</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(21)</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w w:val="94"/>
              </w:rPr>
              <w:t>(1,606)</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w w:val="89"/>
              </w:rPr>
              <w:t>(1,250)</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(1,183)</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New borrowings</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908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1,749</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1,525</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repayments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4"/>
              </w:rPr>
              <w:t>(1,112)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89"/>
              </w:rPr>
              <w:t>(1,335)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(1,785)</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(501)</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(226)</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(410)</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(604)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(569)</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(531)</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Exercise of common stock options</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54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Distributions paid to noncontrolling interests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(50)</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w w:val="94"/>
              </w:rPr>
              <w:t>(1,273)</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(457)</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(1,256)</w:t>
            </w:r>
          </w:p>
        </w:tc>
        <w:tc>
          <w:tcPr>
            <w:tcW w:w="0" w:type="dxa"/>
            <w:vAlign w:val="bottom"/>
          </w:tcPr>
          <w:p>
            <w:pPr>
              <w:spacing w:after="0"/>
              <w:rPr>
                <w:sz w:val="1"/>
                <w:szCs w:val="1"/>
                <w:color w:val="auto"/>
              </w:rPr>
            </w:pPr>
          </w:p>
        </w:tc>
      </w:tr>
      <w:tr>
        <w:trPr>
          <w:trHeight w:val="22"/>
        </w:trPr>
        <w:tc>
          <w:tcPr>
            <w:tcW w:w="7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(601)</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660</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50"/>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year</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1,140</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480</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year</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8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539</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1,140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32"/>
        </w:trPr>
        <w:tc>
          <w:tcPr>
            <w:tcW w:w="7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EQUITY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9"/>
                <w:szCs w:val="9"/>
                <w:b w:val="1"/>
                <w:bCs w:val="1"/>
                <w:color w:val="auto"/>
                <w:w w:val="97"/>
              </w:rPr>
              <w:t>Waste Management, Inc. Stockholders’ Equity</w:t>
            </w: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Accumulated</w:t>
            </w: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Other</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ind w:left="180"/>
              <w:spacing w:after="0"/>
              <w:rPr>
                <w:sz w:val="20"/>
                <w:szCs w:val="20"/>
                <w:color w:val="auto"/>
              </w:rPr>
            </w:pPr>
            <w:r>
              <w:rPr>
                <w:rFonts w:ascii="Arial" w:cs="Arial" w:eastAsia="Arial" w:hAnsi="Arial"/>
                <w:sz w:val="9"/>
                <w:szCs w:val="9"/>
                <w:b w:val="1"/>
                <w:bCs w:val="1"/>
                <w:color w:val="auto"/>
                <w:w w:val="93"/>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9"/>
              </w:rPr>
              <w:t>Additional</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Comprehensive</w:t>
            </w:r>
          </w:p>
        </w:tc>
        <w:tc>
          <w:tcPr>
            <w:tcW w:w="1180" w:type="dxa"/>
            <w:vAlign w:val="bottom"/>
            <w:gridSpan w:val="5"/>
            <w:vMerge w:val="restart"/>
          </w:tcPr>
          <w:p>
            <w:pPr>
              <w:jc w:val="right"/>
              <w:ind w:right="38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340"/>
              <w:spacing w:after="0" w:line="102" w:lineRule="exact"/>
              <w:rPr>
                <w:sz w:val="20"/>
                <w:szCs w:val="20"/>
                <w:color w:val="auto"/>
              </w:rPr>
            </w:pPr>
            <w:r>
              <w:rPr>
                <w:rFonts w:ascii="Arial" w:cs="Arial" w:eastAsia="Arial" w:hAnsi="Arial"/>
                <w:sz w:val="9"/>
                <w:szCs w:val="9"/>
                <w:b w:val="1"/>
                <w:bCs w:val="1"/>
                <w:color w:val="auto"/>
                <w:w w:val="94"/>
              </w:rPr>
              <w:t>Comprehensive</w:t>
            </w:r>
          </w:p>
        </w:tc>
        <w:tc>
          <w:tcPr>
            <w:tcW w:w="8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280"/>
              <w:spacing w:after="0" w:line="102" w:lineRule="exact"/>
              <w:rPr>
                <w:sz w:val="20"/>
                <w:szCs w:val="20"/>
                <w:color w:val="auto"/>
              </w:rPr>
            </w:pPr>
            <w:r>
              <w:rPr>
                <w:rFonts w:ascii="Arial" w:cs="Arial" w:eastAsia="Arial" w:hAnsi="Arial"/>
                <w:sz w:val="9"/>
                <w:szCs w:val="9"/>
                <w:b w:val="1"/>
                <w:bCs w:val="1"/>
                <w:color w:val="auto"/>
                <w:w w:val="99"/>
              </w:rPr>
              <w:t>Paid-In</w:t>
            </w:r>
          </w:p>
        </w:tc>
        <w:tc>
          <w:tcPr>
            <w:tcW w:w="600" w:type="dxa"/>
            <w:vAlign w:val="bottom"/>
            <w:gridSpan w:val="3"/>
          </w:tcPr>
          <w:p>
            <w:pPr>
              <w:jc w:val="right"/>
              <w:ind w:right="220"/>
              <w:spacing w:after="0" w:line="102" w:lineRule="exact"/>
              <w:rPr>
                <w:sz w:val="20"/>
                <w:szCs w:val="20"/>
                <w:color w:val="auto"/>
              </w:rPr>
            </w:pPr>
            <w:r>
              <w:rPr>
                <w:rFonts w:ascii="Arial" w:cs="Arial" w:eastAsia="Arial" w:hAnsi="Arial"/>
                <w:sz w:val="9"/>
                <w:szCs w:val="9"/>
                <w:b w:val="1"/>
                <w:bCs w:val="1"/>
                <w:color w:val="auto"/>
                <w:w w:val="94"/>
              </w:rPr>
              <w:t>Retained</w:t>
            </w: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5"/>
              </w:rPr>
              <w:t>Income</w:t>
            </w:r>
          </w:p>
        </w:tc>
        <w:tc>
          <w:tcPr>
            <w:tcW w:w="11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b w:val="1"/>
                <w:bCs w:val="1"/>
                <w:color w:val="auto"/>
                <w:w w:val="93"/>
              </w:rPr>
              <w:t>Noncontrolling</w:t>
            </w:r>
          </w:p>
        </w:tc>
        <w:tc>
          <w:tcPr>
            <w:tcW w:w="0" w:type="dxa"/>
            <w:vAlign w:val="bottom"/>
          </w:tcPr>
          <w:p>
            <w:pPr>
              <w:spacing w:after="0"/>
              <w:rPr>
                <w:sz w:val="1"/>
                <w:szCs w:val="1"/>
                <w:color w:val="auto"/>
              </w:rPr>
            </w:pPr>
          </w:p>
        </w:tc>
      </w:tr>
      <w:tr>
        <w:trPr>
          <w:trHeight w:val="88"/>
        </w:trPr>
        <w:tc>
          <w:tcPr>
            <w:tcW w:w="2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tcPr>
          <w:p>
            <w:pPr>
              <w:jc w:val="right"/>
              <w:ind w:right="220"/>
              <w:spacing w:after="0" w:line="88" w:lineRule="exact"/>
              <w:rPr>
                <w:sz w:val="20"/>
                <w:szCs w:val="20"/>
                <w:color w:val="auto"/>
              </w:rPr>
            </w:pPr>
            <w:r>
              <w:rPr>
                <w:rFonts w:ascii="Arial" w:cs="Arial" w:eastAsia="Arial" w:hAnsi="Arial"/>
                <w:sz w:val="9"/>
                <w:szCs w:val="9"/>
                <w:b w:val="1"/>
                <w:bCs w:val="1"/>
                <w:color w:val="auto"/>
                <w:w w:val="83"/>
              </w:rPr>
              <w:t>Total</w:t>
            </w:r>
          </w:p>
        </w:tc>
        <w:tc>
          <w:tcPr>
            <w:tcW w:w="100" w:type="dxa"/>
            <w:vAlign w:val="bottom"/>
          </w:tcPr>
          <w:p>
            <w:pPr>
              <w:spacing w:after="0"/>
              <w:rPr>
                <w:sz w:val="7"/>
                <w:szCs w:val="7"/>
                <w:color w:val="auto"/>
              </w:rPr>
            </w:pPr>
          </w:p>
        </w:tc>
        <w:tc>
          <w:tcPr>
            <w:tcW w:w="1000" w:type="dxa"/>
            <w:vAlign w:val="bottom"/>
            <w:gridSpan w:val="2"/>
          </w:tcPr>
          <w:p>
            <w:pPr>
              <w:jc w:val="right"/>
              <w:ind w:right="500"/>
              <w:spacing w:after="0" w:line="88" w:lineRule="exact"/>
              <w:rPr>
                <w:sz w:val="20"/>
                <w:szCs w:val="20"/>
                <w:color w:val="auto"/>
              </w:rPr>
            </w:pPr>
            <w:r>
              <w:rPr>
                <w:rFonts w:ascii="Arial" w:cs="Arial" w:eastAsia="Arial" w:hAnsi="Arial"/>
                <w:sz w:val="9"/>
                <w:szCs w:val="9"/>
                <w:b w:val="1"/>
                <w:bCs w:val="1"/>
                <w:color w:val="auto"/>
              </w:rPr>
              <w:t>Income</w:t>
            </w:r>
          </w:p>
        </w:tc>
        <w:tc>
          <w:tcPr>
            <w:tcW w:w="56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38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87"/>
              </w:rPr>
              <w:t>Amounts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w w:val="99"/>
              </w:rPr>
              <w:t>Capital</w:t>
            </w:r>
          </w:p>
        </w:tc>
        <w:tc>
          <w:tcPr>
            <w:tcW w:w="600" w:type="dxa"/>
            <w:vAlign w:val="bottom"/>
            <w:gridSpan w:val="3"/>
          </w:tcPr>
          <w:p>
            <w:pPr>
              <w:jc w:val="right"/>
              <w:ind w:right="220"/>
              <w:spacing w:after="0" w:line="88" w:lineRule="exact"/>
              <w:rPr>
                <w:sz w:val="20"/>
                <w:szCs w:val="20"/>
                <w:color w:val="auto"/>
              </w:rPr>
            </w:pPr>
            <w:r>
              <w:rPr>
                <w:rFonts w:ascii="Arial" w:cs="Arial" w:eastAsia="Arial" w:hAnsi="Arial"/>
                <w:sz w:val="9"/>
                <w:szCs w:val="9"/>
                <w:b w:val="1"/>
                <w:bCs w:val="1"/>
                <w:color w:val="auto"/>
                <w:w w:val="93"/>
              </w:rPr>
              <w:t>Earnings</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88"/>
              </w:rPr>
              <w:t>(Loss)</w:t>
            </w:r>
          </w:p>
        </w:tc>
        <w:tc>
          <w:tcPr>
            <w:tcW w:w="600" w:type="dxa"/>
            <w:vAlign w:val="bottom"/>
            <w:tcBorders>
              <w:top w:val="single" w:sz="8" w:color="auto"/>
            </w:tcBorders>
            <w:gridSpan w:val="2"/>
          </w:tcPr>
          <w:p>
            <w:pPr>
              <w:jc w:val="right"/>
              <w:ind w:right="26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2"/>
              </w:rPr>
              <w:t>Amounts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Interests</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December 31, 2007</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6,102</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630,282</w:t>
            </w:r>
          </w:p>
        </w:tc>
        <w:tc>
          <w:tcPr>
            <w:tcW w:w="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w:t>
            </w: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4,542</w:t>
            </w:r>
          </w:p>
        </w:tc>
        <w:tc>
          <w:tcPr>
            <w:tcW w:w="140" w:type="dxa"/>
            <w:vAlign w:val="bottom"/>
            <w:shd w:val="clear" w:color="auto" w:fill="CCEEFF"/>
          </w:tcPr>
          <w:p>
            <w:pPr>
              <w:jc w:val="right"/>
              <w:ind w:right="66"/>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5,080</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229</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(130,164)</w:t>
            </w:r>
          </w:p>
        </w:tc>
        <w:tc>
          <w:tcPr>
            <w:tcW w:w="120" w:type="dxa"/>
            <w:vAlign w:val="bottom"/>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(4,065)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310</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Comprehensive Income:</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Consolidated net income</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1,128</w:t>
            </w:r>
          </w:p>
        </w:tc>
        <w:tc>
          <w:tcPr>
            <w:tcW w:w="100" w:type="dxa"/>
            <w:vAlign w:val="bottom"/>
            <w:shd w:val="clear" w:color="auto" w:fill="CCEEFF"/>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1,128</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1,087</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41</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Other comprehensive income (loss), net of taxes:</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40" w:type="dxa"/>
            <w:vAlign w:val="bottom"/>
            <w:shd w:val="clear" w:color="auto" w:fill="CCEEFF"/>
          </w:tcPr>
          <w:p>
            <w:pPr>
              <w:ind w:left="80"/>
              <w:spacing w:after="0" w:line="81" w:lineRule="exact"/>
              <w:rPr>
                <w:sz w:val="20"/>
                <w:szCs w:val="20"/>
                <w:color w:val="auto"/>
              </w:rPr>
            </w:pPr>
            <w:r>
              <w:rPr>
                <w:rFonts w:ascii="Arial" w:cs="Arial" w:eastAsia="Arial" w:hAnsi="Arial"/>
                <w:sz w:val="8"/>
                <w:szCs w:val="8"/>
                <w:color w:val="auto"/>
                <w:w w:val="94"/>
              </w:rPr>
              <w:t>Unrealized gains resulting from changes in fair value of derivative instruments, net</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shd w:val="clear" w:color="auto" w:fill="CCEEFF"/>
          </w:tcPr>
          <w:p>
            <w:pPr>
              <w:ind w:left="180"/>
              <w:spacing w:after="0"/>
              <w:rPr>
                <w:sz w:val="20"/>
                <w:szCs w:val="20"/>
                <w:color w:val="auto"/>
              </w:rPr>
            </w:pPr>
            <w:r>
              <w:rPr>
                <w:rFonts w:ascii="Arial" w:cs="Arial" w:eastAsia="Arial" w:hAnsi="Arial"/>
                <w:sz w:val="8"/>
                <w:szCs w:val="8"/>
                <w:color w:val="auto"/>
              </w:rPr>
              <w:t>of taxes of $25</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40</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40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40</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2840" w:type="dxa"/>
            <w:vAlign w:val="bottom"/>
          </w:tcPr>
          <w:p>
            <w:pPr>
              <w:ind w:left="80"/>
              <w:spacing w:after="0" w:line="81" w:lineRule="exact"/>
              <w:rPr>
                <w:sz w:val="20"/>
                <w:szCs w:val="20"/>
                <w:color w:val="auto"/>
              </w:rPr>
            </w:pPr>
            <w:r>
              <w:rPr>
                <w:rFonts w:ascii="Arial" w:cs="Arial" w:eastAsia="Arial" w:hAnsi="Arial"/>
                <w:sz w:val="8"/>
                <w:szCs w:val="8"/>
                <w:color w:val="auto"/>
                <w:w w:val="94"/>
              </w:rPr>
              <w:t>Realized gains on derivative instruments reclassified into earnings, net of taxes of</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tcPr>
          <w:p>
            <w:pPr>
              <w:ind w:left="180"/>
              <w:spacing w:after="0"/>
              <w:rPr>
                <w:sz w:val="20"/>
                <w:szCs w:val="20"/>
                <w:color w:val="auto"/>
              </w:rPr>
            </w:pPr>
            <w:r>
              <w:rPr>
                <w:rFonts w:ascii="Arial" w:cs="Arial" w:eastAsia="Arial" w:hAnsi="Arial"/>
                <w:sz w:val="8"/>
                <w:szCs w:val="8"/>
                <w:color w:val="auto"/>
              </w:rPr>
              <w:t>$24</w:t>
            </w:r>
          </w:p>
        </w:tc>
        <w:tc>
          <w:tcPr>
            <w:tcW w:w="40" w:type="dxa"/>
            <w:vAlign w:val="bottom"/>
          </w:tcPr>
          <w:p>
            <w:pPr>
              <w:spacing w:after="0"/>
              <w:rPr>
                <w:sz w:val="8"/>
                <w:szCs w:val="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8"/>
                <w:szCs w:val="8"/>
                <w:color w:val="auto"/>
              </w:rPr>
              <w:t>(39)</w:t>
            </w:r>
          </w:p>
        </w:tc>
        <w:tc>
          <w:tcPr>
            <w:tcW w:w="100" w:type="dxa"/>
            <w:vAlign w:val="bottom"/>
          </w:tcPr>
          <w:p>
            <w:pPr>
              <w:spacing w:after="0"/>
              <w:rPr>
                <w:sz w:val="8"/>
                <w:szCs w:val="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8"/>
                <w:szCs w:val="8"/>
                <w:color w:val="auto"/>
              </w:rPr>
              <w:t>(39)</w:t>
            </w:r>
          </w:p>
        </w:tc>
        <w:tc>
          <w:tcPr>
            <w:tcW w:w="5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8"/>
                <w:szCs w:val="8"/>
                <w:color w:val="auto"/>
              </w:rPr>
              <w:t>(39)</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Unrealized losses on marketable securities, net of taxes of $4</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(18)</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(18)</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(11)</w:t>
            </w:r>
          </w:p>
        </w:tc>
        <w:tc>
          <w:tcPr>
            <w:tcW w:w="0" w:type="dxa"/>
            <w:vAlign w:val="bottom"/>
          </w:tcPr>
          <w:p>
            <w:pPr>
              <w:spacing w:after="0"/>
              <w:rPr>
                <w:sz w:val="1"/>
                <w:szCs w:val="1"/>
                <w:color w:val="auto"/>
              </w:rPr>
            </w:pPr>
          </w:p>
        </w:tc>
      </w:tr>
      <w:tr>
        <w:trPr>
          <w:trHeight w:val="88"/>
        </w:trPr>
        <w:tc>
          <w:tcPr>
            <w:tcW w:w="2840" w:type="dxa"/>
            <w:vAlign w:val="bottom"/>
          </w:tcPr>
          <w:p>
            <w:pPr>
              <w:ind w:left="80"/>
              <w:spacing w:after="0" w:line="89" w:lineRule="exact"/>
              <w:rPr>
                <w:sz w:val="20"/>
                <w:szCs w:val="20"/>
                <w:color w:val="auto"/>
              </w:rPr>
            </w:pPr>
            <w:r>
              <w:rPr>
                <w:rFonts w:ascii="Arial" w:cs="Arial" w:eastAsia="Arial" w:hAnsi="Arial"/>
                <w:sz w:val="8"/>
                <w:szCs w:val="8"/>
                <w:color w:val="auto"/>
              </w:rPr>
              <w:t>Foreign currency translation adjustments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100" w:type="dxa"/>
            <w:vAlign w:val="bottom"/>
          </w:tcPr>
          <w:p>
            <w:pPr>
              <w:spacing w:after="0"/>
              <w:rPr>
                <w:sz w:val="7"/>
                <w:szCs w:val="7"/>
                <w:color w:val="auto"/>
              </w:rPr>
            </w:pPr>
          </w:p>
        </w:tc>
        <w:tc>
          <w:tcPr>
            <w:tcW w:w="10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Change in funded status of defined benefit plan liabilities, net of taxes of $5</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Other comprehensive income (loss)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(152)</w:t>
            </w:r>
          </w:p>
        </w:tc>
        <w:tc>
          <w:tcPr>
            <w:tcW w:w="100" w:type="dxa"/>
            <w:vAlign w:val="bottom"/>
          </w:tcPr>
          <w:p>
            <w:pPr>
              <w:spacing w:after="0"/>
              <w:rPr>
                <w:sz w:val="7"/>
                <w:szCs w:val="7"/>
                <w:color w:val="auto"/>
              </w:rPr>
            </w:pPr>
          </w:p>
        </w:tc>
        <w:tc>
          <w:tcPr>
            <w:tcW w:w="10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(152)</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Comprehensive income</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976</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
              <w:spacing w:after="0" w:line="88"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976</w:t>
            </w: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Cash dividends declared</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(531)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(531)</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w w:val="93"/>
              </w:rPr>
              <w:t>Equity-based compensation transactions, including dividend equivalents, net of taxes</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106</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16</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2,995</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94</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Common stock repurchases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(410)</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(12,390)</w:t>
            </w:r>
          </w:p>
        </w:tc>
        <w:tc>
          <w:tcPr>
            <w:tcW w:w="12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(410)</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Distributions paid to noncontrolling interests</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(56)</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(56)</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Cumulative effect of change in accounting principle</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Balance, December 31, 2008</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Pr>
          <w:p>
            <w:pPr>
              <w:jc w:val="right"/>
              <w:spacing w:after="0" w:line="88" w:lineRule="exact"/>
              <w:rPr>
                <w:sz w:val="20"/>
                <w:szCs w:val="20"/>
                <w:color w:val="auto"/>
              </w:rPr>
            </w:pPr>
            <w:r>
              <w:rPr>
                <w:rFonts w:ascii="Arial" w:cs="Arial" w:eastAsia="Arial" w:hAnsi="Arial"/>
                <w:sz w:val="8"/>
                <w:szCs w:val="8"/>
                <w:color w:val="auto"/>
              </w:rPr>
              <w:t>6,185</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630,282</w:t>
            </w:r>
          </w:p>
        </w:tc>
        <w:tc>
          <w:tcPr>
            <w:tcW w:w="200" w:type="dxa"/>
            <w:vAlign w:val="bottom"/>
          </w:tcPr>
          <w:p>
            <w:pPr>
              <w:spacing w:after="0"/>
              <w:rPr>
                <w:sz w:val="7"/>
                <w:szCs w:val="7"/>
                <w:color w:val="auto"/>
              </w:rPr>
            </w:pPr>
          </w:p>
        </w:tc>
        <w:tc>
          <w:tcPr>
            <w:tcW w:w="260" w:type="dxa"/>
            <w:vAlign w:val="bottom"/>
          </w:tcPr>
          <w:p>
            <w:pPr>
              <w:spacing w:after="0" w:line="88" w:lineRule="exact"/>
              <w:rPr>
                <w:sz w:val="20"/>
                <w:szCs w:val="20"/>
                <w:color w:val="auto"/>
              </w:rPr>
            </w:pPr>
            <w:r>
              <w:rPr>
                <w:rFonts w:ascii="Arial" w:cs="Arial" w:eastAsia="Arial" w:hAnsi="Arial"/>
                <w:sz w:val="8"/>
                <w:szCs w:val="8"/>
                <w:color w:val="auto"/>
              </w:rPr>
              <w:t>$</w:t>
            </w: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6</w:t>
            </w: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4,558</w:t>
            </w:r>
          </w:p>
        </w:tc>
        <w:tc>
          <w:tcPr>
            <w:tcW w:w="140" w:type="dxa"/>
            <w:vAlign w:val="bottom"/>
          </w:tcPr>
          <w:p>
            <w:pPr>
              <w:jc w:val="right"/>
              <w:ind w:right="66"/>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5,631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88</w:t>
            </w:r>
          </w:p>
        </w:tc>
        <w:tc>
          <w:tcPr>
            <w:tcW w:w="6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(139,547)</w:t>
            </w:r>
          </w:p>
        </w:tc>
        <w:tc>
          <w:tcPr>
            <w:tcW w:w="120" w:type="dxa"/>
            <w:vAlign w:val="bottom"/>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(4,381)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283</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Comprehensive Income:</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Consolidated net income</w:t>
            </w:r>
          </w:p>
        </w:tc>
        <w:tc>
          <w:tcPr>
            <w:tcW w:w="40" w:type="dxa"/>
            <w:vAlign w:val="bottom"/>
          </w:tcPr>
          <w:p>
            <w:pPr>
              <w:spacing w:after="0"/>
              <w:rPr>
                <w:sz w:val="7"/>
                <w:szCs w:val="7"/>
                <w:color w:val="auto"/>
              </w:rPr>
            </w:pPr>
          </w:p>
        </w:tc>
        <w:tc>
          <w:tcPr>
            <w:tcW w:w="4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1,060</w:t>
            </w: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1,060</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994</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66</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 comprehensive income (loss), net of taxes: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40" w:type="dxa"/>
            <w:vAlign w:val="bottom"/>
          </w:tcPr>
          <w:p>
            <w:pPr>
              <w:ind w:left="80"/>
              <w:spacing w:after="0" w:line="81" w:lineRule="exact"/>
              <w:rPr>
                <w:sz w:val="20"/>
                <w:szCs w:val="20"/>
                <w:color w:val="auto"/>
              </w:rPr>
            </w:pPr>
            <w:r>
              <w:rPr>
                <w:rFonts w:ascii="Arial" w:cs="Arial" w:eastAsia="Arial" w:hAnsi="Arial"/>
                <w:sz w:val="8"/>
                <w:szCs w:val="8"/>
                <w:color w:val="auto"/>
                <w:w w:val="93"/>
              </w:rPr>
              <w:t>Unrealized losses resulting from changes in fair value of derivative instruments, net</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tcPr>
          <w:p>
            <w:pPr>
              <w:ind w:left="180"/>
              <w:spacing w:after="0"/>
              <w:rPr>
                <w:sz w:val="20"/>
                <w:szCs w:val="20"/>
                <w:color w:val="auto"/>
              </w:rPr>
            </w:pPr>
            <w:r>
              <w:rPr>
                <w:rFonts w:ascii="Arial" w:cs="Arial" w:eastAsia="Arial" w:hAnsi="Arial"/>
                <w:sz w:val="8"/>
                <w:szCs w:val="8"/>
                <w:color w:val="auto"/>
              </w:rPr>
              <w:t>of taxes of $13</w:t>
            </w:r>
          </w:p>
        </w:tc>
        <w:tc>
          <w:tcPr>
            <w:tcW w:w="40" w:type="dxa"/>
            <w:vAlign w:val="bottom"/>
          </w:tcPr>
          <w:p>
            <w:pPr>
              <w:spacing w:after="0"/>
              <w:rPr>
                <w:sz w:val="8"/>
                <w:szCs w:val="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8"/>
                <w:szCs w:val="8"/>
                <w:color w:val="auto"/>
              </w:rPr>
              <w:t>(21)</w:t>
            </w:r>
          </w:p>
        </w:tc>
        <w:tc>
          <w:tcPr>
            <w:tcW w:w="100" w:type="dxa"/>
            <w:vAlign w:val="bottom"/>
          </w:tcPr>
          <w:p>
            <w:pPr>
              <w:spacing w:after="0"/>
              <w:rPr>
                <w:sz w:val="8"/>
                <w:szCs w:val="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8"/>
                <w:szCs w:val="8"/>
                <w:color w:val="auto"/>
              </w:rPr>
              <w:t>(21)</w:t>
            </w:r>
          </w:p>
        </w:tc>
        <w:tc>
          <w:tcPr>
            <w:tcW w:w="5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8"/>
                <w:szCs w:val="8"/>
                <w:color w:val="auto"/>
              </w:rPr>
              <w:t>(21)</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2840" w:type="dxa"/>
            <w:vAlign w:val="bottom"/>
            <w:shd w:val="clear" w:color="auto" w:fill="CCEEFF"/>
          </w:tcPr>
          <w:p>
            <w:pPr>
              <w:ind w:left="80"/>
              <w:spacing w:after="0" w:line="81" w:lineRule="exact"/>
              <w:rPr>
                <w:sz w:val="20"/>
                <w:szCs w:val="20"/>
                <w:color w:val="auto"/>
              </w:rPr>
            </w:pPr>
            <w:r>
              <w:rPr>
                <w:rFonts w:ascii="Arial" w:cs="Arial" w:eastAsia="Arial" w:hAnsi="Arial"/>
                <w:sz w:val="8"/>
                <w:szCs w:val="8"/>
                <w:color w:val="auto"/>
                <w:w w:val="93"/>
              </w:rPr>
              <w:t>Realized losses on derivative instruments reclassified into earnings, net of taxes of</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shd w:val="clear" w:color="auto" w:fill="CCEEFF"/>
          </w:tcPr>
          <w:p>
            <w:pPr>
              <w:ind w:left="180"/>
              <w:spacing w:after="0"/>
              <w:rPr>
                <w:sz w:val="20"/>
                <w:szCs w:val="20"/>
                <w:color w:val="auto"/>
              </w:rPr>
            </w:pPr>
            <w:r>
              <w:rPr>
                <w:rFonts w:ascii="Arial" w:cs="Arial" w:eastAsia="Arial" w:hAnsi="Arial"/>
                <w:sz w:val="8"/>
                <w:szCs w:val="8"/>
                <w:color w:val="auto"/>
              </w:rPr>
              <w:t>$21</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32</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32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32</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ind w:left="80"/>
              <w:spacing w:after="0" w:line="89" w:lineRule="exact"/>
              <w:rPr>
                <w:sz w:val="20"/>
                <w:szCs w:val="20"/>
                <w:color w:val="auto"/>
              </w:rPr>
            </w:pPr>
            <w:r>
              <w:rPr>
                <w:rFonts w:ascii="Arial" w:cs="Arial" w:eastAsia="Arial" w:hAnsi="Arial"/>
                <w:sz w:val="8"/>
                <w:szCs w:val="8"/>
                <w:color w:val="auto"/>
              </w:rPr>
              <w:t>Unrealized gains on marketable securities, net of taxes of $2</w:t>
            </w:r>
          </w:p>
        </w:tc>
        <w:tc>
          <w:tcPr>
            <w:tcW w:w="40" w:type="dxa"/>
            <w:vAlign w:val="bottom"/>
          </w:tcPr>
          <w:p>
            <w:pPr>
              <w:spacing w:after="0"/>
              <w:rPr>
                <w:sz w:val="7"/>
                <w:szCs w:val="7"/>
                <w:color w:val="auto"/>
              </w:rPr>
            </w:pPr>
          </w:p>
        </w:tc>
        <w:tc>
          <w:tcPr>
            <w:tcW w:w="4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10</w:t>
            </w: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10</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Foreign currency translation adjustments</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99</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99</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99</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ind w:left="80"/>
              <w:spacing w:after="0" w:line="89" w:lineRule="exact"/>
              <w:rPr>
                <w:sz w:val="20"/>
                <w:szCs w:val="20"/>
                <w:color w:val="auto"/>
              </w:rPr>
            </w:pPr>
            <w:r>
              <w:rPr>
                <w:rFonts w:ascii="Arial" w:cs="Arial" w:eastAsia="Arial" w:hAnsi="Arial"/>
                <w:sz w:val="8"/>
                <w:szCs w:val="8"/>
                <w:color w:val="auto"/>
              </w:rPr>
              <w:t>Change in funded status of defined benefit plan liabilities, net of taxes of $4</w:t>
            </w:r>
          </w:p>
        </w:tc>
        <w:tc>
          <w:tcPr>
            <w:tcW w:w="40" w:type="dxa"/>
            <w:vAlign w:val="bottom"/>
          </w:tcPr>
          <w:p>
            <w:pPr>
              <w:spacing w:after="0"/>
              <w:rPr>
                <w:sz w:val="7"/>
                <w:szCs w:val="7"/>
                <w:color w:val="auto"/>
              </w:rPr>
            </w:pP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6</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Other comprehensive income (loss)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126</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126</w:t>
            </w: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Comprehensive income</w:t>
            </w:r>
          </w:p>
        </w:tc>
        <w:tc>
          <w:tcPr>
            <w:tcW w:w="40" w:type="dxa"/>
            <w:vAlign w:val="bottom"/>
          </w:tcPr>
          <w:p>
            <w:pPr>
              <w:spacing w:after="0"/>
              <w:rPr>
                <w:sz w:val="7"/>
                <w:szCs w:val="7"/>
                <w:color w:val="auto"/>
              </w:rPr>
            </w:pPr>
          </w:p>
        </w:tc>
        <w:tc>
          <w:tcPr>
            <w:tcW w:w="240" w:type="dxa"/>
            <w:vAlign w:val="bottom"/>
          </w:tcPr>
          <w:p>
            <w:pPr>
              <w:jc w:val="right"/>
              <w:spacing w:after="0" w:line="88" w:lineRule="exact"/>
              <w:rPr>
                <w:sz w:val="20"/>
                <w:szCs w:val="20"/>
                <w:color w:val="auto"/>
              </w:rPr>
            </w:pPr>
            <w:r>
              <w:rPr>
                <w:rFonts w:ascii="Arial" w:cs="Arial" w:eastAsia="Arial" w:hAnsi="Arial"/>
                <w:sz w:val="8"/>
                <w:szCs w:val="8"/>
                <w:color w:val="auto"/>
              </w:rPr>
              <w:t>1,186</w:t>
            </w:r>
          </w:p>
        </w:tc>
        <w:tc>
          <w:tcPr>
            <w:tcW w:w="180" w:type="dxa"/>
            <w:vAlign w:val="bottom"/>
          </w:tcPr>
          <w:p>
            <w:pPr>
              <w:spacing w:after="0"/>
              <w:rPr>
                <w:sz w:val="7"/>
                <w:szCs w:val="7"/>
                <w:color w:val="auto"/>
              </w:rPr>
            </w:pPr>
          </w:p>
        </w:tc>
        <w:tc>
          <w:tcPr>
            <w:tcW w:w="100" w:type="dxa"/>
            <w:vAlign w:val="bottom"/>
          </w:tcPr>
          <w:p>
            <w:pPr>
              <w:jc w:val="right"/>
              <w:ind w:right="1"/>
              <w:spacing w:after="0" w:line="88" w:lineRule="exact"/>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1,186</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8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2840" w:type="dxa"/>
            <w:vAlign w:val="bottom"/>
            <w:shd w:val="clear" w:color="auto" w:fill="CCEEFF"/>
          </w:tcPr>
          <w:p>
            <w:pPr>
              <w:spacing w:after="0"/>
              <w:rPr>
                <w:sz w:val="20"/>
                <w:szCs w:val="20"/>
                <w:color w:val="auto"/>
              </w:rPr>
            </w:pPr>
            <w:r>
              <w:rPr>
                <w:rFonts w:ascii="Arial" w:cs="Arial" w:eastAsia="Arial" w:hAnsi="Arial"/>
                <w:sz w:val="8"/>
                <w:szCs w:val="8"/>
                <w:color w:val="auto"/>
              </w:rPr>
              <w:t>Cash dividends declared</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(569)</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(569)</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w w:val="93"/>
              </w:rPr>
              <w:t>Equity-based compensation transactions, including dividend equivalents, net of taxes</w:t>
            </w:r>
          </w:p>
        </w:tc>
        <w:tc>
          <w:tcPr>
            <w:tcW w:w="40" w:type="dxa"/>
            <w:vAlign w:val="bottom"/>
          </w:tcPr>
          <w:p>
            <w:pPr>
              <w:spacing w:after="0"/>
              <w:rPr>
                <w:sz w:val="7"/>
                <w:szCs w:val="7"/>
                <w:color w:val="auto"/>
              </w:rPr>
            </w:pPr>
          </w:p>
        </w:tc>
        <w:tc>
          <w:tcPr>
            <w:tcW w:w="4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64</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(15)</w:t>
            </w:r>
          </w:p>
        </w:tc>
        <w:tc>
          <w:tcPr>
            <w:tcW w:w="14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2,610</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82</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Common stock repurchases</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(226)</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(7,237)</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(226)</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Distributions paid to noncontrolling interests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(50)</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(50)</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840" w:type="dxa"/>
            <w:vAlign w:val="bottom"/>
          </w:tcPr>
          <w:p>
            <w:pPr>
              <w:spacing w:after="0" w:line="91" w:lineRule="exact"/>
              <w:rPr>
                <w:sz w:val="20"/>
                <w:szCs w:val="20"/>
                <w:color w:val="auto"/>
              </w:rPr>
            </w:pPr>
            <w:r>
              <w:rPr>
                <w:rFonts w:ascii="Arial" w:cs="Arial" w:eastAsia="Arial" w:hAnsi="Arial"/>
                <w:sz w:val="8"/>
                <w:szCs w:val="8"/>
                <w:color w:val="auto"/>
              </w:rPr>
              <w:t>Balance, December 31, 2009</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Pr>
          <w:p>
            <w:pPr>
              <w:jc w:val="right"/>
              <w:spacing w:after="0" w:line="91" w:lineRule="exact"/>
              <w:rPr>
                <w:sz w:val="20"/>
                <w:szCs w:val="20"/>
                <w:color w:val="auto"/>
              </w:rPr>
            </w:pPr>
            <w:r>
              <w:rPr>
                <w:rFonts w:ascii="Arial" w:cs="Arial" w:eastAsia="Arial" w:hAnsi="Arial"/>
                <w:sz w:val="8"/>
                <w:szCs w:val="8"/>
                <w:color w:val="auto"/>
              </w:rPr>
              <w:t>6,591</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spacing w:after="0" w:line="91" w:lineRule="exact"/>
              <w:rPr>
                <w:sz w:val="20"/>
                <w:szCs w:val="20"/>
                <w:color w:val="auto"/>
              </w:rPr>
            </w:pPr>
            <w:r>
              <w:rPr>
                <w:rFonts w:ascii="Arial" w:cs="Arial" w:eastAsia="Arial" w:hAnsi="Arial"/>
                <w:sz w:val="8"/>
                <w:szCs w:val="8"/>
                <w:color w:val="auto"/>
              </w:rPr>
              <w:t>630,282</w:t>
            </w:r>
          </w:p>
        </w:tc>
        <w:tc>
          <w:tcPr>
            <w:tcW w:w="200" w:type="dxa"/>
            <w:vAlign w:val="bottom"/>
          </w:tcPr>
          <w:p>
            <w:pPr>
              <w:spacing w:after="0"/>
              <w:rPr>
                <w:sz w:val="7"/>
                <w:szCs w:val="7"/>
                <w:color w:val="auto"/>
              </w:rPr>
            </w:pPr>
          </w:p>
        </w:tc>
        <w:tc>
          <w:tcPr>
            <w:tcW w:w="260" w:type="dxa"/>
            <w:vAlign w:val="bottom"/>
          </w:tcPr>
          <w:p>
            <w:pPr>
              <w:spacing w:after="0" w:line="91" w:lineRule="exact"/>
              <w:rPr>
                <w:sz w:val="20"/>
                <w:szCs w:val="20"/>
                <w:color w:val="auto"/>
              </w:rPr>
            </w:pPr>
            <w:r>
              <w:rPr>
                <w:rFonts w:ascii="Arial" w:cs="Arial" w:eastAsia="Arial" w:hAnsi="Arial"/>
                <w:sz w:val="8"/>
                <w:szCs w:val="8"/>
                <w:color w:val="auto"/>
              </w:rPr>
              <w:t>$</w:t>
            </w:r>
          </w:p>
        </w:tc>
        <w:tc>
          <w:tcPr>
            <w:tcW w:w="3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6</w:t>
            </w: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4,543</w:t>
            </w:r>
          </w:p>
        </w:tc>
        <w:tc>
          <w:tcPr>
            <w:tcW w:w="140" w:type="dxa"/>
            <w:vAlign w:val="bottom"/>
          </w:tcPr>
          <w:p>
            <w:pPr>
              <w:jc w:val="right"/>
              <w:ind w:right="66"/>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6,053</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208</w:t>
            </w:r>
          </w:p>
        </w:tc>
        <w:tc>
          <w:tcPr>
            <w:tcW w:w="60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(144,162)</w:t>
            </w:r>
          </w:p>
        </w:tc>
        <w:tc>
          <w:tcPr>
            <w:tcW w:w="120" w:type="dxa"/>
            <w:vAlign w:val="bottom"/>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(4,525)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00"/>
              <w:spacing w:after="0" w:line="91" w:lineRule="exact"/>
              <w:rPr>
                <w:sz w:val="20"/>
                <w:szCs w:val="20"/>
                <w:color w:val="auto"/>
              </w:rPr>
            </w:pPr>
            <w:r>
              <w:rPr>
                <w:rFonts w:ascii="Arial" w:cs="Arial" w:eastAsia="Arial" w:hAnsi="Arial"/>
                <w:sz w:val="8"/>
                <w:szCs w:val="8"/>
                <w:color w:val="auto"/>
              </w:rPr>
              <w:t>306</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CONSOLIDATED STATEMENTS OF CHANGES IN EQUITY — (Continued)</w:t>
      </w:r>
    </w:p>
    <w:p>
      <w:pPr>
        <w:spacing w:after="0" w:line="19"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9"/>
                <w:szCs w:val="9"/>
                <w:b w:val="1"/>
                <w:bCs w:val="1"/>
                <w:color w:val="auto"/>
                <w:w w:val="97"/>
              </w:rPr>
              <w:t>Waste Management, Inc. Stockholders’ Equity</w:t>
            </w: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Accumulated</w:t>
            </w: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Other</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ind w:left="180"/>
              <w:spacing w:after="0"/>
              <w:rPr>
                <w:sz w:val="20"/>
                <w:szCs w:val="20"/>
                <w:color w:val="auto"/>
              </w:rPr>
            </w:pPr>
            <w:r>
              <w:rPr>
                <w:rFonts w:ascii="Arial" w:cs="Arial" w:eastAsia="Arial" w:hAnsi="Arial"/>
                <w:sz w:val="9"/>
                <w:szCs w:val="9"/>
                <w:b w:val="1"/>
                <w:bCs w:val="1"/>
                <w:color w:val="auto"/>
                <w:w w:val="93"/>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9"/>
              </w:rPr>
              <w:t>Additional</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Comprehensive</w:t>
            </w:r>
          </w:p>
        </w:tc>
        <w:tc>
          <w:tcPr>
            <w:tcW w:w="1180" w:type="dxa"/>
            <w:vAlign w:val="bottom"/>
            <w:gridSpan w:val="5"/>
            <w:vMerge w:val="restart"/>
          </w:tcPr>
          <w:p>
            <w:pPr>
              <w:jc w:val="right"/>
              <w:ind w:right="38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340"/>
              <w:spacing w:after="0" w:line="102" w:lineRule="exact"/>
              <w:rPr>
                <w:sz w:val="20"/>
                <w:szCs w:val="20"/>
                <w:color w:val="auto"/>
              </w:rPr>
            </w:pPr>
            <w:r>
              <w:rPr>
                <w:rFonts w:ascii="Arial" w:cs="Arial" w:eastAsia="Arial" w:hAnsi="Arial"/>
                <w:sz w:val="9"/>
                <w:szCs w:val="9"/>
                <w:b w:val="1"/>
                <w:bCs w:val="1"/>
                <w:color w:val="auto"/>
                <w:w w:val="94"/>
              </w:rPr>
              <w:t>Comprehensive</w:t>
            </w:r>
          </w:p>
        </w:tc>
        <w:tc>
          <w:tcPr>
            <w:tcW w:w="8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280"/>
              <w:spacing w:after="0" w:line="102" w:lineRule="exact"/>
              <w:rPr>
                <w:sz w:val="20"/>
                <w:szCs w:val="20"/>
                <w:color w:val="auto"/>
              </w:rPr>
            </w:pPr>
            <w:r>
              <w:rPr>
                <w:rFonts w:ascii="Arial" w:cs="Arial" w:eastAsia="Arial" w:hAnsi="Arial"/>
                <w:sz w:val="9"/>
                <w:szCs w:val="9"/>
                <w:b w:val="1"/>
                <w:bCs w:val="1"/>
                <w:color w:val="auto"/>
                <w:w w:val="99"/>
              </w:rPr>
              <w:t>Paid-In</w:t>
            </w:r>
          </w:p>
        </w:tc>
        <w:tc>
          <w:tcPr>
            <w:tcW w:w="600" w:type="dxa"/>
            <w:vAlign w:val="bottom"/>
            <w:gridSpan w:val="3"/>
          </w:tcPr>
          <w:p>
            <w:pPr>
              <w:jc w:val="right"/>
              <w:ind w:right="220"/>
              <w:spacing w:after="0" w:line="102" w:lineRule="exact"/>
              <w:rPr>
                <w:sz w:val="20"/>
                <w:szCs w:val="20"/>
                <w:color w:val="auto"/>
              </w:rPr>
            </w:pPr>
            <w:r>
              <w:rPr>
                <w:rFonts w:ascii="Arial" w:cs="Arial" w:eastAsia="Arial" w:hAnsi="Arial"/>
                <w:sz w:val="9"/>
                <w:szCs w:val="9"/>
                <w:b w:val="1"/>
                <w:bCs w:val="1"/>
                <w:color w:val="auto"/>
                <w:w w:val="94"/>
              </w:rPr>
              <w:t>Retained</w:t>
            </w: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5"/>
              </w:rPr>
              <w:t>Income</w:t>
            </w:r>
          </w:p>
        </w:tc>
        <w:tc>
          <w:tcPr>
            <w:tcW w:w="11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b w:val="1"/>
                <w:bCs w:val="1"/>
                <w:color w:val="auto"/>
                <w:w w:val="93"/>
              </w:rPr>
              <w:t>Noncontrolling</w:t>
            </w:r>
          </w:p>
        </w:tc>
        <w:tc>
          <w:tcPr>
            <w:tcW w:w="0" w:type="dxa"/>
            <w:vAlign w:val="bottom"/>
          </w:tcPr>
          <w:p>
            <w:pPr>
              <w:spacing w:after="0"/>
              <w:rPr>
                <w:sz w:val="1"/>
                <w:szCs w:val="1"/>
                <w:color w:val="auto"/>
              </w:rPr>
            </w:pPr>
          </w:p>
        </w:tc>
      </w:tr>
      <w:tr>
        <w:trPr>
          <w:trHeight w:val="88"/>
        </w:trPr>
        <w:tc>
          <w:tcPr>
            <w:tcW w:w="2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tcPr>
          <w:p>
            <w:pPr>
              <w:jc w:val="right"/>
              <w:ind w:right="220"/>
              <w:spacing w:after="0" w:line="88" w:lineRule="exact"/>
              <w:rPr>
                <w:sz w:val="20"/>
                <w:szCs w:val="20"/>
                <w:color w:val="auto"/>
              </w:rPr>
            </w:pPr>
            <w:r>
              <w:rPr>
                <w:rFonts w:ascii="Arial" w:cs="Arial" w:eastAsia="Arial" w:hAnsi="Arial"/>
                <w:sz w:val="9"/>
                <w:szCs w:val="9"/>
                <w:b w:val="1"/>
                <w:bCs w:val="1"/>
                <w:color w:val="auto"/>
                <w:w w:val="83"/>
              </w:rPr>
              <w:t>Total</w:t>
            </w:r>
          </w:p>
        </w:tc>
        <w:tc>
          <w:tcPr>
            <w:tcW w:w="100" w:type="dxa"/>
            <w:vAlign w:val="bottom"/>
          </w:tcPr>
          <w:p>
            <w:pPr>
              <w:spacing w:after="0"/>
              <w:rPr>
                <w:sz w:val="7"/>
                <w:szCs w:val="7"/>
                <w:color w:val="auto"/>
              </w:rPr>
            </w:pPr>
          </w:p>
        </w:tc>
        <w:tc>
          <w:tcPr>
            <w:tcW w:w="1000" w:type="dxa"/>
            <w:vAlign w:val="bottom"/>
            <w:gridSpan w:val="2"/>
          </w:tcPr>
          <w:p>
            <w:pPr>
              <w:jc w:val="right"/>
              <w:ind w:right="500"/>
              <w:spacing w:after="0" w:line="88" w:lineRule="exact"/>
              <w:rPr>
                <w:sz w:val="20"/>
                <w:szCs w:val="20"/>
                <w:color w:val="auto"/>
              </w:rPr>
            </w:pPr>
            <w:r>
              <w:rPr>
                <w:rFonts w:ascii="Arial" w:cs="Arial" w:eastAsia="Arial" w:hAnsi="Arial"/>
                <w:sz w:val="9"/>
                <w:szCs w:val="9"/>
                <w:b w:val="1"/>
                <w:bCs w:val="1"/>
                <w:color w:val="auto"/>
              </w:rPr>
              <w:t>Income</w:t>
            </w:r>
          </w:p>
        </w:tc>
        <w:tc>
          <w:tcPr>
            <w:tcW w:w="56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38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87"/>
              </w:rPr>
              <w:t>Amounts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w w:val="99"/>
              </w:rPr>
              <w:t>Capital</w:t>
            </w:r>
          </w:p>
        </w:tc>
        <w:tc>
          <w:tcPr>
            <w:tcW w:w="600" w:type="dxa"/>
            <w:vAlign w:val="bottom"/>
            <w:gridSpan w:val="3"/>
          </w:tcPr>
          <w:p>
            <w:pPr>
              <w:jc w:val="right"/>
              <w:ind w:right="220"/>
              <w:spacing w:after="0" w:line="88" w:lineRule="exact"/>
              <w:rPr>
                <w:sz w:val="20"/>
                <w:szCs w:val="20"/>
                <w:color w:val="auto"/>
              </w:rPr>
            </w:pPr>
            <w:r>
              <w:rPr>
                <w:rFonts w:ascii="Arial" w:cs="Arial" w:eastAsia="Arial" w:hAnsi="Arial"/>
                <w:sz w:val="9"/>
                <w:szCs w:val="9"/>
                <w:b w:val="1"/>
                <w:bCs w:val="1"/>
                <w:color w:val="auto"/>
                <w:w w:val="93"/>
              </w:rPr>
              <w:t>Earnings</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88"/>
              </w:rPr>
              <w:t>(Loss)</w:t>
            </w:r>
          </w:p>
        </w:tc>
        <w:tc>
          <w:tcPr>
            <w:tcW w:w="600" w:type="dxa"/>
            <w:vAlign w:val="bottom"/>
            <w:tcBorders>
              <w:top w:val="single" w:sz="8" w:color="auto"/>
            </w:tcBorders>
            <w:gridSpan w:val="2"/>
          </w:tcPr>
          <w:p>
            <w:pPr>
              <w:jc w:val="right"/>
              <w:ind w:right="26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2"/>
              </w:rPr>
              <w:t>Amounts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Interests</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December 31, 2009</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6,591</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630,282</w:t>
            </w:r>
          </w:p>
        </w:tc>
        <w:tc>
          <w:tcPr>
            <w:tcW w:w="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4,543</w:t>
            </w:r>
          </w:p>
        </w:tc>
        <w:tc>
          <w:tcPr>
            <w:tcW w:w="140" w:type="dxa"/>
            <w:vAlign w:val="bottom"/>
            <w:shd w:val="clear" w:color="auto" w:fill="CCEEFF"/>
          </w:tcPr>
          <w:p>
            <w:pPr>
              <w:jc w:val="right"/>
              <w:ind w:right="6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6,053</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208</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(144,162)</w:t>
            </w:r>
          </w:p>
        </w:tc>
        <w:tc>
          <w:tcPr>
            <w:tcW w:w="120" w:type="dxa"/>
            <w:vAlign w:val="bottom"/>
            <w:shd w:val="clear" w:color="auto" w:fill="CCEEFF"/>
          </w:tcPr>
          <w:p>
            <w:pPr>
              <w:jc w:val="right"/>
              <w:ind w:right="47"/>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(4,525)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306</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Comprehensive Income:</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Consolidated net income</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1,002</w:t>
            </w:r>
          </w:p>
        </w:tc>
        <w:tc>
          <w:tcPr>
            <w:tcW w:w="100" w:type="dxa"/>
            <w:vAlign w:val="bottom"/>
            <w:shd w:val="clear" w:color="auto" w:fill="CCEEFF"/>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1,002</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953</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49</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Other comprehensive income (loss), net of taxes:</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40" w:type="dxa"/>
            <w:vAlign w:val="bottom"/>
            <w:shd w:val="clear" w:color="auto" w:fill="CCEEFF"/>
          </w:tcPr>
          <w:p>
            <w:pPr>
              <w:ind w:left="80"/>
              <w:spacing w:after="0" w:line="81" w:lineRule="exact"/>
              <w:rPr>
                <w:sz w:val="20"/>
                <w:szCs w:val="20"/>
                <w:color w:val="auto"/>
              </w:rPr>
            </w:pPr>
            <w:r>
              <w:rPr>
                <w:rFonts w:ascii="Arial" w:cs="Arial" w:eastAsia="Arial" w:hAnsi="Arial"/>
                <w:sz w:val="8"/>
                <w:szCs w:val="8"/>
                <w:color w:val="auto"/>
                <w:w w:val="93"/>
              </w:rPr>
              <w:t>Unrealized losses resulting from changes in fair value of derivative instruments, net</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shd w:val="clear" w:color="auto" w:fill="CCEEFF"/>
          </w:tcPr>
          <w:p>
            <w:pPr>
              <w:ind w:left="180"/>
              <w:spacing w:after="0"/>
              <w:rPr>
                <w:sz w:val="20"/>
                <w:szCs w:val="20"/>
                <w:color w:val="auto"/>
              </w:rPr>
            </w:pPr>
            <w:r>
              <w:rPr>
                <w:rFonts w:ascii="Arial" w:cs="Arial" w:eastAsia="Arial" w:hAnsi="Arial"/>
                <w:sz w:val="8"/>
                <w:szCs w:val="8"/>
                <w:color w:val="auto"/>
              </w:rPr>
              <w:t>of taxes of $28</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(43)</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(43)</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(43)</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2840" w:type="dxa"/>
            <w:vAlign w:val="bottom"/>
          </w:tcPr>
          <w:p>
            <w:pPr>
              <w:ind w:left="80"/>
              <w:spacing w:after="0" w:line="81" w:lineRule="exact"/>
              <w:rPr>
                <w:sz w:val="20"/>
                <w:szCs w:val="20"/>
                <w:color w:val="auto"/>
              </w:rPr>
            </w:pPr>
            <w:r>
              <w:rPr>
                <w:rFonts w:ascii="Arial" w:cs="Arial" w:eastAsia="Arial" w:hAnsi="Arial"/>
                <w:sz w:val="8"/>
                <w:szCs w:val="8"/>
                <w:color w:val="auto"/>
                <w:w w:val="93"/>
              </w:rPr>
              <w:t>Realized losses on derivative instruments reclassified into earnings, net of taxes of</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tcPr>
          <w:p>
            <w:pPr>
              <w:ind w:left="180"/>
              <w:spacing w:after="0"/>
              <w:rPr>
                <w:sz w:val="20"/>
                <w:szCs w:val="20"/>
                <w:color w:val="auto"/>
              </w:rPr>
            </w:pPr>
            <w:r>
              <w:rPr>
                <w:rFonts w:ascii="Arial" w:cs="Arial" w:eastAsia="Arial" w:hAnsi="Arial"/>
                <w:sz w:val="8"/>
                <w:szCs w:val="8"/>
                <w:color w:val="auto"/>
              </w:rPr>
              <w:t>$12</w:t>
            </w:r>
          </w:p>
        </w:tc>
        <w:tc>
          <w:tcPr>
            <w:tcW w:w="40" w:type="dxa"/>
            <w:vAlign w:val="bottom"/>
          </w:tcPr>
          <w:p>
            <w:pPr>
              <w:spacing w:after="0"/>
              <w:rPr>
                <w:sz w:val="8"/>
                <w:szCs w:val="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8"/>
                <w:szCs w:val="8"/>
                <w:color w:val="auto"/>
              </w:rPr>
              <w:t>18</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8"/>
                <w:szCs w:val="8"/>
                <w:color w:val="auto"/>
              </w:rPr>
              <w:t>18</w:t>
            </w:r>
          </w:p>
        </w:tc>
        <w:tc>
          <w:tcPr>
            <w:tcW w:w="5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8"/>
                <w:szCs w:val="8"/>
                <w:color w:val="auto"/>
              </w:rPr>
              <w:t>18</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Unrealized gains on marketable securities, net of taxes of $2</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ind w:left="80"/>
              <w:spacing w:after="0" w:line="89" w:lineRule="exact"/>
              <w:rPr>
                <w:sz w:val="20"/>
                <w:szCs w:val="20"/>
                <w:color w:val="auto"/>
              </w:rPr>
            </w:pPr>
            <w:r>
              <w:rPr>
                <w:rFonts w:ascii="Arial" w:cs="Arial" w:eastAsia="Arial" w:hAnsi="Arial"/>
                <w:sz w:val="8"/>
                <w:szCs w:val="8"/>
                <w:color w:val="auto"/>
              </w:rPr>
              <w:t>Foreign currency translation adjustments</w:t>
            </w:r>
          </w:p>
        </w:tc>
        <w:tc>
          <w:tcPr>
            <w:tcW w:w="40" w:type="dxa"/>
            <w:vAlign w:val="bottom"/>
          </w:tcPr>
          <w:p>
            <w:pPr>
              <w:spacing w:after="0"/>
              <w:rPr>
                <w:sz w:val="7"/>
                <w:szCs w:val="7"/>
                <w:color w:val="auto"/>
              </w:rPr>
            </w:pPr>
          </w:p>
        </w:tc>
        <w:tc>
          <w:tcPr>
            <w:tcW w:w="4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49</w:t>
            </w: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49</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49</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Change in funded status of defined benefit plan liabilities, net of taxes of $3</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Other comprehensive income (loss)</w:t>
            </w:r>
          </w:p>
        </w:tc>
        <w:tc>
          <w:tcPr>
            <w:tcW w:w="40" w:type="dxa"/>
            <w:vAlign w:val="bottom"/>
          </w:tcPr>
          <w:p>
            <w:pPr>
              <w:spacing w:after="0"/>
              <w:rPr>
                <w:sz w:val="7"/>
                <w:szCs w:val="7"/>
                <w:color w:val="auto"/>
              </w:rPr>
            </w:pPr>
          </w:p>
        </w:tc>
        <w:tc>
          <w:tcPr>
            <w:tcW w:w="240" w:type="dxa"/>
            <w:vAlign w:val="bottom"/>
          </w:tcPr>
          <w:p>
            <w:pPr>
              <w:jc w:val="right"/>
              <w:spacing w:after="0" w:line="88" w:lineRule="exact"/>
              <w:rPr>
                <w:sz w:val="20"/>
                <w:szCs w:val="20"/>
                <w:color w:val="auto"/>
              </w:rPr>
            </w:pPr>
            <w:r>
              <w:rPr>
                <w:rFonts w:ascii="Arial" w:cs="Arial" w:eastAsia="Arial" w:hAnsi="Arial"/>
                <w:sz w:val="8"/>
                <w:szCs w:val="8"/>
                <w:color w:val="auto"/>
              </w:rPr>
              <w:t>22</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22</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Comprehensive income</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1,024</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
              <w:spacing w:after="0" w:line="88"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1,024</w:t>
            </w: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Cash dividends declared</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(604)</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(604)</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w w:val="93"/>
              </w:rPr>
              <w:t>Equity-based compensation transactions, including dividend equivalents, net of taxes</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104</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(15)</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3,832</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121</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Common stock repurchases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(501)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(14,920)</w:t>
            </w:r>
          </w:p>
        </w:tc>
        <w:tc>
          <w:tcPr>
            <w:tcW w:w="12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(501)</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Distributions paid to noncontrolling interests</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(45)</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(45)</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Noncontrolling interests in acquired businesses</w:t>
            </w:r>
          </w:p>
        </w:tc>
        <w:tc>
          <w:tcPr>
            <w:tcW w:w="40" w:type="dxa"/>
            <w:vAlign w:val="bottom"/>
          </w:tcPr>
          <w:p>
            <w:pPr>
              <w:spacing w:after="0"/>
              <w:rPr>
                <w:sz w:val="7"/>
                <w:szCs w:val="7"/>
                <w:color w:val="auto"/>
              </w:rPr>
            </w:pPr>
          </w:p>
        </w:tc>
        <w:tc>
          <w:tcPr>
            <w:tcW w:w="4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52</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52</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Deconsolidation of variable interest entities</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(31)</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(31)</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Other</w:t>
            </w:r>
          </w:p>
        </w:tc>
        <w:tc>
          <w:tcPr>
            <w:tcW w:w="40" w:type="dxa"/>
            <w:vAlign w:val="bottom"/>
          </w:tcPr>
          <w:p>
            <w:pPr>
              <w:spacing w:after="0"/>
              <w:rPr>
                <w:sz w:val="7"/>
                <w:szCs w:val="7"/>
                <w:color w:val="auto"/>
              </w:rPr>
            </w:pP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1</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14</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Balance, December 31, 2010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6,591</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630,282</w:t>
            </w: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3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6</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4,528</w:t>
            </w:r>
          </w:p>
        </w:tc>
        <w:tc>
          <w:tcPr>
            <w:tcW w:w="140" w:type="dxa"/>
            <w:vAlign w:val="bottom"/>
            <w:shd w:val="clear" w:color="auto" w:fill="CCEEFF"/>
          </w:tcPr>
          <w:p>
            <w:pPr>
              <w:jc w:val="right"/>
              <w:ind w:right="6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6,400</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230</w:t>
            </w:r>
          </w:p>
        </w:tc>
        <w:tc>
          <w:tcPr>
            <w:tcW w:w="60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(155,236)</w:t>
            </w:r>
          </w:p>
        </w:tc>
        <w:tc>
          <w:tcPr>
            <w:tcW w:w="120" w:type="dxa"/>
            <w:vAlign w:val="bottom"/>
            <w:shd w:val="clear" w:color="auto" w:fill="CCEEFF"/>
          </w:tcPr>
          <w:p>
            <w:pPr>
              <w:jc w:val="right"/>
              <w:ind w:right="47"/>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(4,904)</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331</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Years Ended December 31, 2010, 2009 and 2008</w:t>
      </w:r>
    </w:p>
    <w:p>
      <w:pPr>
        <w:spacing w:after="0" w:line="163" w:lineRule="exact"/>
        <w:rPr>
          <w:sz w:val="20"/>
          <w:szCs w:val="20"/>
          <w:color w:val="auto"/>
        </w:rPr>
      </w:pPr>
    </w:p>
    <w:p>
      <w:pPr>
        <w:ind w:left="1000" w:hanging="313"/>
        <w:spacing w:after="0"/>
        <w:tabs>
          <w:tab w:leader="none" w:pos="100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Business</w:t>
      </w:r>
    </w:p>
    <w:p>
      <w:pPr>
        <w:spacing w:after="0" w:line="100"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as described in Note 20.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9"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manage and evaluate our principal operations through five Groups. Our four geographic Groups,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 We also provide additional services that are not managed through our five Groups, which are presented in this report as “Other.” Additional information related to our segments can be found in Note 21.</w:t>
      </w:r>
    </w:p>
    <w:p>
      <w:pPr>
        <w:spacing w:after="0" w:line="144" w:lineRule="exact"/>
        <w:rPr>
          <w:sz w:val="20"/>
          <w:szCs w:val="20"/>
          <w:color w:val="auto"/>
        </w:rPr>
      </w:pPr>
    </w:p>
    <w:p>
      <w:pPr>
        <w:ind w:left="1000" w:hanging="313"/>
        <w:spacing w:after="0"/>
        <w:tabs>
          <w:tab w:leader="none" w:pos="100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Accounting Changes and Reclassifications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Changes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Consolidation of Variable Interest Entities </w:t>
      </w:r>
      <w:r>
        <w:rPr>
          <w:rFonts w:ascii="Arial" w:cs="Arial" w:eastAsia="Arial" w:hAnsi="Arial"/>
          <w:sz w:val="13"/>
          <w:szCs w:val="13"/>
          <w:color w:val="auto"/>
        </w:rPr>
        <w:t>— In June 2009, the Financial Accounting Standards Board, or FASB, issued revised authoritative guidance associated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consolidation of variable interest entities. The new guidance primarily uses a qualitative approach for determining whether an enterprise is the primary beneficiary of a variable interest entity, and is, therefore, required to consolidate the entity. This new guidance generally defines the primary beneficiary as the entity that has (i) the power to direct the activities of the variable interest entity that can most significantly impact the entity’s performance and (ii) the obligation to absorb losses and the right to receive benefits from the variable interest entity that could be significant from the perspective of the entity. The new guidance also requires that we continually reassess whether we are the primary beneficiary of a variable interest entity rather than conducting a reassessment only upon the occurrence of specific events.</w:t>
      </w:r>
    </w:p>
    <w:p>
      <w:pPr>
        <w:spacing w:after="0" w:line="72"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As a result of our implementation of this guidance, effective January 1, 2010, we deconsolidated certain capping, closure, post-closure and environmental remediation trusts because we share power over significant activities of these trusts with others. Our financial interests in these entities are discussed in Note 20. The deconsolidation of these trusts has not materially affected our financial position, results of operations or cash flows during the periods presented.</w:t>
      </w:r>
    </w:p>
    <w:p>
      <w:pPr>
        <w:spacing w:after="0" w:line="67"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i w:val="1"/>
          <w:iCs w:val="1"/>
          <w:color w:val="auto"/>
        </w:rPr>
        <w:t xml:space="preserve">Business Combinations </w:t>
      </w:r>
      <w:r>
        <w:rPr>
          <w:rFonts w:ascii="Arial" w:cs="Arial" w:eastAsia="Arial" w:hAnsi="Arial"/>
          <w:sz w:val="13"/>
          <w:szCs w:val="13"/>
          <w:color w:val="auto"/>
        </w:rPr>
        <w:t>— In December 2007, the FASB issued revisions to the authoritative guidance associated with business combinations. This guidance clarified and revised the</w:t>
      </w:r>
      <w:r>
        <w:rPr>
          <w:rFonts w:ascii="Arial" w:cs="Arial" w:eastAsia="Arial" w:hAnsi="Arial"/>
          <w:sz w:val="13"/>
          <w:szCs w:val="13"/>
          <w:i w:val="1"/>
          <w:iCs w:val="1"/>
          <w:color w:val="auto"/>
        </w:rPr>
        <w:t xml:space="preserve"> </w:t>
      </w:r>
      <w:r>
        <w:rPr>
          <w:rFonts w:ascii="Arial" w:cs="Arial" w:eastAsia="Arial" w:hAnsi="Arial"/>
          <w:sz w:val="13"/>
          <w:szCs w:val="13"/>
          <w:color w:val="auto"/>
        </w:rPr>
        <w:t>principles for how an acquirer recognizes and measures identifiable assets acquired, liabilities assumed, and any noncontrolling interest in the acquiree. This guidance also addressed the recognition and measurement of goodwill acquired in business combinations and expanded disclosure requirements related to business combinations. Effective January 1, 2009, we adopted the FASB’s revised guidance associated with business combinations. The portions of this guidance that relate to business combinations completed before January 1, 2009 did not have a material impact on our consolidated financial statements. Further, business combinations completed subsequent to January 1, 2009, which are discussed in Note 19, have not been material to our financial position, results of operations or cash flows. However, to the extent that future business combinations are material, our adoption of the FASB’s revised authoritative guidance associated with business combinations may significantly impact our accounting and reporting for future acquisitions, principally as a result of (i) expanded requirements to value acquired assets,</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liabilities and contingencies at their fair values when such amounts can be determined and (ii) the requirement that acquisition-related transaction and restructuring costs be expensed as incurred rather than capitalized as a part of the cost of the acquisition.</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Noncontrolling Interests in Consolidated Financial Statements </w:t>
      </w:r>
      <w:r>
        <w:rPr>
          <w:rFonts w:ascii="Arial" w:cs="Arial" w:eastAsia="Arial" w:hAnsi="Arial"/>
          <w:sz w:val="13"/>
          <w:szCs w:val="13"/>
          <w:color w:val="auto"/>
        </w:rPr>
        <w:t>— In December 2007, the FASB issued authoritative guidance that established accounting and reporting standards for</w:t>
      </w:r>
      <w:r>
        <w:rPr>
          <w:rFonts w:ascii="Arial" w:cs="Arial" w:eastAsia="Arial" w:hAnsi="Arial"/>
          <w:sz w:val="13"/>
          <w:szCs w:val="13"/>
          <w:i w:val="1"/>
          <w:iCs w:val="1"/>
          <w:color w:val="auto"/>
        </w:rPr>
        <w:t xml:space="preserve"> </w:t>
      </w:r>
      <w:r>
        <w:rPr>
          <w:rFonts w:ascii="Arial" w:cs="Arial" w:eastAsia="Arial" w:hAnsi="Arial"/>
          <w:sz w:val="13"/>
          <w:szCs w:val="13"/>
          <w:color w:val="auto"/>
        </w:rPr>
        <w:t>noncontrolling interests in subsidiaries and for the de-consolidation of a subsidiary. The guidance also established that a noncontrolling interest in a subsidiary is an ownership interest in the consolidated entity that should be reported as equity in the consolidated financial statements. We adopted this guidance on January 1, 2009. The presentation and disclosure requirements of this guidance, which must be applied retrospectively for all periods presented, resulted in reclassifications to our prior period consolidated financial information and the remeasurement of our 2008 effective tax rate, which is discussed in Note 9.</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Fair Value Measurements </w:t>
      </w:r>
      <w:r>
        <w:rPr>
          <w:rFonts w:ascii="Arial" w:cs="Arial" w:eastAsia="Arial" w:hAnsi="Arial"/>
          <w:sz w:val="12"/>
          <w:szCs w:val="12"/>
          <w:color w:val="auto"/>
        </w:rPr>
        <w:t>— In September 2006, the FASB issued authoritative guidance associated with fair value measurements. This guidance defined fair value, established a</w:t>
      </w:r>
      <w:r>
        <w:rPr>
          <w:rFonts w:ascii="Arial" w:cs="Arial" w:eastAsia="Arial" w:hAnsi="Arial"/>
          <w:sz w:val="12"/>
          <w:szCs w:val="12"/>
          <w:i w:val="1"/>
          <w:iCs w:val="1"/>
          <w:color w:val="auto"/>
        </w:rPr>
        <w:t xml:space="preserve"> </w:t>
      </w:r>
      <w:r>
        <w:rPr>
          <w:rFonts w:ascii="Arial" w:cs="Arial" w:eastAsia="Arial" w:hAnsi="Arial"/>
          <w:sz w:val="12"/>
          <w:szCs w:val="12"/>
          <w:color w:val="auto"/>
        </w:rPr>
        <w:t>framework for measuring fair value, and expanded disclosures about fair value measurements. In February 2008, the FASB delayed the effective date of the guidance for all non-financial assets and non-financial liabilities, except those that are measured at fair value on a recurring basis. Accordingly, we adopted this guidance for assets and liabilities recognized at fair value on a recurring basis effective January 1, 2008 and adopted the guidance for non-financial assets and liabilities measured on a non-recurring basis effective January 1, 2009. The application of the fair value framework did not have a material impact on our consolidated financial position, results of operations or cash flows.</w:t>
      </w:r>
    </w:p>
    <w:p>
      <w:pPr>
        <w:spacing w:after="0" w:line="55"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Employers’ Accounting for Defined Benefit Pension and Other Post-retirement Plans </w:t>
      </w:r>
      <w:r>
        <w:rPr>
          <w:rFonts w:ascii="Arial" w:cs="Arial" w:eastAsia="Arial" w:hAnsi="Arial"/>
          <w:sz w:val="12"/>
          <w:szCs w:val="12"/>
          <w:color w:val="auto"/>
        </w:rPr>
        <w:t>— In September 2006, the FASB issued revisions to the authoritative guidance associated with</w:t>
      </w:r>
      <w:r>
        <w:rPr>
          <w:rFonts w:ascii="Arial" w:cs="Arial" w:eastAsia="Arial" w:hAnsi="Arial"/>
          <w:sz w:val="12"/>
          <w:szCs w:val="12"/>
          <w:i w:val="1"/>
          <w:iCs w:val="1"/>
          <w:color w:val="auto"/>
        </w:rPr>
        <w:t xml:space="preserve"> </w:t>
      </w:r>
      <w:r>
        <w:rPr>
          <w:rFonts w:ascii="Arial" w:cs="Arial" w:eastAsia="Arial" w:hAnsi="Arial"/>
          <w:sz w:val="12"/>
          <w:szCs w:val="12"/>
          <w:color w:val="auto"/>
        </w:rPr>
        <w:t>the accounting and reporting of post-retirement benefit plans. This guidance required companies to recognize the overfunded or underfunded status of their defined benefit pension and other post-retirement plans as an asset or liability and to recognize changes in that funded status through comprehensive income in the year in which the changes occur. We adopted these recognition provisions effective December 31, 2006. The FASB’s revised guidance also required companies to measure the funded status of defined benefit pension and other post-retirement plans as of their year-end reporting date. These measurement date provisions were effective for us as of December 31, 2008. We applied the measurement provisions by measuring our benefit obligations as of September 30, 2007, our prior measurement date, and recognizing a pro-rata share of net benefit costs for the transition period from October 1, 2007 to December 31, 2008 as a cumulative effect of change in accounting principle in retained earnings as of December 31, 2008. The application of the recognition and measurement provisions of this revised authoritative guidance did not have a material impact on our financial position or results of operations for the periods presented.</w:t>
      </w:r>
    </w:p>
    <w:p>
      <w:pPr>
        <w:spacing w:after="0" w:line="5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i w:val="1"/>
          <w:iCs w:val="1"/>
          <w:color w:val="auto"/>
        </w:rPr>
        <w:t xml:space="preserve">Subsequent Events </w:t>
      </w:r>
      <w:r>
        <w:rPr>
          <w:rFonts w:ascii="Arial" w:cs="Arial" w:eastAsia="Arial" w:hAnsi="Arial"/>
          <w:sz w:val="13"/>
          <w:szCs w:val="13"/>
          <w:color w:val="auto"/>
        </w:rPr>
        <w:t>— We have evaluated subsequent events through the date and time the financial statements were issued. No material subsequent events have occurred since</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2010 that required recognition or disclosure in our current period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minor reclassifications have been made to our prior period consolidated financial information in order to conform to the current year presentation.</w:t>
      </w:r>
    </w:p>
    <w:p>
      <w:pPr>
        <w:spacing w:after="0" w:line="171" w:lineRule="exact"/>
        <w:rPr>
          <w:sz w:val="20"/>
          <w:szCs w:val="20"/>
          <w:color w:val="auto"/>
        </w:rPr>
      </w:pPr>
    </w:p>
    <w:p>
      <w:pPr>
        <w:ind w:left="1000" w:hanging="313"/>
        <w:spacing w:after="0"/>
        <w:tabs>
          <w:tab w:leader="none" w:pos="100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accompanying Consolidated Financial Statements include the accounts of WM, its wholly-owned and majority-owned subsidiaries and certain variable interest entities for which we have determined that we are the primary beneficiary. All material intercompany balances and transactions have been eliminated. Investments in entities in which we do not have a controlling financial interest are accounted for under either the equity method or cost method of accounting, as appropriate.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Estimates and Assumptions</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Cash and cash equivalents consist primarily of cash on deposit and money market funds that invest in U.S. government obligations with original maturities of three months or less.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Financial instruments that potentially subject us to concentrations of credit risk consist primarily of cash and cash equivalents, investments held within our trust funds and escrow accounts, accounts receivable and derivative instruments.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of geographically diverse customers we service. At December 31, 2010 and 2009, no single customer represented greater than 5% of total accounts receivable.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Trade and Other Receivables</w:t>
      </w:r>
    </w:p>
    <w:p>
      <w:pPr>
        <w:spacing w:after="0" w:line="96"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Our receivables are recorded when billed or when cash is advanced and represent claims against third parties that will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economic conditions. If events or changes in circumstances indicate that specific receivable balances may be impaired, further consideration is given to the collectibility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Landfill Accounting</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Cost Basis of Landfill Assets </w:t>
      </w:r>
      <w:r>
        <w:rPr>
          <w:rFonts w:ascii="Arial" w:cs="Arial" w:eastAsia="Arial" w:hAnsi="Arial"/>
          <w:sz w:val="13"/>
          <w:szCs w:val="13"/>
          <w:color w:val="auto"/>
        </w:rPr>
        <w:t>— We capitalize various costs that we incur to make a landfill ready to accept waste. These costs generally include expenditures for land (including the</w:t>
      </w:r>
      <w:r>
        <w:rPr>
          <w:rFonts w:ascii="Arial" w:cs="Arial" w:eastAsia="Arial" w:hAnsi="Arial"/>
          <w:sz w:val="13"/>
          <w:szCs w:val="13"/>
          <w:i w:val="1"/>
          <w:iCs w:val="1"/>
          <w:color w:val="auto"/>
        </w:rPr>
        <w:t xml:space="preserve"> </w:t>
      </w:r>
      <w:r>
        <w:rPr>
          <w:rFonts w:ascii="Arial" w:cs="Arial" w:eastAsia="Arial" w:hAnsi="Arial"/>
          <w:sz w:val="13"/>
          <w:szCs w:val="13"/>
          <w:color w:val="auto"/>
        </w:rPr>
        <w:t>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capping, closure and post-closure activities. These costs are discussed below.</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Capping, Closure and Post-Closure Costs </w:t>
      </w:r>
      <w:r>
        <w:rPr>
          <w:rFonts w:ascii="Arial" w:cs="Arial" w:eastAsia="Arial" w:hAnsi="Arial"/>
          <w:sz w:val="13"/>
          <w:szCs w:val="13"/>
          <w:color w:val="auto"/>
        </w:rPr>
        <w:t>— Following is a description of our asset retirement activities and our related accounting:</w:t>
      </w:r>
    </w:p>
    <w:p>
      <w:pPr>
        <w:spacing w:after="0" w:line="96" w:lineRule="exact"/>
        <w:rPr>
          <w:sz w:val="20"/>
          <w:szCs w:val="20"/>
          <w:color w:val="auto"/>
        </w:rPr>
      </w:pPr>
    </w:p>
    <w:p>
      <w:pPr>
        <w:ind w:left="1280" w:right="60" w:hanging="190"/>
        <w:spacing w:after="0" w:line="260"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Capping </w:t>
      </w:r>
      <w:r>
        <w:rPr>
          <w:rFonts w:ascii="Arial" w:cs="Arial" w:eastAsia="Arial" w:hAnsi="Arial"/>
          <w:sz w:val="13"/>
          <w:szCs w:val="13"/>
          <w:color w:val="auto"/>
        </w:rPr>
        <w:t>— Involves the installation of flexible membrane liners and geosynthetic clay liners, drainage and compacted soil layers and topsoil over areas of a landfill where total</w:t>
      </w:r>
      <w:r>
        <w:rPr>
          <w:rFonts w:ascii="Arial" w:cs="Arial" w:eastAsia="Arial" w:hAnsi="Arial"/>
          <w:sz w:val="13"/>
          <w:szCs w:val="13"/>
          <w:i w:val="1"/>
          <w:iCs w:val="1"/>
          <w:color w:val="auto"/>
        </w:rPr>
        <w:t xml:space="preserve"> </w:t>
      </w:r>
      <w:r>
        <w:rPr>
          <w:rFonts w:ascii="Arial" w:cs="Arial" w:eastAsia="Arial" w:hAnsi="Arial"/>
          <w:sz w:val="13"/>
          <w:szCs w:val="13"/>
          <w:color w:val="auto"/>
        </w:rPr>
        <w:t>airspace capacity has been consumed. Capping asset retirement obligations are recorded on a units-of-consumption basis as airspace is consumed related to the specific capping event with a corresponding increase in the landfill asset. Each capping event is accounted for as a discrete obligation and recorded as an asset and a liability based on estimates of the discounted cash flows and capacity associated with each capping event.</w:t>
      </w:r>
    </w:p>
    <w:p>
      <w:pPr>
        <w:spacing w:after="0" w:line="59" w:lineRule="exact"/>
        <w:rPr>
          <w:rFonts w:ascii="Arial" w:cs="Arial" w:eastAsia="Arial" w:hAnsi="Arial"/>
          <w:sz w:val="13"/>
          <w:szCs w:val="13"/>
          <w:color w:val="auto"/>
        </w:rPr>
      </w:pPr>
    </w:p>
    <w:p>
      <w:pPr>
        <w:ind w:left="1280" w:right="60" w:hanging="190"/>
        <w:spacing w:after="0" w:line="260"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Closure </w:t>
      </w:r>
      <w:r>
        <w:rPr>
          <w:rFonts w:ascii="Arial" w:cs="Arial" w:eastAsia="Arial" w:hAnsi="Arial"/>
          <w:sz w:val="13"/>
          <w:szCs w:val="13"/>
          <w:color w:val="auto"/>
        </w:rPr>
        <w:t>— Includes the construction of the final portion of methane gas collection systems (when required), demobilization and routine maintenance costs. These are costs</w:t>
      </w:r>
      <w:r>
        <w:rPr>
          <w:rFonts w:ascii="Arial" w:cs="Arial" w:eastAsia="Arial" w:hAnsi="Arial"/>
          <w:sz w:val="13"/>
          <w:szCs w:val="13"/>
          <w:i w:val="1"/>
          <w:iCs w:val="1"/>
          <w:color w:val="auto"/>
        </w:rPr>
        <w:t xml:space="preserve"> </w:t>
      </w:r>
      <w:r>
        <w:rPr>
          <w:rFonts w:ascii="Arial" w:cs="Arial" w:eastAsia="Arial" w:hAnsi="Arial"/>
          <w:sz w:val="13"/>
          <w:szCs w:val="13"/>
          <w:color w:val="auto"/>
        </w:rPr>
        <w:t>incurred after the site ceases to accept waste, but before the landfill is certified as closed by the applicable state regulatory agency. These costs are accrued as an asset retirement obligation as airspace is consumed over the life of the landfill with a corresponding increase in the landfill asset. Closure obligations are accrued over the life of the landfill based on estimates of the discounted cash flows associated with performing closure activities.</w:t>
      </w:r>
    </w:p>
    <w:p>
      <w:pPr>
        <w:spacing w:after="0" w:line="59" w:lineRule="exact"/>
        <w:rPr>
          <w:rFonts w:ascii="Arial" w:cs="Arial" w:eastAsia="Arial" w:hAnsi="Arial"/>
          <w:sz w:val="13"/>
          <w:szCs w:val="13"/>
          <w:color w:val="auto"/>
        </w:rPr>
      </w:pPr>
    </w:p>
    <w:p>
      <w:pPr>
        <w:ind w:left="1280" w:right="180" w:hanging="190"/>
        <w:spacing w:after="0" w:line="260"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Post-Closure </w:t>
      </w:r>
      <w:r>
        <w:rPr>
          <w:rFonts w:ascii="Arial" w:cs="Arial" w:eastAsia="Arial" w:hAnsi="Arial"/>
          <w:sz w:val="13"/>
          <w:szCs w:val="13"/>
          <w:color w:val="auto"/>
        </w:rPr>
        <w:t>— Involves the maintenance and monitoring of a landfill site that has been certified closed by the applicable regulatory agency. Generally, we are required to</w:t>
      </w:r>
      <w:r>
        <w:rPr>
          <w:rFonts w:ascii="Arial" w:cs="Arial" w:eastAsia="Arial" w:hAnsi="Arial"/>
          <w:sz w:val="13"/>
          <w:szCs w:val="13"/>
          <w:i w:val="1"/>
          <w:iCs w:val="1"/>
          <w:color w:val="auto"/>
        </w:rPr>
        <w:t xml:space="preserve"> </w:t>
      </w:r>
      <w:r>
        <w:rPr>
          <w:rFonts w:ascii="Arial" w:cs="Arial" w:eastAsia="Arial" w:hAnsi="Arial"/>
          <w:sz w:val="13"/>
          <w:szCs w:val="13"/>
          <w:color w:val="auto"/>
        </w:rPr>
        <w:t>maintain and monitor landfill sites for a 30-year period. These maintenance and monitoring costs are accrued as an asset retirement obligation as airspace is consumed over the life of the landfill with a corresponding increase in the landfill asset. Post-closure obligations are accrued over the life of the landfill based on estimates of the discounted cash flows associated with performing post-closure activities.</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performed.</w:t>
      </w:r>
    </w:p>
    <w:p>
      <w:pPr>
        <w:spacing w:after="0" w:line="72"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Once we have determined the capping, closure and post-closure costs, we inflate those costs to the expected time of payment and discount those expected future costs back to present value. During the years ended December 31, 2010, 2009 and 2008, we inflated these costs in current dollars until the expected time of payment using an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each individual asset retirement obligation. The weighted-average rate applicable to our asset retirement obligations at December 31, 2010 is between 6.0% and 8.0%, the range of the credit-adjusted, risk-free discount rates effective since we adopted the FASB’s authoritative guidance related to asset retirement obligations in 2003. We expect to apply a credit-adjusted, risk-free discount rate of 5.5% to liabilities incurred in the first quarter of 2011.</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record the estimated fair value of capping, closure and post-closure liabilities for our landfills based on the capacity consumed through the current period. The fair value of capping obligations is developed based on our estimates of the airspace consumed to date for each capping event and the expected timing of each capping event. The fair value of closure and post-closure obligations is developed based on our estimates of the airspace consumed to date for the entire landfill and the expected timing of each closure and post-closure activity. Because these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obligations are measured at estimated fair value using present value techniques, changes in the estimated cost or timing of future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Changes in inflation rates or the estimated costs, timing or extent of future capping and closure and post-closure activities typically result in both (i) a current adjustment to the recorded liability and landfill asset; and (ii) a change in liability and asset amounts to be recorded prospectively over either the remaining capacity of the related discrete capping event or the remaining permitted and expansion airspace (as defined below) of the landfill. Any changes related to the capitalized and future cost of the landfill assets are then recognized in accordance with our amortization policy, which would generally result in amortization expense being recognized prospectively over the remaining capacity of the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59"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During the years ended December 31, 2010, 2009 and 2008, adjustments associated with changes in our expectations for the timing and cost of future capping, closure and post-closure of fully utilized airspace resulted in $13 million, $14 million and $3 million in net credits to landfill airspace amortization expense, respectively, with the majority of these credits resulting from revised estimates associated with capping changes. In managing our landfills, our engineers look for ways to reduce or defer our construction costs, including capping costs. The benefit recognized in these years was generally the result of (i) concerted efforts to improve the operating efficiencies of our landfills and volume declines, both of which have allowed us to delay spending for capping activities; (ii) effectively managing the cost of capping material and construction; or (iii) landfill expansions that resulted in reduced or deferred capping costs.</w:t>
      </w:r>
    </w:p>
    <w:p>
      <w:pPr>
        <w:spacing w:after="0" w:line="7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Interest accretion on capping, closure and post-closure liabilities is recorded using the effective interest method and is recorded as capping, closure and post-closure expense, which is included in “Operating” costs and expenses within our Consolidated Statements of Operations.</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Amortization of Landfill Assets </w:t>
      </w:r>
      <w:r>
        <w:rPr>
          <w:rFonts w:ascii="Arial" w:cs="Arial" w:eastAsia="Arial" w:hAnsi="Arial"/>
          <w:sz w:val="13"/>
          <w:szCs w:val="13"/>
          <w:color w:val="auto"/>
        </w:rPr>
        <w:t>— The amortizable basis of a landfill includes (i) amounts previously expended and capitalized; (ii) capitalized landfill capping, closure and post-closure costs; (iii) projections of future purchase and development costs required to develop the landfill site to its remaining permitted and expansion capacity; and (iv) projected asset retirement costs related to landfill capping, closure and post-closure activities.</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Amortization is recorded on a units-of-consumption basis, applying expense as a rate per ton. The rate per ton is calculated by dividing each component of the amortizable basis of a landfill by the number of tons needed to fill the corresponding asset’s airspace. For landfills that we do not own, but operate through operating or lease arrangements, the rate per ton is calculated based on expected capacity to be utilized over the lesser of the contractual term of the underlying agreement or the life of the landfill.</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apply the following guidelines in determining a landfill’s remaining permitted and expansion airspace:</w:t>
      </w:r>
    </w:p>
    <w:p>
      <w:pPr>
        <w:spacing w:after="0" w:line="96" w:lineRule="exact"/>
        <w:rPr>
          <w:sz w:val="20"/>
          <w:szCs w:val="20"/>
          <w:color w:val="auto"/>
        </w:rPr>
      </w:pPr>
    </w:p>
    <w:p>
      <w:pPr>
        <w:ind w:left="1280" w:right="40" w:hanging="190"/>
        <w:spacing w:after="0" w:line="264"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Remaining Permitted Airspace </w:t>
      </w:r>
      <w:r>
        <w:rPr>
          <w:rFonts w:ascii="Arial" w:cs="Arial" w:eastAsia="Arial" w:hAnsi="Arial"/>
          <w:sz w:val="13"/>
          <w:szCs w:val="13"/>
          <w:color w:val="auto"/>
        </w:rPr>
        <w:t>— Our engineers, in consultation with third-party engineering consultants and surveyors, are responsible for determining remaining permitted</w:t>
      </w:r>
      <w:r>
        <w:rPr>
          <w:rFonts w:ascii="Arial" w:cs="Arial" w:eastAsia="Arial" w:hAnsi="Arial"/>
          <w:sz w:val="13"/>
          <w:szCs w:val="13"/>
          <w:i w:val="1"/>
          <w:iCs w:val="1"/>
          <w:color w:val="auto"/>
        </w:rPr>
        <w:t xml:space="preserve"> </w:t>
      </w:r>
      <w:r>
        <w:rPr>
          <w:rFonts w:ascii="Arial" w:cs="Arial" w:eastAsia="Arial" w:hAnsi="Arial"/>
          <w:sz w:val="13"/>
          <w:szCs w:val="13"/>
          <w:color w:val="auto"/>
        </w:rPr>
        <w:t>airspace at our landfills. The remaining permitted airspace is determined by an annual survey, which is then used to compare the existing landfill topography to the expected final landfill topography.</w:t>
      </w:r>
    </w:p>
    <w:p>
      <w:pPr>
        <w:spacing w:after="0" w:line="57"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Expansion Airspace </w:t>
      </w:r>
      <w:r>
        <w:rPr>
          <w:rFonts w:ascii="Arial" w:cs="Arial" w:eastAsia="Arial" w:hAnsi="Arial"/>
          <w:sz w:val="13"/>
          <w:szCs w:val="13"/>
          <w:color w:val="auto"/>
        </w:rPr>
        <w:t>— We also include currently unpermitted expansion airspace in our estimate of remaining permitted and expansion airspace in certain circumstances. First, to</w:t>
      </w:r>
      <w:r>
        <w:rPr>
          <w:rFonts w:ascii="Arial" w:cs="Arial" w:eastAsia="Arial" w:hAnsi="Arial"/>
          <w:sz w:val="13"/>
          <w:szCs w:val="13"/>
          <w:i w:val="1"/>
          <w:iCs w:val="1"/>
          <w:color w:val="auto"/>
        </w:rPr>
        <w:t xml:space="preserve"> </w:t>
      </w:r>
      <w:r>
        <w:rPr>
          <w:rFonts w:ascii="Arial" w:cs="Arial" w:eastAsia="Arial" w:hAnsi="Arial"/>
          <w:sz w:val="13"/>
          <w:szCs w:val="13"/>
          <w:color w:val="auto"/>
        </w:rPr>
        <w:t>include airspace associated with an expansion effort, we must generally expect the initial expansion permit application to be submitted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280" w:right="60"/>
        <w:spacing w:after="0" w:line="276" w:lineRule="auto"/>
        <w:rPr>
          <w:sz w:val="20"/>
          <w:szCs w:val="20"/>
          <w:color w:val="auto"/>
        </w:rPr>
      </w:pPr>
      <w:r>
        <w:rPr>
          <w:rFonts w:ascii="Arial" w:cs="Arial" w:eastAsia="Arial" w:hAnsi="Arial"/>
          <w:sz w:val="13"/>
          <w:szCs w:val="13"/>
          <w:color w:val="auto"/>
        </w:rPr>
        <w:t>within one year, and the final expansion permit to be received within five years. Second, we must believe the success of obtaining the expansion permit is likely, considering the following criteria:</w:t>
      </w:r>
    </w:p>
    <w:p>
      <w:pPr>
        <w:spacing w:after="0" w:line="59" w:lineRule="exact"/>
        <w:rPr>
          <w:sz w:val="20"/>
          <w:szCs w:val="20"/>
          <w:color w:val="auto"/>
        </w:rPr>
      </w:pPr>
    </w:p>
    <w:p>
      <w:pPr>
        <w:ind w:left="1500" w:hanging="214"/>
        <w:spacing w:after="0"/>
        <w:tabs>
          <w:tab w:leader="none" w:pos="15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Personnel are actively working on the expansion of an existing landfill, including efforts to obtain land use and local, state or provincial approvals;</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It is likely that the approvals will be received within the normal application and processing time periods for approvals in the jurisdiction in which the landfill is located;</w:t>
      </w:r>
    </w:p>
    <w:p>
      <w:pPr>
        <w:spacing w:after="0" w:line="97" w:lineRule="exact"/>
        <w:rPr>
          <w:rFonts w:ascii="Arial" w:cs="Arial" w:eastAsia="Arial" w:hAnsi="Arial"/>
          <w:sz w:val="12"/>
          <w:szCs w:val="12"/>
          <w:color w:val="auto"/>
        </w:rPr>
      </w:pPr>
    </w:p>
    <w:p>
      <w:pPr>
        <w:ind w:left="1500" w:hanging="214"/>
        <w:spacing w:after="0"/>
        <w:tabs>
          <w:tab w:leader="none" w:pos="15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We have a legal right to use or obtain land to be included in the expansion plan;</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There are no significant known technical, legal, community, business, or political restrictions or similar issues that could impair the success of such expansion;</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Financial analysis has been completed, and the results demonstrate that the expansion has a positive financial and operational impact; and</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Airspace and related costs, including additional closure and post-closure costs, have been estimated based on conceptual design.</w:t>
      </w:r>
    </w:p>
    <w:p>
      <w:pPr>
        <w:spacing w:after="0" w:line="96"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these criteria are no longer met,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 Of the 33 landfill sites with expansions at December 31, 2010, 14 landfills required the Chief Financial Officer to approve the inclusion of the unpermitted airspace. Eight of these landfills required approval by our Chief Financial Officer because of community or political opposition that could impede the expansion process. The remaining six landfills required approval primarily due to the permit application processes not meeting the one- or five-year requirements.</w:t>
      </w:r>
    </w:p>
    <w:p>
      <w:pPr>
        <w:spacing w:after="0" w:line="5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When we include the expansion airspace in our calculations of remaining permitted and expansion airspace, we also include the projected costs for development, as well as the projected asset retirement costs related to capping, closure and post-closure of the expansion in the amortization basis of the landfill.</w:t>
      </w:r>
    </w:p>
    <w:p>
      <w:pPr>
        <w:spacing w:after="0" w:line="59" w:lineRule="exact"/>
        <w:rPr>
          <w:sz w:val="20"/>
          <w:szCs w:val="20"/>
          <w:color w:val="auto"/>
        </w:rPr>
      </w:pPr>
    </w:p>
    <w:p>
      <w:pPr>
        <w:ind w:left="680" w:right="140" w:firstLine="399"/>
        <w:spacing w:after="0" w:line="256" w:lineRule="auto"/>
        <w:rPr>
          <w:sz w:val="20"/>
          <w:szCs w:val="20"/>
          <w:color w:val="auto"/>
        </w:rPr>
      </w:pPr>
      <w:r>
        <w:rPr>
          <w:rFonts w:ascii="Arial" w:cs="Arial" w:eastAsia="Arial" w:hAnsi="Arial"/>
          <w:sz w:val="13"/>
          <w:szCs w:val="13"/>
          <w:color w:val="auto"/>
        </w:rPr>
        <w:t>Once the remaining permitted and expansion airspace is determined in cubic yards, an airspace utilization factor, or AUF, is established to calculate the remaining permitted and expansion capacity in tons. The AUF is established using the measured density obtained from previous annual surveys and is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7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capping event, for assets related to closure and post-closure activities and for all other costs capitalized or to be capitalized in the future. These rates per ton are updated annually, or more often, as significant facts change.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It is possible that actual results, including the amount of costs incurred, the timing of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it is determined that the likelihood of receiving an expansion permit has become remote, the capitalized costs related to the expansion effort are expensed immediately.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Environmental Remediation Liabilities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55" w:lineRule="exact"/>
        <w:rPr>
          <w:sz w:val="20"/>
          <w:szCs w:val="20"/>
          <w:color w:val="auto"/>
        </w:rPr>
      </w:pPr>
    </w:p>
    <w:p>
      <w:pPr>
        <w:jc w:val="both"/>
        <w:ind w:left="680" w:right="140" w:firstLine="399"/>
        <w:spacing w:after="0" w:line="289" w:lineRule="auto"/>
        <w:rPr>
          <w:sz w:val="20"/>
          <w:szCs w:val="20"/>
          <w:color w:val="auto"/>
        </w:rPr>
      </w:pPr>
      <w:r>
        <w:rPr>
          <w:rFonts w:ascii="Arial" w:cs="Arial" w:eastAsia="Arial" w:hAnsi="Arial"/>
          <w:sz w:val="12"/>
          <w:szCs w:val="12"/>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53" w:lineRule="exact"/>
        <w:rPr>
          <w:sz w:val="20"/>
          <w:szCs w:val="20"/>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Management’s judgment and experience in remediating our own and unrelated parties’ sites;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Information available from regulatory agencies as to costs of remediation;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number, financial resources and relative degree of responsibility of other PRPs who may be liable for remediation of a specific site;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typical allocation of costs among PRPs, unless the actual allocation has been determined.</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Estimating our degree of responsibility for remediation is inherently difficult. We recognize and accrue for an estimated remediation liability only when we determine that such liability is both probable and reasonably estimable. Determining the method and ultimate cost of remediation requires that a number of assumptions be made. There can sometimes be a range of reasonable estimates of the costs associated with the investigation of the extent of environmental impact and identification of likely site-remediation alternatives. In these cases, we use the amount within a range that constitutes our best estimate. If no amount within the range appears to be a better estimate than any other, we use the amount that is the low end of such range. If we used the high ends of such ranges, our aggregate potential liability would be approximately $150 million higher than the $284 million recorded in the Consolidated Financial Statements as of December 31, 2010.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could result in revisions to our accruals that could cause upward or downward adjustments to income from operations. These adjustments could be material in any given period.</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Where we believe that both the amount of a particular environmental remediation liability and the timing of the payments are reliably determinable, we inflate the cost in current dollars (by 2.5% at both December 31, 2010 and 2009) until the expected time of payment and discount the cost to present value using a risk-free discount rate, which is based on the rate for United States Treasury bonds with a term approximating the weighted average period until settlement of the underlying obligation. We determine the risk-free discount rate and the inflation rate on an annual basis unless interim changes would significantly impact our results of operations. For remedial liabilities that have been discounted, we include interest accretion, based on the effective interest method, in “Operating” costs and expenses in our Consolidated Statements of Operations. The following table summarizes the impacts of revisions in the risk-free discount rate applied to our environmental remediation liabilities and recovery assets during the reported periods (in millions) and the risk-free discount rate applied as of each reporting date:</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6"/>
              </w:rPr>
              <w:t>Years Ended December 31,</w:t>
            </w:r>
          </w:p>
        </w:tc>
        <w:tc>
          <w:tcPr>
            <w:tcW w:w="560" w:type="dxa"/>
            <w:vAlign w:val="bottom"/>
            <w:tcBorders>
              <w:bottom w:val="single" w:sz="8" w:color="auto"/>
            </w:tcBorders>
          </w:tcPr>
          <w:p>
            <w:pPr>
              <w:spacing w:after="0"/>
              <w:rPr>
                <w:sz w:val="10"/>
                <w:szCs w:val="10"/>
                <w:color w:val="auto"/>
              </w:rPr>
            </w:pPr>
          </w:p>
        </w:tc>
      </w:tr>
      <w:tr>
        <w:trPr>
          <w:trHeight w:val="98"/>
        </w:trPr>
        <w:tc>
          <w:tcPr>
            <w:tcW w:w="7520" w:type="dxa"/>
            <w:vAlign w:val="bottom"/>
          </w:tcPr>
          <w:p>
            <w:pPr>
              <w:spacing w:after="0"/>
              <w:rPr>
                <w:sz w:val="8"/>
                <w:szCs w:val="8"/>
                <w:color w:val="auto"/>
              </w:rPr>
            </w:pPr>
          </w:p>
        </w:tc>
        <w:tc>
          <w:tcPr>
            <w:tcW w:w="600" w:type="dxa"/>
            <w:vAlign w:val="bottom"/>
            <w:tcBorders>
              <w:bottom w:val="single" w:sz="8" w:color="auto"/>
            </w:tcBorders>
          </w:tcPr>
          <w:p>
            <w:pPr>
              <w:jc w:val="right"/>
              <w:ind w:right="119"/>
              <w:spacing w:after="0" w:line="98" w:lineRule="exact"/>
              <w:rPr>
                <w:sz w:val="20"/>
                <w:szCs w:val="20"/>
                <w:color w:val="auto"/>
              </w:rPr>
            </w:pPr>
            <w:r>
              <w:rPr>
                <w:rFonts w:ascii="Arial" w:cs="Arial" w:eastAsia="Arial" w:hAnsi="Arial"/>
                <w:sz w:val="10"/>
                <w:szCs w:val="10"/>
                <w:b w:val="1"/>
                <w:bCs w:val="1"/>
                <w:color w:val="auto"/>
              </w:rPr>
              <w:t>2010</w:t>
            </w:r>
          </w:p>
        </w:tc>
        <w:tc>
          <w:tcPr>
            <w:tcW w:w="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jc w:val="right"/>
              <w:ind w:right="148"/>
              <w:spacing w:after="0" w:line="98" w:lineRule="exact"/>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2008</w:t>
            </w:r>
          </w:p>
        </w:tc>
      </w:tr>
      <w:tr>
        <w:trPr>
          <w:trHeight w:val="178"/>
        </w:trPr>
        <w:tc>
          <w:tcPr>
            <w:tcW w:w="7520" w:type="dxa"/>
            <w:vAlign w:val="bottom"/>
          </w:tcPr>
          <w:p>
            <w:pPr>
              <w:spacing w:after="0"/>
              <w:rPr>
                <w:sz w:val="20"/>
                <w:szCs w:val="20"/>
                <w:color w:val="auto"/>
              </w:rPr>
            </w:pPr>
            <w:r>
              <w:rPr>
                <w:rFonts w:ascii="Arial" w:cs="Arial" w:eastAsia="Arial" w:hAnsi="Arial"/>
                <w:sz w:val="13"/>
                <w:szCs w:val="13"/>
                <w:color w:val="auto"/>
              </w:rPr>
              <w:t>Charge (reduction) to Operating expenses(a)</w:t>
            </w:r>
          </w:p>
        </w:tc>
        <w:tc>
          <w:tcPr>
            <w:tcW w:w="600" w:type="dxa"/>
            <w:vAlign w:val="bottom"/>
          </w:tcPr>
          <w:p>
            <w:pPr>
              <w:jc w:val="right"/>
              <w:ind w:right="99"/>
              <w:spacing w:after="0"/>
              <w:rPr>
                <w:sz w:val="20"/>
                <w:szCs w:val="20"/>
                <w:color w:val="auto"/>
              </w:rPr>
            </w:pPr>
            <w:r>
              <w:rPr>
                <w:rFonts w:ascii="Arial" w:cs="Arial" w:eastAsia="Arial" w:hAnsi="Arial"/>
                <w:sz w:val="13"/>
                <w:szCs w:val="13"/>
                <w:color w:val="auto"/>
              </w:rPr>
              <w:t>$   2</w:t>
            </w:r>
          </w:p>
        </w:tc>
        <w:tc>
          <w:tcPr>
            <w:tcW w:w="940" w:type="dxa"/>
            <w:vAlign w:val="bottom"/>
            <w:gridSpan w:val="3"/>
          </w:tcPr>
          <w:p>
            <w:pPr>
              <w:jc w:val="right"/>
              <w:ind w:right="88"/>
              <w:spacing w:after="0"/>
              <w:rPr>
                <w:sz w:val="20"/>
                <w:szCs w:val="20"/>
                <w:color w:val="auto"/>
              </w:rPr>
            </w:pPr>
            <w:r>
              <w:rPr>
                <w:rFonts w:ascii="Arial" w:cs="Arial" w:eastAsia="Arial" w:hAnsi="Arial"/>
                <w:sz w:val="13"/>
                <w:szCs w:val="13"/>
                <w:color w:val="auto"/>
              </w:rPr>
              <w:t>$ (35)</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ind w:right="139"/>
              <w:spacing w:after="0"/>
              <w:rPr>
                <w:sz w:val="20"/>
                <w:szCs w:val="20"/>
                <w:color w:val="auto"/>
              </w:rPr>
            </w:pPr>
            <w:r>
              <w:rPr>
                <w:rFonts w:ascii="Arial" w:cs="Arial" w:eastAsia="Arial" w:hAnsi="Arial"/>
                <w:sz w:val="13"/>
                <w:szCs w:val="13"/>
                <w:color w:val="auto"/>
              </w:rPr>
              <w:t>$  33</w:t>
            </w:r>
          </w:p>
        </w:tc>
      </w:tr>
      <w:tr>
        <w:trPr>
          <w:trHeight w:val="165"/>
        </w:trPr>
        <w:tc>
          <w:tcPr>
            <w:tcW w:w="7520" w:type="dxa"/>
            <w:vAlign w:val="bottom"/>
          </w:tcPr>
          <w:p>
            <w:pPr>
              <w:spacing w:after="0"/>
              <w:rPr>
                <w:sz w:val="20"/>
                <w:szCs w:val="20"/>
                <w:color w:val="auto"/>
              </w:rPr>
            </w:pPr>
            <w:r>
              <w:rPr>
                <w:rFonts w:ascii="Arial" w:cs="Arial" w:eastAsia="Arial" w:hAnsi="Arial"/>
                <w:sz w:val="13"/>
                <w:szCs w:val="13"/>
                <w:color w:val="auto"/>
              </w:rPr>
              <w:t>Risk-free discount rate applied to environmental remediation liabilities and recovery assets</w:t>
            </w:r>
          </w:p>
        </w:tc>
        <w:tc>
          <w:tcPr>
            <w:tcW w:w="600" w:type="dxa"/>
            <w:vAlign w:val="bottom"/>
          </w:tcPr>
          <w:p>
            <w:pPr>
              <w:jc w:val="right"/>
              <w:spacing w:after="0"/>
              <w:rPr>
                <w:sz w:val="20"/>
                <w:szCs w:val="20"/>
                <w:color w:val="auto"/>
              </w:rPr>
            </w:pPr>
            <w:r>
              <w:rPr>
                <w:rFonts w:ascii="Arial" w:cs="Arial" w:eastAsia="Arial" w:hAnsi="Arial"/>
                <w:sz w:val="13"/>
                <w:szCs w:val="13"/>
                <w:color w:val="auto"/>
              </w:rPr>
              <w:t>3.50%</w:t>
            </w:r>
          </w:p>
        </w:tc>
        <w:tc>
          <w:tcPr>
            <w:tcW w:w="940" w:type="dxa"/>
            <w:vAlign w:val="bottom"/>
            <w:gridSpan w:val="3"/>
          </w:tcPr>
          <w:p>
            <w:pPr>
              <w:jc w:val="right"/>
              <w:ind w:right="28"/>
              <w:spacing w:after="0"/>
              <w:rPr>
                <w:sz w:val="20"/>
                <w:szCs w:val="20"/>
                <w:color w:val="auto"/>
              </w:rPr>
            </w:pPr>
            <w:r>
              <w:rPr>
                <w:rFonts w:ascii="Arial" w:cs="Arial" w:eastAsia="Arial" w:hAnsi="Arial"/>
                <w:sz w:val="13"/>
                <w:szCs w:val="13"/>
                <w:color w:val="auto"/>
              </w:rPr>
              <w:t>3.75%</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3"/>
                <w:szCs w:val="13"/>
                <w:color w:val="auto"/>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right="20" w:hanging="252"/>
        <w:spacing w:after="0" w:line="276" w:lineRule="auto"/>
        <w:tabs>
          <w:tab w:leader="none" w:pos="10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 2009, $9 million of the reduction in “Operating” expenses was attributable to noncontrolling interests, and in 2008, $6 million of the charge to “Operating” expenses was attributable to noncontrolling interests.</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portion of our recorded environmental remediation liabilities that has never been subject to inflation or discounting, as the amounts and timing of payments are not readily determinable, was $81 million at December 31, 2010 and $44 million at December 31, 2009. Had we not inflated and discounted any portion of our environmental remediation liability, the amount recorded would have increased by $15 million and $20 million at December 31, 2010 and 2009, respectively.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 (exclusive of landfills, discussed above)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estimated useful lives for significant property and equipment categories are as follows (in years):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000" w:type="dxa"/>
            <w:vAlign w:val="bottom"/>
          </w:tcPr>
          <w:p>
            <w:pPr>
              <w:spacing w:after="0"/>
              <w:rPr>
                <w:sz w:val="10"/>
                <w:szCs w:val="1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Useful Lives</w:t>
            </w:r>
          </w:p>
        </w:tc>
      </w:tr>
      <w:tr>
        <w:trPr>
          <w:trHeight w:val="29"/>
        </w:trPr>
        <w:tc>
          <w:tcPr>
            <w:tcW w:w="90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Vehicles — excluding rail haul cars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 to 10</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Vehicles — rail haul cars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 to 20</w:t>
            </w: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Machinery and equipment — including containers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 to 30</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Buildings and improvements — excluding waste-to-energy facilities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 to 40</w:t>
            </w: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Waste-to-energy facilities and related equipment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up to 50</w:t>
            </w:r>
          </w:p>
        </w:tc>
      </w:tr>
      <w:tr>
        <w:trPr>
          <w:trHeight w:val="165"/>
        </w:trPr>
        <w:tc>
          <w:tcPr>
            <w:tcW w:w="9000" w:type="dxa"/>
            <w:vAlign w:val="bottom"/>
          </w:tcPr>
          <w:p>
            <w:pPr>
              <w:spacing w:after="0"/>
              <w:rPr>
                <w:sz w:val="20"/>
                <w:szCs w:val="20"/>
                <w:color w:val="auto"/>
              </w:rPr>
            </w:pPr>
            <w:r>
              <w:rPr>
                <w:rFonts w:ascii="Arial" w:cs="Arial" w:eastAsia="Arial" w:hAnsi="Arial"/>
                <w:sz w:val="13"/>
                <w:szCs w:val="13"/>
                <w:color w:val="auto"/>
              </w:rPr>
              <w:t>Furniture, fixtures and office equipment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 to 10</w:t>
            </w:r>
          </w:p>
        </w:tc>
      </w:tr>
    </w:tbl>
    <w:p>
      <w:pPr>
        <w:spacing w:after="0" w:line="7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include capitalized costs associated with developing or obtaining internal-use software within furniture, fixtures and office equipment. These costs include direct external costs of materials and services used in developing or obtaining the software and internal costs for employees directly associated with the software development project. As of December 31, 2010, capitalized costs for software placed in service, net of accumulated depreciation, were $44 million. In addition, our furniture, fixtures and office equipment includes $51 million as of December 31, 2010 and $46 million as of December 31, 2009 for costs incurred for software under development.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We lease property and equipment in the ordinary course of our business. Our most significant lease obligations are for property and equipment specific to our industry, including real property operated as a landfill, transfer station or waste-to-energy facility. Our leases have varying terms. Some may include renewal or purchase options, escalation clauses, restrictions, penalties or other obligations that we consider in determining minimum lease payments. The leases are classified as either operating leases or capital leases, as appropriate.</w:t>
      </w:r>
    </w:p>
    <w:p>
      <w:pPr>
        <w:spacing w:after="0" w:line="5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Operating Leases (excluding landfills discussed below) </w:t>
      </w:r>
      <w:r>
        <w:rPr>
          <w:rFonts w:ascii="Arial" w:cs="Arial" w:eastAsia="Arial" w:hAnsi="Arial"/>
          <w:sz w:val="13"/>
          <w:szCs w:val="13"/>
          <w:color w:val="auto"/>
        </w:rPr>
        <w:t>— The majority of our leases are operating leases. This classification generally can be attributed to either (i) relatively low</w:t>
      </w:r>
      <w:r>
        <w:rPr>
          <w:rFonts w:ascii="Arial" w:cs="Arial" w:eastAsia="Arial" w:hAnsi="Arial"/>
          <w:sz w:val="13"/>
          <w:szCs w:val="13"/>
          <w:i w:val="1"/>
          <w:iCs w:val="1"/>
          <w:color w:val="auto"/>
        </w:rPr>
        <w:t xml:space="preserve"> </w:t>
      </w:r>
      <w:r>
        <w:rPr>
          <w:rFonts w:ascii="Arial" w:cs="Arial" w:eastAsia="Arial" w:hAnsi="Arial"/>
          <w:sz w:val="13"/>
          <w:szCs w:val="13"/>
          <w:color w:val="auto"/>
        </w:rPr>
        <w:t>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2010 are disclosed in Note 11.</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Capital Leases </w:t>
      </w:r>
      <w:r>
        <w:rPr>
          <w:rFonts w:ascii="Arial" w:cs="Arial" w:eastAsia="Arial" w:hAnsi="Arial"/>
          <w:sz w:val="13"/>
          <w:szCs w:val="13"/>
          <w:color w:val="auto"/>
        </w:rPr>
        <w:t>(</w:t>
      </w:r>
      <w:r>
        <w:rPr>
          <w:rFonts w:ascii="Arial" w:cs="Arial" w:eastAsia="Arial" w:hAnsi="Arial"/>
          <w:sz w:val="13"/>
          <w:szCs w:val="13"/>
          <w:i w:val="1"/>
          <w:iCs w:val="1"/>
          <w:color w:val="auto"/>
        </w:rPr>
        <w:t xml:space="preserve">excluding landfills discussed below) </w:t>
      </w:r>
      <w:r>
        <w:rPr>
          <w:rFonts w:ascii="Arial" w:cs="Arial" w:eastAsia="Arial" w:hAnsi="Arial"/>
          <w:sz w:val="13"/>
          <w:szCs w:val="13"/>
          <w:color w:val="auto"/>
        </w:rPr>
        <w:t>— Assets under capital leases are capitalized using interest rates determined at the inception of each lease and are amortized over</w:t>
      </w:r>
      <w:r>
        <w:rPr>
          <w:rFonts w:ascii="Arial" w:cs="Arial" w:eastAsia="Arial" w:hAnsi="Arial"/>
          <w:sz w:val="13"/>
          <w:szCs w:val="13"/>
          <w:i w:val="1"/>
          <w:iCs w:val="1"/>
          <w:color w:val="auto"/>
        </w:rPr>
        <w:t xml:space="preserve"> </w:t>
      </w:r>
      <w:r>
        <w:rPr>
          <w:rFonts w:ascii="Arial" w:cs="Arial" w:eastAsia="Arial" w:hAnsi="Arial"/>
          <w:sz w:val="13"/>
          <w:szCs w:val="13"/>
          <w:color w:val="auto"/>
        </w:rPr>
        <w:t>either the useful life of the asset or the lease term, as appropriate, on a straight-line basis. The present value of the related lease payments is recorded as a debt obligation. Our future minimum annual capital lease payments are included in our total future debt obligations as disclosed in Note 7.</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Landfill Leases </w:t>
      </w:r>
      <w:r>
        <w:rPr>
          <w:rFonts w:ascii="Arial" w:cs="Arial" w:eastAsia="Arial" w:hAnsi="Arial"/>
          <w:sz w:val="13"/>
          <w:szCs w:val="13"/>
          <w:color w:val="auto"/>
        </w:rPr>
        <w:t>— From an operating perspective, landfills that we lease are similar to landfills we own because generally we own the landfill’s operating permit and will operate the</w:t>
      </w:r>
      <w:r>
        <w:rPr>
          <w:rFonts w:ascii="Arial" w:cs="Arial" w:eastAsia="Arial" w:hAnsi="Arial"/>
          <w:sz w:val="13"/>
          <w:szCs w:val="13"/>
          <w:i w:val="1"/>
          <w:iCs w:val="1"/>
          <w:color w:val="auto"/>
        </w:rPr>
        <w:t xml:space="preserve"> </w:t>
      </w:r>
      <w:r>
        <w:rPr>
          <w:rFonts w:ascii="Arial" w:cs="Arial" w:eastAsia="Arial" w:hAnsi="Arial"/>
          <w:sz w:val="13"/>
          <w:szCs w:val="13"/>
          <w:color w:val="auto"/>
        </w:rPr>
        <w:t>landfill for the entire lease term, which in many cases is the life of the landfill. As a result, our landfill leases are generally capital leases. The most significant portion of our rental obligations for landfill leases is contingent upon operating factors such as disposal volumes and often there are no contractual minimum rental obligations. Contingent rental obligations are expensed as incurred. For landfill capital leases that provide for minimum contractual rental obligations, we record the present value of the minimum obligation as part of the landfill asset, which is amortized on a units-of-consumption basis over the shorter of the lease term or the life of the landfill.</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Acquisitions</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generally recognize assets acquired and liabilities assumed in business combinations, including contingent assets and liabilities, based on fair value estimates as of the date of acquisition.</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Contingent Consideration — </w:t>
      </w:r>
      <w:r>
        <w:rPr>
          <w:rFonts w:ascii="Arial" w:cs="Arial" w:eastAsia="Arial" w:hAnsi="Arial"/>
          <w:sz w:val="13"/>
          <w:szCs w:val="13"/>
          <w:color w:val="auto"/>
        </w:rPr>
        <w:t>In certain acquisitions, we agree to pay additional amounts to sellers contingent upon achievement by the acquired businesses of certain negotiated</w:t>
      </w:r>
      <w:r>
        <w:rPr>
          <w:rFonts w:ascii="Arial" w:cs="Arial" w:eastAsia="Arial" w:hAnsi="Arial"/>
          <w:sz w:val="13"/>
          <w:szCs w:val="13"/>
          <w:i w:val="1"/>
          <w:iCs w:val="1"/>
          <w:color w:val="auto"/>
        </w:rPr>
        <w:t xml:space="preserve"> </w:t>
      </w:r>
      <w:r>
        <w:rPr>
          <w:rFonts w:ascii="Arial" w:cs="Arial" w:eastAsia="Arial" w:hAnsi="Arial"/>
          <w:sz w:val="13"/>
          <w:szCs w:val="13"/>
          <w:color w:val="auto"/>
        </w:rPr>
        <w:t>goals, such as targeted revenue levels, targeted disposal volumes or the issuance of permits for expanded landfill airspace. For acquisitions completed in 2009 and 2010, we have recognized liabilities for these contingent obligations based on their estimated fair value at the date of acquisition with any differences between the acquisition-date fair value and the ultimate settlement of the obligations being recognized as an adjustment to income from operations. For acquisitions completed before 2009, these obligations were recognized as incurred and accounted for as an adjustment to the initial purchase price of the acquired assets.</w:t>
      </w:r>
    </w:p>
    <w:p>
      <w:pPr>
        <w:spacing w:after="0" w:line="71"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i w:val="1"/>
          <w:iCs w:val="1"/>
          <w:color w:val="auto"/>
        </w:rPr>
        <w:t xml:space="preserve">Acquired Assets and Assumed Liabilities — </w:t>
      </w:r>
      <w:r>
        <w:rPr>
          <w:rFonts w:ascii="Arial" w:cs="Arial" w:eastAsia="Arial" w:hAnsi="Arial"/>
          <w:sz w:val="12"/>
          <w:szCs w:val="12"/>
          <w:color w:val="auto"/>
        </w:rPr>
        <w:t>Assets and liabilities arising from contingencies such as pre-acquisition environmental matters and litigation are recognized at their</w:t>
      </w:r>
      <w:r>
        <w:rPr>
          <w:rFonts w:ascii="Arial" w:cs="Arial" w:eastAsia="Arial" w:hAnsi="Arial"/>
          <w:sz w:val="12"/>
          <w:szCs w:val="12"/>
          <w:i w:val="1"/>
          <w:iCs w:val="1"/>
          <w:color w:val="auto"/>
        </w:rPr>
        <w:t xml:space="preserve"> </w:t>
      </w:r>
      <w:r>
        <w:rPr>
          <w:rFonts w:ascii="Arial" w:cs="Arial" w:eastAsia="Arial" w:hAnsi="Arial"/>
          <w:sz w:val="12"/>
          <w:szCs w:val="12"/>
          <w:color w:val="auto"/>
        </w:rPr>
        <w:t>acquisition-date fair value when their respective fair values can be determined. If the fair values of such contingencies cannot be determined, they are recognized at the acquisition date if the contingencies are probable and an amount can be reasonably estimated. Acquisition-date fair value estimates are revised as necessary and accounted for as an adjustment to income from operations if, and when, additional information regarding these contingencies becomes available to further define and quantify assets acquired and liabilities assumed.</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Beginning in 2009, all acquisition-related transaction costs have been expensed as incurred. For acquisitions completed before 2009, direct costs incurred for a business combination were accounted for as part of the cost of the acquired business.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Goodwill is the excess of our purchase cost over the fair value of the net assets of acquired businesses. We do not amortize goodwill, but as discussed in the “Asset Impairments” section below, we assess our goodwill for impairment at least annually.</w:t>
      </w:r>
    </w:p>
    <w:p>
      <w:pPr>
        <w:spacing w:after="0" w:line="59"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Other intangible assets consist primarily of customer contracts, customer lists, covenants not-to-compete, licenses, permits (other than landfill permits, as all landfill-related intangible assets are combined with landfill tangible assets and amortized using our landfill amortization policy), and other contracts. Other intangible assets are recorded at cost and are generally amortized using either a 150% declining balance approach or a straight-line basis as we determine appropriate. Customer contracts and customer lists are typically amortized over ten years. 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 Impairments</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We monitor the carrying value of our long-lived assets for potential impairment and test the recoverability of such assets whenever events or changes in circumstances indicate that their carrying amounts may not be recoverable. These events or changes in circumstances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 (i) internally developed discounted projected cash flow analysis of the asset or asset group; (ii) actual third-party valuations; and/or (iii) 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and is included in the “(Income) expense from divestitures, asset impairments and unusual items” line item in our Consolidated Statement of Operations. Estimating future cash flows requires significant judgment and projections may vary from the cash flows eventually realized, which could impact our ability to accurately assess whether an asset has been impaired.</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additional considerations for impairments of landfills and goodwill, as described below.</w:t>
      </w:r>
    </w:p>
    <w:p>
      <w:pPr>
        <w:spacing w:after="0" w:line="96" w:lineRule="exact"/>
        <w:rPr>
          <w:sz w:val="20"/>
          <w:szCs w:val="20"/>
          <w:color w:val="auto"/>
        </w:rPr>
      </w:pPr>
    </w:p>
    <w:p>
      <w:pPr>
        <w:jc w:val="both"/>
        <w:ind w:left="680" w:right="260" w:firstLine="399"/>
        <w:spacing w:after="0" w:line="260" w:lineRule="auto"/>
        <w:rPr>
          <w:sz w:val="20"/>
          <w:szCs w:val="20"/>
          <w:color w:val="auto"/>
        </w:rPr>
      </w:pPr>
      <w:r>
        <w:rPr>
          <w:rFonts w:ascii="Arial" w:cs="Arial" w:eastAsia="Arial" w:hAnsi="Arial"/>
          <w:sz w:val="13"/>
          <w:szCs w:val="13"/>
          <w:i w:val="1"/>
          <w:iCs w:val="1"/>
          <w:color w:val="auto"/>
        </w:rPr>
        <w:t xml:space="preserve">Landfills </w:t>
      </w:r>
      <w:r>
        <w:rPr>
          <w:rFonts w:ascii="Arial" w:cs="Arial" w:eastAsia="Arial" w:hAnsi="Arial"/>
          <w:sz w:val="13"/>
          <w:szCs w:val="13"/>
          <w:color w:val="auto"/>
        </w:rPr>
        <w:t>— Certain impairment indicators require significant judgment and understanding of the waste industry when applied to landfill development or expansion projects. For</w:t>
      </w:r>
      <w:r>
        <w:rPr>
          <w:rFonts w:ascii="Arial" w:cs="Arial" w:eastAsia="Arial" w:hAnsi="Arial"/>
          <w:sz w:val="13"/>
          <w:szCs w:val="13"/>
          <w:i w:val="1"/>
          <w:iCs w:val="1"/>
          <w:color w:val="auto"/>
        </w:rPr>
        <w:t xml:space="preserve"> </w:t>
      </w:r>
      <w:r>
        <w:rPr>
          <w:rFonts w:ascii="Arial" w:cs="Arial" w:eastAsia="Arial" w:hAnsi="Arial"/>
          <w:sz w:val="13"/>
          <w:szCs w:val="13"/>
          <w:color w:val="auto"/>
        </w:rPr>
        <w:t>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that are not necessarily considered indicators of impairment of our landfill assets due to the unique nature of the waste industry.</w:t>
      </w:r>
    </w:p>
    <w:p>
      <w:pPr>
        <w:spacing w:after="0" w:line="7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Goodwill </w:t>
      </w:r>
      <w:r>
        <w:rPr>
          <w:rFonts w:ascii="Arial" w:cs="Arial" w:eastAsia="Arial" w:hAnsi="Arial"/>
          <w:sz w:val="12"/>
          <w:szCs w:val="12"/>
          <w:color w:val="auto"/>
        </w:rPr>
        <w:t>— At least annually, we assess our goodwill for impairment. We assess whether an impairment exists by comparing the fair value of each operating segment to its carrying</w:t>
      </w:r>
      <w:r>
        <w:rPr>
          <w:rFonts w:ascii="Arial" w:cs="Arial" w:eastAsia="Arial" w:hAnsi="Arial"/>
          <w:sz w:val="12"/>
          <w:szCs w:val="12"/>
          <w:i w:val="1"/>
          <w:iCs w:val="1"/>
          <w:color w:val="auto"/>
        </w:rPr>
        <w:t xml:space="preserve"> </w:t>
      </w:r>
      <w:r>
        <w:rPr>
          <w:rFonts w:ascii="Arial" w:cs="Arial" w:eastAsia="Arial" w:hAnsi="Arial"/>
          <w:sz w:val="12"/>
          <w:szCs w:val="12"/>
          <w:color w:val="auto"/>
        </w:rPr>
        <w:t>value, including goodwill. We use a combination of two valuation methods, a market approach and an income approach, to estimate the fair value of our operating segments. 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them to this analysis. However, we believe that these two methods provide a reasonable approach to estimating the fair value of our operating segments.</w:t>
      </w:r>
    </w:p>
    <w:p>
      <w:pPr>
        <w:spacing w:after="0" w:line="96"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The market approach estimates fair value by measuring the aggregate market value of publicly-traded companies with similar characteristics to our business as a multiple of their reported cash flows. We then apply that multiple to our operating segments’ cash flows to estimate their fair values. We believe that this approach is appropriate because it provides a fair value estimate using valuation inputs from entities with operations and economic characteristics comparable to our operating segments.</w:t>
      </w:r>
    </w:p>
    <w:p>
      <w:pPr>
        <w:spacing w:after="0" w:line="5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income approach is based on the long-term projected future cash flows of our operating segments. We discount the estimated cash flows to present value using a weighted-average cost of capital that considers factors such as the timing of the cash flows and the risks inherent in those cash flows. We believe that this approach is appropriate because it provides a fair value estimate based upon our operating segments’ expected long-term performance considering the economic and market conditions that generally affect our business.</w:t>
      </w:r>
    </w:p>
    <w:p>
      <w:pPr>
        <w:spacing w:after="0" w:line="50"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Additional impairment assessments may be performed on an interim basis if we encounter events or changes in circumstances that would indicate that, more likely than not, the carrying value of goodwill has been impaired. Refer to Note 6 for additional information related to goodwill impairment considerations made during the reported periods.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Trust and Escrow Accounts</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As of December 31, 2010, our restricted trust and escrow accounts consist principally of (i) funds deposited for purposes of settling landfill capping, closure, post-closure and environmental remediation obligations; and (ii) funds received from the issuance of tax-exempt bonds held in trust for the construction of various projects or facilities. As of December 31, 2010 and 2009, we had $146 million and $306 million, respectively, of restricted trust and escrow accounts, which are primarily included in long-term “Other assets” in our Consolidated Balance Sheets. The decrease in restricted trust and escrow accounts from December 31, 2009 is due to our implementation of revised accounting guidance related to the consolidation of variable interest entities. Additional information can be found in Note 2 and Note 20.</w:t>
      </w:r>
    </w:p>
    <w:p>
      <w:pPr>
        <w:spacing w:after="0" w:line="71"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i w:val="1"/>
          <w:iCs w:val="1"/>
          <w:color w:val="auto"/>
        </w:rPr>
        <w:t xml:space="preserve">Capping, Closure, Post-Closure and Environmental Remediation Funds </w:t>
      </w:r>
      <w:r>
        <w:rPr>
          <w:rFonts w:ascii="Arial" w:cs="Arial" w:eastAsia="Arial" w:hAnsi="Arial"/>
          <w:sz w:val="11"/>
          <w:szCs w:val="11"/>
          <w:color w:val="auto"/>
        </w:rPr>
        <w:t>— At several of our landfills, we provide financial assurance by depositing cash into restricted trust funds or</w:t>
      </w:r>
      <w:r>
        <w:rPr>
          <w:rFonts w:ascii="Arial" w:cs="Arial" w:eastAsia="Arial" w:hAnsi="Arial"/>
          <w:sz w:val="11"/>
          <w:szCs w:val="11"/>
          <w:i w:val="1"/>
          <w:iCs w:val="1"/>
          <w:color w:val="auto"/>
        </w:rPr>
        <w:t xml:space="preserve"> </w:t>
      </w:r>
      <w:r>
        <w:rPr>
          <w:rFonts w:ascii="Arial" w:cs="Arial" w:eastAsia="Arial" w:hAnsi="Arial"/>
          <w:sz w:val="11"/>
          <w:szCs w:val="11"/>
          <w:color w:val="auto"/>
        </w:rPr>
        <w:t>escrow accounts for purposes of settling capping, closure, post-closure and environmental remediation obligations. Balances maintained in these trust funds and escrow accounts will fluctuate based on (i) changes in statutory requirements; (ii) future deposits made to comply with contractual arrangements; (iii) the ongoing use of funds for qualifying closure, post-closure and environmental remediation activities; (iv) acquisitions or divestitures of landfills; and (v) changes in the fair value of the financial instruments held in the trust fund or escrow accounts.</w:t>
      </w:r>
    </w:p>
    <w:p>
      <w:pPr>
        <w:spacing w:after="0" w:line="39" w:lineRule="exact"/>
        <w:rPr>
          <w:sz w:val="20"/>
          <w:szCs w:val="20"/>
          <w:color w:val="auto"/>
        </w:rPr>
      </w:pPr>
    </w:p>
    <w:p>
      <w:pPr>
        <w:ind w:left="680" w:right="60" w:firstLine="399"/>
        <w:spacing w:after="0" w:line="312" w:lineRule="auto"/>
        <w:rPr>
          <w:sz w:val="20"/>
          <w:szCs w:val="20"/>
          <w:color w:val="auto"/>
        </w:rPr>
      </w:pPr>
      <w:r>
        <w:rPr>
          <w:rFonts w:ascii="Arial" w:cs="Arial" w:eastAsia="Arial" w:hAnsi="Arial"/>
          <w:sz w:val="11"/>
          <w:szCs w:val="11"/>
          <w:i w:val="1"/>
          <w:iCs w:val="1"/>
          <w:color w:val="auto"/>
        </w:rPr>
        <w:t xml:space="preserve">Tax-Exempt Bond Funds </w:t>
      </w:r>
      <w:r>
        <w:rPr>
          <w:rFonts w:ascii="Arial" w:cs="Arial" w:eastAsia="Arial" w:hAnsi="Arial"/>
          <w:sz w:val="11"/>
          <w:szCs w:val="11"/>
          <w:color w:val="auto"/>
        </w:rPr>
        <w:t>— We obtain funds from the issuance of industrial revenue bonds for the construction of collection and disposal facilities and for equipment necessary to</w:t>
      </w:r>
      <w:r>
        <w:rPr>
          <w:rFonts w:ascii="Arial" w:cs="Arial" w:eastAsia="Arial" w:hAnsi="Arial"/>
          <w:sz w:val="11"/>
          <w:szCs w:val="11"/>
          <w:i w:val="1"/>
          <w:iCs w:val="1"/>
          <w:color w:val="auto"/>
        </w:rPr>
        <w:t xml:space="preserve"> </w:t>
      </w:r>
      <w:r>
        <w:rPr>
          <w:rFonts w:ascii="Arial" w:cs="Arial" w:eastAsia="Arial" w:hAnsi="Arial"/>
          <w:sz w:val="11"/>
          <w:szCs w:val="11"/>
          <w:color w:val="auto"/>
        </w:rPr>
        <w:t>provide waste management services. Proceeds from these arrangements are directly deposited into trust accounts, and we do not have the ability to use the funds in regular operating activities. Accordingly, these borrowings are treated as non-cash financing activities and are excluded from our Consolidated Statements of Cash Flows. As our construction and equipment expenditures are documented and approved by the applicable bond trustee, the funds are released and we receive a cash reimbursement. These cash reimbursements are reported in the Consolidated Statements of Cash Flows as an investing activity when the cash is released from the trust funds. Generally, the funds are fully expended within a few years of the debt issuance. When the debt matures, we repay our obligation with cash on hand and the debt repayments are included as a financing activity in the Consolidated Statements of Cash Flows.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We have operations in Canada. The functional currency of our Canadian subsidiaries is Canadian dollars. The assets and liabilities of our foreign operations are translated to U.S. dollars using the exchange rate at the balance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80"/>
        <w:spacing w:after="0" w:line="276" w:lineRule="auto"/>
        <w:rPr>
          <w:sz w:val="20"/>
          <w:szCs w:val="20"/>
          <w:color w:val="auto"/>
        </w:rPr>
      </w:pPr>
      <w:r>
        <w:rPr>
          <w:rFonts w:ascii="Arial" w:cs="Arial" w:eastAsia="Arial" w:hAnsi="Arial"/>
          <w:sz w:val="13"/>
          <w:szCs w:val="13"/>
          <w:color w:val="auto"/>
        </w:rPr>
        <w:t>sheet date. Revenues and expenses are translated to U.S. dollars using the average exchange rate during the period. The resulting translation difference is reflected as a component of comprehensive income.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We primarily use derivative financial instruments to manage our risk associated with fluctuations in interest rates, foreign currency exchange rates and market prices for electricity. We use interest rate swaps to maintain a strategic portion of our long-term debt obligations at variable, market-driven interest rates. In 2009, we entered into interest rate derivatives in anticipation of senior note issuances planned for 2010 through 2014 to effectively lock in a fixed interest rate for those anticipated issuances. Foreign currency exchange rate derivatives are used to hedge our exposure to changes in exchange rates for anticipated cash transactions between WM Holdings and its Canadian subsidiaries. We use electricity commodity derivatives to mitigate the variability in our revenues and cash flows caused by fluctuations in the market prices for electricity.</w:t>
      </w:r>
    </w:p>
    <w:p>
      <w:pPr>
        <w:spacing w:after="0" w:line="55"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We obtain current valuations of our interest rate, foreign currency and electricity commodity hedging instruments from third-party pricing models. The estimated fair values of derivatives used to hedge risks fluctuate over time and should be viewed in relation to the underlying hedged transaction and the overall management of our exposure to fluctuations in the underlying risks. The fair value of derivatives is included in other current assets, other long-term assets, accrued liabilities or other long-term liabilities, as appropriate. Any ineffectiveness present in either fair value or cash flow hedges is recognized immediately in earnings without offset. There was no significant ineffectiveness in 2010, 2009 or 2008.</w:t>
      </w:r>
    </w:p>
    <w:p>
      <w:pPr>
        <w:spacing w:after="0" w:line="53" w:lineRule="exact"/>
        <w:rPr>
          <w:sz w:val="20"/>
          <w:szCs w:val="20"/>
          <w:color w:val="auto"/>
        </w:rPr>
      </w:pPr>
    </w:p>
    <w:p>
      <w:pPr>
        <w:ind w:left="1280" w:hanging="190"/>
        <w:spacing w:after="0" w:line="281" w:lineRule="auto"/>
        <w:tabs>
          <w:tab w:leader="none" w:pos="1280" w:val="left"/>
        </w:tabs>
        <w:numPr>
          <w:ilvl w:val="0"/>
          <w:numId w:val="61"/>
        </w:numPr>
        <w:rPr>
          <w:rFonts w:ascii="Arial" w:cs="Arial" w:eastAsia="Arial" w:hAnsi="Arial"/>
          <w:sz w:val="12"/>
          <w:szCs w:val="12"/>
          <w:color w:val="auto"/>
        </w:rPr>
      </w:pPr>
      <w:r>
        <w:rPr>
          <w:rFonts w:ascii="Arial" w:cs="Arial" w:eastAsia="Arial" w:hAnsi="Arial"/>
          <w:sz w:val="12"/>
          <w:szCs w:val="12"/>
          <w:i w:val="1"/>
          <w:iCs w:val="1"/>
          <w:color w:val="auto"/>
        </w:rPr>
        <w:t xml:space="preserve">Interest Rate Derivatives </w:t>
      </w:r>
      <w:r>
        <w:rPr>
          <w:rFonts w:ascii="Arial" w:cs="Arial" w:eastAsia="Arial" w:hAnsi="Arial"/>
          <w:sz w:val="12"/>
          <w:szCs w:val="12"/>
          <w:color w:val="auto"/>
        </w:rPr>
        <w:t>— Our “receive fixed, pay variable” interest rate swaps associated with outstanding fixed-rate senior notes have been designated as fair value hedges for</w:t>
      </w:r>
      <w:r>
        <w:rPr>
          <w:rFonts w:ascii="Arial" w:cs="Arial" w:eastAsia="Arial" w:hAnsi="Arial"/>
          <w:sz w:val="12"/>
          <w:szCs w:val="12"/>
          <w:i w:val="1"/>
          <w:iCs w:val="1"/>
          <w:color w:val="auto"/>
        </w:rPr>
        <w:t xml:space="preserve"> </w:t>
      </w:r>
      <w:r>
        <w:rPr>
          <w:rFonts w:ascii="Arial" w:cs="Arial" w:eastAsia="Arial" w:hAnsi="Arial"/>
          <w:sz w:val="12"/>
          <w:szCs w:val="12"/>
          <w:color w:val="auto"/>
        </w:rPr>
        <w:t>accounting purposes. Accordingly, derivative assets are accounted for as an increase in the carrying value of our underlying debt obligations and derivative liabilities are accounted for as a decrease in the carrying value of our underlying debt instruments. These fair value adjustments are deferred and recognized as an adjustment to interest expense over the remaining term of the hedged instruments. Treasury locks and forward-starting swaps executed in 2009 were designated as cash flow hedges for accounting purposes. Unrealized changes in the fair value of these derivative instruments are recorded in “Accumulated other comprehensive income” within the equity section of our Consolidated Balance Sheets. The associated balance in other comprehensive income will be reclassified to earnings as the hedged cash flows occur. The impacts of our use of interest rate derivatives on the carrying value of our debt, accumulated other comprehensive income and interest expense are discussed in Note 8.</w:t>
      </w:r>
    </w:p>
    <w:p>
      <w:pPr>
        <w:spacing w:after="0" w:line="48" w:lineRule="exact"/>
        <w:rPr>
          <w:rFonts w:ascii="Arial" w:cs="Arial" w:eastAsia="Arial" w:hAnsi="Arial"/>
          <w:sz w:val="12"/>
          <w:szCs w:val="12"/>
          <w:color w:val="auto"/>
        </w:rPr>
      </w:pPr>
    </w:p>
    <w:p>
      <w:pPr>
        <w:ind w:left="1280" w:right="120" w:hanging="190"/>
        <w:spacing w:after="0" w:line="289" w:lineRule="auto"/>
        <w:tabs>
          <w:tab w:leader="none" w:pos="1280" w:val="left"/>
        </w:tabs>
        <w:numPr>
          <w:ilvl w:val="0"/>
          <w:numId w:val="61"/>
        </w:numPr>
        <w:rPr>
          <w:rFonts w:ascii="Arial" w:cs="Arial" w:eastAsia="Arial" w:hAnsi="Arial"/>
          <w:sz w:val="12"/>
          <w:szCs w:val="12"/>
          <w:color w:val="auto"/>
        </w:rPr>
      </w:pPr>
      <w:r>
        <w:rPr>
          <w:rFonts w:ascii="Arial" w:cs="Arial" w:eastAsia="Arial" w:hAnsi="Arial"/>
          <w:sz w:val="12"/>
          <w:szCs w:val="12"/>
          <w:i w:val="1"/>
          <w:iCs w:val="1"/>
          <w:color w:val="auto"/>
        </w:rPr>
        <w:t xml:space="preserve">Foreign Currency Derivatives </w:t>
      </w:r>
      <w:r>
        <w:rPr>
          <w:rFonts w:ascii="Arial" w:cs="Arial" w:eastAsia="Arial" w:hAnsi="Arial"/>
          <w:sz w:val="12"/>
          <w:szCs w:val="12"/>
          <w:color w:val="auto"/>
        </w:rPr>
        <w:t>— Our foreign currency derivatives have been designated as cash flow hedges for accounting purposes, which results in the unrealized changes in</w:t>
      </w:r>
      <w:r>
        <w:rPr>
          <w:rFonts w:ascii="Arial" w:cs="Arial" w:eastAsia="Arial" w:hAnsi="Arial"/>
          <w:sz w:val="12"/>
          <w:szCs w:val="12"/>
          <w:i w:val="1"/>
          <w:iCs w:val="1"/>
          <w:color w:val="auto"/>
        </w:rPr>
        <w:t xml:space="preserve"> </w:t>
      </w:r>
      <w:r>
        <w:rPr>
          <w:rFonts w:ascii="Arial" w:cs="Arial" w:eastAsia="Arial" w:hAnsi="Arial"/>
          <w:sz w:val="12"/>
          <w:szCs w:val="12"/>
          <w:color w:val="auto"/>
        </w:rPr>
        <w:t>the fair value of the derivative instruments being recorded in “Accumulated other comprehensive income” within the equity section of our Consolidated Balance Sheets. The associated balance in other comprehensive income is reclassified to earnings as the hedged cash flows affect earnings. In each of the periods presented, these derivatives have effectively mitigated the impacts of the hedged transactions, resulting in immaterial impacts to our results of operations for the periods presented.</w:t>
      </w:r>
    </w:p>
    <w:p>
      <w:pPr>
        <w:spacing w:after="0" w:line="43" w:lineRule="exact"/>
        <w:rPr>
          <w:rFonts w:ascii="Arial" w:cs="Arial" w:eastAsia="Arial" w:hAnsi="Arial"/>
          <w:sz w:val="12"/>
          <w:szCs w:val="12"/>
          <w:color w:val="auto"/>
        </w:rPr>
      </w:pPr>
    </w:p>
    <w:p>
      <w:pPr>
        <w:ind w:left="1280" w:hanging="190"/>
        <w:spacing w:after="0" w:line="260"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i w:val="1"/>
          <w:iCs w:val="1"/>
          <w:color w:val="auto"/>
        </w:rPr>
        <w:t xml:space="preserve">Electricity Commodity Derivatives </w:t>
      </w:r>
      <w:r>
        <w:rPr>
          <w:rFonts w:ascii="Arial" w:cs="Arial" w:eastAsia="Arial" w:hAnsi="Arial"/>
          <w:sz w:val="13"/>
          <w:szCs w:val="13"/>
          <w:color w:val="auto"/>
        </w:rPr>
        <w:t>— Our “receive fixed, pay variable” electricity commodity swaps have been designated as cash flow hedges for accounting purposes. The</w:t>
      </w:r>
      <w:r>
        <w:rPr>
          <w:rFonts w:ascii="Arial" w:cs="Arial" w:eastAsia="Arial" w:hAnsi="Arial"/>
          <w:sz w:val="13"/>
          <w:szCs w:val="13"/>
          <w:i w:val="1"/>
          <w:iCs w:val="1"/>
          <w:color w:val="auto"/>
        </w:rPr>
        <w:t xml:space="preserve"> </w:t>
      </w:r>
      <w:r>
        <w:rPr>
          <w:rFonts w:ascii="Arial" w:cs="Arial" w:eastAsia="Arial" w:hAnsi="Arial"/>
          <w:sz w:val="13"/>
          <w:szCs w:val="13"/>
          <w:color w:val="auto"/>
        </w:rPr>
        <w:t>effective portion of the electricity commodity swap gains or losses is initially reported as a component of “Accumulated other comprehensive income” within the equity section of our Consolidated Balance Sheets and subsequently reclassified into earnings when the forecasted transactions affect earnings. These derivatives have not had a material impact to our financial statements for the periods presented.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Insured and Self-Insured Claims</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have retained a significant portion of the risks related to our health and welfare, automobile, general liability and workers’ compensation insurance programs. The exposure for unpaid claims and associated expenses,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60"/>
        <w:spacing w:after="0" w:line="260" w:lineRule="auto"/>
        <w:rPr>
          <w:sz w:val="20"/>
          <w:szCs w:val="20"/>
          <w:color w:val="auto"/>
        </w:rPr>
      </w:pPr>
      <w:r>
        <w:rPr>
          <w:rFonts w:ascii="Arial" w:cs="Arial" w:eastAsia="Arial" w:hAnsi="Arial"/>
          <w:sz w:val="13"/>
          <w:szCs w:val="13"/>
          <w:color w:val="auto"/>
        </w:rPr>
        <w:t>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or otherwise is included in long-term “Other liabilities.” Estimated insurance recoveries related to recorded liabilities are reflected as current “Other receivables” or long-term “Other assets” in our Consolidated Balance Sheets when we believe that the receipt of such amounts is probable.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revenues are generated from the fees we charge for waste collection, transfer, disposal and recycling services and the sale of recycled commodities, electricity, steam and landfill gas. The fees charged for our services are generally defined in our service agreements and vary based on contract-specific terms such as frequency of service, weight, volume and the general market factors influencing a region’s rates. The fees we charge for our services generally include fuel surcharges, which are intended to pass through to customers increased direct and indirect costs incurred because of changes in market prices for fuel. We generally recognize revenue as services are performed or products are delivered. For example, revenue typically is recognized as waste is collected, tons are received at our landfills or transfer stations, recycling commodities are delivered or as kilowatts are delivered to a customer by a waste-to-energy facility or independent power production plant.</w:t>
      </w:r>
    </w:p>
    <w:p>
      <w:pPr>
        <w:spacing w:after="0" w:line="7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Capitalized Interest</w:t>
      </w:r>
    </w:p>
    <w:p>
      <w:pPr>
        <w:spacing w:after="0" w:line="96" w:lineRule="exact"/>
        <w:rPr>
          <w:sz w:val="20"/>
          <w:szCs w:val="20"/>
          <w:color w:val="auto"/>
        </w:rPr>
      </w:pPr>
    </w:p>
    <w:p>
      <w:pPr>
        <w:ind w:left="680" w:right="320" w:firstLine="399"/>
        <w:spacing w:after="0" w:line="260" w:lineRule="auto"/>
        <w:rPr>
          <w:sz w:val="20"/>
          <w:szCs w:val="20"/>
          <w:color w:val="auto"/>
        </w:rPr>
      </w:pPr>
      <w:r>
        <w:rPr>
          <w:rFonts w:ascii="Arial" w:cs="Arial" w:eastAsia="Arial" w:hAnsi="Arial"/>
          <w:sz w:val="13"/>
          <w:szCs w:val="13"/>
          <w:color w:val="auto"/>
        </w:rPr>
        <w:t>We capitalize interest on certain projects under development, including internal-use software and landfill expansion projects, and on certain assets under construction, including operating landfills, landfill gas-to-energy projects and waste-to-energy facilities. During 2010, 2009 and 2008, total interest costs were $490 million, $443 million and $472 million, respectively, of which $17 million in each year was capitalized. The interest capitalized in 2009 and 2008 was primarily for landfill construction costs. In 2010, interest was capitalized primarily for landfill construction costs and landfill gas-to-energy construction projects.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The Company is subject to income tax in the United States, Canada and Puerto Rico. Current tax obligations associated with our provision for income taxes are reflected in the accompanying Consolidated Balance Sheets as a component of “Accrued liabilities,” and the deferred tax obligations are reflected in “Deferred income taxes.”</w:t>
      </w:r>
    </w:p>
    <w:p>
      <w:pPr>
        <w:spacing w:after="0" w:line="3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7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To the extent interest and penalties may be assessed by taxing authorities on any underpayment of income tax, such amounts have been accrued and are classified as a component of income tax expense in our Consolidated Statements of Operations.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Contingent Liabilities</w:t>
      </w:r>
    </w:p>
    <w:p>
      <w:pPr>
        <w:spacing w:after="0" w:line="96" w:lineRule="exact"/>
        <w:rPr>
          <w:sz w:val="20"/>
          <w:szCs w:val="20"/>
          <w:color w:val="auto"/>
        </w:rPr>
      </w:pPr>
    </w:p>
    <w:p>
      <w:pPr>
        <w:ind w:left="680" w:right="880" w:firstLine="399"/>
        <w:spacing w:after="0" w:line="334" w:lineRule="auto"/>
        <w:rPr>
          <w:sz w:val="20"/>
          <w:szCs w:val="20"/>
          <w:color w:val="auto"/>
        </w:rPr>
      </w:pPr>
      <w:r>
        <w:rPr>
          <w:rFonts w:ascii="Arial" w:cs="Arial" w:eastAsia="Arial" w:hAnsi="Arial"/>
          <w:sz w:val="11"/>
          <w:szCs w:val="11"/>
          <w:color w:val="auto"/>
        </w:rPr>
        <w:t>We estimate the amount of potential exposure we may have with respect to claims, assessments and litigation in accordance with accounting principles generally accepted in the United States.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Supplemental Cash Flow Information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40" w:type="dxa"/>
            <w:vAlign w:val="bottom"/>
            <w:vMerge w:val="restart"/>
          </w:tcPr>
          <w:p>
            <w:pPr>
              <w:spacing w:after="0"/>
              <w:rPr>
                <w:sz w:val="20"/>
                <w:szCs w:val="20"/>
                <w:color w:val="auto"/>
              </w:rPr>
            </w:pPr>
            <w:r>
              <w:rPr>
                <w:rFonts w:ascii="Arial" w:cs="Arial" w:eastAsia="Arial" w:hAnsi="Arial"/>
                <w:sz w:val="10"/>
                <w:szCs w:val="10"/>
                <w:b w:val="1"/>
                <w:bCs w:val="1"/>
                <w:color w:val="auto"/>
              </w:rPr>
              <w:t>Cash paid during the year (in millions):</w:t>
            </w: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1"/>
              </w:rPr>
              <w:t>Years Ended December 31,</w:t>
            </w:r>
          </w:p>
        </w:tc>
        <w:tc>
          <w:tcPr>
            <w:tcW w:w="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40" w:type="dxa"/>
            <w:vAlign w:val="bottom"/>
            <w:vMerge w:val="continue"/>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820" w:type="dxa"/>
            <w:vAlign w:val="bottom"/>
            <w:gridSpan w:val="3"/>
          </w:tcPr>
          <w:p>
            <w:pPr>
              <w:jc w:val="right"/>
              <w:ind w:right="80"/>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jc w:val="right"/>
              <w:ind w:right="19"/>
              <w:spacing w:after="0" w:line="98" w:lineRule="exact"/>
              <w:rPr>
                <w:sz w:val="20"/>
                <w:szCs w:val="20"/>
                <w:color w:val="auto"/>
              </w:rPr>
            </w:pPr>
            <w:r>
              <w:rPr>
                <w:rFonts w:ascii="Arial" w:cs="Arial" w:eastAsia="Arial" w:hAnsi="Arial"/>
                <w:sz w:val="10"/>
                <w:szCs w:val="10"/>
                <w:b w:val="1"/>
                <w:bCs w:val="1"/>
                <w:color w:val="auto"/>
              </w:rPr>
              <w:t>2008</w:t>
            </w: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40" w:type="dxa"/>
            <w:vAlign w:val="bottom"/>
            <w:shd w:val="clear" w:color="auto" w:fill="CCEEFF"/>
          </w:tcPr>
          <w:p>
            <w:pPr>
              <w:spacing w:after="0"/>
              <w:rPr>
                <w:sz w:val="20"/>
                <w:szCs w:val="20"/>
                <w:color w:val="auto"/>
              </w:rPr>
            </w:pPr>
            <w:r>
              <w:rPr>
                <w:rFonts w:ascii="Arial" w:cs="Arial" w:eastAsia="Arial" w:hAnsi="Arial"/>
                <w:sz w:val="13"/>
                <w:szCs w:val="13"/>
                <w:color w:val="auto"/>
              </w:rPr>
              <w:t>Interest, net of capitalized interest and periodic settlements from interest rate swap agreements</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$477</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$416</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w w:val="82"/>
              </w:rPr>
              <w:t>$478</w:t>
            </w:r>
          </w:p>
        </w:tc>
        <w:tc>
          <w:tcPr>
            <w:tcW w:w="0" w:type="dxa"/>
            <w:vAlign w:val="bottom"/>
          </w:tcPr>
          <w:p>
            <w:pPr>
              <w:spacing w:after="0"/>
              <w:rPr>
                <w:sz w:val="1"/>
                <w:szCs w:val="1"/>
                <w:color w:val="auto"/>
              </w:rPr>
            </w:pPr>
          </w:p>
        </w:tc>
      </w:tr>
      <w:tr>
        <w:trPr>
          <w:trHeight w:val="165"/>
        </w:trPr>
        <w:tc>
          <w:tcPr>
            <w:tcW w:w="8040" w:type="dxa"/>
            <w:vAlign w:val="bottom"/>
          </w:tcPr>
          <w:p>
            <w:pPr>
              <w:spacing w:after="0"/>
              <w:rPr>
                <w:sz w:val="20"/>
                <w:szCs w:val="20"/>
                <w:color w:val="auto"/>
              </w:rPr>
            </w:pPr>
            <w:r>
              <w:rPr>
                <w:rFonts w:ascii="Arial" w:cs="Arial" w:eastAsia="Arial" w:hAnsi="Arial"/>
                <w:sz w:val="13"/>
                <w:szCs w:val="13"/>
                <w:color w:val="auto"/>
              </w:rPr>
              <w:t>Income taxes</w:t>
            </w:r>
          </w:p>
        </w:tc>
        <w:tc>
          <w:tcPr>
            <w:tcW w:w="340" w:type="dxa"/>
            <w:vAlign w:val="bottom"/>
          </w:tcPr>
          <w:p>
            <w:pPr>
              <w:jc w:val="right"/>
              <w:spacing w:after="0"/>
              <w:rPr>
                <w:sz w:val="20"/>
                <w:szCs w:val="20"/>
                <w:color w:val="auto"/>
              </w:rPr>
            </w:pPr>
            <w:r>
              <w:rPr>
                <w:rFonts w:ascii="Arial" w:cs="Arial" w:eastAsia="Arial" w:hAnsi="Arial"/>
                <w:sz w:val="13"/>
                <w:szCs w:val="13"/>
                <w:color w:val="auto"/>
              </w:rPr>
              <w:t>547</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466</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ind w:right="39"/>
              <w:spacing w:after="0"/>
              <w:rPr>
                <w:sz w:val="20"/>
                <w:szCs w:val="20"/>
                <w:color w:val="auto"/>
              </w:rPr>
            </w:pPr>
            <w:r>
              <w:rPr>
                <w:rFonts w:ascii="Arial" w:cs="Arial" w:eastAsia="Arial" w:hAnsi="Arial"/>
                <w:sz w:val="13"/>
                <w:szCs w:val="13"/>
                <w:color w:val="auto"/>
              </w:rPr>
              <w:t>603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1080" w:firstLine="399"/>
        <w:spacing w:after="0" w:line="289" w:lineRule="auto"/>
        <w:rPr>
          <w:sz w:val="20"/>
          <w:szCs w:val="20"/>
          <w:color w:val="auto"/>
        </w:rPr>
      </w:pPr>
      <w:r>
        <w:rPr>
          <w:rFonts w:ascii="Arial" w:cs="Arial" w:eastAsia="Arial" w:hAnsi="Arial"/>
          <w:sz w:val="12"/>
          <w:szCs w:val="12"/>
          <w:color w:val="auto"/>
        </w:rPr>
        <w:t>Non-cash investing and financing activities are excluded from the Consolidated Statements of Cash Flows. For the years ended December 31, 2009 and 2008, non-cash activities included proceeds from tax-exempt borrowings, net of principal payments made directly from trust funds, of $105 million and $169 million, respectively. During the year ended December 31, 2010, we also had a $215 million non-cash increase in our debt obligations as a result of the issuance of a note payable in return for a noncontrolling interest in a limited liability company established to invest in and manage low-income housing properties. This investment is discussed in detail in Note 9.</w:t>
      </w:r>
    </w:p>
    <w:p>
      <w:pPr>
        <w:spacing w:after="0" w:line="128" w:lineRule="exact"/>
        <w:rPr>
          <w:sz w:val="20"/>
          <w:szCs w:val="20"/>
          <w:color w:val="auto"/>
        </w:rPr>
      </w:pPr>
    </w:p>
    <w:p>
      <w:pPr>
        <w:ind w:left="1000" w:hanging="313"/>
        <w:spacing w:after="0"/>
        <w:tabs>
          <w:tab w:leader="none" w:pos="100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w w:val="95"/>
              </w:rPr>
              <w:t>December 31, 2010</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93"/>
              </w:rPr>
              <w:t>December 31, 2009</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Landfill</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6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Landfill</w:t>
            </w:r>
          </w:p>
        </w:tc>
        <w:tc>
          <w:tcPr>
            <w:tcW w:w="100" w:type="dxa"/>
            <w:vAlign w:val="bottom"/>
          </w:tcPr>
          <w:p>
            <w:pPr>
              <w:spacing w:after="0"/>
              <w:rPr>
                <w:sz w:val="7"/>
                <w:szCs w:val="7"/>
                <w:color w:val="auto"/>
              </w:rPr>
            </w:pPr>
          </w:p>
        </w:tc>
        <w:tc>
          <w:tcPr>
            <w:tcW w:w="13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Remediation</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Long-term</w:t>
            </w:r>
          </w:p>
        </w:tc>
        <w:tc>
          <w:tcPr>
            <w:tcW w:w="6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1,161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1,402</w:t>
            </w:r>
          </w:p>
        </w:tc>
        <w:tc>
          <w:tcPr>
            <w:tcW w:w="6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1,142</w:t>
            </w:r>
          </w:p>
        </w:tc>
        <w:tc>
          <w:tcPr>
            <w:tcW w:w="100" w:type="dxa"/>
            <w:vAlign w:val="bottom"/>
          </w:tcPr>
          <w:p>
            <w:pPr>
              <w:spacing w:after="0"/>
              <w:rPr>
                <w:sz w:val="13"/>
                <w:szCs w:val="13"/>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1,550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1,267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1"/>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85</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The changes to landfill and environmental remediation liabilities for the years ended December 31, 2009 and 2010 are reflected in the table below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assumptions(a)</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82</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assumptions(a)(b)</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20" w:hanging="393"/>
        <w:spacing w:after="0" w:line="289" w:lineRule="auto"/>
        <w:tabs>
          <w:tab w:leader="none" w:pos="10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amounts reported for our environmental remediation liabilities include the impacts of revisions in the risk-free discount rates used to measure these obligations. The significant fluctuations in the applicable discount rates during the reported periods and the effects of those changes are discussed in Note 3. Additionally in 2010, we increased our cost estimates associated with environmental remediation obligations, primarily based on a review and evaluation of existing remediation projects. As these remediation projects progressed, more defined reclamation plans were developed, resulting in an increase in the required obligation to reflect the more likely remedies.</w:t>
      </w:r>
    </w:p>
    <w:p>
      <w:pPr>
        <w:spacing w:after="0" w:line="3" w:lineRule="exact"/>
        <w:rPr>
          <w:rFonts w:ascii="Arial" w:cs="Arial" w:eastAsia="Arial" w:hAnsi="Arial"/>
          <w:sz w:val="12"/>
          <w:szCs w:val="12"/>
          <w:color w:val="auto"/>
        </w:rPr>
      </w:pPr>
    </w:p>
    <w:p>
      <w:pPr>
        <w:ind w:left="1080" w:right="160" w:hanging="393"/>
        <w:spacing w:after="0" w:line="276" w:lineRule="auto"/>
        <w:tabs>
          <w:tab w:leader="none" w:pos="10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amount reported for our landfill liabilities includes a reduction of approximately $50 million related to our year-end annual review of landfill capping, closure and post-closure obligations.</w:t>
      </w:r>
    </w:p>
    <w:p>
      <w:pPr>
        <w:spacing w:after="0" w:line="59"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Our recorded liabilities as of December 31, 2010 include the impacts of inflating certain of these costs based on our expectations for the timing of cash settlement and of discounting certain of these costs to present value. Anticipated payments of currently identified environmental remediation liabilities as measured in current dollars are $43 million in 2011; $37 million in 2012; $21 million in 2013; $30 million in 2014; $24 million in 2015; and $141 million thereafter.</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At several of our landfills, we provide financial assurance by depositing cash into restricted trust funds or escrow accounts for purposes of settling capping, closure, post-closure and environmental remediation obligations. Generally, these trust funds are established to comply with statutory requirements and operating agreements and we are the sole beneficiary of the restricted balances. However, certain of the funds have been established for the benefit of both the Company and the host community in which we operate.</w:t>
      </w:r>
    </w:p>
    <w:p>
      <w:pPr>
        <w:spacing w:after="0" w:line="5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fair value of trust funds and escrow accounts for which we are the sole beneficiary was $124 million at December 31, 2010 and $231 million as of December 31, 2009. As discussed in Note 20, effective January 1, 2010, we deconsolidated the trusts for which power over significant activities of the trust is shared, which reduced our restricted trust and escrow accounts by $109 million as of January 1, 2010. Beginning in 2010, our interests in these variable interest entities have been accounted for as investments in unconsolidated entities and receivables. The fair value of our investment in these entities was $103 million as of December 31, 2010. These amounts are included in “Other receivables” and as long-term “Other assets” in our Consolidated Balance Sheet.</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8140" w:type="dxa"/>
            <w:vAlign w:val="bottom"/>
            <w:gridSpan w:val="2"/>
          </w:tcPr>
          <w:p>
            <w:pPr>
              <w:jc w:val="right"/>
              <w:ind w:right="6671"/>
              <w:spacing w:after="0"/>
              <w:rPr>
                <w:sz w:val="20"/>
                <w:szCs w:val="20"/>
                <w:color w:val="auto"/>
              </w:rPr>
            </w:pPr>
            <w:r>
              <w:rPr>
                <w:rFonts w:ascii="Arial" w:cs="Arial" w:eastAsia="Arial" w:hAnsi="Arial"/>
                <w:sz w:val="13"/>
                <w:szCs w:val="13"/>
                <w:b w:val="1"/>
                <w:bCs w:val="1"/>
                <w:color w:val="auto"/>
                <w:w w:val="92"/>
              </w:rPr>
              <w:t>Property and Equipment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00" w:type="dxa"/>
            <w:vAlign w:val="bottom"/>
          </w:tcPr>
          <w:p>
            <w:pPr>
              <w:spacing w:after="0"/>
              <w:rPr>
                <w:sz w:val="21"/>
                <w:szCs w:val="21"/>
                <w:color w:val="auto"/>
              </w:rPr>
            </w:pPr>
          </w:p>
        </w:tc>
        <w:tc>
          <w:tcPr>
            <w:tcW w:w="8140" w:type="dxa"/>
            <w:vAlign w:val="bottom"/>
            <w:gridSpan w:val="2"/>
          </w:tcPr>
          <w:p>
            <w:pPr>
              <w:jc w:val="right"/>
              <w:ind w:right="3751"/>
              <w:spacing w:after="0"/>
              <w:rPr>
                <w:sz w:val="20"/>
                <w:szCs w:val="20"/>
                <w:color w:val="auto"/>
              </w:rPr>
            </w:pPr>
            <w:r>
              <w:rPr>
                <w:rFonts w:ascii="Arial" w:cs="Arial" w:eastAsia="Arial" w:hAnsi="Arial"/>
                <w:sz w:val="13"/>
                <w:szCs w:val="13"/>
                <w:color w:val="auto"/>
                <w:w w:val="94"/>
              </w:rPr>
              <w:t>Property and equipment at December 31 consisted of the following (in millions):</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8"/>
                <w:szCs w:val="18"/>
                <w:color w:val="auto"/>
              </w:rPr>
            </w:pPr>
          </w:p>
        </w:tc>
      </w:tr>
      <w:tr>
        <w:trPr>
          <w:trHeight w:val="29"/>
        </w:trPr>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Land</w:t>
            </w:r>
          </w:p>
        </w:tc>
        <w:tc>
          <w:tcPr>
            <w:tcW w:w="814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w:t>
            </w:r>
          </w:p>
        </w:tc>
      </w:tr>
      <w:tr>
        <w:trPr>
          <w:trHeight w:val="157"/>
        </w:trPr>
        <w:tc>
          <w:tcPr>
            <w:tcW w:w="8440" w:type="dxa"/>
            <w:vAlign w:val="bottom"/>
            <w:gridSpan w:val="3"/>
          </w:tcPr>
          <w:p>
            <w:pPr>
              <w:spacing w:after="0"/>
              <w:rPr>
                <w:sz w:val="20"/>
                <w:szCs w:val="20"/>
                <w:color w:val="auto"/>
              </w:rPr>
            </w:pPr>
            <w:r>
              <w:rPr>
                <w:rFonts w:ascii="Arial" w:cs="Arial" w:eastAsia="Arial" w:hAnsi="Arial"/>
                <w:sz w:val="13"/>
                <w:szCs w:val="13"/>
                <w:color w:val="auto"/>
              </w:rPr>
              <w:t>Landfills</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12,777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12,301</w:t>
            </w:r>
          </w:p>
        </w:tc>
      </w:tr>
      <w:tr>
        <w:trPr>
          <w:trHeight w:val="157"/>
        </w:trPr>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Vehicles</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3,588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3,660</w:t>
            </w:r>
          </w:p>
        </w:tc>
      </w:tr>
      <w:tr>
        <w:trPr>
          <w:trHeight w:val="157"/>
        </w:trPr>
        <w:tc>
          <w:tcPr>
            <w:tcW w:w="8440" w:type="dxa"/>
            <w:vAlign w:val="bottom"/>
            <w:gridSpan w:val="3"/>
          </w:tcPr>
          <w:p>
            <w:pPr>
              <w:spacing w:after="0"/>
              <w:rPr>
                <w:sz w:val="20"/>
                <w:szCs w:val="20"/>
                <w:color w:val="auto"/>
              </w:rPr>
            </w:pPr>
            <w:r>
              <w:rPr>
                <w:rFonts w:ascii="Arial" w:cs="Arial" w:eastAsia="Arial" w:hAnsi="Arial"/>
                <w:sz w:val="13"/>
                <w:szCs w:val="13"/>
                <w:color w:val="auto"/>
              </w:rPr>
              <w:t>Machinery and equipment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3,454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3,251</w:t>
            </w:r>
          </w:p>
        </w:tc>
      </w:tr>
      <w:tr>
        <w:trPr>
          <w:trHeight w:val="157"/>
        </w:trPr>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Containers</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2,264</w:t>
            </w:r>
          </w:p>
        </w:tc>
      </w:tr>
      <w:tr>
        <w:trPr>
          <w:trHeight w:val="157"/>
        </w:trPr>
        <w:tc>
          <w:tcPr>
            <w:tcW w:w="8440" w:type="dxa"/>
            <w:vAlign w:val="bottom"/>
            <w:gridSpan w:val="3"/>
          </w:tcPr>
          <w:p>
            <w:pPr>
              <w:spacing w:after="0"/>
              <w:rPr>
                <w:sz w:val="20"/>
                <w:szCs w:val="20"/>
                <w:color w:val="auto"/>
              </w:rPr>
            </w:pPr>
            <w:r>
              <w:rPr>
                <w:rFonts w:ascii="Arial" w:cs="Arial" w:eastAsia="Arial" w:hAnsi="Arial"/>
                <w:sz w:val="13"/>
                <w:szCs w:val="13"/>
                <w:color w:val="auto"/>
              </w:rPr>
              <w:t>Buildings and improvements</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3,064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2,745</w:t>
            </w: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fixtures and office equipment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682</w:t>
            </w:r>
          </w:p>
        </w:tc>
      </w:tr>
      <w:tr>
        <w:trPr>
          <w:trHeight w:val="20"/>
        </w:trPr>
        <w:tc>
          <w:tcPr>
            <w:tcW w:w="3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26,558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25,535</w:t>
            </w:r>
          </w:p>
        </w:tc>
      </w:tr>
      <w:tr>
        <w:trPr>
          <w:trHeight w:val="158"/>
        </w:trPr>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Less accumulated depreciation on tangible property and equipment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(7,898)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(7,546)</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Less accumulated landfill airspace amortization</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(6,792)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(6,448)</w:t>
            </w:r>
          </w:p>
        </w:tc>
      </w:tr>
      <w:tr>
        <w:trPr>
          <w:trHeight w:val="20"/>
        </w:trPr>
        <w:tc>
          <w:tcPr>
            <w:tcW w:w="3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11,541</w:t>
            </w:r>
          </w:p>
        </w:tc>
      </w:tr>
      <w:tr>
        <w:trPr>
          <w:trHeight w:val="29"/>
        </w:trPr>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Depreciation and amortization expense, including amortization expense for assets recorded as capital leases, was comprised of the following for the years ended December 31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8"/>
              </w:rPr>
              <w:t>2010</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781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785</w:t>
            </w: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372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358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429</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1,214</w:t>
            </w: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Other Intangible Assets</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Goodwill was $5,726 million as of December 31, 2010 compared with $5,632 million as of December 31, 2009. The $94 million increase in our goodwill during 2010 was primarily related to consideration paid for acquisitions in excess of net assets acquired of $77 million and accounting for foreign currency translation.</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incurred no impairment of goodwill as a result of our annual, fourth quarter goodwill impairment tests in 2010, 2009 or 2008. Additionally, we did not encounter any events or changes in circumstances that indicated that an impairment was more likely than not during interim periods in 2010, 2009 or 2008. However, there can be no assurance that goodwill will not be impaired at any time in the future.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other intangible assets as of December 31, 2010 and 2009 were comprised of the following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4"/>
              </w:rPr>
              <w:t>Customer</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3"/>
              </w:rPr>
              <w:t>Covenants</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87"/>
              </w:rPr>
              <w:t>Licenses,</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Contracts and</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Customer</w:t>
            </w: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Not-to-</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8"/>
              </w:rPr>
              <w:t>Permits</w:t>
            </w:r>
          </w:p>
        </w:tc>
        <w:tc>
          <w:tcPr>
            <w:tcW w:w="60" w:type="dxa"/>
            <w:vAlign w:val="bottom"/>
          </w:tcPr>
          <w:p>
            <w:pPr>
              <w:spacing w:after="0"/>
              <w:rPr>
                <w:sz w:val="9"/>
                <w:szCs w:val="9"/>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5"/>
        </w:trPr>
        <w:tc>
          <w:tcPr>
            <w:tcW w:w="5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Lists</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Compete</w:t>
            </w:r>
          </w:p>
        </w:tc>
        <w:tc>
          <w:tcPr>
            <w:tcW w:w="8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and Other</w:t>
            </w:r>
          </w:p>
        </w:tc>
        <w:tc>
          <w:tcPr>
            <w:tcW w:w="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2010</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Intangible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228</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Less accumulated amortization</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141</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33</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65"/>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Intangible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197</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Less accumulated amortization</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34</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30"/>
        </w:trPr>
        <w:tc>
          <w:tcPr>
            <w:tcW w:w="5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Amortization expense for other intangible assets was $41 million for 2010, $29 million for 2009, and $24 million for 2008. At December 31, 2010, we had $41 million of intangible assets that are not subject to amortization, which are primarily operating permits that do not have stated expirations or that have routine,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80"/>
        <w:spacing w:after="0" w:line="371" w:lineRule="auto"/>
        <w:rPr>
          <w:sz w:val="20"/>
          <w:szCs w:val="20"/>
          <w:color w:val="auto"/>
        </w:rPr>
      </w:pPr>
      <w:r>
        <w:rPr>
          <w:rFonts w:ascii="Arial" w:cs="Arial" w:eastAsia="Arial" w:hAnsi="Arial"/>
          <w:sz w:val="11"/>
          <w:szCs w:val="11"/>
          <w:color w:val="auto"/>
        </w:rPr>
        <w:t>administrative renewal processes. Additional information related to intangible assets acquired through 2010 business combinations is included in Note 19. As of December 31, 2010, expected annual amortization expense related to intangible assets is $43 million in 2011; $39 million in 2012; $34 million in 2013; $26 million in 2014; and $22 million in 2015.</w:t>
      </w:r>
    </w:p>
    <w:p>
      <w:pPr>
        <w:spacing w:after="0" w:line="87" w:lineRule="exact"/>
        <w:rPr>
          <w:sz w:val="20"/>
          <w:szCs w:val="20"/>
          <w:color w:val="auto"/>
        </w:rPr>
      </w:pPr>
    </w:p>
    <w:p>
      <w:pPr>
        <w:ind w:left="1000" w:hanging="313"/>
        <w:spacing w:after="0"/>
        <w:tabs>
          <w:tab w:leader="none" w:pos="100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summarizes the major components of debt at December 31 (in millions) and provides the maturities and interest rates of each major category as of December 31:</w:t>
      </w:r>
    </w:p>
    <w:p>
      <w:pPr>
        <w:spacing w:after="0" w:line="12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Letter of credit facilities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Canadian credit facility (weighted average effective interest rate of 2.2% at December 31, 2010 and 1.3% at December 31, 2009)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w:t>
            </w:r>
          </w:p>
        </w:tc>
      </w:tr>
      <w:tr>
        <w:trPr>
          <w:trHeight w:val="148"/>
        </w:trPr>
        <w:tc>
          <w:tcPr>
            <w:tcW w:w="8500" w:type="dxa"/>
            <w:vAlign w:val="bottom"/>
          </w:tcPr>
          <w:p>
            <w:pPr>
              <w:spacing w:after="0" w:line="149" w:lineRule="exact"/>
              <w:rPr>
                <w:sz w:val="20"/>
                <w:szCs w:val="20"/>
                <w:color w:val="auto"/>
              </w:rPr>
            </w:pPr>
            <w:r>
              <w:rPr>
                <w:rFonts w:ascii="Arial" w:cs="Arial" w:eastAsia="Arial" w:hAnsi="Arial"/>
                <w:sz w:val="13"/>
                <w:szCs w:val="13"/>
                <w:color w:val="auto"/>
                <w:w w:val="95"/>
              </w:rPr>
              <w:t>Senior notes and debentures, maturing through 2039, interest rates ranging from 4.75% to 7.75% (weighted average interest rate of 6.5% at December 31,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2010 and 6.8% at December 31, 2009)</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5,452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5,465</w:t>
            </w:r>
          </w:p>
        </w:tc>
      </w:tr>
      <w:tr>
        <w:trPr>
          <w:trHeight w:val="149"/>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Tax-exempt bonds maturing through 2039, fixed and variable interest rates ranging from 0.3% to 7.4% (weighted average interest rate of 3.1% at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December 31, 2010 and 3.5% at December 31, 2009)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2,749</w:t>
            </w:r>
          </w:p>
        </w:tc>
      </w:tr>
      <w:tr>
        <w:trPr>
          <w:trHeight w:val="148"/>
        </w:trPr>
        <w:tc>
          <w:tcPr>
            <w:tcW w:w="8500" w:type="dxa"/>
            <w:vAlign w:val="bottom"/>
          </w:tcPr>
          <w:p>
            <w:pPr>
              <w:spacing w:after="0" w:line="149" w:lineRule="exact"/>
              <w:rPr>
                <w:sz w:val="20"/>
                <w:szCs w:val="20"/>
                <w:color w:val="auto"/>
              </w:rPr>
            </w:pPr>
            <w:r>
              <w:rPr>
                <w:rFonts w:ascii="Arial" w:cs="Arial" w:eastAsia="Arial" w:hAnsi="Arial"/>
                <w:sz w:val="13"/>
                <w:szCs w:val="13"/>
                <w:color w:val="auto"/>
                <w:w w:val="97"/>
              </w:rPr>
              <w:t>Tax-exempt project bonds, principal payable in periodic installments, maturing through 2029, fixed and variable interest rates ranging from 0.3% to 5.4%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(weighted average interest rate of 2.5% at December 31, 2010 and 3.1% at December 31, 2009)</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156</w:t>
            </w: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2050, interest rates up to 12%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w:t>
            </w: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5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8,907</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8,873</w:t>
            </w: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Less current portion</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w:t>
            </w: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5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8,674</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8,124</w:t>
            </w: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Classification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December 31, 2010, we had (i) $502 million of debt maturing within twelve months, including U.S.$212 million under our Canadian credit facility and $147 million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7.65% senior notes that mature in March 2011; and (ii) $405 million of fixed-rate tax-exempt borrowings subject to re-pricing within the next twelve months. Under accounting principles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generally accepted in the United States, this debt must be classified as current unless we have the intent and ability to refinance it on a long-term basis. We have the intent and ability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refinance $674 million of this debt on a long-term basis. We have classified the remaining $233 million as current obligations as of December 31, 2010.</w:t>
      </w:r>
    </w:p>
    <w:p>
      <w:pPr>
        <w:spacing w:after="0" w:line="8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As of December 31, 2010, we also have $565 million of variable-rate tax-exempt bonds and $46 million of variable-rate tax-exempt project bonds. The interest rates on these bonds are reset on either a daily or weekly basis through a remarketing process. If the remarketing agent is unable to remarket the bonds, the remarketing agent can put the bonds to us. These bonds are supported by letters of credit guaranteeing repayment of the bonds in this event. We classified these borrowings as long-term in our Consolidated Balance Sheet at December 31, 2010 because the borrowings are supported by letters of credit issued under our three-year, $2.0 billion revolving credit facility, which is long-term.</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Access to and Utilization of Credit Facilities</w:t>
      </w:r>
    </w:p>
    <w:p>
      <w:pPr>
        <w:spacing w:after="0" w:line="96"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i w:val="1"/>
          <w:iCs w:val="1"/>
          <w:color w:val="auto"/>
        </w:rPr>
        <w:t xml:space="preserve">Revolving Credit Facility </w:t>
      </w:r>
      <w:r>
        <w:rPr>
          <w:rFonts w:ascii="Arial" w:cs="Arial" w:eastAsia="Arial" w:hAnsi="Arial"/>
          <w:sz w:val="12"/>
          <w:szCs w:val="12"/>
          <w:color w:val="auto"/>
        </w:rPr>
        <w:t>— In June 2010, we entered into a three-year, $2.0 billion revolving credit facility, replacing the $2.4 billion credit facility that would have matured in</w:t>
      </w:r>
      <w:r>
        <w:rPr>
          <w:rFonts w:ascii="Arial" w:cs="Arial" w:eastAsia="Arial" w:hAnsi="Arial"/>
          <w:sz w:val="12"/>
          <w:szCs w:val="12"/>
          <w:i w:val="1"/>
          <w:iCs w:val="1"/>
          <w:color w:val="auto"/>
        </w:rPr>
        <w:t xml:space="preserve"> </w:t>
      </w:r>
      <w:r>
        <w:rPr>
          <w:rFonts w:ascii="Arial" w:cs="Arial" w:eastAsia="Arial" w:hAnsi="Arial"/>
          <w:sz w:val="12"/>
          <w:szCs w:val="12"/>
          <w:color w:val="auto"/>
        </w:rPr>
        <w:t>August 2011. This facility provides us with credit capacity to be used for either cash borrowings or to support letters of credit. At December 31, 2010, we had no</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80"/>
        <w:spacing w:after="0" w:line="276" w:lineRule="auto"/>
        <w:rPr>
          <w:sz w:val="20"/>
          <w:szCs w:val="20"/>
          <w:color w:val="auto"/>
        </w:rPr>
      </w:pPr>
      <w:r>
        <w:rPr>
          <w:rFonts w:ascii="Arial" w:cs="Arial" w:eastAsia="Arial" w:hAnsi="Arial"/>
          <w:sz w:val="13"/>
          <w:szCs w:val="13"/>
          <w:color w:val="auto"/>
        </w:rPr>
        <w:t>outstanding borrowings and $1,138 million of letters of credit issued and supported by the facility. The unused and available credit capacity of the facility was $862 million as of December 31, 2010.</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Letter of Credit Facilities </w:t>
      </w:r>
      <w:r>
        <w:rPr>
          <w:rFonts w:ascii="Arial" w:cs="Arial" w:eastAsia="Arial" w:hAnsi="Arial"/>
          <w:sz w:val="12"/>
          <w:szCs w:val="12"/>
          <w:color w:val="auto"/>
        </w:rPr>
        <w:t>— As of December 31, 2010, we had an aggregate committed capacity of $505 million under letter of credit facilities with maturities that extend from June</w:t>
      </w:r>
      <w:r>
        <w:rPr>
          <w:rFonts w:ascii="Arial" w:cs="Arial" w:eastAsia="Arial" w:hAnsi="Arial"/>
          <w:sz w:val="12"/>
          <w:szCs w:val="12"/>
          <w:i w:val="1"/>
          <w:iCs w:val="1"/>
          <w:color w:val="auto"/>
        </w:rPr>
        <w:t xml:space="preserve"> </w:t>
      </w:r>
      <w:r>
        <w:rPr>
          <w:rFonts w:ascii="Arial" w:cs="Arial" w:eastAsia="Arial" w:hAnsi="Arial"/>
          <w:sz w:val="12"/>
          <w:szCs w:val="12"/>
          <w:color w:val="auto"/>
        </w:rPr>
        <w:t>2013 to June 2015. These facilities are currently being used to back letters of credit issued to support our bonding and financial assurance needs. Our letters of credit generally have terms providing for automatic renewal after one year. In the event of an unreimbursed draw on a letter of credit, the amount of the draw paid by the letter of credit provider generally converts into a term loan for the remaining term of the respective facility. Through December 31, 2010, we had not experienced any unreimbursed draws on letters of credit under these facilities. As of December 31, 2010, no borrowings were outstanding under these letter of credit facilities and we had no unused or available credit capacity.</w:t>
      </w:r>
    </w:p>
    <w:p>
      <w:pPr>
        <w:spacing w:after="0" w:line="55" w:lineRule="exact"/>
        <w:rPr>
          <w:sz w:val="20"/>
          <w:szCs w:val="20"/>
          <w:color w:val="auto"/>
        </w:rPr>
      </w:pPr>
    </w:p>
    <w:p>
      <w:pPr>
        <w:jc w:val="both"/>
        <w:ind w:left="680" w:right="460" w:firstLine="399"/>
        <w:spacing w:after="0" w:line="264" w:lineRule="auto"/>
        <w:rPr>
          <w:sz w:val="20"/>
          <w:szCs w:val="20"/>
          <w:color w:val="auto"/>
        </w:rPr>
      </w:pPr>
      <w:r>
        <w:rPr>
          <w:rFonts w:ascii="Arial" w:cs="Arial" w:eastAsia="Arial" w:hAnsi="Arial"/>
          <w:sz w:val="13"/>
          <w:szCs w:val="13"/>
          <w:i w:val="1"/>
          <w:iCs w:val="1"/>
          <w:color w:val="auto"/>
        </w:rPr>
        <w:t xml:space="preserve">Canadian Credit Facility </w:t>
      </w:r>
      <w:r>
        <w:rPr>
          <w:rFonts w:ascii="Arial" w:cs="Arial" w:eastAsia="Arial" w:hAnsi="Arial"/>
          <w:sz w:val="13"/>
          <w:szCs w:val="13"/>
          <w:color w:val="auto"/>
        </w:rPr>
        <w:t>— In November 2005, Waste Management of Canada Corporation, one of our wholly-owned subsidiaries, entered into a credit facility agreement to</w:t>
      </w:r>
      <w:r>
        <w:rPr>
          <w:rFonts w:ascii="Arial" w:cs="Arial" w:eastAsia="Arial" w:hAnsi="Arial"/>
          <w:sz w:val="13"/>
          <w:szCs w:val="13"/>
          <w:i w:val="1"/>
          <w:iCs w:val="1"/>
          <w:color w:val="auto"/>
        </w:rPr>
        <w:t xml:space="preserve"> </w:t>
      </w:r>
      <w:r>
        <w:rPr>
          <w:rFonts w:ascii="Arial" w:cs="Arial" w:eastAsia="Arial" w:hAnsi="Arial"/>
          <w:sz w:val="13"/>
          <w:szCs w:val="13"/>
          <w:color w:val="auto"/>
        </w:rPr>
        <w:t>facilitate WM’s repatriation of accumulated earnings and capital from its Canadian subsidiaries. As of December 31, 2010, the agreement provides available credit capacity of up to C$340 million and matures in November 2012.</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As of December 31, 2010, we had U.S.$216 million of principal (U.S.$212 million net of discount) outstanding under this credit facility. The proceeds we initially received represented the net present value of the principal amount of the advances based on the term outstanding, and the debt was initially recorded based on the net proceeds received. The advances have a weighted average effective interest rate of 2.2% at December 31, 2010, which is being amortized to interest expense with a corresponding increase in our recorded debt obligation using the effective interest method. During the year ended December 31, 2010, we increased the carrying value of the debt for the recognition of U.S.$3 million of interest expense. A total of U.S.$56 million of net advances under the facility matured during 2010 and were repaid with available cash. Accounting for changes in the Canadian currency translation rate increased the carrying value of these borrowings by U.S.$10 million during 2010.</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Borrowings and Repayments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changes in our debt balances from December 31, 2009 to December 31, 2010 are related to the following:</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i w:val="1"/>
          <w:iCs w:val="1"/>
          <w:color w:val="auto"/>
        </w:rPr>
        <w:t xml:space="preserve">Senior Notes </w:t>
      </w:r>
      <w:r>
        <w:rPr>
          <w:rFonts w:ascii="Arial" w:cs="Arial" w:eastAsia="Arial" w:hAnsi="Arial"/>
          <w:sz w:val="13"/>
          <w:szCs w:val="13"/>
          <w:color w:val="auto"/>
        </w:rPr>
        <w:t>— In June 2010, we issued $600 million of 4.75% senior notes due June 2020. The net proceeds from the debt issuance were $592 million. We used the proceeds</w:t>
      </w:r>
      <w:r>
        <w:rPr>
          <w:rFonts w:ascii="Arial" w:cs="Arial" w:eastAsia="Arial" w:hAnsi="Arial"/>
          <w:sz w:val="13"/>
          <w:szCs w:val="13"/>
          <w:i w:val="1"/>
          <w:iCs w:val="1"/>
          <w:color w:val="auto"/>
        </w:rPr>
        <w:t xml:space="preserve"> </w:t>
      </w:r>
      <w:r>
        <w:rPr>
          <w:rFonts w:ascii="Arial" w:cs="Arial" w:eastAsia="Arial" w:hAnsi="Arial"/>
          <w:sz w:val="13"/>
          <w:szCs w:val="13"/>
          <w:color w:val="auto"/>
        </w:rPr>
        <w:t>together with cash on hand to repay $600 million of 7.375% senior notes that matured in August 2010.</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remaining change in the carrying value of our senior notes from December 31, 2009 to December 31, 2010 is principally due to accounting for our fixed-to-floating interest rate swap agreements, which are accounted for as fair value hedges resulting in all fair value adjustments being reflected as a component of the carrying value of the underlying debt. For additional information regarding our interest rate derivatives, refer to Note 8.</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Tax-Exempt Bonds </w:t>
      </w:r>
      <w:r>
        <w:rPr>
          <w:rFonts w:ascii="Arial" w:cs="Arial" w:eastAsia="Arial" w:hAnsi="Arial"/>
          <w:sz w:val="13"/>
          <w:szCs w:val="13"/>
          <w:color w:val="auto"/>
        </w:rPr>
        <w:t>— Tax-exempt bonds are used as a means of accessing low-cost financing for capital expenditures. The proceeds from these debt issuances may only be used for</w:t>
      </w:r>
      <w:r>
        <w:rPr>
          <w:rFonts w:ascii="Arial" w:cs="Arial" w:eastAsia="Arial" w:hAnsi="Arial"/>
          <w:sz w:val="13"/>
          <w:szCs w:val="13"/>
          <w:i w:val="1"/>
          <w:iCs w:val="1"/>
          <w:color w:val="auto"/>
        </w:rPr>
        <w:t xml:space="preserve"> </w:t>
      </w:r>
      <w:r>
        <w:rPr>
          <w:rFonts w:ascii="Arial" w:cs="Arial" w:eastAsia="Arial" w:hAnsi="Arial"/>
          <w:sz w:val="13"/>
          <w:szCs w:val="13"/>
          <w:color w:val="auto"/>
        </w:rPr>
        <w:t>the specific purpose for which the money was raised, which is generally to finance expenditures for landfill construction and development, equipment, vehicles and facilities in support of our operations. Proceeds from bond issues are held in trust until such time as we incur qualified expenditures, at which time we are reimbursed from the trust funds. During the year ended December 31, 2010, $52 million of our tax-exempt bonds were repaid with available cash.</w:t>
      </w:r>
    </w:p>
    <w:p>
      <w:pPr>
        <w:spacing w:after="0" w:line="70" w:lineRule="exact"/>
        <w:rPr>
          <w:sz w:val="20"/>
          <w:szCs w:val="20"/>
          <w:color w:val="auto"/>
        </w:rPr>
      </w:pPr>
    </w:p>
    <w:p>
      <w:pPr>
        <w:ind w:left="680" w:right="200" w:firstLine="399"/>
        <w:spacing w:after="0" w:line="334" w:lineRule="auto"/>
        <w:rPr>
          <w:sz w:val="20"/>
          <w:szCs w:val="20"/>
          <w:color w:val="auto"/>
        </w:rPr>
      </w:pPr>
      <w:r>
        <w:rPr>
          <w:rFonts w:ascii="Arial" w:cs="Arial" w:eastAsia="Arial" w:hAnsi="Arial"/>
          <w:sz w:val="11"/>
          <w:szCs w:val="11"/>
          <w:i w:val="1"/>
          <w:iCs w:val="1"/>
          <w:color w:val="auto"/>
        </w:rPr>
        <w:t xml:space="preserve">Tax-Exempt Project Bonds </w:t>
      </w:r>
      <w:r>
        <w:rPr>
          <w:rFonts w:ascii="Arial" w:cs="Arial" w:eastAsia="Arial" w:hAnsi="Arial"/>
          <w:sz w:val="11"/>
          <w:szCs w:val="11"/>
          <w:color w:val="auto"/>
        </w:rPr>
        <w:t>— Tax-exempt project bonds have been used by our Wheelabrator Group to finance the development of waste-to-energy facilities. These facilities are</w:t>
      </w:r>
      <w:r>
        <w:rPr>
          <w:rFonts w:ascii="Arial" w:cs="Arial" w:eastAsia="Arial" w:hAnsi="Arial"/>
          <w:sz w:val="11"/>
          <w:szCs w:val="11"/>
          <w:i w:val="1"/>
          <w:iCs w:val="1"/>
          <w:color w:val="auto"/>
        </w:rPr>
        <w:t xml:space="preserve"> </w:t>
      </w:r>
      <w:r>
        <w:rPr>
          <w:rFonts w:ascii="Arial" w:cs="Arial" w:eastAsia="Arial" w:hAnsi="Arial"/>
          <w:sz w:val="11"/>
          <w:szCs w:val="11"/>
          <w:color w:val="auto"/>
        </w:rPr>
        <w:t>integral to the local communities they serve, and, as such, are supported by long-term contracts with multiple municipalities. The bonds generally have periodic amortizations that are supported by the cash flow of each specific facility being financed. During the year ended December 31, 2010, we repaid $39 million of our tax-exempt project bonds with available cash.</w:t>
      </w:r>
    </w:p>
    <w:p>
      <w:pPr>
        <w:spacing w:after="0" w:line="32"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i w:val="1"/>
          <w:iCs w:val="1"/>
          <w:color w:val="auto"/>
        </w:rPr>
        <w:t xml:space="preserve">Capital Leases and Other </w:t>
      </w:r>
      <w:r>
        <w:rPr>
          <w:rFonts w:ascii="Arial" w:cs="Arial" w:eastAsia="Arial" w:hAnsi="Arial"/>
          <w:sz w:val="13"/>
          <w:szCs w:val="13"/>
          <w:color w:val="auto"/>
        </w:rPr>
        <w:t>— The significant increase in our capital leases and other debt obligations in 2010 is primarily related to our federal low-income housing investment</w:t>
      </w:r>
      <w:r>
        <w:rPr>
          <w:rFonts w:ascii="Arial" w:cs="Arial" w:eastAsia="Arial" w:hAnsi="Arial"/>
          <w:sz w:val="13"/>
          <w:szCs w:val="13"/>
          <w:i w:val="1"/>
          <w:iCs w:val="1"/>
          <w:color w:val="auto"/>
        </w:rPr>
        <w:t xml:space="preserve"> </w:t>
      </w:r>
      <w:r>
        <w:rPr>
          <w:rFonts w:ascii="Arial" w:cs="Arial" w:eastAsia="Arial" w:hAnsi="Arial"/>
          <w:sz w:val="13"/>
          <w:szCs w:val="13"/>
          <w:color w:val="auto"/>
        </w:rPr>
        <w:t>discussed in Note 9, which increased our debt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obligations by $215 million. This increase was offset by $49 million of repayments of various borrowings at their scheduled maturities.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Scheduled Debt and Capital Lease Payments </w:t>
      </w:r>
      <w:r>
        <w:rPr>
          <w:rFonts w:ascii="Arial" w:cs="Arial" w:eastAsia="Arial" w:hAnsi="Arial"/>
          <w:sz w:val="12"/>
          <w:szCs w:val="12"/>
          <w:color w:val="auto"/>
        </w:rPr>
        <w:t>— Scheduled debt and capital lease payments for the next five years are as follows: $511 million in 2011; $614 million in 2012;</w:t>
      </w:r>
    </w:p>
    <w:p>
      <w:pPr>
        <w:spacing w:after="0" w:line="27" w:lineRule="exact"/>
        <w:rPr>
          <w:sz w:val="20"/>
          <w:szCs w:val="20"/>
          <w:color w:val="auto"/>
        </w:rPr>
      </w:pPr>
    </w:p>
    <w:p>
      <w:pPr>
        <w:ind w:left="680" w:right="20"/>
        <w:spacing w:after="0" w:line="307" w:lineRule="auto"/>
        <w:rPr>
          <w:sz w:val="20"/>
          <w:szCs w:val="20"/>
          <w:color w:val="auto"/>
        </w:rPr>
      </w:pPr>
      <w:r>
        <w:rPr>
          <w:rFonts w:ascii="Arial" w:cs="Arial" w:eastAsia="Arial" w:hAnsi="Arial"/>
          <w:sz w:val="12"/>
          <w:szCs w:val="12"/>
          <w:color w:val="auto"/>
        </w:rPr>
        <w:t>$203 million in 2013; $459 million in 2014; and $452 million in 2015. Our recorded debt and capital lease obligations include non-cash adjustments associated with discounts, premiums and fair value adjustments for interest rate hedging activities, which have been excluded from these amounts because they will not result in cash payments.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Secured Debt</w:t>
      </w:r>
    </w:p>
    <w:p>
      <w:pPr>
        <w:spacing w:after="0" w:line="96"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Our debt balances are generally unsecured, except for $30 million of the tax-exempt project bonds outstanding at December 31, 2010 that were issued by certain subsidiaries within our Wheelabrator Group. These bonds are secured by the related subsidiaries’ assets, which have a carrying value of $295 million, and the related subsidiaries’ future revenue.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Covenants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Our revolving credit facility and certain other financing agreements contain financial covenants. The most restrictive of these financial covenants are contained in our revolving credit facility. The following table summarizes the requirements of these financial covenants, as defined by the revolving credit facility:</w:t>
      </w:r>
    </w:p>
    <w:p>
      <w:pPr>
        <w:spacing w:after="0" w:line="69" w:lineRule="exact"/>
        <w:rPr>
          <w:sz w:val="20"/>
          <w:szCs w:val="20"/>
          <w:color w:val="auto"/>
        </w:rPr>
      </w:pPr>
    </w:p>
    <w:tbl>
      <w:tblPr>
        <w:tblLayout w:type="fixed"/>
        <w:tblInd w:w="1640" w:type="dxa"/>
        <w:tblCellMar>
          <w:top w:w="0" w:type="dxa"/>
          <w:left w:w="0" w:type="dxa"/>
          <w:bottom w:w="0" w:type="dxa"/>
          <w:right w:w="0" w:type="dxa"/>
        </w:tblCellMar>
      </w:tblPr>
      <w:tr>
        <w:trPr>
          <w:trHeight w:val="157"/>
        </w:trPr>
        <w:tc>
          <w:tcPr>
            <w:tcW w:w="4140" w:type="dxa"/>
            <w:vAlign w:val="bottom"/>
          </w:tcPr>
          <w:p>
            <w:pPr>
              <w:spacing w:after="0"/>
              <w:rPr>
                <w:sz w:val="20"/>
                <w:szCs w:val="20"/>
                <w:color w:val="auto"/>
              </w:rPr>
            </w:pPr>
            <w:r>
              <w:rPr>
                <w:rFonts w:ascii="Arial" w:cs="Arial" w:eastAsia="Arial" w:hAnsi="Arial"/>
                <w:sz w:val="13"/>
                <w:szCs w:val="13"/>
                <w:color w:val="auto"/>
              </w:rPr>
              <w:t>Interest coverage ratio</w:t>
            </w:r>
          </w:p>
        </w:tc>
        <w:tc>
          <w:tcPr>
            <w:tcW w:w="3560" w:type="dxa"/>
            <w:vAlign w:val="bottom"/>
          </w:tcPr>
          <w:p>
            <w:pPr>
              <w:jc w:val="right"/>
              <w:spacing w:after="0"/>
              <w:rPr>
                <w:sz w:val="20"/>
                <w:szCs w:val="20"/>
                <w:color w:val="auto"/>
              </w:rPr>
            </w:pPr>
            <w:r>
              <w:rPr>
                <w:rFonts w:ascii="Arial" w:cs="Arial" w:eastAsia="Arial" w:hAnsi="Arial"/>
                <w:sz w:val="13"/>
                <w:szCs w:val="13"/>
                <w:color w:val="auto"/>
              </w:rPr>
              <w:t>&gt; 2.75 to 1</w:t>
            </w:r>
          </w:p>
        </w:tc>
      </w:tr>
      <w:tr>
        <w:trPr>
          <w:trHeight w:val="165"/>
        </w:trPr>
        <w:tc>
          <w:tcPr>
            <w:tcW w:w="4140" w:type="dxa"/>
            <w:vAlign w:val="bottom"/>
          </w:tcPr>
          <w:p>
            <w:pPr>
              <w:spacing w:after="0"/>
              <w:rPr>
                <w:sz w:val="20"/>
                <w:szCs w:val="20"/>
                <w:color w:val="auto"/>
              </w:rPr>
            </w:pPr>
            <w:r>
              <w:rPr>
                <w:rFonts w:ascii="Arial" w:cs="Arial" w:eastAsia="Arial" w:hAnsi="Arial"/>
                <w:sz w:val="13"/>
                <w:szCs w:val="13"/>
                <w:color w:val="auto"/>
              </w:rPr>
              <w:t>Total debt to EBITDA</w:t>
            </w:r>
          </w:p>
        </w:tc>
        <w:tc>
          <w:tcPr>
            <w:tcW w:w="3560" w:type="dxa"/>
            <w:vAlign w:val="bottom"/>
          </w:tcPr>
          <w:p>
            <w:pPr>
              <w:jc w:val="right"/>
              <w:spacing w:after="0"/>
              <w:rPr>
                <w:sz w:val="20"/>
                <w:szCs w:val="20"/>
                <w:color w:val="auto"/>
              </w:rPr>
            </w:pPr>
            <w:r>
              <w:rPr>
                <w:rFonts w:ascii="Arial" w:cs="Arial" w:eastAsia="Arial" w:hAnsi="Arial"/>
                <w:sz w:val="13"/>
                <w:szCs w:val="13"/>
                <w:color w:val="auto"/>
              </w:rPr>
              <w:t>&lt; 3.5 to 1</w:t>
            </w:r>
          </w:p>
        </w:tc>
      </w:tr>
    </w:tbl>
    <w:p>
      <w:pPr>
        <w:spacing w:after="0" w:line="8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December 31, 2010 and December 31, 2009, we were in compliance with the covenants and restrictions under all of our debt agreements.</w:t>
      </w:r>
    </w:p>
    <w:p>
      <w:pPr>
        <w:spacing w:after="0" w:line="142" w:lineRule="exact"/>
        <w:rPr>
          <w:sz w:val="20"/>
          <w:szCs w:val="20"/>
          <w:color w:val="auto"/>
        </w:rPr>
      </w:pPr>
    </w:p>
    <w:p>
      <w:pPr>
        <w:ind w:left="1000" w:hanging="313"/>
        <w:spacing w:after="0"/>
        <w:tabs>
          <w:tab w:leader="none" w:pos="100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 and Hedging Activities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fair values of derivative instruments recorded in our Consolidated Balance Sheet as of December 31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740" w:type="dxa"/>
            <w:vAlign w:val="bottom"/>
            <w:vMerge w:val="restart"/>
          </w:tcPr>
          <w:p>
            <w:pPr>
              <w:spacing w:after="0"/>
              <w:rPr>
                <w:sz w:val="20"/>
                <w:szCs w:val="20"/>
                <w:color w:val="auto"/>
              </w:rPr>
            </w:pPr>
            <w:r>
              <w:rPr>
                <w:rFonts w:ascii="Arial" w:cs="Arial" w:eastAsia="Arial" w:hAnsi="Arial"/>
                <w:sz w:val="10"/>
                <w:szCs w:val="10"/>
                <w:b w:val="1"/>
                <w:bCs w:val="1"/>
                <w:color w:val="auto"/>
              </w:rPr>
              <w:t>Derivatives Designated as Hedging Instruments</w:t>
            </w:r>
          </w:p>
        </w:tc>
        <w:tc>
          <w:tcPr>
            <w:tcW w:w="200" w:type="dxa"/>
            <w:vAlign w:val="bottom"/>
          </w:tcPr>
          <w:p>
            <w:pPr>
              <w:spacing w:after="0"/>
              <w:rPr>
                <w:sz w:val="10"/>
                <w:szCs w:val="10"/>
                <w:color w:val="auto"/>
              </w:rPr>
            </w:pPr>
          </w:p>
        </w:tc>
        <w:tc>
          <w:tcPr>
            <w:tcW w:w="3060" w:type="dxa"/>
            <w:vAlign w:val="bottom"/>
            <w:gridSpan w:val="2"/>
            <w:vMerge w:val="restart"/>
          </w:tcPr>
          <w:p>
            <w:pPr>
              <w:ind w:left="860"/>
              <w:spacing w:after="0"/>
              <w:rPr>
                <w:sz w:val="20"/>
                <w:szCs w:val="20"/>
                <w:color w:val="auto"/>
              </w:rPr>
            </w:pPr>
            <w:r>
              <w:rPr>
                <w:rFonts w:ascii="Arial" w:cs="Arial" w:eastAsia="Arial" w:hAnsi="Arial"/>
                <w:sz w:val="10"/>
                <w:szCs w:val="10"/>
                <w:b w:val="1"/>
                <w:bCs w:val="1"/>
                <w:color w:val="auto"/>
              </w:rPr>
              <w:t>Balance Sheet Location</w:t>
            </w:r>
          </w:p>
        </w:tc>
        <w:tc>
          <w:tcPr>
            <w:tcW w:w="100" w:type="dxa"/>
            <w:vAlign w:val="bottom"/>
          </w:tcPr>
          <w:p>
            <w:pPr>
              <w:spacing w:after="0"/>
              <w:rPr>
                <w:sz w:val="10"/>
                <w:szCs w:val="10"/>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98"/>
        </w:trPr>
        <w:tc>
          <w:tcPr>
            <w:tcW w:w="5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2"/>
            <w:vMerge w:val="continue"/>
          </w:tcPr>
          <w:p>
            <w:pPr>
              <w:spacing w:after="0"/>
              <w:rPr>
                <w:sz w:val="8"/>
                <w:szCs w:val="8"/>
                <w:color w:val="auto"/>
              </w:rPr>
            </w:pPr>
          </w:p>
        </w:tc>
        <w:tc>
          <w:tcPr>
            <w:tcW w:w="24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7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7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shd w:val="clear" w:color="auto" w:fill="CCEEFF"/>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$ 13</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tcPr>
          <w:p>
            <w:pPr>
              <w:spacing w:after="0"/>
              <w:rPr>
                <w:sz w:val="13"/>
                <w:szCs w:val="13"/>
                <w:color w:val="auto"/>
              </w:rPr>
            </w:pPr>
          </w:p>
        </w:tc>
        <w:tc>
          <w:tcPr>
            <w:tcW w:w="3060" w:type="dxa"/>
            <w:vAlign w:val="bottom"/>
            <w:gridSpan w:val="2"/>
          </w:tcPr>
          <w:p>
            <w:pPr>
              <w:spacing w:after="0"/>
              <w:rPr>
                <w:sz w:val="20"/>
                <w:szCs w:val="20"/>
                <w:color w:val="auto"/>
              </w:rPr>
            </w:pPr>
            <w:r>
              <w:rPr>
                <w:rFonts w:ascii="Arial" w:cs="Arial" w:eastAsia="Arial" w:hAnsi="Arial"/>
                <w:sz w:val="13"/>
                <w:szCs w:val="13"/>
                <w:color w:val="auto"/>
              </w:rPr>
              <w:t>Long-term other assets</w:t>
            </w:r>
          </w:p>
        </w:tc>
        <w:tc>
          <w:tcPr>
            <w:tcW w:w="100" w:type="dxa"/>
            <w:vAlign w:val="bottom"/>
          </w:tcPr>
          <w:p>
            <w:pPr>
              <w:spacing w:after="0"/>
              <w:rPr>
                <w:sz w:val="13"/>
                <w:szCs w:val="13"/>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3"/>
                <w:szCs w:val="13"/>
                <w:color w:val="auto"/>
                <w:w w:val="82"/>
              </w:rPr>
              <w:t>37</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derivative assets</w:t>
            </w:r>
          </w:p>
        </w:tc>
        <w:tc>
          <w:tcPr>
            <w:tcW w:w="2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38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$ 45</w:t>
            </w:r>
          </w:p>
        </w:tc>
        <w:tc>
          <w:tcPr>
            <w:tcW w:w="0" w:type="dxa"/>
            <w:vAlign w:val="bottom"/>
          </w:tcPr>
          <w:p>
            <w:pPr>
              <w:spacing w:after="0"/>
              <w:rPr>
                <w:sz w:val="1"/>
                <w:szCs w:val="1"/>
                <w:color w:val="auto"/>
              </w:rPr>
            </w:pPr>
          </w:p>
        </w:tc>
      </w:tr>
      <w:tr>
        <w:trPr>
          <w:trHeight w:val="29"/>
        </w:trPr>
        <w:tc>
          <w:tcPr>
            <w:tcW w:w="5740" w:type="dxa"/>
            <w:vAlign w:val="bottom"/>
            <w:vMerge w:val="restart"/>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tcPr>
          <w:p>
            <w:pPr>
              <w:spacing w:after="0"/>
              <w:rPr>
                <w:sz w:val="2"/>
                <w:szCs w:val="2"/>
                <w:color w:val="auto"/>
              </w:rPr>
            </w:pPr>
          </w:p>
        </w:tc>
        <w:tc>
          <w:tcPr>
            <w:tcW w:w="3060" w:type="dxa"/>
            <w:vAlign w:val="bottom"/>
            <w:gridSpan w:val="2"/>
            <w:vMerge w:val="restart"/>
          </w:tcPr>
          <w:p>
            <w:pPr>
              <w:spacing w:after="0"/>
              <w:rPr>
                <w:sz w:val="20"/>
                <w:szCs w:val="20"/>
                <w:color w:val="auto"/>
              </w:rPr>
            </w:pPr>
            <w:r>
              <w:rPr>
                <w:rFonts w:ascii="Arial" w:cs="Arial" w:eastAsia="Arial" w:hAnsi="Arial"/>
                <w:sz w:val="13"/>
                <w:szCs w:val="13"/>
                <w:color w:val="auto"/>
              </w:rPr>
              <w:t>Current accrued liabilities</w:t>
            </w: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0"/>
              <w:spacing w:after="0"/>
              <w:rPr>
                <w:sz w:val="20"/>
                <w:szCs w:val="20"/>
                <w:color w:val="auto"/>
              </w:rPr>
            </w:pPr>
            <w:r>
              <w:rPr>
                <w:rFonts w:ascii="Arial" w:cs="Arial" w:eastAsia="Arial" w:hAnsi="Arial"/>
                <w:sz w:val="13"/>
                <w:szCs w:val="13"/>
                <w:color w:val="auto"/>
                <w:w w:val="82"/>
              </w:rPr>
              <w:t>11</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 —</w:t>
            </w:r>
          </w:p>
        </w:tc>
        <w:tc>
          <w:tcPr>
            <w:tcW w:w="0" w:type="dxa"/>
            <w:vAlign w:val="bottom"/>
          </w:tcPr>
          <w:p>
            <w:pPr>
              <w:spacing w:after="0"/>
              <w:rPr>
                <w:sz w:val="1"/>
                <w:szCs w:val="1"/>
                <w:color w:val="auto"/>
              </w:rPr>
            </w:pPr>
          </w:p>
        </w:tc>
      </w:tr>
      <w:tr>
        <w:trPr>
          <w:trHeight w:val="158"/>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contracts</w:t>
            </w:r>
          </w:p>
        </w:tc>
        <w:tc>
          <w:tcPr>
            <w:tcW w:w="200" w:type="dxa"/>
            <w:vAlign w:val="bottom"/>
            <w:shd w:val="clear" w:color="auto" w:fill="CCEEFF"/>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accrued liabilities</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Electricity commodity contracts</w:t>
            </w:r>
          </w:p>
        </w:tc>
        <w:tc>
          <w:tcPr>
            <w:tcW w:w="200" w:type="dxa"/>
            <w:vAlign w:val="bottom"/>
          </w:tcPr>
          <w:p>
            <w:pPr>
              <w:spacing w:after="0"/>
              <w:rPr>
                <w:sz w:val="13"/>
                <w:szCs w:val="13"/>
                <w:color w:val="auto"/>
              </w:rPr>
            </w:pPr>
          </w:p>
        </w:tc>
        <w:tc>
          <w:tcPr>
            <w:tcW w:w="3060" w:type="dxa"/>
            <w:vAlign w:val="bottom"/>
            <w:gridSpan w:val="2"/>
          </w:tcPr>
          <w:p>
            <w:pPr>
              <w:spacing w:after="0"/>
              <w:rPr>
                <w:sz w:val="20"/>
                <w:szCs w:val="20"/>
                <w:color w:val="auto"/>
              </w:rPr>
            </w:pPr>
            <w:r>
              <w:rPr>
                <w:rFonts w:ascii="Arial" w:cs="Arial" w:eastAsia="Arial" w:hAnsi="Arial"/>
                <w:sz w:val="13"/>
                <w:szCs w:val="13"/>
                <w:color w:val="auto"/>
              </w:rPr>
              <w:t>Current accrued liabilities</w:t>
            </w:r>
          </w:p>
        </w:tc>
        <w:tc>
          <w:tcPr>
            <w:tcW w:w="100" w:type="dxa"/>
            <w:vAlign w:val="bottom"/>
          </w:tcPr>
          <w:p>
            <w:pPr>
              <w:spacing w:after="0"/>
              <w:rPr>
                <w:sz w:val="13"/>
                <w:szCs w:val="13"/>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shd w:val="clear" w:color="auto" w:fill="CCEEFF"/>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accrued liabilities</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13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200" w:type="dxa"/>
            <w:vAlign w:val="bottom"/>
          </w:tcPr>
          <w:p>
            <w:pPr>
              <w:spacing w:after="0"/>
              <w:rPr>
                <w:sz w:val="13"/>
                <w:szCs w:val="13"/>
                <w:color w:val="auto"/>
              </w:rPr>
            </w:pPr>
          </w:p>
        </w:tc>
        <w:tc>
          <w:tcPr>
            <w:tcW w:w="3060" w:type="dxa"/>
            <w:vAlign w:val="bottom"/>
            <w:gridSpan w:val="2"/>
          </w:tcPr>
          <w:p>
            <w:pPr>
              <w:spacing w:after="0"/>
              <w:rPr>
                <w:sz w:val="20"/>
                <w:szCs w:val="20"/>
                <w:color w:val="auto"/>
              </w:rPr>
            </w:pPr>
            <w:r>
              <w:rPr>
                <w:rFonts w:ascii="Arial" w:cs="Arial" w:eastAsia="Arial" w:hAnsi="Arial"/>
                <w:sz w:val="13"/>
                <w:szCs w:val="13"/>
                <w:color w:val="auto"/>
              </w:rPr>
              <w:t>Long-term accrued liabilities</w:t>
            </w:r>
          </w:p>
        </w:tc>
        <w:tc>
          <w:tcPr>
            <w:tcW w:w="100" w:type="dxa"/>
            <w:vAlign w:val="bottom"/>
          </w:tcPr>
          <w:p>
            <w:pPr>
              <w:spacing w:after="0"/>
              <w:rPr>
                <w:sz w:val="13"/>
                <w:szCs w:val="13"/>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derivative liabilities</w:t>
            </w:r>
          </w:p>
        </w:tc>
        <w:tc>
          <w:tcPr>
            <w:tcW w:w="2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28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$ 18</w:t>
            </w:r>
          </w:p>
        </w:tc>
        <w:tc>
          <w:tcPr>
            <w:tcW w:w="0" w:type="dxa"/>
            <w:vAlign w:val="bottom"/>
          </w:tcPr>
          <w:p>
            <w:pPr>
              <w:spacing w:after="0"/>
              <w:rPr>
                <w:sz w:val="1"/>
                <w:szCs w:val="1"/>
                <w:color w:val="auto"/>
              </w:rPr>
            </w:pPr>
          </w:p>
        </w:tc>
      </w:tr>
      <w:tr>
        <w:trPr>
          <w:trHeight w:val="29"/>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information related to the methods used to measure our derivative assets and liabilities at fair value, refer to Note 18.</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Derivatives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Rate Swaps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use interest rate swaps to maintain a portion of our debt obligations at variable market interest rates. As of December 31, 2010, we had approximately $5.4 billion in fixed-rate senior notes outstanding. The interest payments on $500 million, or 9%, of these senior notes have been swapped to variable interest rates to protect the debt against changes in fair value due to changes in benchmark interest rates. As of December 31, 2009, we had approximately $5.4 billion in fixed-rate senior notes outstanding, of which $1.1 billion, or 20%, had been swapped to variable interest rates. The significant terms of our interest rate swap agreements as of December 31, 2010 and 2009 are summarized in the table below (in millions):</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440" w:type="dxa"/>
            <w:vAlign w:val="bottom"/>
            <w:vMerge w:val="restart"/>
          </w:tcPr>
          <w:p>
            <w:pPr>
              <w:ind w:left="1100"/>
              <w:spacing w:after="0"/>
              <w:rPr>
                <w:sz w:val="20"/>
                <w:szCs w:val="20"/>
                <w:color w:val="auto"/>
              </w:rPr>
            </w:pPr>
            <w:r>
              <w:rPr>
                <w:rFonts w:ascii="Arial" w:cs="Arial" w:eastAsia="Arial" w:hAnsi="Arial"/>
                <w:sz w:val="10"/>
                <w:szCs w:val="10"/>
                <w:b w:val="1"/>
                <w:bCs w:val="1"/>
                <w:color w:val="auto"/>
              </w:rPr>
              <w:t>As of</w:t>
            </w:r>
          </w:p>
        </w:tc>
        <w:tc>
          <w:tcPr>
            <w:tcW w:w="100" w:type="dxa"/>
            <w:vAlign w:val="bottom"/>
          </w:tcPr>
          <w:p>
            <w:pPr>
              <w:spacing w:after="0"/>
              <w:rPr>
                <w:sz w:val="10"/>
                <w:szCs w:val="10"/>
                <w:color w:val="auto"/>
              </w:rPr>
            </w:pPr>
          </w:p>
        </w:tc>
        <w:tc>
          <w:tcPr>
            <w:tcW w:w="660" w:type="dxa"/>
            <w:vAlign w:val="bottom"/>
            <w:gridSpan w:val="2"/>
          </w:tcPr>
          <w:p>
            <w:pPr>
              <w:ind w:left="140"/>
              <w:spacing w:after="0"/>
              <w:rPr>
                <w:sz w:val="20"/>
                <w:szCs w:val="20"/>
                <w:color w:val="auto"/>
              </w:rPr>
            </w:pPr>
            <w:r>
              <w:rPr>
                <w:rFonts w:ascii="Arial" w:cs="Arial" w:eastAsia="Arial" w:hAnsi="Arial"/>
                <w:sz w:val="10"/>
                <w:szCs w:val="10"/>
                <w:b w:val="1"/>
                <w:bCs w:val="1"/>
                <w:color w:val="auto"/>
              </w:rPr>
              <w:t>Notional</w:t>
            </w:r>
          </w:p>
        </w:tc>
        <w:tc>
          <w:tcPr>
            <w:tcW w:w="280" w:type="dxa"/>
            <w:vAlign w:val="bottom"/>
          </w:tcPr>
          <w:p>
            <w:pPr>
              <w:spacing w:after="0"/>
              <w:rPr>
                <w:sz w:val="10"/>
                <w:szCs w:val="10"/>
                <w:color w:val="auto"/>
              </w:rPr>
            </w:pPr>
          </w:p>
        </w:tc>
        <w:tc>
          <w:tcPr>
            <w:tcW w:w="19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Receive</w:t>
            </w:r>
          </w:p>
        </w:tc>
        <w:tc>
          <w:tcPr>
            <w:tcW w:w="280" w:type="dxa"/>
            <w:vAlign w:val="bottom"/>
          </w:tcPr>
          <w:p>
            <w:pPr>
              <w:spacing w:after="0"/>
              <w:rPr>
                <w:sz w:val="10"/>
                <w:szCs w:val="10"/>
                <w:color w:val="auto"/>
              </w:rPr>
            </w:pPr>
          </w:p>
        </w:tc>
        <w:tc>
          <w:tcPr>
            <w:tcW w:w="19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Pay</w:t>
            </w:r>
          </w:p>
        </w:tc>
        <w:tc>
          <w:tcPr>
            <w:tcW w:w="300" w:type="dxa"/>
            <w:vAlign w:val="bottom"/>
          </w:tcPr>
          <w:p>
            <w:pPr>
              <w:spacing w:after="0"/>
              <w:rPr>
                <w:sz w:val="10"/>
                <w:szCs w:val="10"/>
                <w:color w:val="auto"/>
              </w:rPr>
            </w:pPr>
          </w:p>
        </w:tc>
        <w:tc>
          <w:tcPr>
            <w:tcW w:w="19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Maturity Date</w:t>
            </w:r>
          </w:p>
        </w:tc>
        <w:tc>
          <w:tcPr>
            <w:tcW w:w="0" w:type="dxa"/>
            <w:vAlign w:val="bottom"/>
          </w:tcPr>
          <w:p>
            <w:pPr>
              <w:spacing w:after="0"/>
              <w:rPr>
                <w:sz w:val="1"/>
                <w:szCs w:val="1"/>
                <w:color w:val="auto"/>
              </w:rPr>
            </w:pPr>
          </w:p>
        </w:tc>
      </w:tr>
      <w:tr>
        <w:trPr>
          <w:trHeight w:val="125"/>
        </w:trPr>
        <w:tc>
          <w:tcPr>
            <w:tcW w:w="24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Amount</w:t>
            </w:r>
          </w:p>
        </w:tc>
        <w:tc>
          <w:tcPr>
            <w:tcW w:w="280" w:type="dxa"/>
            <w:vAlign w:val="bottom"/>
          </w:tcPr>
          <w:p>
            <w:pPr>
              <w:spacing w:after="0"/>
              <w:rPr>
                <w:sz w:val="10"/>
                <w:szCs w:val="10"/>
                <w:color w:val="auto"/>
              </w:rPr>
            </w:pPr>
          </w:p>
        </w:tc>
        <w:tc>
          <w:tcPr>
            <w:tcW w:w="198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98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440" w:type="dxa"/>
            <w:vAlign w:val="bottom"/>
            <w:shd w:val="clear" w:color="auto" w:fill="CCEEFF"/>
          </w:tcPr>
          <w:p>
            <w:pPr>
              <w:spacing w:after="0"/>
              <w:rPr>
                <w:sz w:val="20"/>
                <w:szCs w:val="20"/>
                <w:color w:val="auto"/>
              </w:rPr>
            </w:pPr>
            <w:r>
              <w:rPr>
                <w:rFonts w:ascii="Arial" w:cs="Arial" w:eastAsia="Arial" w:hAnsi="Arial"/>
                <w:sz w:val="12"/>
                <w:szCs w:val="12"/>
                <w:color w:val="auto"/>
              </w:rPr>
              <w:t>December 31, 2010</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500</w:t>
            </w:r>
          </w:p>
        </w:tc>
        <w:tc>
          <w:tcPr>
            <w:tcW w:w="28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Fixed 5.00%-7.65%</w:t>
            </w:r>
          </w:p>
        </w:tc>
        <w:tc>
          <w:tcPr>
            <w:tcW w:w="28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Floating 0.10%-4.69%</w:t>
            </w:r>
          </w:p>
        </w:tc>
        <w:tc>
          <w:tcPr>
            <w:tcW w:w="3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2"/>
                <w:szCs w:val="12"/>
                <w:color w:val="auto"/>
              </w:rPr>
              <w:t>Through March 15, 2018</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20"/>
                <w:szCs w:val="20"/>
                <w:color w:val="auto"/>
              </w:rPr>
            </w:pPr>
            <w:r>
              <w:rPr>
                <w:rFonts w:ascii="Arial" w:cs="Arial" w:eastAsia="Arial" w:hAnsi="Arial"/>
                <w:sz w:val="12"/>
                <w:szCs w:val="12"/>
                <w:color w:val="auto"/>
              </w:rPr>
              <w:t>December 31, 2009</w:t>
            </w:r>
          </w:p>
        </w:tc>
        <w:tc>
          <w:tcPr>
            <w:tcW w:w="300" w:type="dxa"/>
            <w:vAlign w:val="bottom"/>
            <w:gridSpan w:val="2"/>
          </w:tcPr>
          <w:p>
            <w:pPr>
              <w:ind w:left="240"/>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ind w:right="141"/>
              <w:spacing w:after="0"/>
              <w:rPr>
                <w:sz w:val="20"/>
                <w:szCs w:val="20"/>
                <w:color w:val="auto"/>
              </w:rPr>
            </w:pPr>
            <w:r>
              <w:rPr>
                <w:rFonts w:ascii="Arial" w:cs="Arial" w:eastAsia="Arial" w:hAnsi="Arial"/>
                <w:sz w:val="12"/>
                <w:szCs w:val="12"/>
                <w:color w:val="auto"/>
                <w:w w:val="79"/>
              </w:rPr>
              <w:t>1,100</w:t>
            </w:r>
          </w:p>
        </w:tc>
        <w:tc>
          <w:tcPr>
            <w:tcW w:w="28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Arial" w:cs="Arial" w:eastAsia="Arial" w:hAnsi="Arial"/>
                <w:sz w:val="12"/>
                <w:szCs w:val="12"/>
                <w:color w:val="auto"/>
                <w:w w:val="89"/>
              </w:rPr>
              <w:t>Fixed 5.00%-7.65%</w:t>
            </w:r>
          </w:p>
        </w:tc>
        <w:tc>
          <w:tcPr>
            <w:tcW w:w="28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Floating 0.05%-4.64%</w:t>
            </w:r>
          </w:p>
        </w:tc>
        <w:tc>
          <w:tcPr>
            <w:tcW w:w="300" w:type="dxa"/>
            <w:vAlign w:val="bottom"/>
          </w:tcPr>
          <w:p>
            <w:pPr>
              <w:spacing w:after="0"/>
              <w:rPr>
                <w:sz w:val="12"/>
                <w:szCs w:val="12"/>
                <w:color w:val="auto"/>
              </w:rPr>
            </w:pPr>
          </w:p>
        </w:tc>
        <w:tc>
          <w:tcPr>
            <w:tcW w:w="1960" w:type="dxa"/>
            <w:vAlign w:val="bottom"/>
          </w:tcPr>
          <w:p>
            <w:pPr>
              <w:spacing w:after="0"/>
              <w:rPr>
                <w:sz w:val="20"/>
                <w:szCs w:val="20"/>
                <w:color w:val="auto"/>
              </w:rPr>
            </w:pPr>
            <w:r>
              <w:rPr>
                <w:rFonts w:ascii="Arial" w:cs="Arial" w:eastAsia="Arial" w:hAnsi="Arial"/>
                <w:sz w:val="12"/>
                <w:szCs w:val="12"/>
                <w:color w:val="auto"/>
              </w:rPr>
              <w:t>Through March 15, 2018</w:t>
            </w: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decrease in the notional amount of our interest rate swaps from December 31, 2009 to December 31, 2010 was due to the scheduled maturity of interest rate swaps with a notional amount of $600 million in August 2010.</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designated our interest rate swaps as fair value hedges of our fixed-rate senior notes. Fair value hedge accounting for interest rate swap contracts increased the carrying value of debt instruments by $79 million as of December 31, 2010 and $91 million as of December 31, 2009. The following table summarizes the fair value adjustments from interest rate swap agreements at December 31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000" w:type="dxa"/>
            <w:vAlign w:val="bottom"/>
            <w:gridSpan w:val="2"/>
          </w:tcPr>
          <w:p>
            <w:pPr>
              <w:spacing w:after="0"/>
              <w:rPr>
                <w:sz w:val="20"/>
                <w:szCs w:val="20"/>
                <w:color w:val="auto"/>
              </w:rPr>
            </w:pPr>
            <w:r>
              <w:rPr>
                <w:rFonts w:ascii="Arial" w:cs="Arial" w:eastAsia="Arial" w:hAnsi="Arial"/>
                <w:sz w:val="10"/>
                <w:szCs w:val="10"/>
                <w:b w:val="1"/>
                <w:bCs w:val="1"/>
                <w:color w:val="auto"/>
              </w:rPr>
              <w:t>Increase in Carrying Value of Debt Due to Hedge</w:t>
            </w:r>
          </w:p>
        </w:tc>
        <w:tc>
          <w:tcPr>
            <w:tcW w:w="980" w:type="dxa"/>
            <w:vAlign w:val="bottom"/>
            <w:gridSpan w:val="4"/>
          </w:tcPr>
          <w:p>
            <w:pPr>
              <w:jc w:val="right"/>
              <w:ind w:right="240"/>
              <w:spacing w:after="0"/>
              <w:rPr>
                <w:sz w:val="20"/>
                <w:szCs w:val="20"/>
                <w:color w:val="auto"/>
              </w:rPr>
            </w:pPr>
            <w:r>
              <w:rPr>
                <w:rFonts w:ascii="Arial" w:cs="Arial" w:eastAsia="Arial" w:hAnsi="Arial"/>
                <w:sz w:val="10"/>
                <w:szCs w:val="10"/>
                <w:b w:val="1"/>
                <w:bCs w:val="1"/>
                <w:color w:val="auto"/>
              </w:rPr>
              <w:t>December 31,</w:t>
            </w:r>
          </w:p>
        </w:tc>
      </w:tr>
      <w:tr>
        <w:trPr>
          <w:trHeight w:val="98"/>
        </w:trPr>
        <w:tc>
          <w:tcPr>
            <w:tcW w:w="900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Accounting for Interest Rate Swaps</w:t>
            </w: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r>
      <w:tr>
        <w:trPr>
          <w:trHeight w:val="29"/>
        </w:trPr>
        <w:tc>
          <w:tcPr>
            <w:tcW w:w="8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Senior notes:</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Active swap agreements</w:t>
            </w:r>
          </w:p>
        </w:tc>
        <w:tc>
          <w:tcPr>
            <w:tcW w:w="240" w:type="dxa"/>
            <w:vAlign w:val="bottom"/>
          </w:tcPr>
          <w:p>
            <w:pPr>
              <w:jc w:val="right"/>
              <w:spacing w:after="0"/>
              <w:rPr>
                <w:sz w:val="20"/>
                <w:szCs w:val="20"/>
                <w:color w:val="auto"/>
              </w:rPr>
            </w:pPr>
            <w:r>
              <w:rPr>
                <w:rFonts w:ascii="Arial" w:cs="Arial" w:eastAsia="Arial" w:hAnsi="Arial"/>
                <w:sz w:val="13"/>
                <w:szCs w:val="13"/>
                <w:color w:val="auto"/>
                <w:w w:val="86"/>
              </w:rPr>
              <w:t>$ 38</w:t>
            </w:r>
          </w:p>
        </w:tc>
        <w:tc>
          <w:tcPr>
            <w:tcW w:w="40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$ 32</w:t>
            </w: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Terminated swap agreements</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4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w:t>
            </w:r>
          </w:p>
        </w:tc>
      </w:tr>
      <w:tr>
        <w:trPr>
          <w:trHeight w:val="20"/>
        </w:trPr>
        <w:tc>
          <w:tcPr>
            <w:tcW w:w="8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6"/>
              </w:rPr>
              <w:t>$ 79</w:t>
            </w:r>
          </w:p>
        </w:tc>
        <w:tc>
          <w:tcPr>
            <w:tcW w:w="40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$ 91</w:t>
            </w:r>
          </w:p>
        </w:tc>
      </w:tr>
      <w:tr>
        <w:trPr>
          <w:trHeight w:val="30"/>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following table summarizes the impact of changes in the fair value of our interest rate swaps and the underlying hedged items on our results of operations (in millions):</w:t>
      </w:r>
    </w:p>
    <w:p>
      <w:pPr>
        <w:spacing w:after="0" w:line="27" w:lineRule="exact"/>
        <w:rPr>
          <w:sz w:val="20"/>
          <w:szCs w:val="20"/>
          <w:color w:val="auto"/>
        </w:rPr>
      </w:pPr>
    </w:p>
    <w:tbl>
      <w:tblPr>
        <w:tblLayout w:type="fixed"/>
        <w:tblInd w:w="2480" w:type="dxa"/>
        <w:tblCellMar>
          <w:top w:w="0" w:type="dxa"/>
          <w:left w:w="0" w:type="dxa"/>
          <w:bottom w:w="0" w:type="dxa"/>
          <w:right w:w="0" w:type="dxa"/>
        </w:tblCellMar>
      </w:tblPr>
      <w:tr>
        <w:trPr>
          <w:trHeight w:val="115"/>
        </w:trPr>
        <w:tc>
          <w:tcPr>
            <w:tcW w:w="1180" w:type="dxa"/>
            <w:vAlign w:val="bottom"/>
          </w:tcPr>
          <w:p>
            <w:pPr>
              <w:spacing w:after="0"/>
              <w:rPr>
                <w:sz w:val="20"/>
                <w:szCs w:val="20"/>
                <w:color w:val="auto"/>
              </w:rPr>
            </w:pPr>
            <w:r>
              <w:rPr>
                <w:rFonts w:ascii="Arial" w:cs="Arial" w:eastAsia="Arial" w:hAnsi="Arial"/>
                <w:sz w:val="10"/>
                <w:szCs w:val="10"/>
                <w:b w:val="1"/>
                <w:bCs w:val="1"/>
                <w:color w:val="auto"/>
              </w:rPr>
              <w:t>Years Ended</w:t>
            </w:r>
          </w:p>
        </w:tc>
        <w:tc>
          <w:tcPr>
            <w:tcW w:w="280" w:type="dxa"/>
            <w:vAlign w:val="bottom"/>
          </w:tcPr>
          <w:p>
            <w:pPr>
              <w:spacing w:after="0"/>
              <w:rPr>
                <w:sz w:val="10"/>
                <w:szCs w:val="10"/>
                <w:color w:val="auto"/>
              </w:rPr>
            </w:pPr>
          </w:p>
        </w:tc>
        <w:tc>
          <w:tcPr>
            <w:tcW w:w="2200" w:type="dxa"/>
            <w:vAlign w:val="bottom"/>
          </w:tcPr>
          <w:p>
            <w:pPr>
              <w:jc w:val="center"/>
              <w:spacing w:after="0"/>
              <w:rPr>
                <w:sz w:val="20"/>
                <w:szCs w:val="20"/>
                <w:color w:val="auto"/>
              </w:rPr>
            </w:pPr>
            <w:r>
              <w:rPr>
                <w:rFonts w:ascii="Arial" w:cs="Arial" w:eastAsia="Arial" w:hAnsi="Arial"/>
                <w:sz w:val="10"/>
                <w:szCs w:val="10"/>
                <w:b w:val="1"/>
                <w:bCs w:val="1"/>
                <w:color w:val="auto"/>
                <w:w w:val="94"/>
              </w:rPr>
              <w:t>Statement of Operations</w:t>
            </w:r>
          </w:p>
        </w:tc>
        <w:tc>
          <w:tcPr>
            <w:tcW w:w="300" w:type="dxa"/>
            <w:vAlign w:val="bottom"/>
          </w:tcPr>
          <w:p>
            <w:pPr>
              <w:spacing w:after="0"/>
              <w:rPr>
                <w:sz w:val="10"/>
                <w:szCs w:val="10"/>
                <w:color w:val="auto"/>
              </w:rPr>
            </w:pPr>
          </w:p>
        </w:tc>
        <w:tc>
          <w:tcPr>
            <w:tcW w:w="980" w:type="dxa"/>
            <w:vAlign w:val="bottom"/>
            <w:gridSpan w:val="2"/>
          </w:tcPr>
          <w:p>
            <w:pPr>
              <w:jc w:val="right"/>
              <w:ind w:right="94"/>
              <w:spacing w:after="0"/>
              <w:rPr>
                <w:sz w:val="20"/>
                <w:szCs w:val="20"/>
                <w:color w:val="auto"/>
              </w:rPr>
            </w:pPr>
            <w:r>
              <w:rPr>
                <w:rFonts w:ascii="Arial" w:cs="Arial" w:eastAsia="Arial" w:hAnsi="Arial"/>
                <w:sz w:val="10"/>
                <w:szCs w:val="10"/>
                <w:b w:val="1"/>
                <w:bCs w:val="1"/>
                <w:color w:val="auto"/>
              </w:rPr>
              <w:t>Gain (Loss) on</w:t>
            </w:r>
          </w:p>
        </w:tc>
        <w:tc>
          <w:tcPr>
            <w:tcW w:w="300" w:type="dxa"/>
            <w:vAlign w:val="bottom"/>
          </w:tcPr>
          <w:p>
            <w:pPr>
              <w:spacing w:after="0"/>
              <w:rPr>
                <w:sz w:val="10"/>
                <w:szCs w:val="10"/>
                <w:color w:val="auto"/>
              </w:rPr>
            </w:pPr>
          </w:p>
        </w:tc>
        <w:tc>
          <w:tcPr>
            <w:tcW w:w="1140" w:type="dxa"/>
            <w:vAlign w:val="bottom"/>
            <w:gridSpan w:val="2"/>
          </w:tcPr>
          <w:p>
            <w:pPr>
              <w:jc w:val="right"/>
              <w:ind w:right="174"/>
              <w:spacing w:after="0"/>
              <w:rPr>
                <w:sz w:val="20"/>
                <w:szCs w:val="20"/>
                <w:color w:val="auto"/>
              </w:rPr>
            </w:pPr>
            <w:r>
              <w:rPr>
                <w:rFonts w:ascii="Arial" w:cs="Arial" w:eastAsia="Arial" w:hAnsi="Arial"/>
                <w:sz w:val="10"/>
                <w:szCs w:val="10"/>
                <w:b w:val="1"/>
                <w:bCs w:val="1"/>
                <w:color w:val="auto"/>
              </w:rPr>
              <w:t>Gain (Loss) on</w:t>
            </w:r>
          </w:p>
        </w:tc>
      </w:tr>
      <w:tr>
        <w:trPr>
          <w:trHeight w:val="125"/>
        </w:trPr>
        <w:tc>
          <w:tcPr>
            <w:tcW w:w="11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10"/>
                <w:szCs w:val="1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Classification</w:t>
            </w:r>
          </w:p>
        </w:tc>
        <w:tc>
          <w:tcPr>
            <w:tcW w:w="300" w:type="dxa"/>
            <w:vAlign w:val="bottom"/>
          </w:tcPr>
          <w:p>
            <w:pPr>
              <w:spacing w:after="0"/>
              <w:rPr>
                <w:sz w:val="10"/>
                <w:szCs w:val="10"/>
                <w:color w:val="auto"/>
              </w:rPr>
            </w:pPr>
          </w:p>
        </w:tc>
        <w:tc>
          <w:tcPr>
            <w:tcW w:w="980" w:type="dxa"/>
            <w:vAlign w:val="bottom"/>
            <w:tcBorders>
              <w:bottom w:val="single" w:sz="8" w:color="auto"/>
            </w:tcBorders>
            <w:gridSpan w:val="2"/>
          </w:tcPr>
          <w:p>
            <w:pPr>
              <w:jc w:val="right"/>
              <w:ind w:right="294"/>
              <w:spacing w:after="0"/>
              <w:rPr>
                <w:sz w:val="20"/>
                <w:szCs w:val="20"/>
                <w:color w:val="auto"/>
              </w:rPr>
            </w:pPr>
            <w:r>
              <w:rPr>
                <w:rFonts w:ascii="Arial" w:cs="Arial" w:eastAsia="Arial" w:hAnsi="Arial"/>
                <w:sz w:val="10"/>
                <w:szCs w:val="10"/>
                <w:b w:val="1"/>
                <w:bCs w:val="1"/>
                <w:color w:val="auto"/>
              </w:rPr>
              <w:t>Swap</w:t>
            </w:r>
          </w:p>
        </w:tc>
        <w:tc>
          <w:tcPr>
            <w:tcW w:w="300" w:type="dxa"/>
            <w:vAlign w:val="bottom"/>
          </w:tcPr>
          <w:p>
            <w:pPr>
              <w:spacing w:after="0"/>
              <w:rPr>
                <w:sz w:val="10"/>
                <w:szCs w:val="10"/>
                <w:color w:val="auto"/>
              </w:rPr>
            </w:pPr>
          </w:p>
        </w:tc>
        <w:tc>
          <w:tcPr>
            <w:tcW w:w="114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0"/>
                <w:szCs w:val="10"/>
                <w:b w:val="1"/>
                <w:bCs w:val="1"/>
                <w:color w:val="auto"/>
              </w:rPr>
              <w:t>Fixed-Rate Debt</w:t>
            </w:r>
          </w:p>
        </w:tc>
      </w:tr>
      <w:tr>
        <w:trPr>
          <w:trHeight w:val="29"/>
        </w:trPr>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1180" w:type="dxa"/>
            <w:vAlign w:val="bottom"/>
            <w:shd w:val="clear" w:color="auto" w:fill="CCEEFF"/>
          </w:tcPr>
          <w:p>
            <w:pPr>
              <w:jc w:val="right"/>
              <w:ind w:right="400"/>
              <w:spacing w:after="0"/>
              <w:rPr>
                <w:sz w:val="20"/>
                <w:szCs w:val="20"/>
                <w:color w:val="auto"/>
              </w:rPr>
            </w:pPr>
            <w:r>
              <w:rPr>
                <w:rFonts w:ascii="Arial" w:cs="Arial" w:eastAsia="Arial" w:hAnsi="Arial"/>
                <w:sz w:val="13"/>
                <w:szCs w:val="13"/>
                <w:color w:val="auto"/>
              </w:rPr>
              <w:t>2010</w:t>
            </w:r>
          </w:p>
        </w:tc>
        <w:tc>
          <w:tcPr>
            <w:tcW w:w="2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Interest expense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(6)</w:t>
            </w:r>
          </w:p>
        </w:tc>
      </w:tr>
      <w:tr>
        <w:trPr>
          <w:trHeight w:val="157"/>
        </w:trPr>
        <w:tc>
          <w:tcPr>
            <w:tcW w:w="1180" w:type="dxa"/>
            <w:vAlign w:val="bottom"/>
          </w:tcPr>
          <w:p>
            <w:pPr>
              <w:jc w:val="right"/>
              <w:ind w:right="400"/>
              <w:spacing w:after="0"/>
              <w:rPr>
                <w:sz w:val="20"/>
                <w:szCs w:val="20"/>
                <w:color w:val="auto"/>
              </w:rPr>
            </w:pPr>
            <w:r>
              <w:rPr>
                <w:rFonts w:ascii="Arial" w:cs="Arial" w:eastAsia="Arial" w:hAnsi="Arial"/>
                <w:sz w:val="13"/>
                <w:szCs w:val="13"/>
                <w:color w:val="auto"/>
              </w:rPr>
              <w:t>2009</w:t>
            </w:r>
          </w:p>
        </w:tc>
        <w:tc>
          <w:tcPr>
            <w:tcW w:w="28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3"/>
                <w:szCs w:val="13"/>
                <w:color w:val="auto"/>
                <w:w w:val="89"/>
              </w:rPr>
              <w:t>Interest expense</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274"/>
              <w:spacing w:after="0"/>
              <w:rPr>
                <w:sz w:val="20"/>
                <w:szCs w:val="20"/>
                <w:color w:val="auto"/>
              </w:rPr>
            </w:pPr>
            <w:r>
              <w:rPr>
                <w:rFonts w:ascii="Arial" w:cs="Arial" w:eastAsia="Arial" w:hAnsi="Arial"/>
                <w:sz w:val="13"/>
                <w:szCs w:val="13"/>
                <w:color w:val="auto"/>
                <w:w w:val="94"/>
              </w:rPr>
              <w:t>(60)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4"/>
              <w:spacing w:after="0"/>
              <w:rPr>
                <w:sz w:val="20"/>
                <w:szCs w:val="20"/>
                <w:color w:val="auto"/>
              </w:rPr>
            </w:pPr>
            <w:r>
              <w:rPr>
                <w:rFonts w:ascii="Arial" w:cs="Arial" w:eastAsia="Arial" w:hAnsi="Arial"/>
                <w:sz w:val="13"/>
                <w:szCs w:val="13"/>
                <w:color w:val="auto"/>
              </w:rPr>
              <w:t>60</w:t>
            </w:r>
          </w:p>
        </w:tc>
      </w:tr>
      <w:tr>
        <w:trPr>
          <w:trHeight w:val="157"/>
        </w:trPr>
        <w:tc>
          <w:tcPr>
            <w:tcW w:w="1180" w:type="dxa"/>
            <w:vAlign w:val="bottom"/>
            <w:shd w:val="clear" w:color="auto" w:fill="CCEEFF"/>
          </w:tcPr>
          <w:p>
            <w:pPr>
              <w:jc w:val="right"/>
              <w:ind w:right="400"/>
              <w:spacing w:after="0"/>
              <w:rPr>
                <w:sz w:val="20"/>
                <w:szCs w:val="20"/>
                <w:color w:val="auto"/>
              </w:rPr>
            </w:pPr>
            <w:r>
              <w:rPr>
                <w:rFonts w:ascii="Arial" w:cs="Arial" w:eastAsia="Arial" w:hAnsi="Arial"/>
                <w:sz w:val="13"/>
                <w:szCs w:val="13"/>
                <w:color w:val="auto"/>
              </w:rPr>
              <w:t>2008</w:t>
            </w:r>
          </w:p>
        </w:tc>
        <w:tc>
          <w:tcPr>
            <w:tcW w:w="2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Interest expense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w w:val="73"/>
              </w:rPr>
              <w:t>120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w w:val="85"/>
              </w:rPr>
              <w:t>(120)</w:t>
            </w:r>
          </w:p>
        </w:tc>
      </w:tr>
    </w:tbl>
    <w:p>
      <w:pPr>
        <w:spacing w:after="0" w:line="8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also recognize the impacts of (i) net periodic settlements of current interest on our active interest rate swaps and (ii) the amortization of previously terminated interest rate swap agreements as adjustments to interest expense.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following table summarizes the impact of periodic settlements of active swap agreements and the impact of terminated swap agreements on our results of operations (in millions):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60" w:type="dxa"/>
            <w:vAlign w:val="bottom"/>
            <w:gridSpan w:val="3"/>
          </w:tcPr>
          <w:p>
            <w:pPr>
              <w:spacing w:after="0"/>
              <w:rPr>
                <w:sz w:val="20"/>
                <w:szCs w:val="20"/>
                <w:color w:val="auto"/>
              </w:rPr>
            </w:pPr>
            <w:r>
              <w:rPr>
                <w:rFonts w:ascii="Arial" w:cs="Arial" w:eastAsia="Arial" w:hAnsi="Arial"/>
                <w:sz w:val="10"/>
                <w:szCs w:val="10"/>
                <w:b w:val="1"/>
                <w:bCs w:val="1"/>
                <w:color w:val="auto"/>
              </w:rPr>
              <w:t>Decrease to Interest Expense Due to Hedge</w:t>
            </w:r>
          </w:p>
        </w:tc>
        <w:tc>
          <w:tcPr>
            <w:tcW w:w="1380" w:type="dxa"/>
            <w:vAlign w:val="bottom"/>
            <w:tcBorders>
              <w:bottom w:val="single" w:sz="8" w:color="auto"/>
            </w:tcBorders>
            <w:gridSpan w:val="5"/>
          </w:tcPr>
          <w:p>
            <w:pPr>
              <w:jc w:val="center"/>
              <w:ind w:left="80"/>
              <w:spacing w:after="0"/>
              <w:rPr>
                <w:sz w:val="20"/>
                <w:szCs w:val="20"/>
                <w:color w:val="auto"/>
              </w:rPr>
            </w:pPr>
            <w:r>
              <w:rPr>
                <w:rFonts w:ascii="Arial" w:cs="Arial" w:eastAsia="Arial" w:hAnsi="Arial"/>
                <w:sz w:val="10"/>
                <w:szCs w:val="10"/>
                <w:b w:val="1"/>
                <w:bCs w:val="1"/>
                <w:color w:val="auto"/>
                <w:w w:val="93"/>
              </w:rPr>
              <w:t>Years Ended December 31,</w:t>
            </w:r>
          </w:p>
        </w:tc>
        <w:tc>
          <w:tcPr>
            <w:tcW w:w="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360" w:type="dxa"/>
            <w:vAlign w:val="bottom"/>
            <w:gridSpan w:val="3"/>
          </w:tcPr>
          <w:p>
            <w:pPr>
              <w:spacing w:after="0" w:line="98" w:lineRule="exact"/>
              <w:rPr>
                <w:sz w:val="20"/>
                <w:szCs w:val="20"/>
                <w:color w:val="auto"/>
              </w:rPr>
            </w:pPr>
            <w:r>
              <w:rPr>
                <w:rFonts w:ascii="Arial" w:cs="Arial" w:eastAsia="Arial" w:hAnsi="Arial"/>
                <w:sz w:val="10"/>
                <w:szCs w:val="10"/>
                <w:b w:val="1"/>
                <w:bCs w:val="1"/>
                <w:color w:val="auto"/>
              </w:rPr>
              <w:t>Accounting for Interest Rate Swaps</w:t>
            </w:r>
          </w:p>
        </w:tc>
        <w:tc>
          <w:tcPr>
            <w:tcW w:w="240" w:type="dxa"/>
            <w:vAlign w:val="bottom"/>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24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68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Periodic settlements of active swap agreements(a)</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$ 29</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$ 46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r>
      <w:tr>
        <w:trPr>
          <w:trHeight w:val="157"/>
        </w:trPr>
        <w:tc>
          <w:tcPr>
            <w:tcW w:w="8360" w:type="dxa"/>
            <w:vAlign w:val="bottom"/>
            <w:gridSpan w:val="3"/>
          </w:tcPr>
          <w:p>
            <w:pPr>
              <w:spacing w:after="0"/>
              <w:rPr>
                <w:sz w:val="20"/>
                <w:szCs w:val="20"/>
                <w:color w:val="auto"/>
              </w:rPr>
            </w:pPr>
            <w:r>
              <w:rPr>
                <w:rFonts w:ascii="Arial" w:cs="Arial" w:eastAsia="Arial" w:hAnsi="Arial"/>
                <w:sz w:val="13"/>
                <w:szCs w:val="13"/>
                <w:color w:val="auto"/>
              </w:rPr>
              <w:t>Terminated swap agreements(b)</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42</w:t>
            </w:r>
          </w:p>
        </w:tc>
      </w:tr>
      <w:tr>
        <w:trPr>
          <w:trHeight w:val="20"/>
        </w:trPr>
        <w:tc>
          <w:tcPr>
            <w:tcW w:w="13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6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$ 47</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$ 65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50</w:t>
            </w:r>
          </w:p>
        </w:tc>
      </w:tr>
      <w:tr>
        <w:trPr>
          <w:trHeight w:val="108"/>
        </w:trPr>
        <w:tc>
          <w:tcPr>
            <w:tcW w:w="1300" w:type="dxa"/>
            <w:vAlign w:val="bottom"/>
            <w:tcBorders>
              <w:bottom w:val="single" w:sz="8" w:color="auto"/>
            </w:tcBorders>
          </w:tcPr>
          <w:p>
            <w:pPr>
              <w:spacing w:after="0"/>
              <w:rPr>
                <w:sz w:val="9"/>
                <w:szCs w:val="9"/>
                <w:color w:val="auto"/>
              </w:rPr>
            </w:pPr>
          </w:p>
        </w:tc>
        <w:tc>
          <w:tcPr>
            <w:tcW w:w="6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80" w:right="200" w:hanging="393"/>
        <w:spacing w:after="0" w:line="264" w:lineRule="auto"/>
        <w:tabs>
          <w:tab w:leader="none" w:pos="10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These amounts represent the net of our periodic variable-rate interest obligations and the swap counterparties’ fixed-rate interest obligations. The significant decline in the benefit from active swaps when comparing 2010 with 2009 is due to a decrease in the notional amount of swaps outstanding, offset, in part, by a decline in three-month LIBOR rates. The increase in the benefit from active swaps from 2008 to 2009 is due to a significant decline in three-month LIBOR rates.</w:t>
      </w:r>
    </w:p>
    <w:p>
      <w:pPr>
        <w:spacing w:after="0" w:line="17" w:lineRule="exact"/>
        <w:rPr>
          <w:rFonts w:ascii="Arial" w:cs="Arial" w:eastAsia="Arial" w:hAnsi="Arial"/>
          <w:sz w:val="13"/>
          <w:szCs w:val="13"/>
          <w:color w:val="auto"/>
        </w:rPr>
      </w:pPr>
    </w:p>
    <w:p>
      <w:pPr>
        <w:ind w:left="1080" w:right="220" w:hanging="393"/>
        <w:spacing w:after="0" w:line="264" w:lineRule="auto"/>
        <w:tabs>
          <w:tab w:leader="none" w:pos="10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 2008, this amount included a $10 million net reduction in interest expense associated with the early retirement of $244 million of 8.75% senior notes. At December 31, 2010, $12 million (on a pre-tax basis) of the carrying value of debt associated with terminated swap agreements is scheduled to be reclassified as a reduction to interest expense over the next twelve months.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Treasury Rate Locks</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During the third quarter of 2009, we entered into Treasury rate locks with a total notional amount of $200 million to hedge the risk of changes in semi-annual interest payments for a portion of the senior notes that the Company planned to issue in June 2010. The Treasury rate locks were terminated in the second quarter of 2010 contemporaneously with the actual issuance of senior notes, and we paid cash of $7 million upon settlement. In 2009, we recognized pre-tax and after-tax gains of $4 million and $2 million, respectively, to other comprehensive income for changes in the fair value of these Treasury rate locks. In 2010, we recognized pre-tax and after-tax losses of $11 million and $7 million, respectively, to other comprehensive income for changes in the fair value of these Treasury rate locks. There was no significant ineffectiveness associated with these hedges during 2009 or 2010.</w:t>
      </w:r>
    </w:p>
    <w:p>
      <w:pPr>
        <w:spacing w:after="0" w:line="55"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At December 31, 2010 and 2009, our “Accumulated other comprehensive income” included $16 million and $14 million, respectively, of deferred losses, net of taxes associated with the Treasury rate locks mentioned above and with Treasury rate locks that had been executed in previous years in anticipation of senior note issuances. These deferred losses are reclassified to interest expense over the life of the related senior note issuances, which extend through 2032. Pre-tax amounts of $8 million, $9 million and $6 million were reclassified out of accumulated other comprehensive income and into interest expense in 2010, 2009 and 2008, respectively. As of December 31, 2010, $7 million (on a pre-tax basis) is scheduled to be reclassified into interest expense over the next twelve months.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Forward-Starting Interest Rate Swaps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currently expects to issue fixed-rate debt in March 2011, November 2012 and March 2014 and has executed forward-starting interest rate swaps for these anticipated debt issuances with notional amounts of $150 million, $200 million and $175 million, respectively. We entered into the forward-starting interest rate swaps during the fourth quarter of 2009 to hedge the risk of changes in the anticipated semi-annual interest payments due to fluctuations in the forward ten-year LIBOR swap rate. Each of the forward-starting swaps has an effective date of the anticipated date of debt issuance and a tenor of ten years.</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have designated our forward-starting interest rate swaps as cash flow hedges. As of December 31, 2010, the fair value of these interest rate derivatives is comprised of $11 million of current liabilities and $13 million of long-term liabilities. We recognized pre-tax and after-tax losses of $33 million and $20 million, respectively, to other comprehensive income for changes in the fair value of our forward-starting interest rate swaps during the year ended December 31, 2010. There was no ineffectiveness associated with these hedges during the year ended December 31,</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2010. The reclassification of deferred losses into earnings will begin when related forecasted senior note issuances occur and will continue over the life of the related senior note issuances, which are expected to extend through 2024.</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of December 31, 2009, the fair value of these interest rate derivatives was comprised of $9 million of long-term assets. We recognized pre-tax and after-tax gains of $9 million and $5 million, respectively, to other comprehensive income for changes in the fair value of our forward-starting interest rate swaps during the year ended December 31, 2009. There was no ineffectiveness associated with these hedges during the year ended December 31,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Credit-Risk Features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Certain of our interest rate derivative instruments contain provisions related to the Company’s credit rating. If the Company’s credit rating were to fall to specified levels below investment grade, the counterparties have the ability to terminate the derivative agreements, resulting in immediate settlement of all affected transactions. As of December 31, 2010, we had not experienced any credit events that would trigger these provisions. The net liabilities of our derivative instruments with credit-risk-related features were immaterial as of December 31, 2010.</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Exchange Derivatives</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use foreign currency exchange rate derivatives to hedge our exposure to changes in exchange rates for anticipated intercompany cash transactions between WM Holdings and its Canadian subsidiaries. We had foreign currency forward contracts outstanding as of December 31, 2010 and 2009 for anticipated cash flows associated with outstanding debt arrangements with these wholly-owned subsidiaries.</w:t>
      </w:r>
    </w:p>
    <w:p>
      <w:pPr>
        <w:spacing w:after="0" w:line="67"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As of December 31, 2009, the hedged cash flows included C$370 million of principal payments and C$22 million of interest payments scheduled for December 31, 2010. The intercompany note and related forward contracts matured as scheduled in December 2010 and we paid cash of $37 million to settle the forward contracts.</w:t>
      </w:r>
    </w:p>
    <w:p>
      <w:pPr>
        <w:spacing w:after="0" w:line="35"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In December 2010, we also executed a new C$370 million intercompany debt arrangement and entered into new forward contracts for the related principal and interest cash flows. The total notional value of the forward contracts is C$401 million. Scheduled interest payments are as follows: C$10 million on November 30, 2011, C$11 million on November 30, 2012 and C$10 million on October 31, 2013. The principal is scheduled to be repaid on October 31, 2013. We designated these forward contracts as cash flow hedges.</w:t>
      </w:r>
    </w:p>
    <w:p>
      <w:pPr>
        <w:spacing w:after="0" w:line="50"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Gains or losses on the underlying hedged items attributable to foreign currency exchange risk are recognized in current earnings. We include gains and losses on our foreign currency forward contracts as adjustments to other income and expense, which is the same financial statement line item where offsetting gains and losses on the related hedged items are recorded. The following table summarizes the pre-tax impacts of our foreign currency cash flow derivatives on our results of operations and comprehensive income (in millions):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0"/>
                <w:szCs w:val="10"/>
                <w:b w:val="1"/>
                <w:bCs w:val="1"/>
                <w:color w:val="auto"/>
                <w:w w:val="97"/>
              </w:rPr>
              <w:t>Amount of Gain or</w:t>
            </w:r>
          </w:p>
        </w:tc>
        <w:tc>
          <w:tcPr>
            <w:tcW w:w="10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0"/>
                <w:szCs w:val="10"/>
                <w:b w:val="1"/>
                <w:bCs w:val="1"/>
                <w:color w:val="auto"/>
                <w:w w:val="97"/>
              </w:rPr>
              <w:t>Amount of Gain or</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(Loss) Recognized</w:t>
            </w:r>
          </w:p>
        </w:tc>
        <w:tc>
          <w:tcPr>
            <w:tcW w:w="1060" w:type="dxa"/>
            <w:vAlign w:val="bottom"/>
          </w:tcPr>
          <w:p>
            <w:pPr>
              <w:spacing w:after="0"/>
              <w:rPr>
                <w:sz w:val="9"/>
                <w:szCs w:val="9"/>
                <w:color w:val="auto"/>
              </w:rPr>
            </w:pPr>
          </w:p>
        </w:tc>
        <w:tc>
          <w:tcPr>
            <w:tcW w:w="23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Statement of</w:t>
            </w:r>
          </w:p>
        </w:tc>
        <w:tc>
          <w:tcPr>
            <w:tcW w:w="106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Reclassified</w:t>
            </w:r>
          </w:p>
        </w:tc>
        <w:tc>
          <w:tcPr>
            <w:tcW w:w="0" w:type="dxa"/>
            <w:vAlign w:val="bottom"/>
          </w:tcPr>
          <w:p>
            <w:pPr>
              <w:spacing w:after="0"/>
              <w:rPr>
                <w:sz w:val="1"/>
                <w:szCs w:val="1"/>
                <w:color w:val="auto"/>
              </w:rPr>
            </w:pPr>
          </w:p>
        </w:tc>
      </w:tr>
      <w:tr>
        <w:trPr>
          <w:trHeight w:val="108"/>
        </w:trPr>
        <w:tc>
          <w:tcPr>
            <w:tcW w:w="14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Years Ended</w:t>
            </w:r>
          </w:p>
        </w:tc>
        <w:tc>
          <w:tcPr>
            <w:tcW w:w="104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in OCI on</w:t>
            </w:r>
          </w:p>
        </w:tc>
        <w:tc>
          <w:tcPr>
            <w:tcW w:w="10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from AOCI into</w:t>
            </w:r>
          </w:p>
        </w:tc>
        <w:tc>
          <w:tcPr>
            <w:tcW w:w="0" w:type="dxa"/>
            <w:vAlign w:val="bottom"/>
          </w:tcPr>
          <w:p>
            <w:pPr>
              <w:spacing w:after="0"/>
              <w:rPr>
                <w:sz w:val="1"/>
                <w:szCs w:val="1"/>
                <w:color w:val="auto"/>
              </w:rPr>
            </w:pPr>
          </w:p>
        </w:tc>
      </w:tr>
      <w:tr>
        <w:trPr>
          <w:trHeight w:val="108"/>
        </w:trPr>
        <w:tc>
          <w:tcPr>
            <w:tcW w:w="14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Derivatives</w:t>
            </w:r>
          </w:p>
        </w:tc>
        <w:tc>
          <w:tcPr>
            <w:tcW w:w="1060" w:type="dxa"/>
            <w:vAlign w:val="bottom"/>
          </w:tcPr>
          <w:p>
            <w:pPr>
              <w:spacing w:after="0"/>
              <w:rPr>
                <w:sz w:val="9"/>
                <w:szCs w:val="9"/>
                <w:color w:val="auto"/>
              </w:rPr>
            </w:pPr>
          </w:p>
        </w:tc>
        <w:tc>
          <w:tcPr>
            <w:tcW w:w="23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Operations</w:t>
            </w:r>
          </w:p>
        </w:tc>
        <w:tc>
          <w:tcPr>
            <w:tcW w:w="106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25"/>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December 31,</w:t>
            </w:r>
          </w:p>
        </w:tc>
        <w:tc>
          <w:tcPr>
            <w:tcW w:w="1040" w:type="dxa"/>
            <w:vAlign w:val="bottom"/>
          </w:tcPr>
          <w:p>
            <w:pPr>
              <w:spacing w:after="0"/>
              <w:rPr>
                <w:sz w:val="10"/>
                <w:szCs w:val="1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1060" w:type="dxa"/>
            <w:vAlign w:val="bottom"/>
          </w:tcPr>
          <w:p>
            <w:pPr>
              <w:spacing w:after="0"/>
              <w:rPr>
                <w:sz w:val="10"/>
                <w:szCs w:val="10"/>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1060" w:type="dxa"/>
            <w:vAlign w:val="bottom"/>
          </w:tcPr>
          <w:p>
            <w:pPr>
              <w:spacing w:after="0"/>
              <w:rPr>
                <w:sz w:val="10"/>
                <w:szCs w:val="1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2010</w:t>
            </w:r>
          </w:p>
        </w:tc>
        <w:tc>
          <w:tcPr>
            <w:tcW w:w="258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$(22)</w:t>
            </w:r>
          </w:p>
        </w:tc>
        <w:tc>
          <w:tcPr>
            <w:tcW w:w="10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2600" w:type="dxa"/>
            <w:vAlign w:val="bottom"/>
            <w:gridSpan w:val="2"/>
            <w:shd w:val="clear" w:color="auto" w:fill="CCEEFF"/>
          </w:tcPr>
          <w:p>
            <w:pPr>
              <w:ind w:left="168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142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2580" w:type="dxa"/>
            <w:vAlign w:val="bottom"/>
            <w:gridSpan w:val="2"/>
          </w:tcPr>
          <w:p>
            <w:pPr>
              <w:ind w:left="1660"/>
              <w:spacing w:after="0"/>
              <w:rPr>
                <w:sz w:val="20"/>
                <w:szCs w:val="20"/>
                <w:color w:val="auto"/>
              </w:rPr>
            </w:pPr>
            <w:r>
              <w:rPr>
                <w:rFonts w:ascii="Arial" w:cs="Arial" w:eastAsia="Arial" w:hAnsi="Arial"/>
                <w:sz w:val="13"/>
                <w:szCs w:val="13"/>
                <w:color w:val="auto"/>
              </w:rPr>
              <w:t>$(47)</w:t>
            </w:r>
          </w:p>
        </w:tc>
        <w:tc>
          <w:tcPr>
            <w:tcW w:w="1060" w:type="dxa"/>
            <w:vAlign w:val="bottom"/>
          </w:tcPr>
          <w:p>
            <w:pPr>
              <w:spacing w:after="0"/>
              <w:rPr>
                <w:sz w:val="13"/>
                <w:szCs w:val="13"/>
                <w:color w:val="auto"/>
              </w:rPr>
            </w:pPr>
          </w:p>
        </w:tc>
        <w:tc>
          <w:tcPr>
            <w:tcW w:w="2320" w:type="dxa"/>
            <w:vAlign w:val="bottom"/>
          </w:tcPr>
          <w:p>
            <w:pPr>
              <w:spacing w:after="0"/>
              <w:rPr>
                <w:sz w:val="20"/>
                <w:szCs w:val="20"/>
                <w:color w:val="auto"/>
              </w:rPr>
            </w:pPr>
            <w:r>
              <w:rPr>
                <w:rFonts w:ascii="Arial" w:cs="Arial" w:eastAsia="Arial" w:hAnsi="Arial"/>
                <w:sz w:val="13"/>
                <w:szCs w:val="13"/>
                <w:color w:val="auto"/>
              </w:rPr>
              <w:t>Other income (expense)</w:t>
            </w:r>
          </w:p>
        </w:tc>
        <w:tc>
          <w:tcPr>
            <w:tcW w:w="2600" w:type="dxa"/>
            <w:vAlign w:val="bottom"/>
            <w:gridSpan w:val="2"/>
          </w:tcPr>
          <w:p>
            <w:pPr>
              <w:ind w:left="168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2008</w:t>
            </w:r>
          </w:p>
        </w:tc>
        <w:tc>
          <w:tcPr>
            <w:tcW w:w="258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$ 65</w:t>
            </w:r>
          </w:p>
        </w:tc>
        <w:tc>
          <w:tcPr>
            <w:tcW w:w="10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2600" w:type="dxa"/>
            <w:vAlign w:val="bottom"/>
            <w:gridSpan w:val="2"/>
            <w:shd w:val="clear" w:color="auto" w:fill="CCEEFF"/>
          </w:tcPr>
          <w:p>
            <w:pPr>
              <w:ind w:left="1680"/>
              <w:spacing w:after="0"/>
              <w:rPr>
                <w:sz w:val="20"/>
                <w:szCs w:val="20"/>
                <w:color w:val="auto"/>
              </w:rPr>
            </w:pPr>
            <w:r>
              <w:rPr>
                <w:rFonts w:ascii="Arial" w:cs="Arial" w:eastAsia="Arial" w:hAnsi="Arial"/>
                <w:sz w:val="13"/>
                <w:szCs w:val="13"/>
                <w:color w:val="auto"/>
              </w:rPr>
              <w:t>$ 72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00" w:firstLine="399"/>
        <w:spacing w:after="0" w:line="305" w:lineRule="auto"/>
        <w:rPr>
          <w:sz w:val="20"/>
          <w:szCs w:val="20"/>
          <w:color w:val="auto"/>
        </w:rPr>
      </w:pPr>
      <w:r>
        <w:rPr>
          <w:rFonts w:ascii="Arial" w:cs="Arial" w:eastAsia="Arial" w:hAnsi="Arial"/>
          <w:sz w:val="11"/>
          <w:szCs w:val="11"/>
          <w:color w:val="auto"/>
        </w:rPr>
        <w:t>Amounts reported in other comprehensive income and accumulated other comprehensive income are reported net of tax. Adjustments to other comprehensive income for changes in the fair value of our foreign currency cash flow hedges resulted in the recognition of an after tax-loss of $14 million during the year ended December 31, 2010; an after-tax loss of</w:t>
      </w:r>
    </w:p>
    <w:p>
      <w:pPr>
        <w:spacing w:after="0" w:line="1"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$28 million during the year ended December 31, 2009; and an after-tax gain of $40 million during the year ended December 31, 2008. Adjustments for the reclassification of gains or (losses) from accumulated other comprehensive income into income were $(11) million during the year ended December 31, 2010; $(28) million during the year ended December 31, 2009; $44 million during the year ended December 31,</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0"/>
        <w:spacing w:after="0" w:line="276" w:lineRule="auto"/>
        <w:rPr>
          <w:sz w:val="20"/>
          <w:szCs w:val="20"/>
          <w:color w:val="auto"/>
        </w:rPr>
      </w:pPr>
      <w:r>
        <w:rPr>
          <w:rFonts w:ascii="Arial" w:cs="Arial" w:eastAsia="Arial" w:hAnsi="Arial"/>
          <w:sz w:val="13"/>
          <w:szCs w:val="13"/>
          <w:color w:val="auto"/>
        </w:rPr>
        <w:t>2008. Ineffectiveness has been included in other income and expense during each of the reported periods. There was no significant ineffectiveness associated with these hedges during the years ended December 31, 2010, 2009 or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Electricity Commodity Derivatives</w:t>
      </w:r>
    </w:p>
    <w:p>
      <w:pPr>
        <w:spacing w:after="0" w:line="96" w:lineRule="exact"/>
        <w:rPr>
          <w:sz w:val="20"/>
          <w:szCs w:val="20"/>
          <w:color w:val="auto"/>
        </w:rPr>
      </w:pPr>
    </w:p>
    <w:p>
      <w:pPr>
        <w:ind w:left="680" w:right="840" w:firstLine="399"/>
        <w:spacing w:after="0" w:line="258" w:lineRule="auto"/>
        <w:rPr>
          <w:sz w:val="20"/>
          <w:szCs w:val="20"/>
          <w:color w:val="auto"/>
        </w:rPr>
      </w:pPr>
      <w:r>
        <w:rPr>
          <w:rFonts w:ascii="Arial" w:cs="Arial" w:eastAsia="Arial" w:hAnsi="Arial"/>
          <w:sz w:val="13"/>
          <w:szCs w:val="13"/>
          <w:color w:val="auto"/>
        </w:rPr>
        <w:t>As a result of the expiration of certain long-term, above-market electricity contracts at our waste-to-energy facilities, we use short-term “receive fixed, pay variable” electricity commodity swaps to mitigate the variability in our revenues and cash flows caused by fluctuations in the market prices for electricity. The swaps executed in 2010 hedged 672,360 megawatt hours, or approximately 26%, of our Wheelabrator Group’s 2010 merchant electricity sales and are expected to hedge about 1 million megawatt hours, or 33%, of the Group’s 2011 merchant electricity sales. There was no significant ineffectiveness associated with these cash flow hedges during 2010. All financial statement impacts associated with these derivatives were immaterial for the year ended December 31, 2010.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7740" w:type="dxa"/>
            <w:vAlign w:val="bottom"/>
          </w:tcPr>
          <w:p>
            <w:pPr>
              <w:ind w:left="200"/>
              <w:spacing w:after="0"/>
              <w:rPr>
                <w:sz w:val="20"/>
                <w:szCs w:val="20"/>
                <w:color w:val="auto"/>
              </w:rPr>
            </w:pPr>
            <w:r>
              <w:rPr>
                <w:rFonts w:ascii="Arial" w:cs="Arial" w:eastAsia="Arial" w:hAnsi="Arial"/>
                <w:sz w:val="13"/>
                <w:szCs w:val="13"/>
                <w:b w:val="1"/>
                <w:bCs w:val="1"/>
                <w:color w:val="auto"/>
              </w:rPr>
              <w:t>Income Taxes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Provision for Income Taxes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tcPr>
          <w:p>
            <w:pPr>
              <w:ind w:left="280"/>
              <w:spacing w:after="0"/>
              <w:rPr>
                <w:sz w:val="20"/>
                <w:szCs w:val="20"/>
                <w:color w:val="auto"/>
              </w:rPr>
            </w:pPr>
            <w:r>
              <w:rPr>
                <w:rFonts w:ascii="Arial" w:cs="Arial" w:eastAsia="Arial" w:hAnsi="Arial"/>
                <w:sz w:val="13"/>
                <w:szCs w:val="13"/>
                <w:color w:val="auto"/>
              </w:rPr>
              <w:t>Our “Provision for income taxes” consisted of the following (in millions):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w w:val="93"/>
              </w:rPr>
              <w:t>Years Ended December 31,</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gridSpan w:val="2"/>
          </w:tcPr>
          <w:p>
            <w:pPr>
              <w:jc w:val="right"/>
              <w:ind w:right="8"/>
              <w:spacing w:after="0" w:line="98" w:lineRule="exact"/>
              <w:rPr>
                <w:sz w:val="20"/>
                <w:szCs w:val="20"/>
                <w:color w:val="auto"/>
              </w:rPr>
            </w:pPr>
            <w:r>
              <w:rPr>
                <w:rFonts w:ascii="Arial" w:cs="Arial" w:eastAsia="Arial" w:hAnsi="Arial"/>
                <w:sz w:val="10"/>
                <w:szCs w:val="10"/>
                <w:b w:val="1"/>
                <w:bCs w:val="1"/>
                <w:color w:val="auto"/>
              </w:rPr>
              <w:t>2010</w:t>
            </w:r>
          </w:p>
        </w:tc>
        <w:tc>
          <w:tcPr>
            <w:tcW w:w="340" w:type="dxa"/>
            <w:vAlign w:val="bottom"/>
          </w:tcPr>
          <w:p>
            <w:pPr>
              <w:spacing w:after="0"/>
              <w:rPr>
                <w:sz w:val="8"/>
                <w:szCs w:val="8"/>
                <w:color w:val="auto"/>
              </w:rPr>
            </w:pPr>
          </w:p>
        </w:tc>
        <w:tc>
          <w:tcPr>
            <w:tcW w:w="40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740" w:type="dxa"/>
            <w:vAlign w:val="bottom"/>
          </w:tcPr>
          <w:p>
            <w:pPr>
              <w:ind w:left="20"/>
              <w:spacing w:after="0"/>
              <w:rPr>
                <w:sz w:val="20"/>
                <w:szCs w:val="20"/>
                <w:color w:val="auto"/>
              </w:rPr>
            </w:pPr>
            <w:r>
              <w:rPr>
                <w:rFonts w:ascii="Arial" w:cs="Arial" w:eastAsia="Arial" w:hAnsi="Arial"/>
                <w:sz w:val="13"/>
                <w:szCs w:val="13"/>
                <w:color w:val="auto"/>
              </w:rPr>
              <w:t>Federal</w:t>
            </w:r>
          </w:p>
        </w:tc>
        <w:tc>
          <w:tcPr>
            <w:tcW w:w="800" w:type="dxa"/>
            <w:vAlign w:val="bottom"/>
            <w:gridSpan w:val="4"/>
          </w:tcPr>
          <w:p>
            <w:pPr>
              <w:jc w:val="right"/>
              <w:ind w:right="288"/>
              <w:spacing w:after="0"/>
              <w:rPr>
                <w:sz w:val="20"/>
                <w:szCs w:val="20"/>
                <w:color w:val="auto"/>
              </w:rPr>
            </w:pPr>
            <w:r>
              <w:rPr>
                <w:rFonts w:ascii="Arial" w:cs="Arial" w:eastAsia="Arial" w:hAnsi="Arial"/>
                <w:sz w:val="13"/>
                <w:szCs w:val="13"/>
                <w:color w:val="auto"/>
              </w:rPr>
              <w:t>$ 354</w:t>
            </w:r>
          </w:p>
        </w:tc>
        <w:tc>
          <w:tcPr>
            <w:tcW w:w="820" w:type="dxa"/>
            <w:vAlign w:val="bottom"/>
            <w:gridSpan w:val="3"/>
          </w:tcPr>
          <w:p>
            <w:pPr>
              <w:jc w:val="right"/>
              <w:ind w:right="380"/>
              <w:spacing w:after="0"/>
              <w:rPr>
                <w:sz w:val="20"/>
                <w:szCs w:val="20"/>
                <w:color w:val="auto"/>
              </w:rPr>
            </w:pPr>
            <w:r>
              <w:rPr>
                <w:rFonts w:ascii="Arial" w:cs="Arial" w:eastAsia="Arial" w:hAnsi="Arial"/>
                <w:sz w:val="13"/>
                <w:szCs w:val="13"/>
                <w:color w:val="auto"/>
              </w:rPr>
              <w:t>$ 407</w:t>
            </w:r>
          </w:p>
        </w:tc>
        <w:tc>
          <w:tcPr>
            <w:tcW w:w="8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w w:val="92"/>
              </w:rPr>
              <w:t>$ 436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w:t>
            </w:r>
          </w:p>
        </w:tc>
        <w:tc>
          <w:tcPr>
            <w:tcW w:w="800" w:type="dxa"/>
            <w:vAlign w:val="bottom"/>
            <w:gridSpan w:val="4"/>
            <w:shd w:val="clear" w:color="auto" w:fill="CCEEFF"/>
          </w:tcPr>
          <w:p>
            <w:pPr>
              <w:jc w:val="right"/>
              <w:ind w:right="288"/>
              <w:spacing w:after="0"/>
              <w:rPr>
                <w:sz w:val="20"/>
                <w:szCs w:val="20"/>
                <w:color w:val="auto"/>
              </w:rPr>
            </w:pPr>
            <w:r>
              <w:rPr>
                <w:rFonts w:ascii="Arial" w:cs="Arial" w:eastAsia="Arial" w:hAnsi="Arial"/>
                <w:sz w:val="13"/>
                <w:szCs w:val="13"/>
                <w:color w:val="auto"/>
              </w:rPr>
              <w:t>99</w:t>
            </w: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740" w:type="dxa"/>
            <w:vAlign w:val="bottom"/>
          </w:tcPr>
          <w:p>
            <w:pPr>
              <w:ind w:left="20"/>
              <w:spacing w:after="0"/>
              <w:rPr>
                <w:sz w:val="20"/>
                <w:szCs w:val="20"/>
                <w:color w:val="auto"/>
              </w:rPr>
            </w:pPr>
            <w:r>
              <w:rPr>
                <w:rFonts w:ascii="Arial" w:cs="Arial" w:eastAsia="Arial" w:hAnsi="Arial"/>
                <w:sz w:val="13"/>
                <w:szCs w:val="13"/>
                <w:color w:val="auto"/>
              </w:rPr>
              <w:t>Foreign</w:t>
            </w:r>
          </w:p>
        </w:tc>
        <w:tc>
          <w:tcPr>
            <w:tcW w:w="14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475</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507</w:t>
            </w: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519</w:t>
            </w:r>
          </w:p>
        </w:tc>
        <w:tc>
          <w:tcPr>
            <w:tcW w:w="800" w:type="dxa"/>
            <w:vAlign w:val="bottom"/>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7860" w:type="dxa"/>
            <w:vAlign w:val="bottom"/>
            <w:gridSpan w:val="2"/>
          </w:tcPr>
          <w:p>
            <w:pPr>
              <w:spacing w:after="0"/>
              <w:rPr>
                <w:sz w:val="20"/>
                <w:szCs w:val="20"/>
                <w:color w:val="auto"/>
              </w:rPr>
            </w:pPr>
            <w:r>
              <w:rPr>
                <w:rFonts w:ascii="Arial" w:cs="Arial" w:eastAsia="Arial" w:hAnsi="Arial"/>
                <w:sz w:val="13"/>
                <w:szCs w:val="13"/>
                <w:color w:val="auto"/>
              </w:rPr>
              <w:t>Deferred:</w:t>
            </w: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w:t>
            </w:r>
          </w:p>
        </w:tc>
        <w:tc>
          <w:tcPr>
            <w:tcW w:w="800" w:type="dxa"/>
            <w:vAlign w:val="bottom"/>
            <w:gridSpan w:val="4"/>
            <w:shd w:val="clear" w:color="auto" w:fill="CCEEFF"/>
          </w:tcPr>
          <w:p>
            <w:pPr>
              <w:jc w:val="right"/>
              <w:ind w:right="288"/>
              <w:spacing w:after="0"/>
              <w:rPr>
                <w:sz w:val="20"/>
                <w:szCs w:val="20"/>
                <w:color w:val="auto"/>
              </w:rPr>
            </w:pPr>
            <w:r>
              <w:rPr>
                <w:rFonts w:ascii="Arial" w:cs="Arial" w:eastAsia="Arial" w:hAnsi="Arial"/>
                <w:sz w:val="13"/>
                <w:szCs w:val="13"/>
                <w:color w:val="auto"/>
              </w:rPr>
              <w:t>85</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740" w:type="dxa"/>
            <w:vAlign w:val="bottom"/>
          </w:tcPr>
          <w:p>
            <w:pPr>
              <w:ind w:left="20"/>
              <w:spacing w:after="0"/>
              <w:rPr>
                <w:sz w:val="20"/>
                <w:szCs w:val="20"/>
                <w:color w:val="auto"/>
              </w:rPr>
            </w:pPr>
            <w:r>
              <w:rPr>
                <w:rFonts w:ascii="Arial" w:cs="Arial" w:eastAsia="Arial" w:hAnsi="Arial"/>
                <w:sz w:val="13"/>
                <w:szCs w:val="13"/>
                <w:color w:val="auto"/>
              </w:rPr>
              <w:t>State</w:t>
            </w:r>
          </w:p>
        </w:tc>
        <w:tc>
          <w:tcPr>
            <w:tcW w:w="800" w:type="dxa"/>
            <w:vAlign w:val="bottom"/>
            <w:gridSpan w:val="4"/>
          </w:tcPr>
          <w:p>
            <w:pPr>
              <w:jc w:val="right"/>
              <w:ind w:right="288"/>
              <w:spacing w:after="0"/>
              <w:rPr>
                <w:sz w:val="20"/>
                <w:szCs w:val="20"/>
                <w:color w:val="auto"/>
              </w:rPr>
            </w:pPr>
            <w:r>
              <w:rPr>
                <w:rFonts w:ascii="Arial" w:cs="Arial" w:eastAsia="Arial" w:hAnsi="Arial"/>
                <w:sz w:val="13"/>
                <w:szCs w:val="13"/>
                <w:color w:val="auto"/>
              </w:rPr>
              <w:t>64</w:t>
            </w:r>
          </w:p>
        </w:tc>
        <w:tc>
          <w:tcPr>
            <w:tcW w:w="820" w:type="dxa"/>
            <w:vAlign w:val="bottom"/>
            <w:gridSpan w:val="3"/>
          </w:tcPr>
          <w:p>
            <w:pPr>
              <w:jc w:val="right"/>
              <w:ind w:right="340"/>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w:t>
            </w:r>
          </w:p>
        </w:tc>
        <w:tc>
          <w:tcPr>
            <w:tcW w:w="1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154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150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800" w:type="dxa"/>
            <w:vAlign w:val="bottom"/>
            <w:gridSpan w:val="4"/>
            <w:shd w:val="clear" w:color="auto" w:fill="CCEEFF"/>
          </w:tcPr>
          <w:p>
            <w:pPr>
              <w:jc w:val="right"/>
              <w:ind w:right="288"/>
              <w:spacing w:after="0"/>
              <w:rPr>
                <w:sz w:val="20"/>
                <w:szCs w:val="20"/>
                <w:color w:val="auto"/>
              </w:rPr>
            </w:pPr>
            <w:r>
              <w:rPr>
                <w:rFonts w:ascii="Arial" w:cs="Arial" w:eastAsia="Arial" w:hAnsi="Arial"/>
                <w:sz w:val="13"/>
                <w:szCs w:val="13"/>
                <w:color w:val="auto"/>
              </w:rPr>
              <w:t>$ 629</w:t>
            </w: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$ 413</w:t>
            </w:r>
          </w:p>
        </w:tc>
        <w:tc>
          <w:tcPr>
            <w:tcW w:w="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2"/>
              </w:rPr>
              <w:t>$ 669</w:t>
            </w:r>
          </w:p>
        </w:tc>
        <w:tc>
          <w:tcPr>
            <w:tcW w:w="800" w:type="dxa"/>
            <w:vAlign w:val="bottom"/>
          </w:tcPr>
          <w:p>
            <w:pPr>
              <w:spacing w:after="0"/>
              <w:rPr>
                <w:sz w:val="14"/>
                <w:szCs w:val="14"/>
                <w:color w:val="auto"/>
              </w:rPr>
            </w:pPr>
          </w:p>
        </w:tc>
      </w:tr>
      <w:tr>
        <w:trPr>
          <w:trHeight w:val="254"/>
        </w:trPr>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740" w:type="dxa"/>
            <w:vAlign w:val="bottom"/>
          </w:tcPr>
          <w:p>
            <w:pPr>
              <w:ind w:left="280"/>
              <w:spacing w:after="0"/>
              <w:rPr>
                <w:sz w:val="20"/>
                <w:szCs w:val="20"/>
                <w:color w:val="auto"/>
              </w:rPr>
            </w:pPr>
            <w:r>
              <w:rPr>
                <w:rFonts w:ascii="Arial" w:cs="Arial" w:eastAsia="Arial" w:hAnsi="Arial"/>
                <w:sz w:val="13"/>
                <w:szCs w:val="13"/>
                <w:color w:val="auto"/>
              </w:rPr>
              <w:t>The U.S. federal statutory income tax rate is reconciled to the effective rate as follows:</w:t>
            </w: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8"/>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w w:val="99"/>
              </w:rPr>
              <w:t>Years Ended December 31,</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400" w:type="dxa"/>
            <w:vAlign w:val="bottom"/>
            <w:tcBorders>
              <w:bottom w:val="single" w:sz="8" w:color="auto"/>
            </w:tcBorders>
            <w:gridSpan w:val="2"/>
          </w:tcPr>
          <w:p>
            <w:pPr>
              <w:jc w:val="right"/>
              <w:ind w:right="37"/>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gridSpan w:val="2"/>
          </w:tcPr>
          <w:p>
            <w:pPr>
              <w:jc w:val="right"/>
              <w:ind w:right="34"/>
              <w:spacing w:after="0" w:line="98" w:lineRule="exact"/>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jc w:val="right"/>
              <w:ind w:right="14"/>
              <w:spacing w:after="0" w:line="98" w:lineRule="exact"/>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expense at U.S. federal statutory rate</w:t>
            </w:r>
          </w:p>
        </w:tc>
        <w:tc>
          <w:tcPr>
            <w:tcW w:w="800" w:type="dxa"/>
            <w:vAlign w:val="bottom"/>
            <w:gridSpan w:val="4"/>
            <w:shd w:val="clear" w:color="auto" w:fill="CCEEFF"/>
          </w:tcPr>
          <w:p>
            <w:pPr>
              <w:jc w:val="right"/>
              <w:ind w:right="248"/>
              <w:spacing w:after="0"/>
              <w:rPr>
                <w:sz w:val="20"/>
                <w:szCs w:val="20"/>
                <w:color w:val="auto"/>
              </w:rPr>
            </w:pPr>
            <w:r>
              <w:rPr>
                <w:rFonts w:ascii="Arial" w:cs="Arial" w:eastAsia="Arial" w:hAnsi="Arial"/>
                <w:sz w:val="13"/>
                <w:szCs w:val="13"/>
                <w:color w:val="auto"/>
              </w:rPr>
              <w:t>35.00%</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35.00%</w:t>
            </w: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0"/>
              </w:rPr>
              <w:t>35.00%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60" w:type="dxa"/>
            <w:vAlign w:val="bottom"/>
            <w:gridSpan w:val="2"/>
          </w:tcPr>
          <w:p>
            <w:pPr>
              <w:spacing w:after="0"/>
              <w:rPr>
                <w:sz w:val="20"/>
                <w:szCs w:val="20"/>
                <w:color w:val="auto"/>
              </w:rPr>
            </w:pPr>
            <w:r>
              <w:rPr>
                <w:rFonts w:ascii="Arial" w:cs="Arial" w:eastAsia="Arial" w:hAnsi="Arial"/>
                <w:sz w:val="13"/>
                <w:szCs w:val="13"/>
                <w:color w:val="auto"/>
              </w:rPr>
              <w:t>State and local income taxes, net of federal income tax benefit</w:t>
            </w:r>
          </w:p>
        </w:tc>
        <w:tc>
          <w:tcPr>
            <w:tcW w:w="460" w:type="dxa"/>
            <w:vAlign w:val="bottom"/>
            <w:gridSpan w:val="3"/>
          </w:tcPr>
          <w:p>
            <w:pPr>
              <w:jc w:val="right"/>
              <w:ind w:right="8"/>
              <w:spacing w:after="0"/>
              <w:rPr>
                <w:sz w:val="20"/>
                <w:szCs w:val="20"/>
                <w:color w:val="auto"/>
              </w:rPr>
            </w:pPr>
            <w:r>
              <w:rPr>
                <w:rFonts w:ascii="Arial" w:cs="Arial" w:eastAsia="Arial" w:hAnsi="Arial"/>
                <w:sz w:val="13"/>
                <w:szCs w:val="13"/>
                <w:color w:val="auto"/>
              </w:rPr>
              <w:t>4.50</w:t>
            </w:r>
          </w:p>
        </w:tc>
        <w:tc>
          <w:tcPr>
            <w:tcW w:w="3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3.75</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3.63</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Miscellaneous federal tax credits</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34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9"/>
              </w:rPr>
              <w:t>(0.60)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60" w:type="dxa"/>
            <w:vAlign w:val="bottom"/>
            <w:gridSpan w:val="2"/>
          </w:tcPr>
          <w:p>
            <w:pPr>
              <w:spacing w:after="0"/>
              <w:rPr>
                <w:sz w:val="20"/>
                <w:szCs w:val="20"/>
                <w:color w:val="auto"/>
              </w:rPr>
            </w:pPr>
            <w:r>
              <w:rPr>
                <w:rFonts w:ascii="Arial" w:cs="Arial" w:eastAsia="Arial" w:hAnsi="Arial"/>
                <w:sz w:val="13"/>
                <w:szCs w:val="13"/>
                <w:color w:val="auto"/>
              </w:rPr>
              <w:t>Noncontrolling interests</w:t>
            </w: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(1.05)</w:t>
            </w:r>
          </w:p>
        </w:tc>
        <w:tc>
          <w:tcPr>
            <w:tcW w:w="340" w:type="dxa"/>
            <w:vAlign w:val="bottom"/>
          </w:tcPr>
          <w:p>
            <w:pPr>
              <w:spacing w:after="0"/>
              <w:rPr>
                <w:sz w:val="13"/>
                <w:szCs w:val="13"/>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3"/>
                <w:szCs w:val="13"/>
                <w:color w:val="auto"/>
              </w:rPr>
              <w:t>(1.56)</w:t>
            </w:r>
          </w:p>
        </w:tc>
        <w:tc>
          <w:tcPr>
            <w:tcW w:w="80" w:type="dxa"/>
            <w:vAlign w:val="bottom"/>
          </w:tcPr>
          <w:p>
            <w:pPr>
              <w:spacing w:after="0"/>
              <w:rPr>
                <w:sz w:val="13"/>
                <w:szCs w:val="13"/>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w w:val="99"/>
              </w:rPr>
              <w:t>(0.80)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Taxing authority audit settlements and other tax adjustments</w:t>
            </w: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0.54</w:t>
            </w:r>
          </w:p>
        </w:tc>
        <w:tc>
          <w:tcPr>
            <w:tcW w:w="34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9"/>
              </w:rPr>
              <w:t>(0.99)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60" w:type="dxa"/>
            <w:vAlign w:val="bottom"/>
            <w:gridSpan w:val="2"/>
          </w:tcPr>
          <w:p>
            <w:pPr>
              <w:spacing w:after="0"/>
              <w:rPr>
                <w:sz w:val="20"/>
                <w:szCs w:val="20"/>
                <w:color w:val="auto"/>
              </w:rPr>
            </w:pPr>
            <w:r>
              <w:rPr>
                <w:rFonts w:ascii="Arial" w:cs="Arial" w:eastAsia="Arial" w:hAnsi="Arial"/>
                <w:sz w:val="13"/>
                <w:szCs w:val="13"/>
                <w:color w:val="auto"/>
              </w:rPr>
              <w:t>Nondeductible costs relating to acquired intangibles</w:t>
            </w:r>
          </w:p>
        </w:tc>
        <w:tc>
          <w:tcPr>
            <w:tcW w:w="460" w:type="dxa"/>
            <w:vAlign w:val="bottom"/>
            <w:gridSpan w:val="3"/>
          </w:tcPr>
          <w:p>
            <w:pPr>
              <w:jc w:val="right"/>
              <w:ind w:right="8"/>
              <w:spacing w:after="0"/>
              <w:rPr>
                <w:sz w:val="20"/>
                <w:szCs w:val="20"/>
                <w:color w:val="auto"/>
              </w:rPr>
            </w:pPr>
            <w:r>
              <w:rPr>
                <w:rFonts w:ascii="Arial" w:cs="Arial" w:eastAsia="Arial" w:hAnsi="Arial"/>
                <w:sz w:val="13"/>
                <w:szCs w:val="13"/>
                <w:color w:val="auto"/>
              </w:rPr>
              <w:t>0.11</w:t>
            </w:r>
          </w:p>
        </w:tc>
        <w:tc>
          <w:tcPr>
            <w:tcW w:w="3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0.18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0.79</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 rate differential on foreign income</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(0.39)</w:t>
            </w:r>
          </w:p>
        </w:tc>
        <w:tc>
          <w:tcPr>
            <w:tcW w:w="34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(0.24)</w:t>
            </w: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9"/>
              </w:rPr>
              <w:t>(0.03)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60" w:type="dxa"/>
            <w:vAlign w:val="bottom"/>
            <w:gridSpan w:val="2"/>
          </w:tcPr>
          <w:p>
            <w:pPr>
              <w:spacing w:after="0"/>
              <w:rPr>
                <w:sz w:val="20"/>
                <w:szCs w:val="20"/>
                <w:color w:val="auto"/>
              </w:rPr>
            </w:pPr>
            <w:r>
              <w:rPr>
                <w:rFonts w:ascii="Arial" w:cs="Arial" w:eastAsia="Arial" w:hAnsi="Arial"/>
                <w:sz w:val="13"/>
                <w:szCs w:val="13"/>
                <w:color w:val="auto"/>
              </w:rPr>
              <w:t>Cumulative effect of change in tax rates</w:t>
            </w:r>
          </w:p>
        </w:tc>
        <w:tc>
          <w:tcPr>
            <w:tcW w:w="460" w:type="dxa"/>
            <w:vAlign w:val="bottom"/>
            <w:gridSpan w:val="3"/>
          </w:tcPr>
          <w:p>
            <w:pPr>
              <w:jc w:val="right"/>
              <w:ind w:right="8"/>
              <w:spacing w:after="0"/>
              <w:rPr>
                <w:sz w:val="20"/>
                <w:szCs w:val="20"/>
                <w:color w:val="auto"/>
              </w:rPr>
            </w:pPr>
            <w:r>
              <w:rPr>
                <w:rFonts w:ascii="Arial" w:cs="Arial" w:eastAsia="Arial" w:hAnsi="Arial"/>
                <w:sz w:val="13"/>
                <w:szCs w:val="13"/>
                <w:color w:val="auto"/>
              </w:rPr>
              <w:t>1.74</w:t>
            </w:r>
          </w:p>
        </w:tc>
        <w:tc>
          <w:tcPr>
            <w:tcW w:w="340" w:type="dxa"/>
            <w:vAlign w:val="bottom"/>
          </w:tcPr>
          <w:p>
            <w:pPr>
              <w:spacing w:after="0"/>
              <w:rPr>
                <w:sz w:val="13"/>
                <w:szCs w:val="13"/>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3"/>
                <w:szCs w:val="13"/>
                <w:color w:val="auto"/>
              </w:rPr>
              <w:t>(0.49)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Utilization of capital loss</w:t>
            </w:r>
          </w:p>
        </w:tc>
        <w:tc>
          <w:tcPr>
            <w:tcW w:w="14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(4.44)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60" w:type="dxa"/>
            <w:vAlign w:val="bottom"/>
            <w:gridSpan w:val="2"/>
          </w:tcPr>
          <w:p>
            <w:pPr>
              <w:spacing w:after="0"/>
              <w:rPr>
                <w:sz w:val="20"/>
                <w:szCs w:val="20"/>
                <w:color w:val="auto"/>
              </w:rPr>
            </w:pPr>
            <w:r>
              <w:rPr>
                <w:rFonts w:ascii="Arial" w:cs="Arial" w:eastAsia="Arial" w:hAnsi="Arial"/>
                <w:sz w:val="13"/>
                <w:szCs w:val="13"/>
                <w:color w:val="auto"/>
              </w:rPr>
              <w:t>Other</w:t>
            </w: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(0.25)</w:t>
            </w:r>
          </w:p>
        </w:tc>
        <w:tc>
          <w:tcPr>
            <w:tcW w:w="340" w:type="dxa"/>
            <w:vAlign w:val="bottom"/>
          </w:tcPr>
          <w:p>
            <w:pPr>
              <w:spacing w:after="0"/>
              <w:rPr>
                <w:sz w:val="13"/>
                <w:szCs w:val="13"/>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3"/>
                <w:szCs w:val="13"/>
                <w:color w:val="auto"/>
              </w:rPr>
              <w:t>(0.09)</w:t>
            </w:r>
          </w:p>
        </w:tc>
        <w:tc>
          <w:tcPr>
            <w:tcW w:w="8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0.23</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800" w:type="dxa"/>
            <w:vAlign w:val="bottom"/>
            <w:gridSpan w:val="4"/>
            <w:shd w:val="clear" w:color="auto" w:fill="CCEEFF"/>
          </w:tcPr>
          <w:p>
            <w:pPr>
              <w:jc w:val="right"/>
              <w:ind w:right="248"/>
              <w:spacing w:after="0"/>
              <w:rPr>
                <w:sz w:val="20"/>
                <w:szCs w:val="20"/>
                <w:color w:val="auto"/>
              </w:rPr>
            </w:pPr>
            <w:r>
              <w:rPr>
                <w:rFonts w:ascii="Arial" w:cs="Arial" w:eastAsia="Arial" w:hAnsi="Arial"/>
                <w:sz w:val="13"/>
                <w:szCs w:val="13"/>
                <w:color w:val="auto"/>
              </w:rPr>
              <w:t>38.53%</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28.07%</w:t>
            </w:r>
          </w:p>
        </w:tc>
        <w:tc>
          <w:tcPr>
            <w:tcW w:w="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0"/>
              </w:rPr>
              <w:t>37.23%</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40" w:type="dxa"/>
            <w:vAlign w:val="bottom"/>
          </w:tcPr>
          <w:p>
            <w:pPr>
              <w:ind w:left="4820"/>
              <w:spacing w:after="0"/>
              <w:rPr>
                <w:sz w:val="20"/>
                <w:szCs w:val="20"/>
                <w:color w:val="auto"/>
              </w:rPr>
            </w:pPr>
            <w:r>
              <w:rPr>
                <w:rFonts w:ascii="Arial" w:cs="Arial" w:eastAsia="Arial" w:hAnsi="Arial"/>
                <w:sz w:val="13"/>
                <w:szCs w:val="13"/>
                <w:color w:val="auto"/>
              </w:rPr>
              <w:t>94</w:t>
            </w: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7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comparability of our income taxes for the reported periods has been primarily affected by variations in our income before income taxes, tax audit settlements, changes in effective state and Canadian statutory tax rates, realization of state net operating loss and credit carry-forwards, utilization of a capital loss carry-back and miscellaneous federal tax credits. For financial reporting purposes, income before income taxes showing domestic and foreign sources was as follows (in millions) for the years ended December 31, 2010, 2009 and 2008:</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3"/>
              </w:rPr>
              <w:t>Years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2010</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Domestic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1,693</w:t>
            </w: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Foreign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114</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104</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1,631</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1,797</w:t>
            </w: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Tax Audit Settlements </w:t>
      </w:r>
      <w:r>
        <w:rPr>
          <w:rFonts w:ascii="Arial" w:cs="Arial" w:eastAsia="Arial" w:hAnsi="Arial"/>
          <w:sz w:val="13"/>
          <w:szCs w:val="13"/>
          <w:color w:val="auto"/>
        </w:rPr>
        <w:t>— The Company and its subsidiaries file income tax returns in the United States, Canada and Puerto Rico, as well as various state and local jurisdictions. We</w:t>
      </w:r>
      <w:r>
        <w:rPr>
          <w:rFonts w:ascii="Arial" w:cs="Arial" w:eastAsia="Arial" w:hAnsi="Arial"/>
          <w:sz w:val="13"/>
          <w:szCs w:val="13"/>
          <w:i w:val="1"/>
          <w:iCs w:val="1"/>
          <w:color w:val="auto"/>
        </w:rPr>
        <w:t xml:space="preserve"> </w:t>
      </w:r>
      <w:r>
        <w:rPr>
          <w:rFonts w:ascii="Arial" w:cs="Arial" w:eastAsia="Arial" w:hAnsi="Arial"/>
          <w:sz w:val="13"/>
          <w:szCs w:val="13"/>
          <w:color w:val="auto"/>
        </w:rPr>
        <w:t>are currently under audit by the IRS and from time to time we are audited by other taxing authorities. Our audits are in various stages of completion.</w:t>
      </w:r>
    </w:p>
    <w:p>
      <w:pPr>
        <w:spacing w:after="0" w:line="59"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In the fourth quarter of 2010, we effectively settled an IRS audit for the 2009 tax year as well as various state tax audits. In addition, during the third quarter of 2010, we finalized audits in Canada through 2005. The settlement of these tax audits resulted in a reduction to our “Provision for income taxes” of $8 million, or $0.02 per diluted share, for the year ended December 31, 2010.</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During 2009, we settled the IRS audit for the 2008 tax year as well as various state tax audits. The settlement of these tax audits resulted in a reduction to our “Provision for income taxes” of $11 million, or $0.02 per diluted share, for the year ended December 31, 2009.</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During 2008, we settled IRS audits for the 2006 and 2007 tax years as well as various state tax audits. In addition, we settled the majority of the issues with respect to Canadian audits for the tax years 2002 through 2005. The settlement of these tax audits resulted in a reduction to our “Provision for income taxes” of $26 million, or $0.05 per diluted share, for the year ended December 31, 2008.</w:t>
      </w:r>
    </w:p>
    <w:p>
      <w:pPr>
        <w:spacing w:after="0" w:line="67"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color w:val="auto"/>
        </w:rPr>
        <w:t>We are currently in the examination phase of IRS audits for the tax years 2010 and 2011 and expect these audits to be completed within the next 12 and 24 months, 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2000. In the third quarter of 2010, we finalized audits in Canada through the 2005 tax year and are not currently under audit for any subsequent tax years.</w:t>
      </w:r>
    </w:p>
    <w:p>
      <w:pPr>
        <w:spacing w:after="0" w:line="7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i w:val="1"/>
          <w:iCs w:val="1"/>
          <w:color w:val="auto"/>
        </w:rPr>
        <w:t xml:space="preserve">Effective State Tax Rate Change </w:t>
      </w:r>
      <w:r>
        <w:rPr>
          <w:rFonts w:ascii="Arial" w:cs="Arial" w:eastAsia="Arial" w:hAnsi="Arial"/>
          <w:sz w:val="12"/>
          <w:szCs w:val="12"/>
          <w:color w:val="auto"/>
        </w:rPr>
        <w:t>— During 2010, our current state tax rate increased from 6.25% to 6.75% resulting in an increase to our provision for income taxes of $5 million. In</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 our state deferred income taxes increased $37 million to reflect the impact of changes in the estimated tax rate at which existing temporary differences will be realized. During 2009, our current state tax rate increased from 6.0% to 6.25% and our deferred state tax rate increased from 5.5% to 5.75%, resulting in an increase to our income taxes of $3 million and</w:t>
      </w:r>
    </w:p>
    <w:p>
      <w:pPr>
        <w:spacing w:after="0" w:line="1" w:lineRule="exact"/>
        <w:rPr>
          <w:sz w:val="20"/>
          <w:szCs w:val="20"/>
          <w:color w:val="auto"/>
        </w:rPr>
      </w:pPr>
    </w:p>
    <w:p>
      <w:pPr>
        <w:ind w:left="680" w:right="120"/>
        <w:spacing w:after="0" w:line="258" w:lineRule="auto"/>
        <w:rPr>
          <w:sz w:val="20"/>
          <w:szCs w:val="20"/>
          <w:color w:val="auto"/>
        </w:rPr>
      </w:pPr>
      <w:r>
        <w:rPr>
          <w:rFonts w:ascii="Arial" w:cs="Arial" w:eastAsia="Arial" w:hAnsi="Arial"/>
          <w:sz w:val="13"/>
          <w:szCs w:val="13"/>
          <w:color w:val="auto"/>
        </w:rPr>
        <w:t>$6 million, respectively. During 2008, our current state tax rate increased from 5.5% to 6.0%, resulting in an increase to our income taxes of $5 million. The increases in these rates are primarily due to changes in state law. The comparison of our effective state tax rate during the reported periods has also been affected by return-to-accrual adjustments, which increased our “Provision for income taxes” in 2010 and reduced our “Provision for income taxes” in 2009 and 2008.</w:t>
      </w:r>
    </w:p>
    <w:p>
      <w:pPr>
        <w:spacing w:after="0" w:line="71"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Canada Statutory Tax Rate Change </w:t>
      </w:r>
      <w:r>
        <w:rPr>
          <w:rFonts w:ascii="Arial" w:cs="Arial" w:eastAsia="Arial" w:hAnsi="Arial"/>
          <w:sz w:val="13"/>
          <w:szCs w:val="13"/>
          <w:color w:val="auto"/>
        </w:rPr>
        <w:t>— During 2009, the provincial tax rates in Ontario were reduced, which resulted in a $13 million tax benefit as a result of the revaluation of the</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deferred tax balances.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State Net Operating Loss and Credit Carry-Forwards </w:t>
      </w:r>
      <w:r>
        <w:rPr>
          <w:rFonts w:ascii="Arial" w:cs="Arial" w:eastAsia="Arial" w:hAnsi="Arial"/>
          <w:sz w:val="13"/>
          <w:szCs w:val="13"/>
          <w:color w:val="auto"/>
        </w:rPr>
        <w:t>— During 2010, 2009, and 2008, we released state net operating loss and credit carry-forwards resulting in a reduction to our</w:t>
      </w:r>
      <w:r>
        <w:rPr>
          <w:rFonts w:ascii="Arial" w:cs="Arial" w:eastAsia="Arial" w:hAnsi="Arial"/>
          <w:sz w:val="13"/>
          <w:szCs w:val="13"/>
          <w:i w:val="1"/>
          <w:iCs w:val="1"/>
          <w:color w:val="auto"/>
        </w:rPr>
        <w:t xml:space="preserve"> </w:t>
      </w:r>
      <w:r>
        <w:rPr>
          <w:rFonts w:ascii="Arial" w:cs="Arial" w:eastAsia="Arial" w:hAnsi="Arial"/>
          <w:sz w:val="13"/>
          <w:szCs w:val="13"/>
          <w:color w:val="auto"/>
        </w:rPr>
        <w:t>“Provision for income taxes” for those periods of $4 million, $35 million and $3 million, respectively.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i w:val="1"/>
          <w:iCs w:val="1"/>
          <w:color w:val="auto"/>
        </w:rPr>
        <w:t xml:space="preserve">Capital Loss Carry-Back </w:t>
      </w:r>
      <w:r>
        <w:rPr>
          <w:rFonts w:ascii="Arial" w:cs="Arial" w:eastAsia="Arial" w:hAnsi="Arial"/>
          <w:sz w:val="13"/>
          <w:szCs w:val="13"/>
          <w:color w:val="auto"/>
        </w:rPr>
        <w:t>— During 2009, we generated a capital loss from the liquidation of a foreign subsidiary. We determined that the capital loss could be utilized to offset</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gains from 2006 and 2007, which resulted in a reduction to our 2009 “Provision for income taxes” of $65 million.</w:t>
      </w:r>
    </w:p>
    <w:p>
      <w:pPr>
        <w:spacing w:after="0" w:line="59"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i w:val="1"/>
          <w:iCs w:val="1"/>
          <w:color w:val="auto"/>
        </w:rPr>
        <w:t xml:space="preserve">Federal Low-income Housing Tax Credits </w:t>
      </w:r>
      <w:r>
        <w:rPr>
          <w:rFonts w:ascii="Arial" w:cs="Arial" w:eastAsia="Arial" w:hAnsi="Arial"/>
          <w:sz w:val="12"/>
          <w:szCs w:val="12"/>
          <w:color w:val="auto"/>
        </w:rPr>
        <w:t>— In April 2010, we acquired a noncontrolling interest in a limited liability company established to invest in and manage low-income</w:t>
      </w:r>
      <w:r>
        <w:rPr>
          <w:rFonts w:ascii="Arial" w:cs="Arial" w:eastAsia="Arial" w:hAnsi="Arial"/>
          <w:sz w:val="12"/>
          <w:szCs w:val="12"/>
          <w:i w:val="1"/>
          <w:iCs w:val="1"/>
          <w:color w:val="auto"/>
        </w:rPr>
        <w:t xml:space="preserve"> </w:t>
      </w:r>
      <w:r>
        <w:rPr>
          <w:rFonts w:ascii="Arial" w:cs="Arial" w:eastAsia="Arial" w:hAnsi="Arial"/>
          <w:sz w:val="12"/>
          <w:szCs w:val="12"/>
          <w:color w:val="auto"/>
        </w:rPr>
        <w:t>housing properties. Our consideration for this investment totaled $221 million, which was comprised of a $215 million note payable and an initial cash payment of $6 million. The entity’s low-income housing investments qualify for federal tax credits that are expected to be realized through 2020 in accordance with Section 42 of the Internal Revenue Code.</w:t>
      </w:r>
    </w:p>
    <w:p>
      <w:pPr>
        <w:spacing w:after="0" w:line="50"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We account for our investment in this entity using the equity method of accounting, and we recognize a charge to “Equity in net losses of unconsolidated entities,” within our Consolidated Statement of Operations, for reductions in the value of our investment. The value of our investment decreases as the tax credits are generated and utilized. During the year ended December 31, 2010, we recognized a total of $19 million of losses for reductions in the value of our investment. We also recognized $5 million of interest expense related to this investment during 2010. However, our tax provision for the year ended December 31, 2010 was reduced by $26 million (including $16 million of tax credits) as a result of this investment, which more than offset the pre-tax expense realized during the period.</w:t>
      </w:r>
    </w:p>
    <w:p>
      <w:pPr>
        <w:spacing w:after="0" w:line="71"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Unremitted Earnings in Foreign Subsidiaries </w:t>
      </w:r>
      <w:r>
        <w:rPr>
          <w:rFonts w:ascii="Arial" w:cs="Arial" w:eastAsia="Arial" w:hAnsi="Arial"/>
          <w:sz w:val="13"/>
          <w:szCs w:val="13"/>
          <w:color w:val="auto"/>
        </w:rPr>
        <w:t>— At December 31, 2010, remaining unremitted earnings in foreign operations were approximately $644 million, which are considered</w:t>
      </w:r>
      <w:r>
        <w:rPr>
          <w:rFonts w:ascii="Arial" w:cs="Arial" w:eastAsia="Arial" w:hAnsi="Arial"/>
          <w:sz w:val="13"/>
          <w:szCs w:val="13"/>
          <w:i w:val="1"/>
          <w:iCs w:val="1"/>
          <w:color w:val="auto"/>
        </w:rPr>
        <w:t xml:space="preserve"> </w:t>
      </w:r>
      <w:r>
        <w:rPr>
          <w:rFonts w:ascii="Arial" w:cs="Arial" w:eastAsia="Arial" w:hAnsi="Arial"/>
          <w:sz w:val="13"/>
          <w:szCs w:val="13"/>
          <w:color w:val="auto"/>
        </w:rPr>
        <w:t>permanently invested and, therefore, no provision for U.S. income taxes has been accrued for these unremitted earnings.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Tax Assets (Liabilities)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the net deferred tax assets (liabilities) at December 31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Net operating loss, capital loss and tax credit carry-forwards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179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Landfill and environmental remediation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Miscellaneous and other reserves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202</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Subtotal</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441</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Valuation allowance</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(132)</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Property and equipment</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(1,045)</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(941)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Goodwill and other intangibles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(886)</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(802)</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Net deferred tax liabilities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(1,622)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(1,393)</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At December 31, 2010, we had $27 million of federal net operating loss, or NOL, carry-forwards and $1.3 billion of state NOL carry-forwards. The federal and state NOL carry-forwards have expiration dates through the year 2030. We also have a $76 million capital loss carry-forward that expires in 2014. In addition, we have $39 million of state tax credit carry-forwards at December 31, 2010.</w:t>
      </w:r>
    </w:p>
    <w:p>
      <w:pPr>
        <w:spacing w:after="0" w:line="67"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 The valuation allowance decreased $7 million in 2010 due to changes in our gross deferred tax assets due to changes in state NOL and credit carry-forwards.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Liabilities for Uncertain Tax Positions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beginning and ending amount of gross unrecognized tax benefits, including accrued interest for 2010, 2009 and 2008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102</w:t>
            </w:r>
          </w:p>
        </w:tc>
        <w:tc>
          <w:tcPr>
            <w:tcW w:w="0" w:type="dxa"/>
            <w:vAlign w:val="bottom"/>
          </w:tcPr>
          <w:p>
            <w:pPr>
              <w:spacing w:after="0"/>
              <w:rPr>
                <w:sz w:val="1"/>
                <w:szCs w:val="1"/>
                <w:color w:val="auto"/>
              </w:rPr>
            </w:pPr>
          </w:p>
        </w:tc>
      </w:tr>
      <w:tr>
        <w:trPr>
          <w:trHeight w:val="157"/>
        </w:trPr>
        <w:tc>
          <w:tcPr>
            <w:tcW w:w="8200" w:type="dxa"/>
            <w:vAlign w:val="bottom"/>
          </w:tcPr>
          <w:p>
            <w:pPr>
              <w:ind w:left="140"/>
              <w:spacing w:after="0"/>
              <w:rPr>
                <w:sz w:val="20"/>
                <w:szCs w:val="20"/>
                <w:color w:val="auto"/>
              </w:rPr>
            </w:pPr>
            <w:r>
              <w:rPr>
                <w:rFonts w:ascii="Arial" w:cs="Arial" w:eastAsia="Arial" w:hAnsi="Arial"/>
                <w:sz w:val="13"/>
                <w:szCs w:val="13"/>
                <w:color w:val="auto"/>
              </w:rPr>
              <w:t>Additions based on tax positions related to the current year</w:t>
            </w:r>
          </w:p>
        </w:tc>
        <w:tc>
          <w:tcPr>
            <w:tcW w:w="1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 based on tax positions of prior years</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8200" w:type="dxa"/>
            <w:vAlign w:val="bottom"/>
          </w:tcPr>
          <w:p>
            <w:pPr>
              <w:ind w:left="140"/>
              <w:spacing w:after="0"/>
              <w:rPr>
                <w:sz w:val="20"/>
                <w:szCs w:val="20"/>
                <w:color w:val="auto"/>
              </w:rPr>
            </w:pPr>
            <w:r>
              <w:rPr>
                <w:rFonts w:ascii="Arial" w:cs="Arial" w:eastAsia="Arial" w:hAnsi="Arial"/>
                <w:sz w:val="13"/>
                <w:szCs w:val="13"/>
                <w:color w:val="auto"/>
              </w:rPr>
              <w:t>Accrued interest</w:t>
            </w:r>
          </w:p>
        </w:tc>
        <w:tc>
          <w:tcPr>
            <w:tcW w:w="1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Reductions for tax positions of prior years</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200" w:type="dxa"/>
            <w:vAlign w:val="bottom"/>
          </w:tcPr>
          <w:p>
            <w:pPr>
              <w:ind w:left="140"/>
              <w:spacing w:after="0"/>
              <w:rPr>
                <w:sz w:val="20"/>
                <w:szCs w:val="20"/>
                <w:color w:val="auto"/>
              </w:rPr>
            </w:pPr>
            <w:r>
              <w:rPr>
                <w:rFonts w:ascii="Arial" w:cs="Arial" w:eastAsia="Arial" w:hAnsi="Arial"/>
                <w:sz w:val="13"/>
                <w:szCs w:val="13"/>
                <w:color w:val="auto"/>
              </w:rPr>
              <w:t>Settlements</w:t>
            </w:r>
          </w:p>
        </w:tc>
        <w:tc>
          <w:tcPr>
            <w:tcW w:w="100" w:type="dxa"/>
            <w:vAlign w:val="bottom"/>
          </w:tcPr>
          <w:p>
            <w:pPr>
              <w:spacing w:after="0"/>
              <w:rPr>
                <w:sz w:val="13"/>
                <w:szCs w:val="13"/>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(10)</w:t>
            </w:r>
          </w:p>
        </w:tc>
        <w:tc>
          <w:tcPr>
            <w:tcW w:w="8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Lapse of statute of limitations</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3"/>
                <w:szCs w:val="13"/>
                <w:color w:val="auto"/>
              </w:rPr>
              <w:t>Balance at December 31</w:t>
            </w: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53</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75</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30"/>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These liabilities are primarily included as a component of long-term “Other liabilities” in our Consolidated Balance Sheets because the Company generally does not anticipate that settlement of the liabilities will require payment of cash within the next twelve months. As of December 31, 2010, $35 million of net unrecognized tax benefits, if recognized in future periods, would impact our effective tax rate.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recognize interest expense related to unrecognized tax benefits in tax expense. During the years ended December 31, 2010, 2009 and 2008 we recognized approximately</w:t>
      </w:r>
    </w:p>
    <w:p>
      <w:pPr>
        <w:spacing w:after="0" w:line="27"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$3 million, $4 million and $4 million, respectively, of such interest expense as a component of our “Provision for income taxes.” We had approximately $8 million and $11 million of accrued interest in our Consolidated Balance Sheets as of December 31, 2010 and 2009, respectively. We do not have any accrued liabilities or expense for penalties related to unrecognized tax benefits for the years ended December 31, 2010, 2009 and 2008.</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anticipate that approximately $9 million of liabilities for unrecognized tax benefits, including accrued interest, and $3 million of related deferred tax assets may be reversed within the next 12 months. The anticipated reversals are related to state tax items, none of which are material, and are expected to result from audit settlements or the expiration of the applicable statute of limitations period.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Legislation updates — </w:t>
      </w:r>
      <w:r>
        <w:rPr>
          <w:rFonts w:ascii="Arial" w:cs="Arial" w:eastAsia="Arial" w:hAnsi="Arial"/>
          <w:sz w:val="12"/>
          <w:szCs w:val="12"/>
          <w:color w:val="auto"/>
        </w:rPr>
        <w:t>The Small Business Jobs Act, signed into law in September 2010, contains a tax incentive package that includes a one-year extension through 2010 of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50 percent bonus, or accelerated, depreciation provision first enacted in 2008 and subsequently renewed in 2009. The provision had expired at the end of 2009. Under the bonus depreciation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provision, 50 percent of the basis of qualified capital expenditures may be deducted in the year the property is placed in service and the remaining 50 percent deducted under normal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depreciation rules. The acceleration of deductions on 2010 capital expenditures resulting from the bonus depreciation provision had no impact on our effective tax rate. However, the ability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to accelerate depreciation deductions did decrease our 2010 cash taxes by $60 million. Taking the accelerated tax depreciation will result in increased cash taxes in future periods when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accelerated deductions for these capital expenditures would have otherwise been taken.</w:t>
      </w:r>
    </w:p>
    <w:p>
      <w:pPr>
        <w:spacing w:after="0" w:line="89"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In addition, new tax law signed on December 17, 2010 includes an extension of the bonus depreciation allowance through the end of 2011, and increases the amount of qualifying capital expenditures that can be depreciated immediately from 50 percent to 100 percent. The 100 percent depreciation deduction applies to qualifying property placed in service between September 8, 2010 and December 31, 2011.</w:t>
      </w:r>
    </w:p>
    <w:p>
      <w:pPr>
        <w:spacing w:after="0" w:line="142" w:lineRule="exact"/>
        <w:rPr>
          <w:sz w:val="20"/>
          <w:szCs w:val="20"/>
          <w:color w:val="auto"/>
        </w:rPr>
      </w:pPr>
    </w:p>
    <w:p>
      <w:pPr>
        <w:ind w:left="1180" w:hanging="493"/>
        <w:spacing w:after="0"/>
        <w:tabs>
          <w:tab w:leader="none" w:pos="118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right="480" w:firstLine="399"/>
        <w:spacing w:after="0" w:line="320" w:lineRule="auto"/>
        <w:rPr>
          <w:sz w:val="20"/>
          <w:szCs w:val="20"/>
          <w:color w:val="auto"/>
        </w:rPr>
      </w:pPr>
      <w:r>
        <w:rPr>
          <w:rFonts w:ascii="Arial" w:cs="Arial" w:eastAsia="Arial" w:hAnsi="Arial"/>
          <w:sz w:val="12"/>
          <w:szCs w:val="12"/>
          <w:i w:val="1"/>
          <w:iCs w:val="1"/>
          <w:color w:val="auto"/>
        </w:rPr>
        <w:t xml:space="preserve">Defined Contribution Plans — </w:t>
      </w:r>
      <w:r>
        <w:rPr>
          <w:rFonts w:ascii="Arial" w:cs="Arial" w:eastAsia="Arial" w:hAnsi="Arial"/>
          <w:sz w:val="12"/>
          <w:szCs w:val="12"/>
          <w:color w:val="auto"/>
        </w:rPr>
        <w:t>Our Waste Management retirement savings plans are 401(k) plans that cover employees, except those working subject to collective bargaining</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agreements that do not allow for coverage under such plans. Employees are generally eligible to participate in the plans following a 90-day waiting period after hire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and may contribute as much as 25% of their annual compensation, subject to annual contribution limitations established by the IRS. Under our largest retirement savings plan, we match, in cash, 100% of employee contributions on the first 3% of their eligible compensation and match 50% of employee contributions on the next 3% of their eligible compensation, resulting in a maximum match of 4.5%. Both employee and Company contributions vest immediately. Charges to “Operating” and “Selling, general and administrative” expenses for our defined contribution plans were $55 million in 2010, $50 million in 2009 and $59 million in 2008.</w:t>
      </w:r>
    </w:p>
    <w:p>
      <w:pPr>
        <w:spacing w:after="0" w:line="70"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i w:val="1"/>
          <w:iCs w:val="1"/>
          <w:color w:val="auto"/>
        </w:rPr>
        <w:t xml:space="preserve">Defined Benefit Plans — </w:t>
      </w:r>
      <w:r>
        <w:rPr>
          <w:rFonts w:ascii="Arial" w:cs="Arial" w:eastAsia="Arial" w:hAnsi="Arial"/>
          <w:sz w:val="13"/>
          <w:szCs w:val="13"/>
          <w:color w:val="auto"/>
        </w:rPr>
        <w:t>Certain of the Company’s subsidiaries sponsor pension plans that cover employees not otherwise covered by the Waste Management retirement savings</w:t>
      </w:r>
      <w:r>
        <w:rPr>
          <w:rFonts w:ascii="Arial" w:cs="Arial" w:eastAsia="Arial" w:hAnsi="Arial"/>
          <w:sz w:val="13"/>
          <w:szCs w:val="13"/>
          <w:i w:val="1"/>
          <w:iCs w:val="1"/>
          <w:color w:val="auto"/>
        </w:rPr>
        <w:t xml:space="preserve"> </w:t>
      </w:r>
      <w:r>
        <w:rPr>
          <w:rFonts w:ascii="Arial" w:cs="Arial" w:eastAsia="Arial" w:hAnsi="Arial"/>
          <w:sz w:val="13"/>
          <w:szCs w:val="13"/>
          <w:color w:val="auto"/>
        </w:rPr>
        <w:t>plans. These employees are members of collective bargaining units. In addition, Wheelabrator Technologies Inc., a wholly-owned subsidiary, sponsors a pension plan for its former executives and former Board members. As of December 31, 2010, the combined benefit obligation of these pension plans was $81 million, and the plans had $60 million of plan assets, resulting in an unfunded benefit obligation for these plans of $21 million.</w:t>
      </w:r>
    </w:p>
    <w:p>
      <w:pPr>
        <w:spacing w:after="0" w:line="70" w:lineRule="exact"/>
        <w:rPr>
          <w:sz w:val="20"/>
          <w:szCs w:val="20"/>
          <w:color w:val="auto"/>
        </w:rPr>
      </w:pPr>
    </w:p>
    <w:p>
      <w:pPr>
        <w:jc w:val="both"/>
        <w:ind w:left="680" w:right="500" w:firstLine="399"/>
        <w:spacing w:after="0" w:line="264" w:lineRule="auto"/>
        <w:rPr>
          <w:sz w:val="20"/>
          <w:szCs w:val="20"/>
          <w:color w:val="auto"/>
        </w:rPr>
      </w:pPr>
      <w:r>
        <w:rPr>
          <w:rFonts w:ascii="Arial" w:cs="Arial" w:eastAsia="Arial" w:hAnsi="Arial"/>
          <w:sz w:val="13"/>
          <w:szCs w:val="13"/>
          <w:color w:val="auto"/>
        </w:rPr>
        <w:t>In addition, WM Holdings and certain of its subsidiaries provided post-retirement health care and other benefits to eligible employees. In conjunction with our acquisition of WM Holdings in July 1998, we limited participation in these plans to participating retired employees as of December 31, 1998. The unfunded benefit obligation for these plans was $45 million at December 31, 2010.</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accrued benefit liabilities for our defined benefit pension and other post-retirement plans are $66 million as of December 31, 2010 and are included as components of “Accrued liabilities” and long-term “Other liabilities” in our Consolidated Balance Sheet.</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are a participating employer in a number of trustee-managed multiemployer, defined benefit pension plans for employees who participate in collective bargaining agreements. Contributions of $35 million in 2010, $34 million in 2009 and $35 million in 2008 were charged to operations for our subsidiaries’ ongoing participation in these defined benefit plans. Our portion of the projected benefit obligation, plan assets and unfunded liability of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connection with our ongoing renegotiations of various collective bargaining agreements, we may discuss and negotiate for the complete or partial withdrawal from one or more of these pension plans. If we elect to withdraw from these plans, we may incur expenses associated with our obligations for unfunded vested benefits at the time of the withdrawal. As discussed in Note 11, in 2010, 2009 and 2008, we recognized aggregate charges of $26 million, $9 million and $39 million, respectively, to “Operating” expenses for the withdrawal of certain bargaining units from multiemployer pension plans.</w:t>
      </w:r>
    </w:p>
    <w:p>
      <w:pPr>
        <w:spacing w:after="0" w:line="144" w:lineRule="exact"/>
        <w:rPr>
          <w:sz w:val="20"/>
          <w:szCs w:val="20"/>
          <w:color w:val="auto"/>
        </w:rPr>
      </w:pPr>
    </w:p>
    <w:p>
      <w:pPr>
        <w:ind w:left="1180" w:hanging="493"/>
        <w:spacing w:after="0"/>
        <w:tabs>
          <w:tab w:leader="none" w:pos="118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i w:val="1"/>
          <w:iCs w:val="1"/>
          <w:color w:val="auto"/>
        </w:rPr>
        <w:t xml:space="preserve">Financial Instruments </w:t>
      </w:r>
      <w:r>
        <w:rPr>
          <w:rFonts w:ascii="Arial" w:cs="Arial" w:eastAsia="Arial" w:hAnsi="Arial"/>
          <w:sz w:val="11"/>
          <w:szCs w:val="11"/>
          <w:color w:val="auto"/>
        </w:rPr>
        <w:t>— We have obtained letters of credit, performance bonds and insurance policies and have established trust funds and issued financial guarantees to support tax-exempt bonds, contracts, performance of landfill capping, closure and post-closure requirements, environmental remediation, and other obligations. Letters of credit generally are supported by our revolving credit facility and other credit facilities established for that purpose. These facilities are discussed further in Note 7.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have available alternative financial assurance mechanisms.</w:t>
      </w:r>
    </w:p>
    <w:p>
      <w:pPr>
        <w:spacing w:after="0" w:line="42" w:lineRule="exact"/>
        <w:rPr>
          <w:sz w:val="20"/>
          <w:szCs w:val="20"/>
          <w:color w:val="auto"/>
        </w:rPr>
      </w:pPr>
    </w:p>
    <w:p>
      <w:pPr>
        <w:ind w:left="680" w:right="380" w:firstLine="399"/>
        <w:spacing w:after="0" w:line="320" w:lineRule="auto"/>
        <w:rPr>
          <w:sz w:val="20"/>
          <w:szCs w:val="20"/>
          <w:color w:val="auto"/>
        </w:rPr>
      </w:pPr>
      <w:r>
        <w:rPr>
          <w:rFonts w:ascii="Arial" w:cs="Arial" w:eastAsia="Arial" w:hAnsi="Arial"/>
          <w:sz w:val="12"/>
          <w:szCs w:val="12"/>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risks of future cost increases and reductions in available capacity, we continue to evaluate various options to access cost-effective sources of financial assurance.</w:t>
      </w:r>
    </w:p>
    <w:p>
      <w:pPr>
        <w:spacing w:after="0" w:line="96" w:lineRule="exact"/>
        <w:rPr>
          <w:sz w:val="20"/>
          <w:szCs w:val="20"/>
          <w:color w:val="auto"/>
        </w:rPr>
      </w:pPr>
    </w:p>
    <w:p>
      <w:pPr>
        <w:jc w:val="both"/>
        <w:ind w:left="680" w:right="20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7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2"/>
          <w:szCs w:val="12"/>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As of December 31, 2010, our general liability insurance program carried self-insurance exposures of up to $2.5 million per incident and our workers’ compensation insurance program carried self-insurance exposures of up to $5 million per incident. As of December 31, 2010, our auto liability insurance program included a per-incident base deductible of $5 million, subject to additional deductibles of $4.8 million in the $5 million to</w:t>
      </w:r>
    </w:p>
    <w:p>
      <w:pPr>
        <w:ind w:left="680" w:right="120"/>
        <w:spacing w:after="0" w:line="307" w:lineRule="auto"/>
        <w:rPr>
          <w:sz w:val="20"/>
          <w:szCs w:val="20"/>
          <w:color w:val="auto"/>
        </w:rPr>
      </w:pPr>
      <w:r>
        <w:rPr>
          <w:rFonts w:ascii="Arial" w:cs="Arial" w:eastAsia="Arial" w:hAnsi="Arial"/>
          <w:sz w:val="12"/>
          <w:szCs w:val="12"/>
          <w:color w:val="auto"/>
        </w:rPr>
        <w:t>$10 million layer. Self-insurance claims reserves acquired as part of our acquisition of WM Holdings in July 1998 were discounted at 3.50% at December 31, 2010, 3.75% at December 31, 2009 and 2.25% at December 31, 2008. The changes to our net insurance liabilities for the three years ended December 31, 2010 are summarized below (in millions):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Gross Claims</w:t>
            </w:r>
          </w:p>
        </w:tc>
        <w:tc>
          <w:tcPr>
            <w:tcW w:w="160" w:type="dxa"/>
            <w:vAlign w:val="bottom"/>
          </w:tcPr>
          <w:p>
            <w:pPr>
              <w:spacing w:after="0"/>
              <w:rPr>
                <w:sz w:val="10"/>
                <w:szCs w:val="10"/>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Receivables</w:t>
            </w:r>
          </w:p>
        </w:tc>
        <w:tc>
          <w:tcPr>
            <w:tcW w:w="12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Net Claims</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1"/>
              </w:rPr>
              <w:t>Associated with</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Liability</w:t>
            </w:r>
          </w:p>
        </w:tc>
        <w:tc>
          <w:tcPr>
            <w:tcW w:w="160" w:type="dxa"/>
            <w:vAlign w:val="bottom"/>
          </w:tcPr>
          <w:p>
            <w:pPr>
              <w:spacing w:after="0"/>
              <w:rPr>
                <w:sz w:val="10"/>
                <w:szCs w:val="10"/>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7"/>
              </w:rPr>
              <w:t>Insured Claims(a)</w:t>
            </w:r>
          </w:p>
        </w:tc>
        <w:tc>
          <w:tcPr>
            <w:tcW w:w="120" w:type="dxa"/>
            <w:vAlign w:val="bottom"/>
          </w:tcPr>
          <w:p>
            <w:pPr>
              <w:spacing w:after="0"/>
              <w:rPr>
                <w:sz w:val="10"/>
                <w:szCs w:val="1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Liability</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169</w:t>
            </w:r>
          </w:p>
        </w:tc>
        <w:tc>
          <w:tcPr>
            <w:tcW w:w="160" w:type="dxa"/>
            <w:vAlign w:val="bottom"/>
          </w:tcPr>
          <w:p>
            <w:pPr>
              <w:spacing w:after="0"/>
              <w:rPr>
                <w:sz w:val="13"/>
                <w:szCs w:val="13"/>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(209)</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3"/>
                <w:szCs w:val="13"/>
                <w:color w:val="auto"/>
              </w:rPr>
              <w:t>Balance, December 31, 2008</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531</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8"/>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184</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(174)</w:t>
            </w:r>
          </w:p>
        </w:tc>
        <w:tc>
          <w:tcPr>
            <w:tcW w:w="160" w:type="dxa"/>
            <w:vAlign w:val="bottom"/>
          </w:tcPr>
          <w:p>
            <w:pPr>
              <w:spacing w:after="0"/>
              <w:rPr>
                <w:sz w:val="13"/>
                <w:szCs w:val="13"/>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2009</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179</w:t>
            </w:r>
          </w:p>
        </w:tc>
        <w:tc>
          <w:tcPr>
            <w:tcW w:w="160" w:type="dxa"/>
            <w:vAlign w:val="bottom"/>
          </w:tcPr>
          <w:p>
            <w:pPr>
              <w:spacing w:after="0"/>
              <w:rPr>
                <w:sz w:val="13"/>
                <w:szCs w:val="13"/>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(197)</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3"/>
                <w:szCs w:val="13"/>
                <w:color w:val="auto"/>
              </w:rPr>
              <w:t>Balance, December 31, 2010(b)</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523</w:t>
            </w:r>
          </w:p>
        </w:tc>
        <w:tc>
          <w:tcPr>
            <w:tcW w:w="3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jc w:val="right"/>
              <w:ind w:right="340"/>
              <w:spacing w:after="0"/>
              <w:rPr>
                <w:sz w:val="20"/>
                <w:szCs w:val="20"/>
                <w:color w:val="auto"/>
              </w:rPr>
            </w:pPr>
            <w:r>
              <w:rPr>
                <w:rFonts w:ascii="Arial" w:cs="Arial" w:eastAsia="Arial" w:hAnsi="Arial"/>
                <w:sz w:val="13"/>
                <w:szCs w:val="13"/>
                <w:color w:val="auto"/>
              </w:rPr>
              <w:t>(170)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at December 31, 2010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5"/>
        </w:trPr>
        <w:tc>
          <w:tcPr>
            <w:tcW w:w="6000" w:type="dxa"/>
            <w:vAlign w:val="bottom"/>
          </w:tcPr>
          <w:p>
            <w:pPr>
              <w:ind w:left="140"/>
              <w:spacing w:after="0"/>
              <w:rPr>
                <w:sz w:val="20"/>
                <w:szCs w:val="20"/>
                <w:color w:val="auto"/>
              </w:rPr>
            </w:pPr>
            <w:r>
              <w:rPr>
                <w:rFonts w:ascii="Arial" w:cs="Arial" w:eastAsia="Arial" w:hAnsi="Arial"/>
                <w:sz w:val="13"/>
                <w:szCs w:val="13"/>
                <w:color w:val="auto"/>
              </w:rPr>
              <w:t>Long-term portion at December 31, 2010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381</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jc w:val="right"/>
              <w:ind w:right="340"/>
              <w:spacing w:after="0"/>
              <w:rPr>
                <w:sz w:val="20"/>
                <w:szCs w:val="20"/>
                <w:color w:val="auto"/>
              </w:rPr>
            </w:pPr>
            <w:r>
              <w:rPr>
                <w:rFonts w:ascii="Arial" w:cs="Arial" w:eastAsia="Arial" w:hAnsi="Arial"/>
                <w:sz w:val="13"/>
                <w:szCs w:val="13"/>
                <w:color w:val="auto"/>
              </w:rPr>
              <w:t>(127)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80" w:hanging="393"/>
        <w:spacing w:after="0"/>
        <w:tabs>
          <w:tab w:leader="none" w:pos="10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Amounts reported as receivables associated with insured claims are related to both paid and unpaid claims liabilities.</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We currently expect substantially all of our recorded obligations to be settled in cash in the next five years.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Directors’ and Officers’ Liability Insurance policy we choose to maintain covers only individual executive liability, often referred to as “Broad Form Side A,” and does not provide corporate reimbursement coverage, often referred to as “Side B.” The Side A policy covers directors and officers directly for loss, including defense costs, when corporate indemnification is unavailable. Side A-only coverage cannot be exhausted by payments to the Company, as the Company is not insured for any money it advances for defense costs or pays as indemnity to the insured directors and officers.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do not expect the impact of any known casualty, property, environmental or other contingency to have a material impact on our financial condition, results of operations or cash</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flows.</w:t>
      </w:r>
    </w:p>
    <w:p>
      <w:pPr>
        <w:spacing w:after="0" w:line="8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Operating Leases </w:t>
      </w:r>
      <w:r>
        <w:rPr>
          <w:rFonts w:ascii="Arial" w:cs="Arial" w:eastAsia="Arial" w:hAnsi="Arial"/>
          <w:sz w:val="13"/>
          <w:szCs w:val="13"/>
          <w:color w:val="auto"/>
        </w:rPr>
        <w:t>— Rental expense for leased properties was $121 million during 2010 and $114 million during both 2009 and 2008. Minimum contractual payments due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lease obligations are $82 million in 2011, $76 million in 2012, $62 million in 2013, $51 million in 2014 and $40 million in 2015.</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minimum contractual payments for lease agreements during future periods is significantly less than current year rent expense due to short-term leases and because our significant lease agreements at landfills have variable terms based either on a percentage of revenue or a rate per ton of waste received.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Commitments</w:t>
      </w:r>
    </w:p>
    <w:p>
      <w:pPr>
        <w:spacing w:after="0" w:line="96" w:lineRule="exact"/>
        <w:rPr>
          <w:sz w:val="20"/>
          <w:szCs w:val="20"/>
          <w:color w:val="auto"/>
        </w:rPr>
      </w:pPr>
    </w:p>
    <w:p>
      <w:pPr>
        <w:ind w:left="1280" w:right="240" w:hanging="190"/>
        <w:spacing w:after="0" w:line="276" w:lineRule="auto"/>
        <w:tabs>
          <w:tab w:leader="none" w:pos="1280" w:val="left"/>
        </w:tabs>
        <w:numPr>
          <w:ilvl w:val="0"/>
          <w:numId w:val="71"/>
        </w:numPr>
        <w:rPr>
          <w:rFonts w:ascii="Arial" w:cs="Arial" w:eastAsia="Arial" w:hAnsi="Arial"/>
          <w:sz w:val="13"/>
          <w:szCs w:val="13"/>
          <w:color w:val="auto"/>
        </w:rPr>
      </w:pPr>
      <w:r>
        <w:rPr>
          <w:rFonts w:ascii="Arial" w:cs="Arial" w:eastAsia="Arial" w:hAnsi="Arial"/>
          <w:sz w:val="13"/>
          <w:szCs w:val="13"/>
          <w:i w:val="1"/>
          <w:iCs w:val="1"/>
          <w:color w:val="auto"/>
        </w:rPr>
        <w:t xml:space="preserve">Share Repurchases </w:t>
      </w:r>
      <w:r>
        <w:rPr>
          <w:rFonts w:ascii="Arial" w:cs="Arial" w:eastAsia="Arial" w:hAnsi="Arial"/>
          <w:sz w:val="13"/>
          <w:szCs w:val="13"/>
          <w:color w:val="auto"/>
        </w:rPr>
        <w:t>— In December 2010, we entered into plans under SEC Rule 10b5-1 to effect market purchases of our common stock during the first quarter of 2011. See</w:t>
      </w:r>
      <w:r>
        <w:rPr>
          <w:rFonts w:ascii="Arial" w:cs="Arial" w:eastAsia="Arial" w:hAnsi="Arial"/>
          <w:sz w:val="13"/>
          <w:szCs w:val="13"/>
          <w:i w:val="1"/>
          <w:iCs w:val="1"/>
          <w:color w:val="auto"/>
        </w:rPr>
        <w:t xml:space="preserve"> </w:t>
      </w:r>
      <w:r>
        <w:rPr>
          <w:rFonts w:ascii="Arial" w:cs="Arial" w:eastAsia="Arial" w:hAnsi="Arial"/>
          <w:sz w:val="13"/>
          <w:szCs w:val="13"/>
          <w:color w:val="auto"/>
        </w:rPr>
        <w:t>Note 15 for additional information related to these arrangements.</w:t>
      </w:r>
    </w:p>
    <w:p>
      <w:pPr>
        <w:spacing w:after="0" w:line="49" w:lineRule="exact"/>
        <w:rPr>
          <w:rFonts w:ascii="Arial" w:cs="Arial" w:eastAsia="Arial" w:hAnsi="Arial"/>
          <w:sz w:val="13"/>
          <w:szCs w:val="13"/>
          <w:color w:val="auto"/>
        </w:rPr>
      </w:pPr>
    </w:p>
    <w:p>
      <w:pPr>
        <w:ind w:left="1280" w:right="20" w:hanging="190"/>
        <w:spacing w:after="0" w:line="285" w:lineRule="auto"/>
        <w:tabs>
          <w:tab w:leader="none" w:pos="1280" w:val="left"/>
        </w:tabs>
        <w:numPr>
          <w:ilvl w:val="0"/>
          <w:numId w:val="71"/>
        </w:numPr>
        <w:rPr>
          <w:rFonts w:ascii="Arial" w:cs="Arial" w:eastAsia="Arial" w:hAnsi="Arial"/>
          <w:sz w:val="12"/>
          <w:szCs w:val="12"/>
          <w:color w:val="auto"/>
        </w:rPr>
      </w:pPr>
      <w:r>
        <w:rPr>
          <w:rFonts w:ascii="Arial" w:cs="Arial" w:eastAsia="Arial" w:hAnsi="Arial"/>
          <w:sz w:val="12"/>
          <w:szCs w:val="12"/>
          <w:i w:val="1"/>
          <w:iCs w:val="1"/>
          <w:color w:val="auto"/>
        </w:rPr>
        <w:t xml:space="preserve">Fuel Supply </w:t>
      </w:r>
      <w:r>
        <w:rPr>
          <w:rFonts w:ascii="Arial" w:cs="Arial" w:eastAsia="Arial" w:hAnsi="Arial"/>
          <w:sz w:val="12"/>
          <w:szCs w:val="12"/>
          <w:color w:val="auto"/>
        </w:rPr>
        <w:t>— We have purchase agreements expiring at various dates through 2011 that require us to purchase minimum amounts of wood waste, anthracite coal waste (culm)</w:t>
      </w:r>
      <w:r>
        <w:rPr>
          <w:rFonts w:ascii="Arial" w:cs="Arial" w:eastAsia="Arial" w:hAnsi="Arial"/>
          <w:sz w:val="12"/>
          <w:szCs w:val="12"/>
          <w:i w:val="1"/>
          <w:iCs w:val="1"/>
          <w:color w:val="auto"/>
        </w:rPr>
        <w:t xml:space="preserve"> </w:t>
      </w:r>
      <w:r>
        <w:rPr>
          <w:rFonts w:ascii="Arial" w:cs="Arial" w:eastAsia="Arial" w:hAnsi="Arial"/>
          <w:sz w:val="12"/>
          <w:szCs w:val="12"/>
          <w:color w:val="auto"/>
        </w:rPr>
        <w:t>and conventional fuels at our independent power production plants. These fuel supplies are used to produce steam that is sold to industrial and commercial users and electricity that is sold to electric utilities, which is generally subject to the terms and conditions of long-term contracts. Our purchase agreements have been established based on the plants’ anticipated fuel supply needs to meet the demands of our customers under these long-term electricity sale contracts. Under our fuel supply take-or-pay contracts, we are generally obligated to pay for a minimum amount of waste or conventional fuel at a stated rate even if such quantities are not required in our operations.</w:t>
      </w:r>
    </w:p>
    <w:p>
      <w:pPr>
        <w:spacing w:after="0" w:line="45" w:lineRule="exact"/>
        <w:rPr>
          <w:rFonts w:ascii="Arial" w:cs="Arial" w:eastAsia="Arial" w:hAnsi="Arial"/>
          <w:sz w:val="12"/>
          <w:szCs w:val="12"/>
          <w:color w:val="auto"/>
        </w:rPr>
      </w:pPr>
    </w:p>
    <w:p>
      <w:pPr>
        <w:ind w:left="1280" w:hanging="190"/>
        <w:spacing w:after="0" w:line="264" w:lineRule="auto"/>
        <w:tabs>
          <w:tab w:leader="none" w:pos="1280" w:val="left"/>
        </w:tabs>
        <w:numPr>
          <w:ilvl w:val="0"/>
          <w:numId w:val="71"/>
        </w:numPr>
        <w:rPr>
          <w:rFonts w:ascii="Arial" w:cs="Arial" w:eastAsia="Arial" w:hAnsi="Arial"/>
          <w:sz w:val="13"/>
          <w:szCs w:val="13"/>
          <w:color w:val="auto"/>
        </w:rPr>
      </w:pPr>
      <w:r>
        <w:rPr>
          <w:rFonts w:ascii="Arial" w:cs="Arial" w:eastAsia="Arial" w:hAnsi="Arial"/>
          <w:sz w:val="13"/>
          <w:szCs w:val="13"/>
          <w:i w:val="1"/>
          <w:iCs w:val="1"/>
          <w:color w:val="auto"/>
        </w:rPr>
        <w:t xml:space="preserve">Disposal </w:t>
      </w:r>
      <w:r>
        <w:rPr>
          <w:rFonts w:ascii="Arial" w:cs="Arial" w:eastAsia="Arial" w:hAnsi="Arial"/>
          <w:sz w:val="13"/>
          <w:szCs w:val="13"/>
          <w:color w:val="auto"/>
        </w:rPr>
        <w:t>— We have several agreements expiring at various dates through 2052 that require us to dispose of a minimum number of tons at third-party disposal facilities. Under</w:t>
      </w:r>
      <w:r>
        <w:rPr>
          <w:rFonts w:ascii="Arial" w:cs="Arial" w:eastAsia="Arial" w:hAnsi="Arial"/>
          <w:sz w:val="13"/>
          <w:szCs w:val="13"/>
          <w:i w:val="1"/>
          <w:iCs w:val="1"/>
          <w:color w:val="auto"/>
        </w:rPr>
        <w:t xml:space="preserve"> </w:t>
      </w:r>
      <w:r>
        <w:rPr>
          <w:rFonts w:ascii="Arial" w:cs="Arial" w:eastAsia="Arial" w:hAnsi="Arial"/>
          <w:sz w:val="13"/>
          <w:szCs w:val="13"/>
          <w:color w:val="auto"/>
        </w:rPr>
        <w:t>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57"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71"/>
        </w:numPr>
        <w:rPr>
          <w:rFonts w:ascii="Arial" w:cs="Arial" w:eastAsia="Arial" w:hAnsi="Arial"/>
          <w:sz w:val="13"/>
          <w:szCs w:val="13"/>
          <w:color w:val="auto"/>
        </w:rPr>
      </w:pPr>
      <w:r>
        <w:rPr>
          <w:rFonts w:ascii="Arial" w:cs="Arial" w:eastAsia="Arial" w:hAnsi="Arial"/>
          <w:sz w:val="13"/>
          <w:szCs w:val="13"/>
          <w:i w:val="1"/>
          <w:iCs w:val="1"/>
          <w:color w:val="auto"/>
        </w:rPr>
        <w:t xml:space="preserve">Waste Paper </w:t>
      </w:r>
      <w:r>
        <w:rPr>
          <w:rFonts w:ascii="Arial" w:cs="Arial" w:eastAsia="Arial" w:hAnsi="Arial"/>
          <w:sz w:val="13"/>
          <w:szCs w:val="13"/>
          <w:color w:val="auto"/>
        </w:rPr>
        <w:t>— We are party to a waste paper purchase agreement that requires us to purchase a minimum number of tons of waste paper. The cost per ton we pay is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market prices. We currently expect to fulfill our purchase obligations by 2013.</w:t>
      </w:r>
    </w:p>
    <w:p>
      <w:pPr>
        <w:spacing w:after="0" w:line="49" w:lineRule="exact"/>
        <w:rPr>
          <w:rFonts w:ascii="Arial" w:cs="Arial" w:eastAsia="Arial" w:hAnsi="Arial"/>
          <w:sz w:val="13"/>
          <w:szCs w:val="13"/>
          <w:color w:val="auto"/>
        </w:rPr>
      </w:pPr>
    </w:p>
    <w:p>
      <w:pPr>
        <w:ind w:left="1280" w:right="500" w:hanging="190"/>
        <w:spacing w:after="0" w:line="371" w:lineRule="auto"/>
        <w:tabs>
          <w:tab w:leader="none" w:pos="1280" w:val="left"/>
        </w:tabs>
        <w:numPr>
          <w:ilvl w:val="0"/>
          <w:numId w:val="71"/>
        </w:numPr>
        <w:rPr>
          <w:rFonts w:ascii="Arial" w:cs="Arial" w:eastAsia="Arial" w:hAnsi="Arial"/>
          <w:sz w:val="11"/>
          <w:szCs w:val="11"/>
          <w:color w:val="auto"/>
        </w:rPr>
      </w:pPr>
      <w:r>
        <w:rPr>
          <w:rFonts w:ascii="Arial" w:cs="Arial" w:eastAsia="Arial" w:hAnsi="Arial"/>
          <w:sz w:val="11"/>
          <w:szCs w:val="11"/>
          <w:i w:val="1"/>
          <w:iCs w:val="1"/>
          <w:color w:val="auto"/>
        </w:rPr>
        <w:t xml:space="preserve">Royalties </w:t>
      </w:r>
      <w:r>
        <w:rPr>
          <w:rFonts w:ascii="Arial" w:cs="Arial" w:eastAsia="Arial" w:hAnsi="Arial"/>
          <w:sz w:val="11"/>
          <w:szCs w:val="11"/>
          <w:color w:val="auto"/>
        </w:rPr>
        <w:t>— We have various arrangements that require us to make royalty payments to third parties including prior land owners, lessors or host communities where our</w:t>
      </w:r>
      <w:r>
        <w:rPr>
          <w:rFonts w:ascii="Arial" w:cs="Arial" w:eastAsia="Arial" w:hAnsi="Arial"/>
          <w:sz w:val="11"/>
          <w:szCs w:val="11"/>
          <w:i w:val="1"/>
          <w:iCs w:val="1"/>
          <w:color w:val="auto"/>
        </w:rPr>
        <w:t xml:space="preserve"> </w:t>
      </w:r>
      <w:r>
        <w:rPr>
          <w:rFonts w:ascii="Arial" w:cs="Arial" w:eastAsia="Arial" w:hAnsi="Arial"/>
          <w:sz w:val="11"/>
          <w:szCs w:val="11"/>
          <w:color w:val="auto"/>
        </w:rPr>
        <w:t>operations are located. Our obligations generally are based on per ton rates for waste actually received at our transfer stations, landfills or waste-to-energy facilities.</w:t>
      </w:r>
    </w:p>
    <w:p>
      <w:pPr>
        <w:spacing w:after="0" w:line="1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unconditional obligations are established in the ordinary course of our business and are structured in a manner that provides us with access to important resources at competitive, market-driven rates. Our actual future obligations under these outstanding agreements are generally quantity driven, and, as a result, our associated financial obligations are not fixed as of December 31, 2010. For these contracts, we have estimated our future obligations based on the current market values of the underlying products or services. Our estimated minimum obligations for the above-described purchase obligations are $85 million in 2011, $84 million in 2012, $58 million in 2013, $21 million in 2014 and $16 million in 2015. We currently expect the products and services provided by these agreements to continue to meet the needs of our ongoing operations. Therefore, we do not expect these established arrangements to materially impact our future financial position, results of operations or cash flows.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We have entered into the following guarantee agreements associated with our operations:</w:t>
      </w:r>
    </w:p>
    <w:p>
      <w:pPr>
        <w:spacing w:after="0" w:line="96" w:lineRule="exact"/>
        <w:rPr>
          <w:sz w:val="20"/>
          <w:szCs w:val="20"/>
          <w:color w:val="auto"/>
        </w:rPr>
      </w:pPr>
    </w:p>
    <w:p>
      <w:pPr>
        <w:ind w:left="1280" w:right="180" w:hanging="190"/>
        <w:spacing w:after="0" w:line="276" w:lineRule="auto"/>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As of December 31, 2010, WM Holdings has fully and unconditionally guaranteed all of WM’s senior indebtedness, including its senior notes, revolving credit agreement and certain letter of credit facilities, which matures through 2039. WM has fully and unconditionally guaranteed all of the senior indebtedness of</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1280" w:right="360"/>
        <w:spacing w:after="0" w:line="264" w:lineRule="auto"/>
        <w:rPr>
          <w:sz w:val="20"/>
          <w:szCs w:val="20"/>
          <w:color w:val="auto"/>
        </w:rPr>
      </w:pPr>
      <w:r>
        <w:rPr>
          <w:rFonts w:ascii="Arial" w:cs="Arial" w:eastAsia="Arial" w:hAnsi="Arial"/>
          <w:sz w:val="13"/>
          <w:szCs w:val="13"/>
          <w:color w:val="auto"/>
        </w:rPr>
        <w:t>WM Holdings, which matures through 2026. Performance under these guarantee agreements would be required if either party defaulted on their respective obligations. No additional liabilities have been recorded for these guarantees because the underlying obligations are reflected in our Consolidated Balance Sheets. See Note 23 for further information.</w:t>
      </w:r>
    </w:p>
    <w:p>
      <w:pPr>
        <w:spacing w:after="0" w:line="67" w:lineRule="exact"/>
        <w:rPr>
          <w:sz w:val="20"/>
          <w:szCs w:val="20"/>
          <w:color w:val="auto"/>
        </w:rPr>
      </w:pPr>
    </w:p>
    <w:p>
      <w:pPr>
        <w:ind w:left="1280" w:right="40" w:hanging="190"/>
        <w:spacing w:after="0" w:line="260" w:lineRule="auto"/>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WM and WM Holdings have guaranteed the tax-exempt bonds and other debt obligations of their subsidiaries. If a subsidiary fails to meet its obligations associated with its debt agreements as they come due, WM or WM Holdings will be required to perform under the related guarantee agreement. No additional liabilities have been recorded for these guarantees because the underlying obligations are reflected in our Consolidated Balance Sheets. See Note 7 for information related to the balances and maturities of our tax-exempt bonds.</w:t>
      </w:r>
    </w:p>
    <w:p>
      <w:pPr>
        <w:spacing w:after="0" w:line="59"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We have guaranteed certain financial obligations of unconsolidated entities. The related obligations, which mature through 2020, are not recorded on our Consolidated Balance Sheets. As of December 31, 2010, our maximum future payments associated with these guarantees are approximately $11 million. We do not believe that it is likely that we will be required to perform under these guarantees.</w:t>
      </w:r>
    </w:p>
    <w:p>
      <w:pPr>
        <w:spacing w:after="0" w:line="57" w:lineRule="exact"/>
        <w:rPr>
          <w:rFonts w:ascii="Arial" w:cs="Arial" w:eastAsia="Arial" w:hAnsi="Arial"/>
          <w:sz w:val="13"/>
          <w:szCs w:val="13"/>
          <w:color w:val="auto"/>
        </w:rPr>
      </w:pPr>
    </w:p>
    <w:p>
      <w:pPr>
        <w:ind w:left="1280" w:right="160" w:hanging="190"/>
        <w:spacing w:after="0" w:line="322" w:lineRule="auto"/>
        <w:tabs>
          <w:tab w:leader="none" w:pos="12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Certain of our subsidiaries have guaranteed the market or contractually-determined value of certain homeowners’ properties that are adjacent to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28" w:lineRule="exact"/>
        <w:rPr>
          <w:rFonts w:ascii="Arial" w:cs="Arial" w:eastAsia="Arial" w:hAnsi="Arial"/>
          <w:sz w:val="11"/>
          <w:szCs w:val="11"/>
          <w:color w:val="auto"/>
        </w:rPr>
      </w:pPr>
    </w:p>
    <w:p>
      <w:pPr>
        <w:ind w:left="1280" w:hanging="190"/>
        <w:spacing w:after="0" w:line="281" w:lineRule="auto"/>
        <w:tabs>
          <w:tab w:leader="none" w:pos="12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For acquisitions completed subsequent to January 1, 2009, we have recognized liabilities for these contingent obligations based on an estimate of the fair value of these contingencies at the time of acquisition. For acquisitions completed before January 1, 2009, the costs associated with any additional consideration requirements are accounted for as incurred. Contingent obligations related to indemnifications arising from our divestitures and contingent consideration provided for by our acquisitions are not expected to be material to our financial position, results of operations or cash flows.</w:t>
      </w:r>
    </w:p>
    <w:p>
      <w:pPr>
        <w:spacing w:after="0" w:line="48" w:lineRule="exact"/>
        <w:rPr>
          <w:rFonts w:ascii="Arial" w:cs="Arial" w:eastAsia="Arial" w:hAnsi="Arial"/>
          <w:sz w:val="12"/>
          <w:szCs w:val="12"/>
          <w:color w:val="auto"/>
        </w:rPr>
      </w:pPr>
    </w:p>
    <w:p>
      <w:pPr>
        <w:ind w:left="1280" w:right="60" w:hanging="190"/>
        <w:spacing w:after="0" w:line="322" w:lineRule="auto"/>
        <w:tabs>
          <w:tab w:leader="none" w:pos="12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WM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39"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We currently do not believe it is reasonably likely that we would be called upon to perform under these guarantees and do not believe that any of the obligations would have a material effect on our financial position, results of operations or cash flows.</w:t>
      </w:r>
    </w:p>
    <w:p>
      <w:pPr>
        <w:spacing w:after="0" w:line="59"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i w:val="1"/>
          <w:iCs w:val="1"/>
          <w:color w:val="auto"/>
        </w:rPr>
        <w:t xml:space="preserve">Environmental Matters </w:t>
      </w:r>
      <w:r>
        <w:rPr>
          <w:rFonts w:ascii="Arial" w:cs="Arial" w:eastAsia="Arial" w:hAnsi="Arial"/>
          <w:sz w:val="11"/>
          <w:szCs w:val="11"/>
          <w:color w:val="auto"/>
        </w:rPr>
        <w:t>— A significant portion of our operating costs and capital expenditures could be characterized as costs of environmental protection, as we are subject to an</w:t>
      </w:r>
      <w:r>
        <w:rPr>
          <w:rFonts w:ascii="Arial" w:cs="Arial" w:eastAsia="Arial" w:hAnsi="Arial"/>
          <w:sz w:val="11"/>
          <w:szCs w:val="11"/>
          <w:i w:val="1"/>
          <w:iCs w:val="1"/>
          <w:color w:val="auto"/>
        </w:rPr>
        <w:t xml:space="preserve"> </w:t>
      </w:r>
      <w:r>
        <w:rPr>
          <w:rFonts w:ascii="Arial" w:cs="Arial" w:eastAsia="Arial" w:hAnsi="Arial"/>
          <w:sz w:val="11"/>
          <w:szCs w:val="11"/>
          <w:color w:val="auto"/>
        </w:rPr>
        <w:t>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PRP investigations.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80"/>
        <w:spacing w:after="0" w:line="276" w:lineRule="auto"/>
        <w:rPr>
          <w:sz w:val="20"/>
          <w:szCs w:val="20"/>
          <w:color w:val="auto"/>
        </w:rPr>
      </w:pPr>
      <w:r>
        <w:rPr>
          <w:rFonts w:ascii="Arial" w:cs="Arial" w:eastAsia="Arial" w:hAnsi="Arial"/>
          <w:sz w:val="13"/>
          <w:szCs w:val="13"/>
          <w:color w:val="auto"/>
        </w:rPr>
        <w:t>The costs associated with these liabilities can include settlements, certain legal and consultant fees, as well as incremental internal and external costs directly associated with site investigation and clean-up.</w:t>
      </w:r>
    </w:p>
    <w:p>
      <w:pPr>
        <w:spacing w:after="0" w:line="59"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investigation of the extent of environmental impact and identification of likely site-remediation alternatives.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$150 million higher than the $284 million recorded in the Consolidated Financial Statements as of December 31, 2010.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5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of December 31, 2010, we had been notified that we are a PRP in connection with 75 locations listed on the EPA’s National Priorities List, or NPL. Of the 75 sites at which claims have been made against us, 17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58 NPL sites, which we do not own, are at various procedural stages under the Comprehensive Environmental Response, Compensation and Liability Act of 1980, as amended, known as CERCLA or Superfund.</w:t>
      </w:r>
    </w:p>
    <w:p>
      <w:pPr>
        <w:spacing w:after="0" w:line="72"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59"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i w:val="1"/>
          <w:iCs w:val="1"/>
          <w:color w:val="auto"/>
        </w:rPr>
        <w:t xml:space="preserve">Litigation </w:t>
      </w:r>
      <w:r>
        <w:rPr>
          <w:rFonts w:ascii="Arial" w:cs="Arial" w:eastAsia="Arial" w:hAnsi="Arial"/>
          <w:sz w:val="12"/>
          <w:szCs w:val="12"/>
          <w:color w:val="auto"/>
        </w:rPr>
        <w:t>— In April 2002, two former participants in the ERISA plans of WM Holdings filed a lawsuit in the U.S. District Court for the District of Columbia in a case entitled</w:t>
      </w:r>
      <w:r>
        <w:rPr>
          <w:rFonts w:ascii="Arial" w:cs="Arial" w:eastAsia="Arial" w:hAnsi="Arial"/>
          <w:sz w:val="12"/>
          <w:szCs w:val="12"/>
          <w:i w:val="1"/>
          <w:iCs w:val="1"/>
          <w:color w:val="auto"/>
        </w:rPr>
        <w:t xml:space="preserve"> William S. Harris, et al. v. James E. Koenig, et al</w:t>
      </w:r>
      <w:r>
        <w:rPr>
          <w:rFonts w:ascii="Arial" w:cs="Arial" w:eastAsia="Arial" w:hAnsi="Arial"/>
          <w:sz w:val="12"/>
          <w:szCs w:val="12"/>
          <w:color w:val="auto"/>
        </w:rPr>
        <w:t>. The lawsuit named as defendants WM Holdings; the members of WM Holdings’ Board of Directors prior to July 1998; the administrative</w:t>
      </w:r>
      <w:r>
        <w:rPr>
          <w:rFonts w:ascii="Arial" w:cs="Arial" w:eastAsia="Arial" w:hAnsi="Arial"/>
          <w:sz w:val="12"/>
          <w:szCs w:val="12"/>
          <w:i w:val="1"/>
          <w:iCs w:val="1"/>
          <w:color w:val="auto"/>
        </w:rPr>
        <w:t xml:space="preserve"> </w:t>
      </w:r>
      <w:r>
        <w:rPr>
          <w:rFonts w:ascii="Arial" w:cs="Arial" w:eastAsia="Arial" w:hAnsi="Arial"/>
          <w:sz w:val="12"/>
          <w:szCs w:val="12"/>
          <w:color w:val="auto"/>
        </w:rPr>
        <w:t>and investment committees of WM Holdings’ ERISA plans and their individual members; WM’s retirement savings plan; the investment committees of WM’s plan and its individual members; and State Street Bank &amp; Trust, the trustee and investment manager of the ERISA plans. The lawsuit attempts to increase the recovery of a class of ERISA plan participants based on allegations related to both the events alleged in, and the settlements relating to, the securities class action against WM Holdings that was settled in 1998 and the securities class action against WM that was settled in 2001. During the second quarter of 2010, the Court dismissed certain claims against individual defendants, including all claims against each of the current members of our Board of Directors. Mr. Simpson, our Chief Financial Officer, is a named defendant in these actions by virtue of his membership on the WM ERISA plan Investment Committee at that time. Recently, plaintiffs dismissed all claims related to the settlement of the securities class action against WM that was settled in 2001, and the court certified a limited class of participants who may bring claims on behalf of the plan, but not individually. All of the remaining defendants intend to continue to defend themselves vigorously.</w:t>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Two separate wage and hour lawsuits were commenced in October 2006 and March 2007, respectively, that are pending against certain of our subsidiaries in California, each seeking class certification. The actions were coordinated to proceed in San Diego County Superior Court. Both lawsuits make the same general allegations that the defendants failed to comply with certain California wage and hour laws, including allegedly failing to provide meal and rest periods and failing to properly pay hourly and overtime wages. We have executed a settlement agreement in connection with this matter; however, such settlement remains subject to final court approval and other contingencies.</w:t>
      </w:r>
    </w:p>
    <w:p>
      <w:pPr>
        <w:spacing w:after="0" w:line="5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Additionally, in July 2008, we were named as a defendant in a purported class action in the Circuit Court of Bullock County, Alabama, which was subsequently removed to the United States District Court for the Northern District of Alabama. This suit pertains to our fuel and environmental charge and generally alleges that such charges were not properly disclosed, were unfair, and were contrary to contract. We filed a motion to dismiss that was partially granted during the third quarter of 2010, resulting in dismissal of the plaintiffs’ RICO and national class action claims. We deny the claims in all of these actions and intend to continue to oppose class certification and will vigorously defend these matters. Given the inherent uncertainties of litigation, the ultimate outcome of these cases cannot be predicted at this time, nor can possible damages, if any, be reasonably estimated.</w:t>
      </w:r>
    </w:p>
    <w:p>
      <w:pPr>
        <w:spacing w:after="0" w:line="55"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as noted above,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5"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WM’s charter and bylaws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 has entered into separate indemnification agreements with each of the members of its Board of Directors as well as its President and Chief Executive Officer, and its Chief Financial Officer.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55"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interest and costs, of less than $100,000. The following matters pending as of December 31, 2010 are disclosed in accordance with that requirement:</w:t>
      </w:r>
    </w:p>
    <w:p>
      <w:pPr>
        <w:spacing w:after="0" w:line="96"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On April 4, 2006, the EPA issued a Notice of Violation (“NOV”) to Waste Management of Hawaii, Inc., an indirect wholly-owned subsidiary of WM,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(“GCCS”) for the Waimanalo Gulch Sanitary Landfill on Oahu. The EPA has also indicated that it will seek penalties and injunctive relief as part of the NOV enforcement for elevated landfill temperatures that were recorded after installation of the GCCS. The parties have been in confidential settlement negotiations. Pursuant to an indemnity agreement, any penalty assessed will be paid by the Company, and not by the City and County of Honolulu.</w:t>
      </w:r>
    </w:p>
    <w:p>
      <w:pPr>
        <w:spacing w:after="0" w:line="55" w:lineRule="exact"/>
        <w:rPr>
          <w:sz w:val="20"/>
          <w:szCs w:val="20"/>
          <w:color w:val="auto"/>
        </w:rPr>
      </w:pPr>
    </w:p>
    <w:p>
      <w:pPr>
        <w:ind w:left="680" w:right="300" w:firstLine="399"/>
        <w:spacing w:after="0" w:line="289" w:lineRule="auto"/>
        <w:rPr>
          <w:sz w:val="20"/>
          <w:szCs w:val="20"/>
          <w:color w:val="auto"/>
        </w:rPr>
      </w:pPr>
      <w:r>
        <w:rPr>
          <w:rFonts w:ascii="Arial" w:cs="Arial" w:eastAsia="Arial" w:hAnsi="Arial"/>
          <w:sz w:val="12"/>
          <w:szCs w:val="12"/>
          <w:color w:val="auto"/>
        </w:rPr>
        <w:t>The Massachusetts Attorney General’s Office has commenced investigations into allegations of violations of the Clean Air Act, the Clean Water Act, solid waste regulations and permits at Wheelabrator Group facilities in Saugus and North Andover, Massachusetts. The Attorney General’s Office is also considering intervening in two private lawsuits alleging potential claims under the Massachusetts False Claims Act. No formal enforcement action has been brought against the Company, although we potentially could be subject to sanctions, including requirements to pay monetary penalties. We are cooperating with the Attorney General’s office in the investigations.</w:t>
      </w:r>
    </w:p>
    <w:p>
      <w:pPr>
        <w:spacing w:after="0" w:line="53"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Multiemployer, Defined Benefit Pension Plans </w:t>
      </w:r>
      <w:r>
        <w:rPr>
          <w:rFonts w:ascii="Arial" w:cs="Arial" w:eastAsia="Arial" w:hAnsi="Arial"/>
          <w:sz w:val="13"/>
          <w:szCs w:val="13"/>
          <w:color w:val="auto"/>
        </w:rPr>
        <w:t>— Over 20% of our workforce is covered by collective bargaining agreements, which are with various union locals across the United</w:t>
      </w:r>
      <w:r>
        <w:rPr>
          <w:rFonts w:ascii="Arial" w:cs="Arial" w:eastAsia="Arial" w:hAnsi="Arial"/>
          <w:sz w:val="13"/>
          <w:szCs w:val="13"/>
          <w:i w:val="1"/>
          <w:iCs w:val="1"/>
          <w:color w:val="auto"/>
        </w:rPr>
        <w:t xml:space="preserve"> </w:t>
      </w:r>
      <w:r>
        <w:rPr>
          <w:rFonts w:ascii="Arial" w:cs="Arial" w:eastAsia="Arial" w:hAnsi="Arial"/>
          <w:sz w:val="13"/>
          <w:szCs w:val="13"/>
          <w:color w:val="auto"/>
        </w:rPr>
        <w:t>States. As a result of some of these agreements, certain of our subsidiaries are participating employers in a number of trustee-managed multiemployer, defined benefit pension plans for the affected employees. One of the most significant multiemployer pension plans in which we participate is the Central States Southeast and Southwest Areas Pension Plan (“Central States Pension Plan”), which has reported that it adopted a rehabilitation plan as a result of its actuarial certification for the plan year beginning January 1, 2008. The Central States Pension Plan is in “critical status,” as defined by the Pension Protection Act of 2006.</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connection with our ongoing renegotiation of various collective bargaining agreements, we may discuss and negotiate for the complete or partial withdrawal from one or more of these pension plans. We recognized charges to “Operating” expenses of $26 million in 2010, $9 million in 2009 and $39 million in 2008 associated with the withdrawal of certain bargaining units from underfunded multiemployer pension plans. Our partial withdrawal from the Central States Pension Plan accounted for all of our 2010 charges and $35 million of our 2008 charges. We are still negotiating and litigating final resolutions of our withdrawal liability for these previous withdrawals, which could be materially higher than the charges we have recognized. We do not believe that our withdrawals from the multiemployer plans, individually or in the aggregate, will have a material adverse effect on our financial condition or liquidity. However, depending on the number of employees withdrawn in any future period and the financial condition of the multiemployer plans at the time of withdrawal, such withdrawals could materially affect our results of operations in the period of the withdrawal.</w:t>
      </w:r>
    </w:p>
    <w:p>
      <w:pPr>
        <w:spacing w:after="0" w:line="73"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i w:val="1"/>
          <w:iCs w:val="1"/>
          <w:color w:val="auto"/>
        </w:rPr>
        <w:t xml:space="preserve">Tax Matters </w:t>
      </w:r>
      <w:r>
        <w:rPr>
          <w:rFonts w:ascii="Arial" w:cs="Arial" w:eastAsia="Arial" w:hAnsi="Arial"/>
          <w:sz w:val="13"/>
          <w:szCs w:val="13"/>
          <w:color w:val="auto"/>
        </w:rPr>
        <w:t>— We are currently in the examination phase of IRS audits for the tax years 2010 and 2011 and expect these audits to be completed within the next 12 and 24 months,</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2000. In the third quarter of 2010, we finalized audits in Canada through the 2005 tax year and are not currently under audit for any subsequent tax years. To provide for certain potential tax exposures, we maintain a liability for unrecognized tax benefits, the balance of which management believes is adequate. Results of audit assessments by taxing authorities are not currently expected to have a material adverse impact on our results of operations or cash flows.</w:t>
      </w:r>
    </w:p>
    <w:p>
      <w:pPr>
        <w:spacing w:after="0" w:line="146" w:lineRule="exact"/>
        <w:rPr>
          <w:sz w:val="20"/>
          <w:szCs w:val="20"/>
          <w:color w:val="auto"/>
        </w:rPr>
      </w:pPr>
    </w:p>
    <w:p>
      <w:pPr>
        <w:ind w:left="1180" w:hanging="493"/>
        <w:spacing w:after="0"/>
        <w:tabs>
          <w:tab w:leader="none" w:pos="1180"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i w:val="1"/>
          <w:iCs w:val="1"/>
          <w:color w:val="auto"/>
        </w:rPr>
        <w:t xml:space="preserve">2009 Restructuring — </w:t>
      </w:r>
      <w:r>
        <w:rPr>
          <w:rFonts w:ascii="Arial" w:cs="Arial" w:eastAsia="Arial" w:hAnsi="Arial"/>
          <w:sz w:val="13"/>
          <w:szCs w:val="13"/>
          <w:color w:val="auto"/>
        </w:rPr>
        <w:t>In January 2009, we took steps to further streamline our organization by (i) consolidating many of our Market Areas; (ii) integrating the management of our</w:t>
      </w:r>
      <w:r>
        <w:rPr>
          <w:rFonts w:ascii="Arial" w:cs="Arial" w:eastAsia="Arial" w:hAnsi="Arial"/>
          <w:sz w:val="13"/>
          <w:szCs w:val="13"/>
          <w:i w:val="1"/>
          <w:iCs w:val="1"/>
          <w:color w:val="auto"/>
        </w:rPr>
        <w:t xml:space="preserve"> </w:t>
      </w:r>
      <w:r>
        <w:rPr>
          <w:rFonts w:ascii="Arial" w:cs="Arial" w:eastAsia="Arial" w:hAnsi="Arial"/>
          <w:sz w:val="13"/>
          <w:szCs w:val="13"/>
          <w:color w:val="auto"/>
        </w:rPr>
        <w:t>recycling operations with our other solid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waste business; and (iii) realigning our Corporate organization with this new structure in order to provide support functions more efficiently.</w:t>
      </w:r>
    </w:p>
    <w:p>
      <w:pPr>
        <w:spacing w:after="0" w:line="96" w:lineRule="exact"/>
        <w:rPr>
          <w:sz w:val="20"/>
          <w:szCs w:val="20"/>
          <w:color w:val="auto"/>
        </w:rPr>
      </w:pPr>
    </w:p>
    <w:p>
      <w:pPr>
        <w:ind w:left="680" w:right="800" w:firstLine="399"/>
        <w:spacing w:after="0" w:line="255" w:lineRule="auto"/>
        <w:rPr>
          <w:sz w:val="20"/>
          <w:szCs w:val="20"/>
          <w:color w:val="auto"/>
        </w:rPr>
      </w:pPr>
      <w:r>
        <w:rPr>
          <w:rFonts w:ascii="Arial" w:cs="Arial" w:eastAsia="Arial" w:hAnsi="Arial"/>
          <w:sz w:val="13"/>
          <w:szCs w:val="13"/>
          <w:color w:val="auto"/>
        </w:rPr>
        <w:t>Our principal operations are managed through our Groups, which are discussed in Note 21. Each of our four geographic Groups had been further divided into 45 Market Areas. As a result of our restructuring, the Market Areas were consolidated into 25 Areas. We found that our larger Market Areas generally were able to achieve efficiencies through economies of scale that were not present in our smaller Market Areas, and this reorganization has allowed us to lower costs and to continue to standardize processes and improve productivity. In addition, during the first quarter of 2009, responsibility for the oversight of day-to-day recycling operations at our material recovery facilities and secondary processing facilities was transferred from our Waste Management Recycle America, or WMRA, organization to our four geographic Groups. By integrating the management of our recycling facilities’ operations with our other solid waste business, we are able to more efficiently provide comprehensive environmental solutions to our customers. In addition, as a result of this realignment, we have significantly reduced the overhead costs associated with managing this portion of our business and have increased the geographic Groups’ focus on maximizing the profitability and return on invested capital of our business on an integrated basis.</w:t>
      </w:r>
    </w:p>
    <w:p>
      <w:pPr>
        <w:spacing w:after="0" w:line="76" w:lineRule="exact"/>
        <w:rPr>
          <w:sz w:val="20"/>
          <w:szCs w:val="20"/>
          <w:color w:val="auto"/>
        </w:rPr>
      </w:pPr>
    </w:p>
    <w:p>
      <w:pPr>
        <w:ind w:left="680" w:right="820" w:firstLine="399"/>
        <w:spacing w:after="0" w:line="334" w:lineRule="auto"/>
        <w:rPr>
          <w:sz w:val="20"/>
          <w:szCs w:val="20"/>
          <w:color w:val="auto"/>
        </w:rPr>
      </w:pPr>
      <w:r>
        <w:rPr>
          <w:rFonts w:ascii="Arial" w:cs="Arial" w:eastAsia="Arial" w:hAnsi="Arial"/>
          <w:sz w:val="11"/>
          <w:szCs w:val="11"/>
          <w:color w:val="auto"/>
        </w:rPr>
        <w:t>This reorganization eliminated over 1,500 employee positions throughout the Company. During 2009, we recognized $50 million of pre-tax charges associated with this restructuring, of which $41 million were related to employee severance and benefit costs. The remaining charges were primarily related to operating lease obligations for property that will no longer be utilized. The following table summarizes the charges recognized in 2009 for this restructuring by each of our reportable segments and our Corporate and Other organizations (in millions):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$ 12</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Midwest</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Western</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Corporate and Other</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r>
      <w:tr>
        <w:trPr>
          <w:trHeight w:val="20"/>
        </w:trPr>
        <w:tc>
          <w:tcPr>
            <w:tcW w:w="9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$ 50</w:t>
            </w:r>
          </w:p>
        </w:tc>
      </w:tr>
      <w:tr>
        <w:trPr>
          <w:trHeight w:val="29"/>
        </w:trPr>
        <w:tc>
          <w:tcPr>
            <w:tcW w:w="9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color w:val="auto"/>
        </w:rPr>
        <w:t>In 2010, we recognized $2 million of income related to the reversal of pre-tax restructuring charges. Through December 31, 2010, we had paid all of the employee severance and benefit costs incurred as a result of this restructuring.</w:t>
      </w:r>
    </w:p>
    <w:p>
      <w:pPr>
        <w:spacing w:after="0" w:line="59"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i w:val="1"/>
          <w:iCs w:val="1"/>
          <w:color w:val="auto"/>
        </w:rPr>
        <w:t xml:space="preserve">2008 Restructuring — </w:t>
      </w:r>
      <w:r>
        <w:rPr>
          <w:rFonts w:ascii="Arial" w:cs="Arial" w:eastAsia="Arial" w:hAnsi="Arial"/>
          <w:sz w:val="13"/>
          <w:szCs w:val="13"/>
          <w:color w:val="auto"/>
        </w:rPr>
        <w:t>The $2 million of restructuring expenses recognized during 2008 was related to a reorganization of customer service functions in our Western Group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realignment of certain operations in our Southern Group.</w:t>
      </w:r>
    </w:p>
    <w:p>
      <w:pPr>
        <w:spacing w:after="0" w:line="134" w:lineRule="exact"/>
        <w:rPr>
          <w:sz w:val="20"/>
          <w:szCs w:val="20"/>
          <w:color w:val="auto"/>
        </w:rPr>
      </w:pPr>
    </w:p>
    <w:p>
      <w:pPr>
        <w:ind w:left="1180" w:hanging="493"/>
        <w:spacing w:after="0"/>
        <w:tabs>
          <w:tab w:leader="none" w:pos="1180"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left="680" w:right="1260" w:firstLine="399"/>
        <w:spacing w:after="0" w:line="276" w:lineRule="auto"/>
        <w:rPr>
          <w:sz w:val="20"/>
          <w:szCs w:val="20"/>
          <w:color w:val="auto"/>
        </w:rPr>
      </w:pPr>
      <w:r>
        <w:rPr>
          <w:rFonts w:ascii="Arial" w:cs="Arial" w:eastAsia="Arial" w:hAnsi="Arial"/>
          <w:sz w:val="13"/>
          <w:szCs w:val="13"/>
          <w:color w:val="auto"/>
        </w:rPr>
        <w:t>The following table summarizes the major components of “(Income) expense from divestitures, asset impairments and unusual items” for the year ended December 31 for the respective periods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0"/>
                <w:szCs w:val="10"/>
                <w:b w:val="1"/>
                <w:bCs w:val="1"/>
                <w:color w:val="auto"/>
              </w:rPr>
              <w:t>Years Ended December 31,</w:t>
            </w: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0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Income from divestitures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 —</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 (33)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Asset impairments</w:t>
            </w:r>
          </w:p>
        </w:tc>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83</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5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(77)</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(78)</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w w:val="86"/>
              </w:rPr>
              <w:t>$ 83</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 (29)</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140" w:type="dxa"/>
            <w:vAlign w:val="bottom"/>
          </w:tcPr>
          <w:p>
            <w:pPr>
              <w:jc w:val="right"/>
              <w:ind w:right="3094"/>
              <w:spacing w:after="0"/>
              <w:rPr>
                <w:sz w:val="20"/>
                <w:szCs w:val="20"/>
                <w:color w:val="auto"/>
              </w:rPr>
            </w:pPr>
            <w:r>
              <w:rPr>
                <w:rFonts w:ascii="Arial" w:cs="Arial" w:eastAsia="Arial" w:hAnsi="Arial"/>
                <w:sz w:val="13"/>
                <w:szCs w:val="13"/>
                <w:color w:val="auto"/>
              </w:rPr>
              <w:t>105</w:t>
            </w: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5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Income from Divestitures </w:t>
      </w:r>
      <w:r>
        <w:rPr>
          <w:rFonts w:ascii="Arial" w:cs="Arial" w:eastAsia="Arial" w:hAnsi="Arial"/>
          <w:sz w:val="13"/>
          <w:szCs w:val="13"/>
          <w:color w:val="auto"/>
        </w:rPr>
        <w:t>— The net gain from divestitures during 2008 was a result of our focus on selling underperforming businesses and primarily related to the divestiture of</w:t>
      </w:r>
      <w:r>
        <w:rPr>
          <w:rFonts w:ascii="Arial" w:cs="Arial" w:eastAsia="Arial" w:hAnsi="Arial"/>
          <w:sz w:val="13"/>
          <w:szCs w:val="13"/>
          <w:i w:val="1"/>
          <w:iCs w:val="1"/>
          <w:color w:val="auto"/>
        </w:rPr>
        <w:t xml:space="preserve"> </w:t>
      </w:r>
      <w:r>
        <w:rPr>
          <w:rFonts w:ascii="Arial" w:cs="Arial" w:eastAsia="Arial" w:hAnsi="Arial"/>
          <w:sz w:val="13"/>
          <w:szCs w:val="13"/>
          <w:color w:val="auto"/>
        </w:rPr>
        <w:t>underperforming collection operations in our Southern Group.</w:t>
      </w:r>
    </w:p>
    <w:p>
      <w:pPr>
        <w:spacing w:after="0" w:line="59"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i w:val="1"/>
          <w:iCs w:val="1"/>
          <w:color w:val="auto"/>
        </w:rPr>
        <w:t xml:space="preserve">Asset Impairments </w:t>
      </w:r>
      <w:r>
        <w:rPr>
          <w:rFonts w:ascii="Arial" w:cs="Arial" w:eastAsia="Arial" w:hAnsi="Arial"/>
          <w:sz w:val="12"/>
          <w:szCs w:val="12"/>
          <w:color w:val="auto"/>
        </w:rPr>
        <w:t>— Through December 31, 2008, we capitalized $70 million of accumulated costs associated with the development of a new waste and recycling revenue</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system. A significant portion of these costs was specifically associated with the purchase of a license for waste and recycling revenue management software and the efforts required to develop and configure that software for our use. After a failed pilot implementation of the software in one of our smallest Market Areas, the development efforts associated with the revenue management system were suspended in 2007. During 2009, we determined to enhance and improve our existing revenue management system and not pursue alternatives associated with the development and implementation of the licensed software. Accordingly, in 2009, we recognized a non-cash charge of $51 million, $49 million of which was recognized during the first quarter of 2009 and $2 million of which was recognized during the fourth quarter of 2009, for the abandonment of the licensed software.</w:t>
      </w:r>
    </w:p>
    <w:p>
      <w:pPr>
        <w:spacing w:after="0" w:line="59"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We recognized an additional $32 million of impairment charges during 2009, $27 million of which was recognized by our Western Group during the fourth quarter of 2009 to fully impair a landfill in California as a result of a change in our expectations for the future operations of the landfill. The remaining impairment charges were primarily attributable to a charge required to write down certain of our investments in portable self-storage operations to their fair value as a result of our acquisition of a controlling financial interest in those operations.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2008, we recognized a $4 million impairment charge, primarily as a result of a decision to close a landfill in our Southern Group.</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We filed a lawsuit in March 2008 related to the revenue management software implementation that was suspended in 2007 and abandoned in 2009. In April 2010, we settled</w:t>
      </w:r>
      <w:r>
        <w:rPr>
          <w:rFonts w:ascii="Arial" w:cs="Arial" w:eastAsia="Arial" w:hAnsi="Arial"/>
          <w:sz w:val="12"/>
          <w:szCs w:val="12"/>
          <w:i w:val="1"/>
          <w:iCs w:val="1"/>
          <w:color w:val="auto"/>
        </w:rPr>
        <w:t xml:space="preserve"> </w:t>
      </w:r>
      <w:r>
        <w:rPr>
          <w:rFonts w:ascii="Arial" w:cs="Arial" w:eastAsia="Arial" w:hAnsi="Arial"/>
          <w:sz w:val="12"/>
          <w:szCs w:val="12"/>
          <w:color w:val="auto"/>
        </w:rPr>
        <w:t>the lawsuit and received a one-time cash payment. The settlement resulted in an increase in income from operations for the year ended December 31, 2010 of $77 million.</w:t>
      </w:r>
    </w:p>
    <w:p>
      <w:pPr>
        <w:spacing w:after="0" w:line="110" w:lineRule="exact"/>
        <w:rPr>
          <w:sz w:val="20"/>
          <w:szCs w:val="20"/>
          <w:color w:val="auto"/>
        </w:rPr>
      </w:pPr>
    </w:p>
    <w:p>
      <w:pPr>
        <w:ind w:left="1180" w:hanging="493"/>
        <w:spacing w:after="0"/>
        <w:tabs>
          <w:tab w:leader="none" w:pos="1180" w:val="left"/>
        </w:tabs>
        <w:numPr>
          <w:ilvl w:val="0"/>
          <w:numId w:val="76"/>
        </w:numPr>
        <w:rPr>
          <w:rFonts w:ascii="Arial" w:cs="Arial" w:eastAsia="Arial" w:hAnsi="Arial"/>
          <w:sz w:val="13"/>
          <w:szCs w:val="13"/>
          <w:b w:val="1"/>
          <w:bCs w:val="1"/>
          <w:color w:val="auto"/>
        </w:rPr>
      </w:pPr>
      <w:r>
        <w:rPr>
          <w:rFonts w:ascii="Arial" w:cs="Arial" w:eastAsia="Arial" w:hAnsi="Arial"/>
          <w:sz w:val="13"/>
          <w:szCs w:val="13"/>
          <w:b w:val="1"/>
          <w:bCs w:val="1"/>
          <w:color w:val="auto"/>
        </w:rPr>
        <w:t>Accumulated Other Comprehensive Income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components of accumulated other comprehensive income, which is included as a component of Waste Management, Inc. stockholders’ equity, were as follows (in millions):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200" w:type="dxa"/>
            <w:vAlign w:val="bottom"/>
          </w:tcPr>
          <w:p>
            <w:pPr>
              <w:spacing w:after="0"/>
              <w:rPr>
                <w:sz w:val="8"/>
                <w:szCs w:val="8"/>
                <w:color w:val="auto"/>
              </w:rPr>
            </w:pPr>
          </w:p>
        </w:tc>
        <w:tc>
          <w:tcPr>
            <w:tcW w:w="30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140" w:type="dxa"/>
            <w:vAlign w:val="bottom"/>
          </w:tcPr>
          <w:p>
            <w:pPr>
              <w:spacing w:after="0"/>
              <w:rPr>
                <w:sz w:val="8"/>
                <w:szCs w:val="8"/>
                <w:color w:val="auto"/>
              </w:rPr>
            </w:pPr>
          </w:p>
        </w:tc>
        <w:tc>
          <w:tcPr>
            <w:tcW w:w="560" w:type="dxa"/>
            <w:vAlign w:val="bottom"/>
            <w:gridSpan w:val="3"/>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8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29"/>
        </w:trPr>
        <w:tc>
          <w:tcPr>
            <w:tcW w:w="8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taxes of $20 for 2010, $4 for 2009 and $12 for 2008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Accumulated unrealized gain (loss) on marketable securities, net of taxes of $3 for 2010, $1 for 2009 and $1 for 2008</w:t>
            </w:r>
          </w:p>
        </w:tc>
        <w:tc>
          <w:tcPr>
            <w:tcW w:w="1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adjustments</w:t>
            </w: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261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212</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113</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Funded status of post-retirement benefit obligations, net of taxes of $4 for 2010, $1 for 2009 and $5 for 2008</w:t>
            </w:r>
          </w:p>
        </w:tc>
        <w:tc>
          <w:tcPr>
            <w:tcW w:w="10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230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w:t>
            </w:r>
          </w:p>
        </w:tc>
      </w:tr>
      <w:tr>
        <w:trPr>
          <w:trHeight w:val="29"/>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Stock, Share Repurchases and Dividends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Stock</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As of December 31, 2010, we have 475.0 million shares of common stock issued and outstanding. We have 1.5 billion shares of authorized common stock with a par value of $0.01 per common share. The Board of Directors is authorized to issue preferred stock in series, and with respect to each series, to fix its designation, relative rights (including voting, dividend, conversion, sinking fund, and redemption rights), preferences (including dividends and</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liquidation) and limitations. We have ten million shares of authorized preferred stock, $0.01 par value, none of which is currently outstanding.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activity under our stock repurchase programs for each year presented: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200" w:type="dxa"/>
            <w:vAlign w:val="bottom"/>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99"/>
              </w:rPr>
              <w:t>Years Ended December 31,</w:t>
            </w:r>
          </w:p>
        </w:tc>
        <w:tc>
          <w:tcPr>
            <w:tcW w:w="2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r>
        <w:trPr>
          <w:trHeight w:val="98"/>
        </w:trPr>
        <w:tc>
          <w:tcPr>
            <w:tcW w:w="5200" w:type="dxa"/>
            <w:vAlign w:val="bottom"/>
          </w:tcPr>
          <w:p>
            <w:pPr>
              <w:spacing w:after="0"/>
              <w:rPr>
                <w:sz w:val="8"/>
                <w:szCs w:val="8"/>
                <w:color w:val="auto"/>
              </w:rPr>
            </w:pPr>
          </w:p>
        </w:tc>
        <w:tc>
          <w:tcPr>
            <w:tcW w:w="14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2010</w:t>
            </w:r>
          </w:p>
        </w:tc>
        <w:tc>
          <w:tcPr>
            <w:tcW w:w="1700" w:type="dxa"/>
            <w:vAlign w:val="bottom"/>
            <w:gridSpan w:val="2"/>
          </w:tcPr>
          <w:p>
            <w:pPr>
              <w:jc w:val="center"/>
              <w:ind w:left="238"/>
              <w:spacing w:after="0" w:line="98" w:lineRule="exact"/>
              <w:rPr>
                <w:sz w:val="20"/>
                <w:szCs w:val="20"/>
                <w:color w:val="auto"/>
              </w:rPr>
            </w:pPr>
            <w:r>
              <w:rPr>
                <w:rFonts w:ascii="Arial" w:cs="Arial" w:eastAsia="Arial" w:hAnsi="Arial"/>
                <w:sz w:val="10"/>
                <w:szCs w:val="10"/>
                <w:b w:val="1"/>
                <w:bCs w:val="1"/>
                <w:color w:val="auto"/>
                <w:w w:val="89"/>
              </w:rPr>
              <w:t>2009</w:t>
            </w:r>
          </w:p>
        </w:tc>
        <w:tc>
          <w:tcPr>
            <w:tcW w:w="1680" w:type="dxa"/>
            <w:vAlign w:val="bottom"/>
            <w:gridSpan w:val="2"/>
          </w:tcPr>
          <w:p>
            <w:pPr>
              <w:jc w:val="center"/>
              <w:ind w:left="238"/>
              <w:spacing w:after="0" w:line="98" w:lineRule="exact"/>
              <w:rPr>
                <w:sz w:val="20"/>
                <w:szCs w:val="20"/>
                <w:color w:val="auto"/>
              </w:rPr>
            </w:pPr>
            <w:r>
              <w:rPr>
                <w:rFonts w:ascii="Arial" w:cs="Arial" w:eastAsia="Arial" w:hAnsi="Arial"/>
                <w:sz w:val="10"/>
                <w:szCs w:val="10"/>
                <w:b w:val="1"/>
                <w:bCs w:val="1"/>
                <w:color w:val="auto"/>
                <w:w w:val="98"/>
              </w:rPr>
              <w:t>2008</w:t>
            </w:r>
          </w:p>
        </w:tc>
      </w:tr>
      <w:tr>
        <w:trPr>
          <w:trHeight w:val="29"/>
        </w:trPr>
        <w:tc>
          <w:tcPr>
            <w:tcW w:w="52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Shares repurchased (in thousands)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14,920</w:t>
            </w:r>
          </w:p>
        </w:tc>
        <w:tc>
          <w:tcPr>
            <w:tcW w:w="170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2"/>
              </w:rPr>
              <w:t>7,237</w:t>
            </w:r>
          </w:p>
        </w:tc>
        <w:tc>
          <w:tcPr>
            <w:tcW w:w="168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0"/>
              </w:rPr>
              <w:t>12,390</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Per share purchase price</w:t>
            </w: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$31.56-$37.05</w:t>
            </w:r>
          </w:p>
        </w:tc>
        <w:tc>
          <w:tcPr>
            <w:tcW w:w="1700" w:type="dxa"/>
            <w:vAlign w:val="bottom"/>
            <w:gridSpan w:val="2"/>
          </w:tcPr>
          <w:p>
            <w:pPr>
              <w:jc w:val="center"/>
              <w:ind w:left="238"/>
              <w:spacing w:after="0"/>
              <w:rPr>
                <w:sz w:val="20"/>
                <w:szCs w:val="20"/>
                <w:color w:val="auto"/>
              </w:rPr>
            </w:pPr>
            <w:r>
              <w:rPr>
                <w:rFonts w:ascii="Arial" w:cs="Arial" w:eastAsia="Arial" w:hAnsi="Arial"/>
                <w:sz w:val="13"/>
                <w:szCs w:val="13"/>
                <w:color w:val="auto"/>
                <w:w w:val="90"/>
              </w:rPr>
              <w:t>$28.06-$33.80</w:t>
            </w:r>
          </w:p>
        </w:tc>
        <w:tc>
          <w:tcPr>
            <w:tcW w:w="1680" w:type="dxa"/>
            <w:vAlign w:val="bottom"/>
            <w:gridSpan w:val="2"/>
          </w:tcPr>
          <w:p>
            <w:pPr>
              <w:jc w:val="center"/>
              <w:ind w:left="218"/>
              <w:spacing w:after="0"/>
              <w:rPr>
                <w:sz w:val="20"/>
                <w:szCs w:val="20"/>
                <w:color w:val="auto"/>
              </w:rPr>
            </w:pPr>
            <w:r>
              <w:rPr>
                <w:rFonts w:ascii="Arial" w:cs="Arial" w:eastAsia="Arial" w:hAnsi="Arial"/>
                <w:sz w:val="13"/>
                <w:szCs w:val="13"/>
                <w:color w:val="auto"/>
                <w:w w:val="90"/>
              </w:rPr>
              <w:t>$28.98-$38.44</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Total repurchases (in millions)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$501</w:t>
            </w:r>
          </w:p>
        </w:tc>
        <w:tc>
          <w:tcPr>
            <w:tcW w:w="170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89"/>
              </w:rPr>
              <w:t>$226</w:t>
            </w:r>
          </w:p>
        </w:tc>
        <w:tc>
          <w:tcPr>
            <w:tcW w:w="168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89"/>
              </w:rPr>
              <w:t>$410</w:t>
            </w:r>
          </w:p>
        </w:tc>
      </w:tr>
    </w:tbl>
    <w:p>
      <w:pPr>
        <w:spacing w:after="0" w:line="158"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July 2008, we suspended our share repurchases in connection with a proposed acquisition. In the fourth quarter of 2008, we determined that, given the state of the economy and the financial markets, it would be prudent to suspend repurchases for the foreseeable future. In June 2009, we decided that the improvement in the capital markets and the economic environment supported a decision to resume repurchases of our common stock during the second half of 2009.</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Our Board of Directors approved a capital allocation program for 2010 that included the authorization for expenditures of up to $1.3 billion, comprised of approximately $615 million in cash dividends and up to $685 million in common stock repurchases. All of the common stock repurchases in 2010 were made pursuant to this capital allocation program. In December 2010, the Board of Directors approved up to $575 million in share repurchases for 2011 and we entered into plans under SEC Rule 10b5-1 to effect market purchases of our common stock in the first quarter of 2011. We repurchased approximately $26 million of our common stock pursuant to these plans, through February 14, 2011.</w:t>
      </w:r>
    </w:p>
    <w:p>
      <w:pPr>
        <w:spacing w:after="0" w:line="53"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Future share repurchases will be made within the limits approved by our Board of Directors at the discretion of management, and will depend on factors similar to those considered by the Board in making dividend declarations.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Dividends</w:t>
      </w:r>
    </w:p>
    <w:p>
      <w:pPr>
        <w:spacing w:after="0" w:line="96" w:lineRule="exact"/>
        <w:rPr>
          <w:sz w:val="20"/>
          <w:szCs w:val="20"/>
          <w:color w:val="auto"/>
        </w:rPr>
      </w:pPr>
    </w:p>
    <w:p>
      <w:pPr>
        <w:ind w:left="680" w:right="620" w:firstLine="399"/>
        <w:spacing w:after="0" w:line="320" w:lineRule="auto"/>
        <w:rPr>
          <w:sz w:val="20"/>
          <w:szCs w:val="20"/>
          <w:color w:val="auto"/>
        </w:rPr>
      </w:pPr>
      <w:r>
        <w:rPr>
          <w:rFonts w:ascii="Arial" w:cs="Arial" w:eastAsia="Arial" w:hAnsi="Arial"/>
          <w:sz w:val="12"/>
          <w:szCs w:val="12"/>
          <w:color w:val="auto"/>
        </w:rPr>
        <w:t>Our quarterly dividends have been declared by our Board of Directors and paid in accordance with our capital allocation programs. Cash dividends declared and paid were $604 million in 2010, or $1.26 per common share, $569 million in 2009, or $1.16 per common share and $531 million in 2008, or $1.08 per common share.</w:t>
      </w:r>
    </w:p>
    <w:p>
      <w:pPr>
        <w:spacing w:after="0" w:line="3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December 2010, we announced that our Board of Directors expects to increase the per share quarterly dividend from $0.315 to $0.34 for dividends declared in 2011. However,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142" w:lineRule="exact"/>
        <w:rPr>
          <w:sz w:val="20"/>
          <w:szCs w:val="20"/>
          <w:color w:val="auto"/>
        </w:rPr>
      </w:pPr>
    </w:p>
    <w:p>
      <w:pPr>
        <w:ind w:left="1180" w:hanging="493"/>
        <w:spacing w:after="0"/>
        <w:tabs>
          <w:tab w:leader="none" w:pos="118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We have an Employee Stock Purchase Plan under which employees that have been employed for at least 30 days may purchase shares of our common stock at a discount. The plan provides for two offering periods for purchases: January through June and July through December. At the end of each offering period, employees are able to purchase shares of our common stock at a price equal to 85% of the lesser of the market value of the stock on the first and last day of such offering period. The purchases are made through payroll deductions, and the number of shares that may be purchased is limited by IRS regulations. The total number of shares issued under the plan for the offering periods in each of 2010, 2009 and 2008 was approximately 911,000, 969,000 and 839,000, respectively. Including the impact of the January 2011 issuance of shares associated with the July to December 2010 offering period, approximately 1.6 million shares remain available for issuance under the plan.</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Accounting for our Employee Stock Purchase Plan increased annual compensation expense by approximately $7 million, or $4 million net of tax, for 2010 and by $6 million, or $4 million net of tax, for both 2009 and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Incentive Plans</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We grant equity and equity-based awards to our officers, employees and independent directors. The Company’s 2004 Stock Incentive Plan, which authorized the issuance of up to 34 million shares of our common stock, terminated by its terms in May 2009, at which time our stockholders approved our 2009 Stock Incentive Plan. The 2009 Plan provides for the issuance of up to 26.2 million shares of our common stock. As of December 31, 2010, approximately 16.0 million shares remain available for issuance under the 2009 Plan. We currently utilize treasury shares to meet the needs of our equity-based compensation programs.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Pursuant to the 2009 Plan, we have the ability to issue stock options, stock appreciation rights and stock awards, including restricted stock, restricted stock units, or RSUs, and performance share units, or PSUs. The terms and conditions of equity awards granted under the 2009 Plan are determined by the Management Development and Compensation Committee of our Board of Directors.</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Company grants equity awards to certain key employees as part of its long-term incentive plan, or LTIP. The annual LTIP awards granted in 2008 and 2009 included a combination of RSUs and PSUs. In 2010, we re-introduced stock options as a component of equity compensation, and key employees were granted a combination of PSUs and stock options. Beginning in 2008, the annual LTIP award made to the Company’s senior leadership team, which generally includes the Company’s executive officers, was comprised solely of PSUs. We continued this practice in 2009; however, in 2010, the annual LTIP award to the Company’s senior leadership team included a combination of PSUs and stock options. During the reported periods, the Company has also granted restricted stock units and stock options to employees working on key initiatives; in connection with new hires and promotions; and to field-based managers.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Restricted Stock Units — </w:t>
      </w:r>
      <w:r>
        <w:rPr>
          <w:rFonts w:ascii="Arial" w:cs="Arial" w:eastAsia="Arial" w:hAnsi="Arial"/>
          <w:sz w:val="13"/>
          <w:szCs w:val="13"/>
          <w:color w:val="auto"/>
        </w:rPr>
        <w:t>A summary of our RSUs is presented in the table below (units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6"/>
          </w:tcPr>
          <w:p>
            <w:pPr>
              <w:ind w:left="100"/>
              <w:spacing w:after="0"/>
              <w:rPr>
                <w:sz w:val="20"/>
                <w:szCs w:val="20"/>
                <w:color w:val="auto"/>
              </w:rPr>
            </w:pPr>
            <w:r>
              <w:rPr>
                <w:rFonts w:ascii="Arial" w:cs="Arial" w:eastAsia="Arial" w:hAnsi="Arial"/>
                <w:sz w:val="10"/>
                <w:szCs w:val="10"/>
                <w:b w:val="1"/>
                <w:bCs w:val="1"/>
                <w:color w:val="auto"/>
              </w:rPr>
              <w:t>Years Ended December 31,</w:t>
            </w: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2010</w:t>
            </w: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2009</w:t>
            </w: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2008</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5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Fair</w:t>
            </w: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Fair</w:t>
            </w: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5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5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beginning of year</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30.76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33.46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32.58</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8</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34.25</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369</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23.66</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359</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33.33</w:t>
            </w:r>
          </w:p>
        </w:tc>
        <w:tc>
          <w:tcPr>
            <w:tcW w:w="0" w:type="dxa"/>
            <w:vAlign w:val="bottom"/>
          </w:tcPr>
          <w:p>
            <w:pPr>
              <w:spacing w:after="0"/>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Vested(a)</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35.37</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31.49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30.41</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(24)</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26.54</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(48)</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32.81</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(24)</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33.22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end of year</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27.61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30.76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160" w:hanging="393"/>
        <w:spacing w:after="0" w:line="276" w:lineRule="auto"/>
        <w:tabs>
          <w:tab w:leader="none" w:pos="10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total fair market value of the shares issued upon the vesting of RSUs during the years ended December 31, 2010, 2009 and 2008 was $14 million, $13 million and $11 million, respectively.</w:t>
      </w:r>
    </w:p>
    <w:p>
      <w:pPr>
        <w:spacing w:after="0" w:line="59"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RSUs provide award recipients with dividend equivalents during the vesting period, but the units may not be voted or sold until time-based vesting restrictions have lapsed. RSUs provide for three-year cliff vesting. Unvested units are subject to forfeiture in the event of voluntary or for-cause termination. RSUs are subject to pro-rata vesting upon an employee’s retirement or involuntary termination other than for cause and become immediately vested in the event of an employee’s death or disability.</w:t>
      </w:r>
    </w:p>
    <w:p>
      <w:pPr>
        <w:spacing w:after="0" w:line="5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Compensation expense associated with RSUs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current period and historical forfeitures.</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i w:val="1"/>
          <w:iCs w:val="1"/>
          <w:color w:val="auto"/>
        </w:rPr>
        <w:t xml:space="preserve">Performance Share Units — </w:t>
      </w:r>
      <w:r>
        <w:rPr>
          <w:rFonts w:ascii="Arial" w:cs="Arial" w:eastAsia="Arial" w:hAnsi="Arial"/>
          <w:sz w:val="12"/>
          <w:szCs w:val="12"/>
          <w:color w:val="auto"/>
        </w:rPr>
        <w:t>PSUs are payable in shares of common stock after the end of a three-year performance period and after the Company’s financial results for the entire</w:t>
      </w:r>
      <w:r>
        <w:rPr>
          <w:rFonts w:ascii="Arial" w:cs="Arial" w:eastAsia="Arial" w:hAnsi="Arial"/>
          <w:sz w:val="12"/>
          <w:szCs w:val="12"/>
          <w:i w:val="1"/>
          <w:iCs w:val="1"/>
          <w:color w:val="auto"/>
        </w:rPr>
        <w:t xml:space="preserve"> </w:t>
      </w:r>
      <w:r>
        <w:rPr>
          <w:rFonts w:ascii="Arial" w:cs="Arial" w:eastAsia="Arial" w:hAnsi="Arial"/>
          <w:sz w:val="12"/>
          <w:szCs w:val="12"/>
          <w:color w:val="auto"/>
        </w:rPr>
        <w:t>performance period are reported, typically in mid to late February of the succeeding year. At the end of the performance period, the number of shares awarded can range from 0% to 200% of the targeted amount, depending on the Company’s performance against pre-established financial targets. A summary of our PSUs is presented in the table below (units in thousands):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6"/>
          </w:tcPr>
          <w:p>
            <w:pPr>
              <w:ind w:left="60"/>
              <w:spacing w:after="0"/>
              <w:rPr>
                <w:sz w:val="20"/>
                <w:szCs w:val="20"/>
                <w:color w:val="auto"/>
              </w:rPr>
            </w:pPr>
            <w:r>
              <w:rPr>
                <w:rFonts w:ascii="Arial" w:cs="Arial" w:eastAsia="Arial" w:hAnsi="Arial"/>
                <w:sz w:val="10"/>
                <w:szCs w:val="10"/>
                <w:b w:val="1"/>
                <w:bCs w:val="1"/>
                <w:color w:val="auto"/>
              </w:rPr>
              <w:t>Years Ended December 31,</w:t>
            </w: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2009</w:t>
            </w: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2008</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Fair</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96"/>
              </w:rPr>
              <w:t>Units(a)</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Fair</w:t>
            </w: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Units(b)</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Value</w:t>
            </w:r>
          </w:p>
        </w:tc>
        <w:tc>
          <w:tcPr>
            <w:tcW w:w="5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5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beginning of year</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2,254</w:t>
            </w: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27.68</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34.78</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1,519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35.01</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440" w:type="dxa"/>
            <w:vAlign w:val="bottom"/>
          </w:tcPr>
          <w:p>
            <w:pPr>
              <w:jc w:val="right"/>
              <w:spacing w:after="0"/>
              <w:rPr>
                <w:sz w:val="20"/>
                <w:szCs w:val="20"/>
                <w:color w:val="auto"/>
              </w:rPr>
            </w:pPr>
            <w:r>
              <w:rPr>
                <w:rFonts w:ascii="Arial" w:cs="Arial" w:eastAsia="Arial" w:hAnsi="Arial"/>
                <w:sz w:val="13"/>
                <w:szCs w:val="13"/>
                <w:color w:val="auto"/>
              </w:rPr>
              <w:t>690</w:t>
            </w:r>
          </w:p>
        </w:tc>
        <w:tc>
          <w:tcPr>
            <w:tcW w:w="10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33.49</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1,159</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22.66</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1,169</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32.92</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Vested(c)</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37.28</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31.93</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Expired without vesting(d)</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(1,064)</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32.92</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Forfeited</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28.41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33.59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34.48</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3"/>
                <w:szCs w:val="13"/>
                <w:color w:val="auto"/>
              </w:rPr>
              <w:t>Unvested, end of year</w:t>
            </w: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26.72</w:t>
            </w: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27.68</w:t>
            </w: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34.78</w:t>
            </w:r>
          </w:p>
        </w:tc>
        <w:tc>
          <w:tcPr>
            <w:tcW w:w="0" w:type="dxa"/>
            <w:vAlign w:val="bottom"/>
          </w:tcPr>
          <w:p>
            <w:pPr>
              <w:spacing w:after="0" w:line="20" w:lineRule="exact"/>
              <w:rPr>
                <w:sz w:val="1"/>
                <w:szCs w:val="1"/>
                <w:color w:val="auto"/>
              </w:rPr>
            </w:pPr>
          </w:p>
        </w:tc>
      </w:tr>
      <w:tr>
        <w:trPr>
          <w:trHeight w:val="166"/>
        </w:trPr>
        <w:tc>
          <w:tcPr>
            <w:tcW w:w="4920" w:type="dxa"/>
            <w:vAlign w:val="bottom"/>
            <w:gridSpan w:val="2"/>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1,740</w:t>
            </w:r>
          </w:p>
        </w:tc>
        <w:tc>
          <w:tcPr>
            <w:tcW w:w="1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2,254</w:t>
            </w: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2,009</w:t>
            </w:r>
          </w:p>
        </w:tc>
        <w:tc>
          <w:tcPr>
            <w:tcW w:w="3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40" w:hanging="393"/>
        <w:spacing w:after="0" w:line="260" w:lineRule="auto"/>
        <w:tabs>
          <w:tab w:leader="none" w:pos="10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Company’s financial results for the three-year performance period ended December 31, 2009, as measured for purposes of these awards, were lower than the target levels established but in excess of the threshold performance criteria. Accordingly, recipients of PSU awards with the performance period ended December 31, 2009 were entitled to receive a payout of approximately 84% on the vested PSUs. In early 2010, we issued approximately 443,000 shares of common stock for these vested PSUs, net of units deferred and units used for payment of associated taxes.</w:t>
      </w:r>
    </w:p>
    <w:p>
      <w:pPr>
        <w:spacing w:after="0" w:line="20" w:lineRule="exact"/>
        <w:rPr>
          <w:rFonts w:ascii="Arial" w:cs="Arial" w:eastAsia="Arial" w:hAnsi="Arial"/>
          <w:sz w:val="13"/>
          <w:szCs w:val="13"/>
          <w:color w:val="auto"/>
        </w:rPr>
      </w:pPr>
    </w:p>
    <w:p>
      <w:pPr>
        <w:ind w:left="1080" w:right="160" w:hanging="393"/>
        <w:spacing w:after="0" w:line="260" w:lineRule="auto"/>
        <w:tabs>
          <w:tab w:leader="none" w:pos="10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Company’s financial results for the three-year period ended December 31, 2008, as measured for purposes of these awards, were lower than the target levels established but in excess of the threshold performance criteria. Accordingly, recipients of the PSU awards with the performance period ended December 31, 2008 were entitled to receive a payout of approximately 94% on the vested PSUs. In early 2009, we issued approximately 374,000 shares of common stock for these vested PSUs, net of units deferred and units used for payment of associated taxes.</w:t>
      </w:r>
    </w:p>
    <w:p>
      <w:pPr>
        <w:spacing w:after="0" w:line="20" w:lineRule="exact"/>
        <w:rPr>
          <w:rFonts w:ascii="Arial" w:cs="Arial" w:eastAsia="Arial" w:hAnsi="Arial"/>
          <w:sz w:val="13"/>
          <w:szCs w:val="13"/>
          <w:color w:val="auto"/>
        </w:rPr>
      </w:pPr>
    </w:p>
    <w:p>
      <w:pPr>
        <w:ind w:left="1080" w:hanging="393"/>
        <w:spacing w:after="0"/>
        <w:tabs>
          <w:tab w:leader="none" w:pos="10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shares issued upon the vesting of PSUs had a fair market value of $23 million in 2009 and $17 million in 2008.</w:t>
      </w:r>
    </w:p>
    <w:p>
      <w:pPr>
        <w:spacing w:after="0" w:line="47" w:lineRule="exact"/>
        <w:rPr>
          <w:rFonts w:ascii="Arial" w:cs="Arial" w:eastAsia="Arial" w:hAnsi="Arial"/>
          <w:sz w:val="13"/>
          <w:szCs w:val="13"/>
          <w:color w:val="auto"/>
        </w:rPr>
      </w:pPr>
    </w:p>
    <w:p>
      <w:pPr>
        <w:ind w:left="1080" w:right="280" w:hanging="393"/>
        <w:spacing w:after="0" w:line="276" w:lineRule="auto"/>
        <w:tabs>
          <w:tab w:leader="none" w:pos="10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It was evident at the end of 2010 that the Company’s financial results for the three-year performance period ended December 31, 2010 would not meet the threshold performance criteria for such PSUs, and as a result, the PSUs with the performance period ended December 31, 2010 expired without vesting.</w:t>
      </w:r>
    </w:p>
    <w:p>
      <w:pPr>
        <w:spacing w:after="0" w:line="59"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PSUs have no voting rights. Beginning with the PSU awards made in 2007, PSUs receive dividend equivalents that are paid out in cash based on actual performance at the end of the awards’ performance period. In the case of the PSUs with the performance period ended December 31, 2010 that expired without vesting, no dividend equivalents will be paid. PSUs are payable to an employee (or his beneficiary) upon death or disability as if that employee had remained employed until the end of the performance period, are subject to pro-rata vesting upon an employee’s retirement or involuntary termination other than for cause and are subject to forfeiture in the event of voluntary or for-cause termination.</w:t>
      </w:r>
    </w:p>
    <w:p>
      <w:pPr>
        <w:spacing w:after="0" w:line="53"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Compensation expense associated with PSUs that continue to vest based on future performance is measured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current period and historical forfeitures.</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Stock Options — </w:t>
      </w:r>
      <w:r>
        <w:rPr>
          <w:rFonts w:ascii="Arial" w:cs="Arial" w:eastAsia="Arial" w:hAnsi="Arial"/>
          <w:sz w:val="13"/>
          <w:szCs w:val="13"/>
          <w:color w:val="auto"/>
        </w:rPr>
        <w:t>Prior to 2005, stock options were the primary form of equity-based compensation we granted to our employees. In 2010, the Management Development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Committee decided to re-introduce stock options as a component of our LTIP awards. All of our previously granted stock option awards have vested, with the exception of any grants pursuant to the reload feature discussed in footnote (a) to the table below. The stock options will vest in 25% increments on the first two anniversaries of the date of grant and the remaining 50% will vest on the third anniversary. The exercise price of the options is the fair market value of our common stock on the date of grant, and the options have a term of 10 years. A summary of our stock options is presented in the table below (shares in thousands):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0"/>
                <w:szCs w:val="10"/>
                <w:b w:val="1"/>
                <w:bCs w:val="1"/>
                <w:color w:val="auto"/>
                <w:w w:val="93"/>
              </w:rPr>
              <w:t>Years Ended December 31,</w:t>
            </w: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Shares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2"/>
              </w:rPr>
              <w:t>Exercise</w:t>
            </w: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Shares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2"/>
              </w:rPr>
              <w:t>Exercise</w:t>
            </w: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Shares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Price</w:t>
            </w:r>
          </w:p>
        </w:tc>
        <w:tc>
          <w:tcPr>
            <w:tcW w:w="5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Price</w:t>
            </w:r>
          </w:p>
        </w:tc>
        <w:tc>
          <w:tcPr>
            <w:tcW w:w="5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beginning of year</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8,800</w:t>
            </w: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25.98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11,045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26.97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14,620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29.33</w:t>
            </w: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Granted(a)</w:t>
            </w:r>
          </w:p>
        </w:tc>
        <w:tc>
          <w:tcPr>
            <w:tcW w:w="440" w:type="dxa"/>
            <w:vAlign w:val="bottom"/>
          </w:tcPr>
          <w:p>
            <w:pPr>
              <w:jc w:val="right"/>
              <w:spacing w:after="0"/>
              <w:rPr>
                <w:sz w:val="20"/>
                <w:szCs w:val="20"/>
                <w:color w:val="auto"/>
              </w:rPr>
            </w:pPr>
            <w:r>
              <w:rPr>
                <w:rFonts w:ascii="Arial" w:cs="Arial" w:eastAsia="Arial" w:hAnsi="Arial"/>
                <w:sz w:val="13"/>
                <w:szCs w:val="13"/>
                <w:color w:val="auto"/>
              </w:rPr>
              <w:t>3,901</w:t>
            </w:r>
          </w:p>
        </w:tc>
        <w:tc>
          <w:tcPr>
            <w:tcW w:w="12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33.56</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27.90</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35.27</w:t>
            </w: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Exercised(b)</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(2,454)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25.17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(1,285)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(1,506)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24.95</w:t>
            </w: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Forfeited or expired</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(290)</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32.88</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(961)</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39.62</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(2,075)</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45.09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end of year(c)</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9,957</w:t>
            </w: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28.95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25.98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11,045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26.97</w:t>
            </w:r>
          </w:p>
        </w:tc>
        <w:tc>
          <w:tcPr>
            <w:tcW w:w="0" w:type="dxa"/>
            <w:vAlign w:val="bottom"/>
          </w:tcPr>
          <w:p>
            <w:pPr>
              <w:spacing w:after="0"/>
              <w:rPr>
                <w:sz w:val="1"/>
                <w:szCs w:val="1"/>
                <w:color w:val="auto"/>
              </w:rPr>
            </w:pPr>
          </w:p>
        </w:tc>
      </w:tr>
      <w:tr>
        <w:trPr>
          <w:trHeight w:val="29"/>
        </w:trPr>
        <w:tc>
          <w:tcPr>
            <w:tcW w:w="4780" w:type="dxa"/>
            <w:vAlign w:val="bottom"/>
            <w:gridSpan w:val="2"/>
            <w:vMerge w:val="restart"/>
          </w:tcPr>
          <w:p>
            <w:pPr>
              <w:spacing w:after="0"/>
              <w:rPr>
                <w:sz w:val="20"/>
                <w:szCs w:val="20"/>
                <w:color w:val="auto"/>
              </w:rPr>
            </w:pPr>
            <w:r>
              <w:rPr>
                <w:rFonts w:ascii="Arial" w:cs="Arial" w:eastAsia="Arial" w:hAnsi="Arial"/>
                <w:sz w:val="13"/>
                <w:szCs w:val="13"/>
                <w:color w:val="auto"/>
              </w:rPr>
              <w:t>Exercisable, end of year(d)</w:t>
            </w: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26.25</w:t>
            </w: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25.98</w:t>
            </w: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26.97</w:t>
            </w:r>
          </w:p>
        </w:tc>
        <w:tc>
          <w:tcPr>
            <w:tcW w:w="0" w:type="dxa"/>
            <w:vAlign w:val="bottom"/>
          </w:tcPr>
          <w:p>
            <w:pPr>
              <w:spacing w:after="0" w:line="20" w:lineRule="exact"/>
              <w:rPr>
                <w:sz w:val="1"/>
                <w:szCs w:val="1"/>
                <w:color w:val="auto"/>
              </w:rPr>
            </w:pPr>
          </w:p>
        </w:tc>
      </w:tr>
      <w:tr>
        <w:trPr>
          <w:trHeight w:val="177"/>
        </w:trPr>
        <w:tc>
          <w:tcPr>
            <w:tcW w:w="4780" w:type="dxa"/>
            <w:vAlign w:val="bottom"/>
            <w:gridSpan w:val="2"/>
            <w:vMerge w:val="continue"/>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6,286</w:t>
            </w:r>
          </w:p>
        </w:tc>
        <w:tc>
          <w:tcPr>
            <w:tcW w:w="12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8,798</w:t>
            </w:r>
          </w:p>
        </w:tc>
        <w:tc>
          <w:tcPr>
            <w:tcW w:w="3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11,044</w:t>
            </w:r>
          </w:p>
        </w:tc>
        <w:tc>
          <w:tcPr>
            <w:tcW w:w="3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240" w:hanging="393"/>
        <w:spacing w:after="0" w:line="264" w:lineRule="auto"/>
        <w:tabs>
          <w:tab w:leader="none" w:pos="10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Although we stopped granting stock options from 2005 through 2009, some of our previously issued and outstanding options have a reload feature that provides for the automatic grant of a new stock option when the exercise price of the existing stock option is paid using already owned shares of common stock. The new option is for the same number of shares used as payment of the exercise price.</w:t>
      </w:r>
    </w:p>
    <w:p>
      <w:pPr>
        <w:spacing w:after="0" w:line="17" w:lineRule="exact"/>
        <w:rPr>
          <w:rFonts w:ascii="Arial" w:cs="Arial" w:eastAsia="Arial" w:hAnsi="Arial"/>
          <w:sz w:val="13"/>
          <w:szCs w:val="13"/>
          <w:color w:val="auto"/>
        </w:rPr>
      </w:pPr>
    </w:p>
    <w:p>
      <w:pPr>
        <w:ind w:left="1080" w:hanging="393"/>
        <w:spacing w:after="0"/>
        <w:tabs>
          <w:tab w:leader="none" w:pos="108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aggregate intrinsic value of stock options exercised during the years ended December 31, 2010, 2009 and 2008 was $25 million, $12 million and $16 million, respectively.</w:t>
      </w:r>
    </w:p>
    <w:p>
      <w:pPr>
        <w:spacing w:after="0" w:line="58" w:lineRule="exact"/>
        <w:rPr>
          <w:rFonts w:ascii="Arial" w:cs="Arial" w:eastAsia="Arial" w:hAnsi="Arial"/>
          <w:sz w:val="12"/>
          <w:szCs w:val="12"/>
          <w:color w:val="auto"/>
        </w:rPr>
      </w:pPr>
    </w:p>
    <w:p>
      <w:pPr>
        <w:ind w:left="1080" w:right="200" w:hanging="393"/>
        <w:spacing w:after="0" w:line="276" w:lineRule="auto"/>
        <w:tabs>
          <w:tab w:leader="none" w:pos="10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Stock options outstanding as of December 31, 2010 have a weighted average remaining contractual term of 4.66 years and an aggregate intrinsic value of $79 million based on the market value of our common stock on December 31, 2010.</w:t>
      </w:r>
    </w:p>
    <w:p>
      <w:pPr>
        <w:spacing w:after="0" w:line="10" w:lineRule="exact"/>
        <w:rPr>
          <w:rFonts w:ascii="Arial" w:cs="Arial" w:eastAsia="Arial" w:hAnsi="Arial"/>
          <w:sz w:val="13"/>
          <w:szCs w:val="13"/>
          <w:color w:val="auto"/>
        </w:rPr>
      </w:pPr>
    </w:p>
    <w:p>
      <w:pPr>
        <w:ind w:left="1080" w:hanging="393"/>
        <w:spacing w:after="0"/>
        <w:tabs>
          <w:tab w:leader="none" w:pos="10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aggregate intrinsic value of stock options exercisable as of December 31, 2010 was $67 million.</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We received cash proceeds of $54 million, $20 million and $37 million during the years ended December 31, 2010, 2009 and 2008, respectively, from our employees’ stock option exercises. We also realized tax benefits from these stock option exercises during the years ended December 31, 2010, 2009 and 2008 of $10 million, $5 million and $6 million, respectively. These amounts have been presented as cash inflows in the “Cash flows from financing activities” section of our Consolidated Statements of Cash Flows.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Exercisable stock options at December 31, 2010, were as follows (shares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00" w:type="dxa"/>
            <w:vAlign w:val="bottom"/>
            <w:vMerge w:val="restart"/>
          </w:tcPr>
          <w:p>
            <w:pPr>
              <w:spacing w:after="0"/>
              <w:rPr>
                <w:sz w:val="20"/>
                <w:szCs w:val="20"/>
                <w:color w:val="auto"/>
              </w:rPr>
            </w:pPr>
            <w:r>
              <w:rPr>
                <w:rFonts w:ascii="Arial" w:cs="Arial" w:eastAsia="Arial" w:hAnsi="Arial"/>
                <w:sz w:val="10"/>
                <w:szCs w:val="10"/>
                <w:b w:val="1"/>
                <w:bCs w:val="1"/>
                <w:color w:val="auto"/>
              </w:rPr>
              <w:t>Range of Exercise Prices</w:t>
            </w:r>
          </w:p>
        </w:tc>
        <w:tc>
          <w:tcPr>
            <w:tcW w:w="20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0"/>
                <w:szCs w:val="1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Weighted Average</w:t>
            </w:r>
          </w:p>
        </w:tc>
        <w:tc>
          <w:tcPr>
            <w:tcW w:w="13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Weighted Average</w:t>
            </w:r>
          </w:p>
        </w:tc>
        <w:tc>
          <w:tcPr>
            <w:tcW w:w="0" w:type="dxa"/>
            <w:vAlign w:val="bottom"/>
          </w:tcPr>
          <w:p>
            <w:pPr>
              <w:spacing w:after="0"/>
              <w:rPr>
                <w:sz w:val="1"/>
                <w:szCs w:val="1"/>
                <w:color w:val="auto"/>
              </w:rPr>
            </w:pPr>
          </w:p>
        </w:tc>
      </w:tr>
      <w:tr>
        <w:trPr>
          <w:trHeight w:val="125"/>
        </w:trPr>
        <w:tc>
          <w:tcPr>
            <w:tcW w:w="5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Exercise Price</w:t>
            </w:r>
          </w:p>
        </w:tc>
        <w:tc>
          <w:tcPr>
            <w:tcW w:w="13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Remaining Years</w:t>
            </w:r>
          </w:p>
        </w:tc>
        <w:tc>
          <w:tcPr>
            <w:tcW w:w="0" w:type="dxa"/>
            <w:vAlign w:val="bottom"/>
          </w:tcPr>
          <w:p>
            <w:pPr>
              <w:spacing w:after="0"/>
              <w:rPr>
                <w:sz w:val="1"/>
                <w:szCs w:val="1"/>
                <w:color w:val="auto"/>
              </w:rPr>
            </w:pPr>
          </w:p>
        </w:tc>
      </w:tr>
      <w:tr>
        <w:trPr>
          <w:trHeight w:val="29"/>
        </w:trPr>
        <w:tc>
          <w:tcPr>
            <w:tcW w:w="5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$19.61-$20.00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1,169</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19.61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$20.01-$30.00</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4,969</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27.59</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$30.01-$39.93</w:t>
            </w:r>
          </w:p>
        </w:tc>
        <w:tc>
          <w:tcPr>
            <w:tcW w:w="2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33.94</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66"/>
        </w:trPr>
        <w:tc>
          <w:tcPr>
            <w:tcW w:w="5900" w:type="dxa"/>
            <w:vAlign w:val="bottom"/>
          </w:tcPr>
          <w:p>
            <w:pPr>
              <w:spacing w:after="0"/>
              <w:rPr>
                <w:sz w:val="20"/>
                <w:szCs w:val="20"/>
                <w:color w:val="auto"/>
              </w:rPr>
            </w:pPr>
            <w:r>
              <w:rPr>
                <w:rFonts w:ascii="Arial" w:cs="Arial" w:eastAsia="Arial" w:hAnsi="Arial"/>
                <w:sz w:val="13"/>
                <w:szCs w:val="13"/>
                <w:color w:val="auto"/>
              </w:rPr>
              <w:t>$19.61-$39.93</w:t>
            </w:r>
          </w:p>
        </w:tc>
        <w:tc>
          <w:tcPr>
            <w:tcW w:w="2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6,286</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26.25</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All unvested stock options granted in 2010 shall become exercisable upon the award recipient’s death or disability. In the event of a recipient’s retirement, stock options shall continue to vest pursuant to the original schedule set forth in the award agreement. If the recipient is terminated by the Company without cause, the recipient</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80"/>
        <w:spacing w:after="0" w:line="276" w:lineRule="auto"/>
        <w:rPr>
          <w:sz w:val="20"/>
          <w:szCs w:val="20"/>
          <w:color w:val="auto"/>
        </w:rPr>
      </w:pPr>
      <w:r>
        <w:rPr>
          <w:rFonts w:ascii="Arial" w:cs="Arial" w:eastAsia="Arial" w:hAnsi="Arial"/>
          <w:sz w:val="13"/>
          <w:szCs w:val="13"/>
          <w:color w:val="auto"/>
        </w:rPr>
        <w:t>shall be entitled to exercise all 2010 stock options outstanding and exercisable prior to such termination. All outstanding stock options, whether exercisable or not, are forfeited upon termination with cause.</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account for our employee stock options under the fair value method of accounting using a Black-Scholes methodology to measure stock option expense at the date of grant. The fair value of the stock options at the date of grant is amortized to expense over the vesting period. The following table presents the assumptions used to value employee stock options granted during the year ended December 31, 2010 under the Black-Scholes valuation model:</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Expected option life</w:t>
            </w:r>
          </w:p>
        </w:tc>
        <w:tc>
          <w:tcPr>
            <w:tcW w:w="4660" w:type="dxa"/>
            <w:vAlign w:val="bottom"/>
            <w:shd w:val="clear" w:color="auto" w:fill="CCEEFF"/>
          </w:tcPr>
          <w:p>
            <w:pPr>
              <w:ind w:left="4040"/>
              <w:spacing w:after="0"/>
              <w:rPr>
                <w:sz w:val="20"/>
                <w:szCs w:val="20"/>
                <w:color w:val="auto"/>
              </w:rPr>
            </w:pPr>
            <w:r>
              <w:rPr>
                <w:rFonts w:ascii="Arial" w:cs="Arial" w:eastAsia="Arial" w:hAnsi="Arial"/>
                <w:sz w:val="13"/>
                <w:szCs w:val="13"/>
                <w:color w:val="auto"/>
              </w:rPr>
              <w:t>5.7 years</w:t>
            </w:r>
          </w:p>
        </w:tc>
      </w:tr>
      <w:tr>
        <w:trPr>
          <w:trHeight w:val="157"/>
        </w:trPr>
        <w:tc>
          <w:tcPr>
            <w:tcW w:w="5320" w:type="dxa"/>
            <w:vAlign w:val="bottom"/>
          </w:tcPr>
          <w:p>
            <w:pPr>
              <w:spacing w:after="0"/>
              <w:rPr>
                <w:sz w:val="20"/>
                <w:szCs w:val="20"/>
                <w:color w:val="auto"/>
              </w:rPr>
            </w:pPr>
            <w:r>
              <w:rPr>
                <w:rFonts w:ascii="Arial" w:cs="Arial" w:eastAsia="Arial" w:hAnsi="Arial"/>
                <w:sz w:val="13"/>
                <w:szCs w:val="13"/>
                <w:color w:val="auto"/>
              </w:rPr>
              <w:t>Expected volatility</w:t>
            </w:r>
          </w:p>
        </w:tc>
        <w:tc>
          <w:tcPr>
            <w:tcW w:w="4660" w:type="dxa"/>
            <w:vAlign w:val="bottom"/>
          </w:tcPr>
          <w:p>
            <w:pPr>
              <w:jc w:val="center"/>
              <w:ind w:left="3814"/>
              <w:spacing w:after="0"/>
              <w:rPr>
                <w:sz w:val="20"/>
                <w:szCs w:val="20"/>
                <w:color w:val="auto"/>
              </w:rPr>
            </w:pPr>
            <w:r>
              <w:rPr>
                <w:rFonts w:ascii="Arial" w:cs="Arial" w:eastAsia="Arial" w:hAnsi="Arial"/>
                <w:sz w:val="13"/>
                <w:szCs w:val="13"/>
                <w:color w:val="auto"/>
                <w:w w:val="92"/>
              </w:rPr>
              <w:t>24.8%</w:t>
            </w:r>
          </w:p>
        </w:tc>
      </w:tr>
      <w:tr>
        <w:trPr>
          <w:trHeight w:val="157"/>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4660" w:type="dxa"/>
            <w:vAlign w:val="bottom"/>
            <w:shd w:val="clear" w:color="auto" w:fill="CCEEFF"/>
          </w:tcPr>
          <w:p>
            <w:pPr>
              <w:jc w:val="center"/>
              <w:ind w:left="3814"/>
              <w:spacing w:after="0"/>
              <w:rPr>
                <w:sz w:val="20"/>
                <w:szCs w:val="20"/>
                <w:color w:val="auto"/>
              </w:rPr>
            </w:pPr>
            <w:r>
              <w:rPr>
                <w:rFonts w:ascii="Arial" w:cs="Arial" w:eastAsia="Arial" w:hAnsi="Arial"/>
                <w:sz w:val="13"/>
                <w:szCs w:val="13"/>
                <w:color w:val="auto"/>
                <w:w w:val="87"/>
              </w:rPr>
              <w:t>3.8%</w:t>
            </w:r>
          </w:p>
        </w:tc>
      </w:tr>
      <w:tr>
        <w:trPr>
          <w:trHeight w:val="165"/>
        </w:trPr>
        <w:tc>
          <w:tcPr>
            <w:tcW w:w="5320" w:type="dxa"/>
            <w:vAlign w:val="bottom"/>
          </w:tcPr>
          <w:p>
            <w:pPr>
              <w:spacing w:after="0"/>
              <w:rPr>
                <w:sz w:val="20"/>
                <w:szCs w:val="20"/>
                <w:color w:val="auto"/>
              </w:rPr>
            </w:pPr>
            <w:r>
              <w:rPr>
                <w:rFonts w:ascii="Arial" w:cs="Arial" w:eastAsia="Arial" w:hAnsi="Arial"/>
                <w:sz w:val="13"/>
                <w:szCs w:val="13"/>
                <w:color w:val="auto"/>
              </w:rPr>
              <w:t>Risk-free interest rate</w:t>
            </w:r>
          </w:p>
        </w:tc>
        <w:tc>
          <w:tcPr>
            <w:tcW w:w="4660" w:type="dxa"/>
            <w:vAlign w:val="bottom"/>
          </w:tcPr>
          <w:p>
            <w:pPr>
              <w:jc w:val="center"/>
              <w:ind w:left="3814"/>
              <w:spacing w:after="0"/>
              <w:rPr>
                <w:sz w:val="20"/>
                <w:szCs w:val="20"/>
                <w:color w:val="auto"/>
              </w:rPr>
            </w:pPr>
            <w:r>
              <w:rPr>
                <w:rFonts w:ascii="Arial" w:cs="Arial" w:eastAsia="Arial" w:hAnsi="Arial"/>
                <w:sz w:val="13"/>
                <w:szCs w:val="13"/>
                <w:color w:val="auto"/>
                <w:w w:val="87"/>
              </w:rPr>
              <w:t>2.9%</w:t>
            </w:r>
          </w:p>
        </w:tc>
      </w:tr>
    </w:tbl>
    <w:p>
      <w:pPr>
        <w:spacing w:after="0" w:line="72"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dividend yield is the annual rate of dividends per share over the exercise price of the option as of the grant date.</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For the years ended December 31, 2010, 2009 and 2008, we recognized $28 million, $22 million, and $42 million, respectively, of compensation expense associated with RSU, PSU and stock option awards as a component of “Selling, general and administrative” expenses in our Consolidated Statement of Operations. Our “Provision for income taxes” for the years ended December 31, 2010, 2009 and 2008 includes related deferred income tax benefits of $11 million, $9 million and $16 million, respectively. We have not capitalized any equity-based compensation costs during the years ended December 31, 2010, 2009 and 2008.</w:t>
      </w:r>
    </w:p>
    <w:p>
      <w:pPr>
        <w:spacing w:after="0" w:line="70"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Compensation expense recognized in 2009 was significantly less than expense recognized in 2008 primarily due to the Company’s determination that it was no longer probable that the targets established for PSUs granted in 2008 would be met. Accordingly, during the second quarter of 2009, we recognized an adjustment to “Selling, general and administrative” expenses for the reversal of all previously recognized compensation expense associated with this award. Additionally, we did not recognize any compensation expense in 2010 associated with the PSUs granted in 2008. These PSUs expired without vesting on December 31, 2010. As of December 31, 2010, we estimate that a total of approximately $40 million of currently unrecognized compensation expense will be recognized in future periods for unvested RSU, PSU and stock option awards issued and outstanding. Unrecognized compensation expense associated with all unvested awards currently outstanding is expected to be recognized over a weighted average period of approximately two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Non-Employee Director Plans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non-employee directors currently receive annual grants of shares of our common stock, payable in two equal installments, under the 2009 Plan described above. Prior to 2008, our directors received deferred stock units and were allowed to elect to defer a portion of their cash compensation in the form of deferred stock units, to be paid out in shares of our common stock at the termination of board service, pursuant to our 2003 Directors’ Deferred Compensation Plan. In late 2007, each member of the Board of Directors elected to receive payment of shares for his deferred stock units at the end of December 2008 and recognized taxable income on such payment. The Board of Directors terminated the 2003 Directors’ Plan in 2009 and, as a result, no shares remain available for issuance under that plan.</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80" w:type="dxa"/>
            <w:vAlign w:val="bottom"/>
          </w:tcPr>
          <w:p>
            <w:pPr>
              <w:spacing w:after="0"/>
              <w:rPr>
                <w:sz w:val="20"/>
                <w:szCs w:val="20"/>
                <w:color w:val="auto"/>
              </w:rPr>
            </w:pPr>
            <w:r>
              <w:rPr>
                <w:rFonts w:ascii="Arial" w:cs="Arial" w:eastAsia="Arial" w:hAnsi="Arial"/>
                <w:sz w:val="13"/>
                <w:szCs w:val="13"/>
                <w:b w:val="1"/>
                <w:bCs w:val="1"/>
                <w:color w:val="auto"/>
                <w:w w:val="88"/>
              </w:rPr>
              <w:t>17.</w:t>
            </w:r>
          </w:p>
        </w:tc>
        <w:tc>
          <w:tcPr>
            <w:tcW w:w="7720" w:type="dxa"/>
            <w:vAlign w:val="bottom"/>
          </w:tcPr>
          <w:p>
            <w:pPr>
              <w:ind w:left="320"/>
              <w:spacing w:after="0"/>
              <w:rPr>
                <w:sz w:val="20"/>
                <w:szCs w:val="20"/>
                <w:color w:val="auto"/>
              </w:rPr>
            </w:pPr>
            <w:r>
              <w:rPr>
                <w:rFonts w:ascii="Arial" w:cs="Arial" w:eastAsia="Arial" w:hAnsi="Arial"/>
                <w:sz w:val="13"/>
                <w:szCs w:val="13"/>
                <w:b w:val="1"/>
                <w:bCs w:val="1"/>
                <w:color w:val="auto"/>
              </w:rPr>
              <w:t>Earnings Per Share</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7720" w:type="dxa"/>
            <w:vAlign w:val="bottom"/>
          </w:tcPr>
          <w:p>
            <w:pPr>
              <w:ind w:left="220"/>
              <w:spacing w:after="0"/>
              <w:rPr>
                <w:sz w:val="20"/>
                <w:szCs w:val="20"/>
                <w:color w:val="auto"/>
              </w:rPr>
            </w:pPr>
            <w:r>
              <w:rPr>
                <w:rFonts w:ascii="Arial" w:cs="Arial" w:eastAsia="Arial" w:hAnsi="Arial"/>
                <w:sz w:val="13"/>
                <w:szCs w:val="13"/>
                <w:color w:val="auto"/>
              </w:rPr>
              <w:t>Basic and diluted earnings per share were computed using the following common share data (shares in millions):</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640" w:type="dxa"/>
            <w:vAlign w:val="bottom"/>
            <w:tcBorders>
              <w:bottom w:val="single" w:sz="8" w:color="auto"/>
            </w:tcBorders>
            <w:gridSpan w:val="4"/>
          </w:tcPr>
          <w:p>
            <w:pPr>
              <w:jc w:val="center"/>
              <w:ind w:left="297"/>
              <w:spacing w:after="0"/>
              <w:rPr>
                <w:sz w:val="20"/>
                <w:szCs w:val="20"/>
                <w:color w:val="auto"/>
              </w:rPr>
            </w:pPr>
            <w:r>
              <w:rPr>
                <w:rFonts w:ascii="Arial" w:cs="Arial" w:eastAsia="Arial" w:hAnsi="Arial"/>
                <w:sz w:val="10"/>
                <w:szCs w:val="10"/>
                <w:b w:val="1"/>
                <w:bCs w:val="1"/>
                <w:color w:val="auto"/>
                <w:w w:val="93"/>
              </w:rPr>
              <w:t>Years Ended December 31,</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80" w:type="dxa"/>
            <w:vAlign w:val="bottom"/>
          </w:tcPr>
          <w:p>
            <w:pPr>
              <w:spacing w:after="0"/>
              <w:rPr>
                <w:sz w:val="8"/>
                <w:szCs w:val="8"/>
                <w:color w:val="auto"/>
              </w:rPr>
            </w:pPr>
          </w:p>
        </w:tc>
        <w:tc>
          <w:tcPr>
            <w:tcW w:w="7720" w:type="dxa"/>
            <w:vAlign w:val="bottom"/>
          </w:tcPr>
          <w:p>
            <w:pPr>
              <w:spacing w:after="0"/>
              <w:rPr>
                <w:sz w:val="8"/>
                <w:szCs w:val="8"/>
                <w:color w:val="auto"/>
              </w:rPr>
            </w:pPr>
          </w:p>
        </w:tc>
        <w:tc>
          <w:tcPr>
            <w:tcW w:w="4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40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2009</w:t>
            </w:r>
          </w:p>
        </w:tc>
        <w:tc>
          <w:tcPr>
            <w:tcW w:w="440" w:type="dxa"/>
            <w:vAlign w:val="bottom"/>
          </w:tcPr>
          <w:p>
            <w:pPr>
              <w:spacing w:after="0"/>
              <w:rPr>
                <w:sz w:val="8"/>
                <w:szCs w:val="8"/>
                <w:color w:val="auto"/>
              </w:rPr>
            </w:pPr>
          </w:p>
        </w:tc>
        <w:tc>
          <w:tcPr>
            <w:tcW w:w="34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common shares outstanding at year-end</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475.0</w:t>
            </w: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486.1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490.7</w:t>
            </w:r>
          </w:p>
        </w:tc>
        <w:tc>
          <w:tcPr>
            <w:tcW w:w="0" w:type="dxa"/>
            <w:vAlign w:val="bottom"/>
          </w:tcPr>
          <w:p>
            <w:pPr>
              <w:spacing w:after="0"/>
              <w:rPr>
                <w:sz w:val="1"/>
                <w:szCs w:val="1"/>
                <w:color w:val="auto"/>
              </w:rPr>
            </w:pP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Arial" w:cs="Arial" w:eastAsia="Arial" w:hAnsi="Arial"/>
                <w:sz w:val="13"/>
                <w:szCs w:val="13"/>
                <w:color w:val="auto"/>
              </w:rPr>
              <w:t>5.2</w:t>
            </w:r>
          </w:p>
        </w:tc>
        <w:tc>
          <w:tcPr>
            <w:tcW w:w="3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5.1</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480.2</w:t>
            </w:r>
          </w:p>
        </w:tc>
        <w:tc>
          <w:tcPr>
            <w:tcW w:w="3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491.2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492.1</w:t>
            </w:r>
          </w:p>
        </w:tc>
        <w:tc>
          <w:tcPr>
            <w:tcW w:w="0" w:type="dxa"/>
            <w:vAlign w:val="bottom"/>
          </w:tcPr>
          <w:p>
            <w:pPr>
              <w:spacing w:after="0"/>
              <w:rPr>
                <w:sz w:val="1"/>
                <w:szCs w:val="1"/>
                <w:color w:val="auto"/>
              </w:rPr>
            </w:pP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Dilutive effect of equity-based compensation awards and other contingently issuable shares</w:t>
            </w:r>
          </w:p>
        </w:tc>
        <w:tc>
          <w:tcPr>
            <w:tcW w:w="420" w:type="dxa"/>
            <w:vAlign w:val="bottom"/>
          </w:tcPr>
          <w:p>
            <w:pPr>
              <w:jc w:val="right"/>
              <w:spacing w:after="0"/>
              <w:rPr>
                <w:sz w:val="20"/>
                <w:szCs w:val="20"/>
                <w:color w:val="auto"/>
              </w:rPr>
            </w:pPr>
            <w:r>
              <w:rPr>
                <w:rFonts w:ascii="Arial" w:cs="Arial" w:eastAsia="Arial" w:hAnsi="Arial"/>
                <w:sz w:val="13"/>
                <w:szCs w:val="13"/>
                <w:color w:val="auto"/>
              </w:rPr>
              <w:t>2.0</w:t>
            </w:r>
          </w:p>
        </w:tc>
        <w:tc>
          <w:tcPr>
            <w:tcW w:w="3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2.4</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482.2</w:t>
            </w:r>
          </w:p>
        </w:tc>
        <w:tc>
          <w:tcPr>
            <w:tcW w:w="3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493.6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495.4</w:t>
            </w:r>
          </w:p>
        </w:tc>
        <w:tc>
          <w:tcPr>
            <w:tcW w:w="0" w:type="dxa"/>
            <w:vAlign w:val="bottom"/>
          </w:tcPr>
          <w:p>
            <w:pPr>
              <w:spacing w:after="0"/>
              <w:rPr>
                <w:sz w:val="1"/>
                <w:szCs w:val="1"/>
                <w:color w:val="auto"/>
              </w:rPr>
            </w:pPr>
          </w:p>
        </w:tc>
      </w:tr>
      <w:tr>
        <w:trPr>
          <w:trHeight w:val="29"/>
        </w:trPr>
        <w:tc>
          <w:tcPr>
            <w:tcW w:w="7900" w:type="dxa"/>
            <w:vAlign w:val="bottom"/>
            <w:gridSpan w:val="2"/>
            <w:vMerge w:val="restart"/>
          </w:tcPr>
          <w:p>
            <w:pPr>
              <w:spacing w:after="0"/>
              <w:rPr>
                <w:sz w:val="20"/>
                <w:szCs w:val="20"/>
                <w:color w:val="auto"/>
              </w:rPr>
            </w:pPr>
            <w:r>
              <w:rPr>
                <w:rFonts w:ascii="Arial" w:cs="Arial" w:eastAsia="Arial" w:hAnsi="Arial"/>
                <w:sz w:val="13"/>
                <w:szCs w:val="13"/>
                <w:color w:val="auto"/>
              </w:rPr>
              <w:t>Potentially issuable shares</w:t>
            </w: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gridSpan w:val="2"/>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12.8</w:t>
            </w:r>
          </w:p>
        </w:tc>
        <w:tc>
          <w:tcPr>
            <w:tcW w:w="3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13.2</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58"/>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w:t>
            </w: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0.3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3"/>
                <w:szCs w:val="13"/>
                <w:b w:val="1"/>
                <w:bCs w:val="1"/>
                <w:color w:val="auto"/>
                <w:w w:val="88"/>
              </w:rPr>
              <w:t>18.</w:t>
            </w:r>
          </w:p>
        </w:tc>
        <w:tc>
          <w:tcPr>
            <w:tcW w:w="7720" w:type="dxa"/>
            <w:vAlign w:val="bottom"/>
          </w:tcPr>
          <w:p>
            <w:pPr>
              <w:ind w:left="320"/>
              <w:spacing w:after="0"/>
              <w:rPr>
                <w:sz w:val="20"/>
                <w:szCs w:val="20"/>
                <w:color w:val="auto"/>
              </w:rPr>
            </w:pPr>
            <w:r>
              <w:rPr>
                <w:rFonts w:ascii="Arial" w:cs="Arial" w:eastAsia="Arial" w:hAnsi="Arial"/>
                <w:sz w:val="13"/>
                <w:szCs w:val="13"/>
                <w:b w:val="1"/>
                <w:bCs w:val="1"/>
                <w:color w:val="auto"/>
              </w:rPr>
              <w:t>Fair Value Measurements</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Assets and Liabilities Accounted for at Fair Value</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Authoritative guidance associated with fair value measurements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67" w:lineRule="exact"/>
        <w:rPr>
          <w:sz w:val="20"/>
          <w:szCs w:val="20"/>
          <w:color w:val="auto"/>
        </w:rPr>
      </w:pPr>
    </w:p>
    <w:p>
      <w:pPr>
        <w:jc w:val="both"/>
        <w:ind w:left="680" w:right="840" w:firstLine="399"/>
        <w:spacing w:after="0" w:line="264" w:lineRule="auto"/>
        <w:rPr>
          <w:sz w:val="20"/>
          <w:szCs w:val="20"/>
          <w:color w:val="auto"/>
        </w:rPr>
      </w:pPr>
      <w:r>
        <w:rPr>
          <w:rFonts w:ascii="Arial" w:cs="Arial" w:eastAsia="Arial" w:hAnsi="Arial"/>
          <w:sz w:val="13"/>
          <w:szCs w:val="13"/>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5"/>
          </w:tcPr>
          <w:p>
            <w:pPr>
              <w:jc w:val="right"/>
              <w:ind w:right="31"/>
              <w:spacing w:after="0"/>
              <w:rPr>
                <w:sz w:val="20"/>
                <w:szCs w:val="20"/>
                <w:color w:val="auto"/>
              </w:rPr>
            </w:pPr>
            <w:r>
              <w:rPr>
                <w:rFonts w:ascii="Arial" w:cs="Arial" w:eastAsia="Arial" w:hAnsi="Arial"/>
                <w:sz w:val="10"/>
                <w:szCs w:val="10"/>
                <w:b w:val="1"/>
                <w:bCs w:val="1"/>
                <w:color w:val="auto"/>
              </w:rPr>
              <w:t>Fair Value Measurements at</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94"/>
              </w:rPr>
              <w:t>December 31, 2010 Using</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Quoted</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Significant</w:t>
            </w:r>
          </w:p>
        </w:tc>
        <w:tc>
          <w:tcPr>
            <w:tcW w:w="120" w:type="dxa"/>
            <w:vAlign w:val="bottom"/>
          </w:tcPr>
          <w:p>
            <w:pPr>
              <w:spacing w:after="0"/>
              <w:rPr>
                <w:sz w:val="7"/>
                <w:szCs w:val="7"/>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7"/>
              </w:rPr>
              <w:t>Significant</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Prices in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Active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Inputs</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Inputs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(Level 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(Level 3)</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18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468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468</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148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Interest in available-for-sale securities of unconsolidated entities</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103</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103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22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w w:val="92"/>
              </w:rPr>
              <w:t>757</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719</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17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Interest rate derivatives</w:t>
            </w:r>
          </w:p>
        </w:tc>
        <w:tc>
          <w:tcPr>
            <w:tcW w:w="18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derivatives</w:t>
            </w: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Electricity commodity derivatives</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80" w:type="dxa"/>
            <w:vAlign w:val="bottom"/>
          </w:tcPr>
          <w:p>
            <w:pPr>
              <w:jc w:val="right"/>
              <w:ind w:right="834"/>
              <w:spacing w:after="0"/>
              <w:rPr>
                <w:sz w:val="20"/>
                <w:szCs w:val="20"/>
                <w:color w:val="auto"/>
              </w:rPr>
            </w:pPr>
            <w:r>
              <w:rPr>
                <w:rFonts w:ascii="Arial" w:cs="Arial" w:eastAsia="Arial" w:hAnsi="Arial"/>
                <w:sz w:val="13"/>
                <w:szCs w:val="13"/>
                <w:color w:val="auto"/>
              </w:rPr>
              <w:t>112</w:t>
            </w: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5"/>
          </w:tcPr>
          <w:p>
            <w:pPr>
              <w:jc w:val="center"/>
              <w:ind w:left="37"/>
              <w:spacing w:after="0"/>
              <w:rPr>
                <w:sz w:val="20"/>
                <w:szCs w:val="20"/>
                <w:color w:val="auto"/>
              </w:rPr>
            </w:pPr>
            <w:r>
              <w:rPr>
                <w:rFonts w:ascii="Arial" w:cs="Arial" w:eastAsia="Arial" w:hAnsi="Arial"/>
                <w:sz w:val="10"/>
                <w:szCs w:val="10"/>
                <w:b w:val="1"/>
                <w:bCs w:val="1"/>
                <w:color w:val="auto"/>
                <w:w w:val="95"/>
              </w:rPr>
              <w:t>Fair Value Measurements at</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2"/>
              </w:rPr>
              <w:t>December 31, 2009 Using</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Quoted</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Significant</w:t>
            </w:r>
          </w:p>
        </w:tc>
        <w:tc>
          <w:tcPr>
            <w:tcW w:w="120" w:type="dxa"/>
            <w:vAlign w:val="bottom"/>
          </w:tcPr>
          <w:p>
            <w:pPr>
              <w:spacing w:after="0"/>
              <w:rPr>
                <w:sz w:val="7"/>
                <w:szCs w:val="7"/>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7"/>
              </w:rPr>
              <w:t>Significant</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Prices in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Active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Inputs</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Inputs</w:t>
            </w:r>
          </w:p>
        </w:tc>
        <w:tc>
          <w:tcPr>
            <w:tcW w:w="0" w:type="dxa"/>
            <w:vAlign w:val="bottom"/>
          </w:tcPr>
          <w:p>
            <w:pPr>
              <w:spacing w:after="0"/>
              <w:rPr>
                <w:sz w:val="1"/>
                <w:szCs w:val="1"/>
                <w:color w:val="auto"/>
              </w:rPr>
            </w:pPr>
          </w:p>
        </w:tc>
      </w:tr>
      <w:tr>
        <w:trPr>
          <w:trHeight w:val="125"/>
        </w:trPr>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(Level 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(Level 3)</w:t>
            </w: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1,096</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1,096</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Interest rate derivatives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560"/>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5800" w:type="dxa"/>
            <w:vAlign w:val="bottom"/>
          </w:tcPr>
          <w:p>
            <w:pPr>
              <w:spacing w:after="0"/>
              <w:rPr>
                <w:sz w:val="20"/>
                <w:szCs w:val="20"/>
                <w:color w:val="auto"/>
              </w:rPr>
            </w:pPr>
            <w:r>
              <w:rPr>
                <w:rFonts w:ascii="Arial" w:cs="Arial" w:eastAsia="Arial" w:hAnsi="Arial"/>
                <w:sz w:val="13"/>
                <w:szCs w:val="13"/>
                <w:color w:val="auto"/>
              </w:rPr>
              <w:t>Liabilities:</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derivatives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18</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560"/>
              <w:spacing w:after="0"/>
              <w:rPr>
                <w:sz w:val="20"/>
                <w:szCs w:val="20"/>
                <w:color w:val="auto"/>
              </w:rPr>
            </w:pPr>
            <w:r>
              <w:rPr>
                <w:rFonts w:ascii="Arial" w:cs="Arial" w:eastAsia="Arial" w:hAnsi="Arial"/>
                <w:sz w:val="13"/>
                <w:szCs w:val="13"/>
                <w:color w:val="auto"/>
              </w:rPr>
              <w:t>18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Equivalents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Cash equivalents are reflected at fair value in our Consolidated Financial Statements based upon quoted market prices and consist primarily of money market funds that invest in U.S. government obligations with original maturities of three months or less.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Available-for-Sale Securities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Available for-sale securities are recorded at fair value based on quoted market prices. These assets include restricted trusts and escrow accounts invested in money market mutual funds, equity-based mutual funds and other equity securities. As discussed in Note 20, effective January 1, 2010, we deconsolidated the trusts for which power over significant activities of the trust is shared, which reduced our restricted trust and escrow accounts by $109 million as of January 1, 2010. Beginning in 2010, our interests in these variable interest entities have been accounted for as investments in unconsolidated entities and receivables.</w:t>
      </w:r>
    </w:p>
    <w:p>
      <w:pPr>
        <w:spacing w:after="0" w:line="70"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The cost basis of our direct investment in equity securities, included as a component of “Available-for-sale securities” above, was $2 million as of December 31, 2010 and 2009. The cost basis of investments in equity-based mutual funds was $75 million as of December 31, 2010 and 2009 and is included above as a component of “Interest in available-for-sale securities of unconsolidated entities” as of December 31, 2010, and as a component of “Available-for-sale securities” as of December 31, 2009. Unrealized holding gains and losses on these instruments are recorded as either an increase or decrease to the asset balance and deferred as a component of “Accumulated other comprehensive income” in the equity section of our Consolidated Balance Sheets. The net unrealized holding gains on equity-based mutual funds, net of taxes, were $5 million and $2 million as of December 31, 2010 and 2009, respectively. The net unrealized holding losses on equity securities, net of taxes, were immaterial as of December 31, 2010 and 2009. The fair value of our remaining available-for-sale securities approximates our cost basis in the investments.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Rate Derivatives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December 31, 2010, we are party to (i) fixed-to-floating interest rate swaps that are designated as fair value hedges of our currently outstanding senior notes; and (ii) forward-starting interest rate swaps that are designated as cash flow hedges of anticipated interest payments for future fixed-rate debt issuances. Our fixed-to-floating interest rate swaps and forward-starting interest rate swaps are LIBOR-based instruments. Accordingly, these derivatives are valued using a third-party pricing model that incorporates information about LIBOR yield curves for each instrument’s respective term. The third-party pricing model used to value our interest rate derivatives also incorporates Company and counterparty credit valuation adjustments, as appropriate.</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220"/>
        <w:spacing w:after="0" w:line="264" w:lineRule="auto"/>
        <w:rPr>
          <w:sz w:val="20"/>
          <w:szCs w:val="20"/>
          <w:color w:val="auto"/>
        </w:rPr>
      </w:pPr>
      <w:r>
        <w:rPr>
          <w:rFonts w:ascii="Arial" w:cs="Arial" w:eastAsia="Arial" w:hAnsi="Arial"/>
          <w:sz w:val="13"/>
          <w:szCs w:val="13"/>
          <w:color w:val="auto"/>
        </w:rPr>
        <w:t>Counterparties to our interest rate derivatives are financial institutions who participate in our $2.0 billion revolving credit facility. Valuations of our interest rate derivatives may fluctuate significantly from period-to-period due to volatility in underlying interest rates, which are driven by market conditions and the scheduled maturities of the derivatives. Refer to Note 8 for additional information regarding our interest rate derivatives.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Foreign Currency Derivatives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foreign currency derivatives are valued using a third-party pricing model that incorporates information about forward Canadian dollar exchange prices as of the reporting date. The third-party pricing model used to value our foreign currency derivatives also incorporates Company and counterparty credit valuation adjustments, as appropriate. Counterparties to these contracts are financial institutions who participate in our $2.0 billion revolving credit facility. Valuations may fluctuate significantly from period-to-period due to volatility in the Canadian dollar to U.S. dollar exchange rate. Refer to Note 8 for additional information regarding our foreign currency derivatives.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At both December 31, 2010 and 2009, the carrying value of our debt was approximately $8.9 billion. The carrying value of our debt includes adjustments for both the unamortized fair value adjustments related to terminated hedge arrangements and fair value adjustments of debt instruments that are currently hedged.</w:t>
      </w:r>
    </w:p>
    <w:p>
      <w:pPr>
        <w:spacing w:after="0" w:line="59"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estimated fair value of our debt was approximately $9.2 billion at December 31, 2010 and approximately $9.3 billion at December 31, 2009. The estimated fair value of our senior notes is based on quoted market prices. The carrying value of remarketable debt approximates fair value due to the short-term nature of the interest rates. The fair value of our other debt is estimated using discounted cash flow analysis, based on rates we would currently pay for similar types of instruments.</w:t>
      </w:r>
    </w:p>
    <w:p>
      <w:pPr>
        <w:spacing w:after="0" w:line="67"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December 31, 2010 and December 31, 2009. These amounts have not been revalued since those dates, and current estimates of fair value could differ significantly from the amounts presented.</w:t>
      </w:r>
    </w:p>
    <w:p>
      <w:pPr>
        <w:spacing w:after="0" w:line="146" w:lineRule="exact"/>
        <w:rPr>
          <w:sz w:val="20"/>
          <w:szCs w:val="20"/>
          <w:color w:val="auto"/>
        </w:rPr>
      </w:pPr>
    </w:p>
    <w:p>
      <w:pPr>
        <w:ind w:left="1180" w:hanging="493"/>
        <w:spacing w:after="0"/>
        <w:tabs>
          <w:tab w:leader="none" w:pos="1180"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and Divestitures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continue to pursue the acquisition of businesses that are accretive to our solid waste operations and enhance and expand our existing service offerings. We have seen the greatest opportunities for realizing superior returns from tuck-in acquisitions, which are primarily the purchases of collection operations that enhance our existing route structures and are strategically located near our existing disposal operations.</w:t>
      </w:r>
    </w:p>
    <w:p>
      <w:pPr>
        <w:spacing w:after="0" w:line="67"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2010, we acquired businesses primarily related to our collection and waste-to-energy operations. Total consideration, net of cash acquired, for acquisitions was $427 million, which included $379 million in cash payments, $20 million in contributed assets, a liability for additional cash payments with an estimated fair value of $23 million, and assumed liabilities of</w:t>
      </w:r>
    </w:p>
    <w:p>
      <w:pPr>
        <w:ind w:left="680" w:right="60"/>
        <w:spacing w:after="0" w:line="258" w:lineRule="auto"/>
        <w:rPr>
          <w:sz w:val="20"/>
          <w:szCs w:val="20"/>
          <w:color w:val="auto"/>
        </w:rPr>
      </w:pPr>
      <w:r>
        <w:rPr>
          <w:rFonts w:ascii="Arial" w:cs="Arial" w:eastAsia="Arial" w:hAnsi="Arial"/>
          <w:sz w:val="13"/>
          <w:szCs w:val="13"/>
          <w:color w:val="auto"/>
        </w:rPr>
        <w:t>$5 million. The additional cash payments are contingent upon achievement by the acquired businesses of certain negotiated goals, which generally included targeted revenues. At the date of acquisition, our estimated maximum obligations for the contingent cash payments were $23 million. As of December 31, 2010, we had paid $8 million of this contingent consideration. In 2010, we also paid $20 million of contingent consideration associated with acquisitions completed in 2009.</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allocation of purchase price was primarily to “Property and equipment,” which had an estimated fair value of $279 million; “Other intangible assets,” which had an estimated fair value of $98 million; and “Goodwill” of $77 million. Goodwill is primarily a result of expected synergies from combining the acquired businesses with our existing operations and is tax deductible.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2009, we acquired businesses primarily related to our collection operations. Total consideration, net of cash acquired, for acquisitions was $329 million, which included</w:t>
      </w:r>
    </w:p>
    <w:p>
      <w:pPr>
        <w:spacing w:after="0" w:line="27" w:lineRule="exact"/>
        <w:rPr>
          <w:sz w:val="20"/>
          <w:szCs w:val="20"/>
          <w:color w:val="auto"/>
        </w:rPr>
      </w:pPr>
    </w:p>
    <w:p>
      <w:pPr>
        <w:ind w:left="680" w:right="20"/>
        <w:spacing w:after="0" w:line="256" w:lineRule="auto"/>
        <w:rPr>
          <w:sz w:val="20"/>
          <w:szCs w:val="20"/>
          <w:color w:val="auto"/>
        </w:rPr>
      </w:pPr>
      <w:r>
        <w:rPr>
          <w:rFonts w:ascii="Arial" w:cs="Arial" w:eastAsia="Arial" w:hAnsi="Arial"/>
          <w:sz w:val="13"/>
          <w:szCs w:val="13"/>
          <w:color w:val="auto"/>
        </w:rPr>
        <w:t>$259 million in cash payments, a liability for additional cash payments with an estimated fair value of $46 million, and assumed liabilities of $24 million. The additional cash payments are contingent upon achievement by the acquired businesses of certain negotiated goals, which generally included targeted revenues. At the date of acquisition, our estimated obligations for the contingent cash payments were between $42 million and $56 million. As of December 31, 2009, we had paid $15 million of this contingent consideration. In 2009, we also paid $7 million of contingent consideration associated with acquisitions completed in 2008.</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allocation of purchase price was primarily to “Property and equipment,” which had an estimated fair value of $102 million; “Other intangible assets,” which had an estimated fair value of $105 million; and “Goodwill” of $125 million. Goodwill is primarily a result of expected synergies from combining the acquired businesses with our existing operations and is tax deductible.</w:t>
      </w:r>
    </w:p>
    <w:p>
      <w:pPr>
        <w:spacing w:after="0" w:line="67"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Our 2009 acquisitions included the purchase of the remaining equity interest in one of our portable self-storage investments, increasing our equity interest in this entity from 50% to 100%. As a result of this acquisition, we recognized a $4 million loss for the remeasurement of the fair value of our initial equity investment, which was determined to be $5 million. This loss was recognized as a component of “(Income) expense from divestitures, asset impairments and unusual items” in our Statement of Operations.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2008, we completed several acquisitions for a cost, net of cash acquired, of $280 million.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Divestitures</w:t>
      </w:r>
    </w:p>
    <w:p>
      <w:pPr>
        <w:spacing w:after="0" w:line="96"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The aggregate sales price for divestitures of operations was $1 million in 2010, $1 million in 2009 and $59 million in 2008. The proceeds from these sales were comprised substantially of cash. We recognized net gains on these divestitures of $1 million in 2010 and $33 million in 2008. The impact to our 2009 income from operations of gains and losses on divestitures was less than $1 million. These divestitures were made as part of our initiative to improve or divest certain underperforming and non-strategic operations.</w:t>
      </w:r>
    </w:p>
    <w:p>
      <w:pPr>
        <w:spacing w:after="0" w:line="124" w:lineRule="exact"/>
        <w:rPr>
          <w:sz w:val="20"/>
          <w:szCs w:val="20"/>
          <w:color w:val="auto"/>
        </w:rPr>
      </w:pPr>
    </w:p>
    <w:p>
      <w:pPr>
        <w:ind w:left="1180" w:hanging="493"/>
        <w:spacing w:after="0"/>
        <w:tabs>
          <w:tab w:leader="none" w:pos="1180"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Variable Interest Entities</w:t>
      </w:r>
    </w:p>
    <w:p>
      <w:pPr>
        <w:spacing w:after="0" w:line="100"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and (ii) those that represent a significant interest in an unconsolidated entity.</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Consolidated Variable Interest Entities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Waste-to-Energy LLCs </w:t>
      </w:r>
      <w:r>
        <w:rPr>
          <w:rFonts w:ascii="Arial" w:cs="Arial" w:eastAsia="Arial" w:hAnsi="Arial"/>
          <w:sz w:val="13"/>
          <w:szCs w:val="13"/>
          <w:color w:val="auto"/>
        </w:rPr>
        <w:t>— In June 2000, two limited liability companies were established to purchase interests in existing leveraged lease financings at three waste-to-energy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that we lease, operate and maintain. We own a 0.5% interest in one of the LLCs (“LLC I”) and a 0.25% interest in the second LLC (“LLC II”). John Hancock Life Insurance Company owns 99.5% of LLC I and 99.75% of LLC II is owned by LLC I and the CIT Group.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72"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proportionate to their respective equity interests. All capital allocations made through December 31, 2010 have been based on initial capital account balances as the target returns have not yet been achieved.</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December 31, 2010, our Consolidated Balance Sheet includes $319 million of net property and equipment associated with the LLCs’ waste-to-energy facilities and $240 million in noncontrolling interests associated with Hancock’s and CIT’s interests in the LLCs. As of December 31, 2010, all debt obligations of the LLCs have been paid in full and, therefore, the LLCs have no liabilities. During the years ended December 31, 2010, 2009, and 2008, we recognized expense of $50 million, $50 million and $41 million, respectively, for Hancock’s and CIT’s noncontrolling interests in the LLCs’ earnings. The LLCs’ earnings relate to the rental income generated from leasing the facilities to our subsidiaries, reduced by depreciation expense. The LLCs’ rental income is eliminated in WM’s consolidation.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Unconsolidated Variable Interest Entities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Trusts for Capping, Closure, Post-Closure or Environmental Remediation Obligations </w:t>
      </w:r>
      <w:r>
        <w:rPr>
          <w:rFonts w:ascii="Arial" w:cs="Arial" w:eastAsia="Arial" w:hAnsi="Arial"/>
          <w:sz w:val="13"/>
          <w:szCs w:val="13"/>
          <w:color w:val="auto"/>
        </w:rPr>
        <w:t>— We have significant financial interests in trust funds that were created to settle certain of our</w:t>
      </w:r>
      <w:r>
        <w:rPr>
          <w:rFonts w:ascii="Arial" w:cs="Arial" w:eastAsia="Arial" w:hAnsi="Arial"/>
          <w:sz w:val="13"/>
          <w:szCs w:val="13"/>
          <w:i w:val="1"/>
          <w:iCs w:val="1"/>
          <w:color w:val="auto"/>
        </w:rPr>
        <w:t xml:space="preserve"> </w:t>
      </w:r>
      <w:r>
        <w:rPr>
          <w:rFonts w:ascii="Arial" w:cs="Arial" w:eastAsia="Arial" w:hAnsi="Arial"/>
          <w:sz w:val="13"/>
          <w:szCs w:val="13"/>
          <w:color w:val="auto"/>
        </w:rPr>
        <w:t>capping, closure, post-closure or environmental remediation obligations. We have determined that we are not the primary beneficiary of certain of these trust funds because power over the trusts’ significant activities is shared.</w:t>
      </w:r>
    </w:p>
    <w:p>
      <w:pPr>
        <w:spacing w:after="0" w:line="67"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deconsolidation of these variable interest entities as of January 1, 2010, in accordance with the new FASB guidance discussed in Note 2, decreased our restricted trust and escrow accounts by $109 million; increased investments in unconsolidated entities by $27 million; increased receivables, principally long-term, by $51 million; and decreased noncontrolling interests by $31 million. Beginning in 2010, our interests in these variable interest entities have been accounted for as investments in unconsolidated entities and receivables. These amounts are recorded in “Other receivables” and as long-term “Other assets” in our Consolidated Balance Sheet. Our investments and receivables related to the trusts had a fair value of $105 million as of January 1, 2010 and $103 million as of December 31, 2010. We continue to reflect our interests in the unrealized gains and losses on marketable securities held by these trusts as a component of accumulated other comprehensive income. The deconsolidation of these variable interest entities has not materially affected our financial position, results of operations or cash flows for the periods presented.</w:t>
      </w:r>
    </w:p>
    <w:p>
      <w:pPr>
        <w:spacing w:after="0" w:line="73" w:lineRule="exact"/>
        <w:rPr>
          <w:sz w:val="20"/>
          <w:szCs w:val="20"/>
          <w:color w:val="auto"/>
        </w:rPr>
      </w:pPr>
    </w:p>
    <w:p>
      <w:pPr>
        <w:ind w:left="680" w:right="480" w:firstLine="399"/>
        <w:spacing w:after="0" w:line="305" w:lineRule="auto"/>
        <w:rPr>
          <w:sz w:val="20"/>
          <w:szCs w:val="20"/>
          <w:color w:val="auto"/>
        </w:rPr>
      </w:pPr>
      <w:r>
        <w:rPr>
          <w:rFonts w:ascii="Arial" w:cs="Arial" w:eastAsia="Arial" w:hAnsi="Arial"/>
          <w:sz w:val="11"/>
          <w:szCs w:val="11"/>
          <w:color w:val="auto"/>
        </w:rPr>
        <w:t>As the party with primary responsibility to fund the related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w:t>
      </w:r>
    </w:p>
    <w:p>
      <w:pPr>
        <w:spacing w:after="0" w:line="1" w:lineRule="exact"/>
        <w:rPr>
          <w:sz w:val="20"/>
          <w:szCs w:val="20"/>
          <w:color w:val="auto"/>
        </w:rPr>
      </w:pPr>
    </w:p>
    <w:p>
      <w:pPr>
        <w:ind w:left="680" w:right="140" w:firstLine="7"/>
        <w:spacing w:after="0" w:line="264" w:lineRule="auto"/>
        <w:tabs>
          <w:tab w:leader="none" w:pos="873" w:val="left"/>
        </w:tabs>
        <w:numPr>
          <w:ilvl w:val="0"/>
          <w:numId w:val="84"/>
        </w:numPr>
        <w:rPr>
          <w:rFonts w:ascii="Arial" w:cs="Arial" w:eastAsia="Arial" w:hAnsi="Arial"/>
          <w:sz w:val="13"/>
          <w:szCs w:val="13"/>
          <w:color w:val="auto"/>
        </w:rPr>
      </w:pPr>
      <w:r>
        <w:rPr>
          <w:rFonts w:ascii="Arial" w:cs="Arial" w:eastAsia="Arial" w:hAnsi="Arial"/>
          <w:sz w:val="13"/>
          <w:szCs w:val="13"/>
          <w:color w:val="auto"/>
        </w:rPr>
        <w:t>credit risk associated with trust receivables. Although we are exposed to changes in the fair value of the trust assets, we currently expect the trust funds to continue to meet the statutory requirements for which they were established.</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Investment in Federal Low-income Housing Tax Credits </w:t>
      </w:r>
      <w:r>
        <w:rPr>
          <w:rFonts w:ascii="Arial" w:cs="Arial" w:eastAsia="Arial" w:hAnsi="Arial"/>
          <w:sz w:val="13"/>
          <w:szCs w:val="13"/>
          <w:color w:val="auto"/>
        </w:rPr>
        <w:t>— In April 2010, we acquired a noncontrolling interest in a limited liability company established to invest in and manage</w:t>
      </w:r>
      <w:r>
        <w:rPr>
          <w:rFonts w:ascii="Arial" w:cs="Arial" w:eastAsia="Arial" w:hAnsi="Arial"/>
          <w:sz w:val="13"/>
          <w:szCs w:val="13"/>
          <w:i w:val="1"/>
          <w:iCs w:val="1"/>
          <w:color w:val="auto"/>
        </w:rPr>
        <w:t xml:space="preserve"> </w:t>
      </w:r>
      <w:r>
        <w:rPr>
          <w:rFonts w:ascii="Arial" w:cs="Arial" w:eastAsia="Arial" w:hAnsi="Arial"/>
          <w:sz w:val="13"/>
          <w:szCs w:val="13"/>
          <w:color w:val="auto"/>
        </w:rPr>
        <w:t>low-income housing properties. Along with the other equity investor, we support the operations of the entity in exchange for a pro-rata share of the tax credits it generates. Our target return on the investment is guaranteed and, therefore, we do not believe that we have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any material exposure to loss. Our consideration for this investment totaled $221 million, which was comprised of a $215 million note payable and an initial cash payment of $6 million. At December 31, 2010, our investment balance was $202 million. We determined that we are not the primary beneficiary of this entity as we do not have the power to direct the entity’s activities. Accordingly, we account for this investment under the equity method of accounting and do not consolidate the entity. Additional information related to this investment is discussed in Note 9.</w:t>
      </w:r>
    </w:p>
    <w:p>
      <w:pPr>
        <w:spacing w:after="0" w:line="144" w:lineRule="exact"/>
        <w:rPr>
          <w:sz w:val="20"/>
          <w:szCs w:val="20"/>
          <w:color w:val="auto"/>
        </w:rPr>
      </w:pPr>
    </w:p>
    <w:p>
      <w:pPr>
        <w:ind w:left="1180" w:hanging="493"/>
        <w:spacing w:after="0"/>
        <w:tabs>
          <w:tab w:leader="none" w:pos="1180"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1"/>
          <w:szCs w:val="11"/>
          <w:color w:val="auto"/>
        </w:rPr>
        <w:t>We currently manage and evaluate our operations primarily through our Eastern, Midwest, Southern, Western and Wheelabrator Groups. These five Groups are presented below as our reportable segments. Our four geographic operating Groups provide collection, transfer, disposal (in both solid waste and hazardous waste landfills) and recycling services. Our fifth Group is the Wheelabrator Group, which provides waste-to-energy services and manages waste-to-energy facilities and independent power production plants. We serve residential, commercial, industrial, and municipal customers throughout North America. The operations not managed through our five operating Groups are presented herein as “Other.”</w:t>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Summarized financial information concerning our reportable segments for the respective years ended December 31 is shown in the following table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Gross</w:t>
            </w:r>
          </w:p>
        </w:tc>
        <w:tc>
          <w:tcPr>
            <w:tcW w:w="10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7"/>
              </w:rPr>
              <w:t>Intercompany</w:t>
            </w:r>
          </w:p>
        </w:tc>
        <w:tc>
          <w:tcPr>
            <w:tcW w:w="80" w:type="dxa"/>
            <w:vAlign w:val="bottom"/>
          </w:tcPr>
          <w:p>
            <w:pPr>
              <w:spacing w:after="0"/>
              <w:rPr>
                <w:sz w:val="10"/>
                <w:szCs w:val="10"/>
                <w:color w:val="auto"/>
              </w:rPr>
            </w:pPr>
          </w:p>
        </w:tc>
        <w:tc>
          <w:tcPr>
            <w:tcW w:w="8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9"/>
              </w:rPr>
              <w:t>Net</w:t>
            </w:r>
          </w:p>
        </w:tc>
        <w:tc>
          <w:tcPr>
            <w:tcW w:w="80" w:type="dxa"/>
            <w:vAlign w:val="bottom"/>
          </w:tcPr>
          <w:p>
            <w:pPr>
              <w:spacing w:after="0"/>
              <w:rPr>
                <w:sz w:val="10"/>
                <w:szCs w:val="10"/>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Income</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Depreciation</w:t>
            </w:r>
          </w:p>
        </w:tc>
        <w:tc>
          <w:tcPr>
            <w:tcW w:w="80" w:type="dxa"/>
            <w:vAlign w:val="bottom"/>
          </w:tcPr>
          <w:p>
            <w:pPr>
              <w:spacing w:after="0"/>
              <w:rPr>
                <w:sz w:val="10"/>
                <w:szCs w:val="10"/>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Capital</w:t>
            </w:r>
          </w:p>
        </w:tc>
        <w:tc>
          <w:tcPr>
            <w:tcW w:w="100" w:type="dxa"/>
            <w:vAlign w:val="bottom"/>
          </w:tcPr>
          <w:p>
            <w:pPr>
              <w:spacing w:after="0"/>
              <w:rPr>
                <w:sz w:val="10"/>
                <w:szCs w:val="10"/>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Operating</w:t>
            </w:r>
          </w:p>
        </w:tc>
        <w:tc>
          <w:tcPr>
            <w:tcW w:w="80" w:type="dxa"/>
            <w:vAlign w:val="bottom"/>
          </w:tcPr>
          <w:p>
            <w:pPr>
              <w:spacing w:after="0"/>
              <w:rPr>
                <w:sz w:val="9"/>
                <w:szCs w:val="9"/>
                <w:color w:val="auto"/>
              </w:rPr>
            </w:pPr>
          </w:p>
        </w:tc>
        <w:tc>
          <w:tcPr>
            <w:tcW w:w="82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7"/>
              </w:rPr>
              <w:t>Operating</w:t>
            </w:r>
          </w:p>
        </w:tc>
        <w:tc>
          <w:tcPr>
            <w:tcW w:w="80" w:type="dxa"/>
            <w:vAlign w:val="bottom"/>
          </w:tcPr>
          <w:p>
            <w:pPr>
              <w:spacing w:after="0"/>
              <w:rPr>
                <w:sz w:val="9"/>
                <w:szCs w:val="9"/>
                <w:color w:val="auto"/>
              </w:rPr>
            </w:pPr>
          </w:p>
        </w:tc>
        <w:tc>
          <w:tcPr>
            <w:tcW w:w="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4"/>
              </w:rPr>
              <w:t>Operations</w:t>
            </w:r>
          </w:p>
        </w:tc>
        <w:tc>
          <w:tcPr>
            <w:tcW w:w="80" w:type="dxa"/>
            <w:vAlign w:val="bottom"/>
          </w:tcPr>
          <w:p>
            <w:pPr>
              <w:spacing w:after="0"/>
              <w:rPr>
                <w:sz w:val="9"/>
                <w:szCs w:val="9"/>
                <w:color w:val="auto"/>
              </w:rPr>
            </w:pPr>
          </w:p>
        </w:tc>
        <w:tc>
          <w:tcPr>
            <w:tcW w:w="1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and</w:t>
            </w:r>
          </w:p>
        </w:tc>
        <w:tc>
          <w:tcPr>
            <w:tcW w:w="80" w:type="dxa"/>
            <w:vAlign w:val="bottom"/>
          </w:tcPr>
          <w:p>
            <w:pPr>
              <w:spacing w:after="0"/>
              <w:rPr>
                <w:sz w:val="9"/>
                <w:szCs w:val="9"/>
                <w:color w:val="auto"/>
              </w:rPr>
            </w:pPr>
          </w:p>
        </w:tc>
        <w:tc>
          <w:tcPr>
            <w:tcW w:w="10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Expenditures</w:t>
            </w:r>
          </w:p>
        </w:tc>
        <w:tc>
          <w:tcPr>
            <w:tcW w:w="100" w:type="dxa"/>
            <w:vAlign w:val="bottom"/>
          </w:tcPr>
          <w:p>
            <w:pPr>
              <w:spacing w:after="0"/>
              <w:rPr>
                <w:sz w:val="9"/>
                <w:szCs w:val="9"/>
                <w:color w:val="auto"/>
              </w:rPr>
            </w:pPr>
          </w:p>
        </w:tc>
        <w:tc>
          <w:tcPr>
            <w:tcW w:w="580" w:type="dxa"/>
            <w:vAlign w:val="bottom"/>
            <w:gridSpan w:val="2"/>
          </w:tcPr>
          <w:p>
            <w:pPr>
              <w:jc w:val="right"/>
              <w:ind w:right="240"/>
              <w:spacing w:after="0" w:line="108" w:lineRule="exact"/>
              <w:rPr>
                <w:sz w:val="20"/>
                <w:szCs w:val="20"/>
                <w:color w:val="auto"/>
              </w:rPr>
            </w:pPr>
            <w:r>
              <w:rPr>
                <w:rFonts w:ascii="Arial" w:cs="Arial" w:eastAsia="Arial" w:hAnsi="Arial"/>
                <w:sz w:val="10"/>
                <w:szCs w:val="10"/>
                <w:b w:val="1"/>
                <w:bCs w:val="1"/>
                <w:color w:val="auto"/>
                <w:w w:val="97"/>
              </w:rPr>
              <w:t>Assets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0"/>
              </w:rPr>
              <w:t>Revenues(c)</w:t>
            </w:r>
          </w:p>
        </w:tc>
        <w:tc>
          <w:tcPr>
            <w:tcW w:w="80" w:type="dxa"/>
            <w:vAlign w:val="bottom"/>
          </w:tcPr>
          <w:p>
            <w:pPr>
              <w:spacing w:after="0"/>
              <w:rPr>
                <w:sz w:val="10"/>
                <w:szCs w:val="10"/>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Revenues</w:t>
            </w:r>
          </w:p>
        </w:tc>
        <w:tc>
          <w:tcPr>
            <w:tcW w:w="80" w:type="dxa"/>
            <w:vAlign w:val="bottom"/>
          </w:tcPr>
          <w:p>
            <w:pPr>
              <w:spacing w:after="0"/>
              <w:rPr>
                <w:sz w:val="10"/>
                <w:szCs w:val="10"/>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(d),(e)</w:t>
            </w:r>
          </w:p>
        </w:tc>
        <w:tc>
          <w:tcPr>
            <w:tcW w:w="80" w:type="dxa"/>
            <w:vAlign w:val="bottom"/>
          </w:tcPr>
          <w:p>
            <w:pPr>
              <w:spacing w:after="0"/>
              <w:rPr>
                <w:sz w:val="10"/>
                <w:szCs w:val="1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8"/>
              </w:rPr>
              <w:t>Amortization</w:t>
            </w:r>
          </w:p>
        </w:tc>
        <w:tc>
          <w:tcPr>
            <w:tcW w:w="80" w:type="dxa"/>
            <w:vAlign w:val="bottom"/>
          </w:tcPr>
          <w:p>
            <w:pPr>
              <w:spacing w:after="0"/>
              <w:rPr>
                <w:sz w:val="10"/>
                <w:szCs w:val="1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9"/>
              </w:rPr>
              <w:t>(f)</w:t>
            </w:r>
          </w:p>
        </w:tc>
        <w:tc>
          <w:tcPr>
            <w:tcW w:w="100" w:type="dxa"/>
            <w:vAlign w:val="bottom"/>
          </w:tcPr>
          <w:p>
            <w:pPr>
              <w:spacing w:after="0"/>
              <w:rPr>
                <w:sz w:val="10"/>
                <w:szCs w:val="1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(g),(h)</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2010</w:t>
            </w:r>
          </w:p>
        </w:tc>
        <w:tc>
          <w:tcPr>
            <w:tcW w:w="1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Eastern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2,943</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(508)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2,435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516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270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4,272</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Midwest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(453)</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2,595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533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275</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4,929</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Southern</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3,461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(403)</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3,058</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844</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269</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3,256</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Western</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3,173</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(438)</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2,735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210</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3,715</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889</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764</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214</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2,574</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Other(a)</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14,477</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(1,962)</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12,515</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2,541</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1,138</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1,077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20,490</w:t>
            </w:r>
          </w:p>
        </w:tc>
        <w:tc>
          <w:tcPr>
            <w:tcW w:w="0" w:type="dxa"/>
            <w:vAlign w:val="bottom"/>
          </w:tcPr>
          <w:p>
            <w:pPr>
              <w:spacing w:after="0"/>
              <w:rPr>
                <w:sz w:val="1"/>
                <w:szCs w:val="1"/>
                <w:color w:val="auto"/>
              </w:rPr>
            </w:pPr>
          </w:p>
        </w:tc>
      </w:tr>
      <w:tr>
        <w:trPr>
          <w:trHeight w:val="158"/>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Other(b)</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(425)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1,679</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20" w:type="dxa"/>
            <w:vAlign w:val="bottom"/>
            <w:gridSpan w:val="2"/>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14,477</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(1,962)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12,515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2,116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1,194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1,167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22,169</w:t>
            </w:r>
          </w:p>
        </w:tc>
        <w:tc>
          <w:tcPr>
            <w:tcW w:w="0" w:type="dxa"/>
            <w:vAlign w:val="bottom"/>
          </w:tcPr>
          <w:p>
            <w:pPr>
              <w:spacing w:after="0"/>
              <w:rPr>
                <w:sz w:val="1"/>
                <w:szCs w:val="1"/>
                <w:color w:val="auto"/>
              </w:rPr>
            </w:pPr>
          </w:p>
        </w:tc>
      </w:tr>
      <w:tr>
        <w:trPr>
          <w:trHeight w:val="165"/>
        </w:trPr>
        <w:tc>
          <w:tcPr>
            <w:tcW w:w="1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182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Eastern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2,960</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(533)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2,427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483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276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4,326</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Midwest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(426)</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2,429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450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261</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4,899</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Southern</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3,328</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(431)</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2,897</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768</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274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3,250</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Western</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(412)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2,713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3,667</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841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718</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235</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2,266</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Other(a)</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(136)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13,737</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(1,946)</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11,791</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2,321</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1,123</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1,010</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19,520</w:t>
            </w:r>
          </w:p>
        </w:tc>
        <w:tc>
          <w:tcPr>
            <w:tcW w:w="0" w:type="dxa"/>
            <w:vAlign w:val="bottom"/>
          </w:tcPr>
          <w:p>
            <w:pPr>
              <w:spacing w:after="0"/>
              <w:rPr>
                <w:sz w:val="1"/>
                <w:szCs w:val="1"/>
                <w:color w:val="auto"/>
              </w:rPr>
            </w:pPr>
          </w:p>
        </w:tc>
      </w:tr>
      <w:tr>
        <w:trPr>
          <w:trHeight w:val="158"/>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Other(b)</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(434)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2,281</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20" w:type="dxa"/>
            <w:vAlign w:val="bottom"/>
            <w:gridSpan w:val="2"/>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13,737</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(1,946)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11,791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1,887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1,166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1,076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21,801</w:t>
            </w:r>
          </w:p>
        </w:tc>
        <w:tc>
          <w:tcPr>
            <w:tcW w:w="0" w:type="dxa"/>
            <w:vAlign w:val="bottom"/>
          </w:tcPr>
          <w:p>
            <w:pPr>
              <w:spacing w:after="0"/>
              <w:rPr>
                <w:sz w:val="1"/>
                <w:szCs w:val="1"/>
                <w:color w:val="auto"/>
              </w:rPr>
            </w:pPr>
          </w:p>
        </w:tc>
      </w:tr>
      <w:tr>
        <w:trPr>
          <w:trHeight w:val="165"/>
        </w:trPr>
        <w:tc>
          <w:tcPr>
            <w:tcW w:w="1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182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Eastern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3,319</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(599)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2,720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523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284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4,372</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Midwest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3,267</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(475)</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2,792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475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4,626</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Southern</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3,740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(493)</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3,247</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872</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294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3,218</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Western</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3,387</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(428)</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2,959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612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3,686</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820</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323</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2,359</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Other(a)</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850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15,522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(2,134)</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13,388</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2,745</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1,191</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1,317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19,134</w:t>
            </w:r>
          </w:p>
        </w:tc>
        <w:tc>
          <w:tcPr>
            <w:tcW w:w="0" w:type="dxa"/>
            <w:vAlign w:val="bottom"/>
          </w:tcPr>
          <w:p>
            <w:pPr>
              <w:spacing w:after="0"/>
              <w:rPr>
                <w:sz w:val="1"/>
                <w:szCs w:val="1"/>
                <w:color w:val="auto"/>
              </w:rPr>
            </w:pPr>
          </w:p>
        </w:tc>
      </w:tr>
      <w:tr>
        <w:trPr>
          <w:trHeight w:val="158"/>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Other(b)</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(511)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1,676</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20" w:type="dxa"/>
            <w:vAlign w:val="bottom"/>
            <w:gridSpan w:val="2"/>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15,522</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(2,134)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13,388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2,234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1,238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1,362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20,810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60" w:hanging="393"/>
        <w:spacing w:after="0" w:line="260" w:lineRule="auto"/>
        <w:tabs>
          <w:tab w:leader="none" w:pos="10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Our “Other” net operating revenues and “Other” income from operations include (i) the effects of those elements of our in-plant services, landfill gas-to-energy operations, and third-party subcontract and administration revenues managed by our Upstream</w:t>
      </w:r>
      <w:r>
        <w:rPr>
          <w:rFonts w:ascii="Arial" w:cs="Arial" w:eastAsia="Arial" w:hAnsi="Arial"/>
          <w:sz w:val="11"/>
          <w:szCs w:val="11"/>
          <w:color w:val="auto"/>
        </w:rPr>
        <w:t>®</w:t>
      </w:r>
      <w:r>
        <w:rPr>
          <w:rFonts w:ascii="Arial" w:cs="Arial" w:eastAsia="Arial" w:hAnsi="Arial"/>
          <w:sz w:val="13"/>
          <w:szCs w:val="13"/>
          <w:color w:val="auto"/>
        </w:rPr>
        <w:t>, Renewable Energy and Strategic Accounts organizations, respectively, that are not included with the operations of our reportable segments; (ii) our recycling brokerage and electronic recycling services; and (iii) the impacts of investments that we are making in expanded service offerings such as portable self-storage and fluorescent lamp recycling. In addition, our “Other” income from</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operations reflects the impacts of (i) non-operating entities that provide financial assurance and self-insurance support for the Groups or financing for our Canadian operations; and</w:t>
      </w:r>
    </w:p>
    <w:p>
      <w:pPr>
        <w:spacing w:after="0" w:line="27" w:lineRule="exact"/>
        <w:rPr>
          <w:sz w:val="20"/>
          <w:szCs w:val="20"/>
          <w:color w:val="auto"/>
        </w:rPr>
      </w:pPr>
    </w:p>
    <w:p>
      <w:pPr>
        <w:ind w:left="1080" w:right="360"/>
        <w:spacing w:after="0" w:line="264" w:lineRule="auto"/>
        <w:rPr>
          <w:sz w:val="20"/>
          <w:szCs w:val="20"/>
          <w:color w:val="auto"/>
        </w:rPr>
      </w:pPr>
      <w:r>
        <w:rPr>
          <w:rFonts w:ascii="Arial" w:cs="Arial" w:eastAsia="Arial" w:hAnsi="Arial"/>
          <w:sz w:val="13"/>
          <w:szCs w:val="13"/>
          <w:color w:val="auto"/>
        </w:rPr>
        <w:t>(ii) certain year-end adjustments recorded in consolidation related to the reportable segments that were not included in the measure of segment profit or loss used to assess their performance for the periods disclosed.</w:t>
      </w:r>
    </w:p>
    <w:p>
      <w:pPr>
        <w:spacing w:after="0" w:line="17" w:lineRule="exact"/>
        <w:rPr>
          <w:sz w:val="20"/>
          <w:szCs w:val="20"/>
          <w:color w:val="auto"/>
        </w:rPr>
      </w:pPr>
    </w:p>
    <w:p>
      <w:pPr>
        <w:ind w:left="1080" w:right="160" w:hanging="393"/>
        <w:spacing w:after="0" w:line="260" w:lineRule="auto"/>
        <w:tabs>
          <w:tab w:leader="none" w:pos="10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Corporate operating results reflect the costs incurred for various support services that are not allocated to our five Groups.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20" w:lineRule="exact"/>
        <w:rPr>
          <w:rFonts w:ascii="Arial" w:cs="Arial" w:eastAsia="Arial" w:hAnsi="Arial"/>
          <w:sz w:val="13"/>
          <w:szCs w:val="13"/>
          <w:color w:val="auto"/>
        </w:rPr>
      </w:pPr>
    </w:p>
    <w:p>
      <w:pPr>
        <w:ind w:left="1080" w:right="260" w:hanging="393"/>
        <w:spacing w:after="0" w:line="276" w:lineRule="auto"/>
        <w:tabs>
          <w:tab w:leader="none" w:pos="10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0" w:lineRule="exact"/>
        <w:rPr>
          <w:rFonts w:ascii="Arial" w:cs="Arial" w:eastAsia="Arial" w:hAnsi="Arial"/>
          <w:sz w:val="13"/>
          <w:szCs w:val="13"/>
          <w:color w:val="auto"/>
        </w:rPr>
      </w:pPr>
    </w:p>
    <w:p>
      <w:pPr>
        <w:ind w:left="1080" w:hanging="393"/>
        <w:spacing w:after="0"/>
        <w:tabs>
          <w:tab w:leader="none" w:pos="10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For those items included in the determination of income from operations, the accounting policies of the segments are the same as those described in Note 3.</w:t>
      </w:r>
    </w:p>
    <w:p>
      <w:pPr>
        <w:spacing w:after="0" w:line="47" w:lineRule="exact"/>
        <w:rPr>
          <w:rFonts w:ascii="Arial" w:cs="Arial" w:eastAsia="Arial" w:hAnsi="Arial"/>
          <w:sz w:val="13"/>
          <w:szCs w:val="13"/>
          <w:color w:val="auto"/>
        </w:rPr>
      </w:pPr>
    </w:p>
    <w:p>
      <w:pPr>
        <w:ind w:left="1080" w:right="20" w:hanging="393"/>
        <w:spacing w:after="0" w:line="255" w:lineRule="auto"/>
        <w:tabs>
          <w:tab w:leader="none" w:pos="10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income from operations provided by our four geographic Groups is generally indicative of the margins provided by our collection, landfill, transfer and recycling businesses. The operating margins provided by our Wheelabrator Group (waste-to-energy facilities and independent power production plants) have historically been higher than the margins provided by our base business generally due to the combined impact of long-term disposal and energy contracts and the disposal demands of the regions in which our facilities are concentrated. However, the revenues and operating results of our Wheelabrator Group have been unfavorably affected by a significant decrease in the rates charged for electricity under our power purchase contracts, which correlate with natural gas prices in the markets where we operate. Exposure to market fluctuations in electricity prices increased for the Wheelabrator Group in 2009 due in large part to the expiration of several long-term energy contracts. Additionally, the Company’s current focus on the expansion of our waste-to-energy business both internationally and domestically has increased Wheelabrator’s costs and expenses, which has negatively affected the comparability of their operating results for the periods presented. From time to time the operating results of our reportable segments are significantly affected by certain transactions or events that management believes are not indicative or representative of our results. Refer to Note 12 and Note 13 for an explanation of transactions and events affecting the operating results of our reportable segments.</w:t>
      </w:r>
    </w:p>
    <w:p>
      <w:pPr>
        <w:spacing w:after="0" w:line="23" w:lineRule="exact"/>
        <w:rPr>
          <w:rFonts w:ascii="Arial" w:cs="Arial" w:eastAsia="Arial" w:hAnsi="Arial"/>
          <w:sz w:val="13"/>
          <w:szCs w:val="13"/>
          <w:color w:val="auto"/>
        </w:rPr>
      </w:pPr>
    </w:p>
    <w:p>
      <w:pPr>
        <w:ind w:left="1080" w:right="80" w:hanging="393"/>
        <w:spacing w:after="0" w:line="276" w:lineRule="auto"/>
        <w:tabs>
          <w:tab w:leader="none" w:pos="10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Includes non-cash items. Capital expenditures are reported in our reportable segments at the time they are recorded within the segments’ property, plant and equipment balances and, therefore, may include amounts that have been accrued but not yet paid.</w:t>
      </w:r>
    </w:p>
    <w:p>
      <w:pPr>
        <w:spacing w:after="0" w:line="10" w:lineRule="exact"/>
        <w:rPr>
          <w:rFonts w:ascii="Arial" w:cs="Arial" w:eastAsia="Arial" w:hAnsi="Arial"/>
          <w:sz w:val="13"/>
          <w:szCs w:val="13"/>
          <w:color w:val="auto"/>
        </w:rPr>
      </w:pPr>
    </w:p>
    <w:p>
      <w:pPr>
        <w:ind w:left="1080" w:hanging="393"/>
        <w:spacing w:after="0"/>
        <w:tabs>
          <w:tab w:leader="none" w:pos="10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reconciliation of total assets reported above to “Total assets” in the Consolidated Balance Sheets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0"/>
                <w:szCs w:val="10"/>
                <w:b w:val="1"/>
                <w:bCs w:val="1"/>
                <w:color w:val="auto"/>
                <w:w w:val="95"/>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2010</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assets, as reported above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22,169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21,801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20,810</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Elimination of intercompany investments and advances</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(693)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(647)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(583)</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assets, per Consolidated Balance Sheets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21,476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21,154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20,227</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1080" w:right="240" w:hanging="393"/>
        <w:spacing w:after="0" w:line="320" w:lineRule="auto"/>
        <w:tabs>
          <w:tab w:leader="none" w:pos="10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Goodwill is included within each Group’s total assets. As discussed above, for segment reporting purposes, our material recovery facilities and secondary processing facilities are included as a component of their respective geographic Group and our recycling brokerage business and electronics recycling services are included as part</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of our “Other” operations. The following table shows changes in goodwill during 2009 and 2010 by reportable segment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500" w:type="dxa"/>
            <w:vAlign w:val="bottom"/>
          </w:tcPr>
          <w:p>
            <w:pPr>
              <w:spacing w:after="0"/>
              <w:rPr>
                <w:sz w:val="10"/>
                <w:szCs w:val="10"/>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Eastern</w:t>
            </w:r>
          </w:p>
        </w:tc>
        <w:tc>
          <w:tcPr>
            <w:tcW w:w="6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91"/>
              </w:rPr>
              <w:t>Midwest</w:t>
            </w:r>
          </w:p>
        </w:tc>
        <w:tc>
          <w:tcPr>
            <w:tcW w:w="8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0"/>
                <w:szCs w:val="10"/>
                <w:b w:val="1"/>
                <w:bCs w:val="1"/>
                <w:color w:val="auto"/>
              </w:rPr>
              <w:t>Southern</w:t>
            </w:r>
          </w:p>
        </w:tc>
        <w:tc>
          <w:tcPr>
            <w:tcW w:w="6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0"/>
                <w:szCs w:val="10"/>
                <w:b w:val="1"/>
                <w:bCs w:val="1"/>
                <w:color w:val="auto"/>
              </w:rPr>
              <w:t>Western</w:t>
            </w:r>
          </w:p>
        </w:tc>
        <w:tc>
          <w:tcPr>
            <w:tcW w:w="100" w:type="dxa"/>
            <w:vAlign w:val="bottom"/>
          </w:tcPr>
          <w:p>
            <w:pPr>
              <w:spacing w:after="0"/>
              <w:rPr>
                <w:sz w:val="10"/>
                <w:szCs w:val="1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Wheelabrator</w:t>
            </w:r>
          </w:p>
        </w:tc>
        <w:tc>
          <w:tcPr>
            <w:tcW w:w="600" w:type="dxa"/>
            <w:vAlign w:val="bottom"/>
            <w:gridSpan w:val="3"/>
          </w:tcPr>
          <w:p>
            <w:pPr>
              <w:ind w:left="20"/>
              <w:spacing w:after="0"/>
              <w:rPr>
                <w:sz w:val="20"/>
                <w:szCs w:val="20"/>
                <w:color w:val="auto"/>
              </w:rPr>
            </w:pPr>
            <w:r>
              <w:rPr>
                <w:rFonts w:ascii="Arial" w:cs="Arial" w:eastAsia="Arial" w:hAnsi="Arial"/>
                <w:sz w:val="10"/>
                <w:szCs w:val="10"/>
                <w:b w:val="1"/>
                <w:bCs w:val="1"/>
                <w:color w:val="auto"/>
              </w:rPr>
              <w:t>Other</w:t>
            </w:r>
          </w:p>
        </w:tc>
        <w:tc>
          <w:tcPr>
            <w:tcW w:w="60" w:type="dxa"/>
            <w:vAlign w:val="bottom"/>
          </w:tcPr>
          <w:p>
            <w:pPr>
              <w:spacing w:after="0"/>
              <w:rPr>
                <w:sz w:val="10"/>
                <w:szCs w:val="1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1"/>
              </w:rPr>
              <w:t>Total</w:t>
            </w:r>
          </w:p>
        </w:tc>
      </w:tr>
      <w:tr>
        <w:trPr>
          <w:trHeight w:val="29"/>
        </w:trPr>
        <w:tc>
          <w:tcPr>
            <w:tcW w:w="4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3"/>
              </w:rPr>
              <w:t>1,488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1,300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643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1,208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788</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5,462</w:t>
            </w: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Acquired goodwill</w:t>
            </w:r>
          </w:p>
        </w:tc>
        <w:tc>
          <w:tcPr>
            <w:tcW w:w="120" w:type="dxa"/>
            <w:vAlign w:val="bottom"/>
          </w:tcPr>
          <w:p>
            <w:pPr>
              <w:spacing w:after="0"/>
              <w:rPr>
                <w:sz w:val="12"/>
                <w:szCs w:val="12"/>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2"/>
                <w:szCs w:val="12"/>
                <w:color w:val="auto"/>
              </w:rPr>
              <w:t>10</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36</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27</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125</w:t>
            </w: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Divested goodwill, net of assets held-for-sale</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w:t>
            </w: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Translation adjustments</w:t>
            </w:r>
          </w:p>
        </w:tc>
        <w:tc>
          <w:tcPr>
            <w:tcW w:w="120" w:type="dxa"/>
            <w:vAlign w:val="bottom"/>
          </w:tcPr>
          <w:p>
            <w:pPr>
              <w:spacing w:after="0"/>
              <w:rPr>
                <w:sz w:val="12"/>
                <w:szCs w:val="12"/>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43</w:t>
            </w:r>
          </w:p>
        </w:tc>
      </w:tr>
      <w:tr>
        <w:trPr>
          <w:trHeight w:val="20"/>
        </w:trPr>
        <w:tc>
          <w:tcPr>
            <w:tcW w:w="4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2009</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3"/>
              </w:rPr>
              <w:t>1,500</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1,382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679</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1,221</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788</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62</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5,632</w:t>
            </w: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Acquired goodwill</w:t>
            </w:r>
          </w:p>
        </w:tc>
        <w:tc>
          <w:tcPr>
            <w:tcW w:w="120" w:type="dxa"/>
            <w:vAlign w:val="bottom"/>
          </w:tcPr>
          <w:p>
            <w:pPr>
              <w:spacing w:after="0"/>
              <w:rPr>
                <w:sz w:val="12"/>
                <w:szCs w:val="12"/>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32</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77</w:t>
            </w: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Divested goodwill, net of assets held-for-sale</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Translation and other adjustments</w:t>
            </w:r>
          </w:p>
        </w:tc>
        <w:tc>
          <w:tcPr>
            <w:tcW w:w="120" w:type="dxa"/>
            <w:vAlign w:val="bottom"/>
          </w:tcPr>
          <w:p>
            <w:pPr>
              <w:spacing w:after="0"/>
              <w:rPr>
                <w:sz w:val="12"/>
                <w:szCs w:val="12"/>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17</w:t>
            </w:r>
          </w:p>
        </w:tc>
      </w:tr>
      <w:tr>
        <w:trPr>
          <w:trHeight w:val="20"/>
        </w:trPr>
        <w:tc>
          <w:tcPr>
            <w:tcW w:w="4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3"/>
              </w:rPr>
              <w:t>1,504</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1,414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683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1,243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788</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94</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5,726</w:t>
            </w:r>
          </w:p>
        </w:tc>
      </w:tr>
      <w:tr>
        <w:trPr>
          <w:trHeight w:val="29"/>
        </w:trPr>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shows the total revenues by principal line of business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Collection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8,247</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7,980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8,679</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Landfill</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2,540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2,547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2,955</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Transfer</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1,318</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1,589</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889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841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912</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Recycling</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1,169</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Other(a)</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314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Intercompany(b)</w:t>
            </w:r>
          </w:p>
        </w:tc>
        <w:tc>
          <w:tcPr>
            <w:tcW w:w="1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(1,962)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(1,946)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(2,134)</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3"/>
                <w:szCs w:val="13"/>
                <w:color w:val="auto"/>
              </w:rPr>
              <w:t>Operating revenues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12,515</w:t>
            </w:r>
          </w:p>
        </w:tc>
        <w:tc>
          <w:tcPr>
            <w:tcW w:w="6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11,791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13,388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0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080" w:hanging="393"/>
        <w:spacing w:after="0"/>
        <w:tabs>
          <w:tab w:leader="none" w:pos="10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“Other” line-of-business includes landfill gas-to-energy operations, Port-O-Let</w:t>
      </w:r>
      <w:r>
        <w:rPr>
          <w:rFonts w:ascii="Arial" w:cs="Arial" w:eastAsia="Arial" w:hAnsi="Arial"/>
          <w:sz w:val="11"/>
          <w:szCs w:val="11"/>
          <w:color w:val="auto"/>
        </w:rPr>
        <w:t>®</w:t>
      </w:r>
      <w:r>
        <w:rPr>
          <w:rFonts w:ascii="Arial" w:cs="Arial" w:eastAsia="Arial" w:hAnsi="Arial"/>
          <w:sz w:val="13"/>
          <w:szCs w:val="13"/>
          <w:color w:val="auto"/>
        </w:rPr>
        <w:t xml:space="preserve"> services, portable self-storage and fluorescent lamp recycling.</w:t>
      </w:r>
    </w:p>
    <w:p>
      <w:pPr>
        <w:spacing w:after="0" w:line="49" w:lineRule="exact"/>
        <w:rPr>
          <w:rFonts w:ascii="Arial" w:cs="Arial" w:eastAsia="Arial" w:hAnsi="Arial"/>
          <w:sz w:val="13"/>
          <w:szCs w:val="13"/>
          <w:color w:val="auto"/>
        </w:rPr>
      </w:pPr>
    </w:p>
    <w:p>
      <w:pPr>
        <w:ind w:left="1080" w:right="3600" w:hanging="393"/>
        <w:spacing w:after="0" w:line="467" w:lineRule="auto"/>
        <w:tabs>
          <w:tab w:leader="none" w:pos="1084" w:val="left"/>
        </w:tabs>
        <w:numPr>
          <w:ilvl w:val="0"/>
          <w:numId w:val="89"/>
        </w:numPr>
        <w:rPr>
          <w:rFonts w:ascii="Arial" w:cs="Arial" w:eastAsia="Arial" w:hAnsi="Arial"/>
          <w:sz w:val="11"/>
          <w:szCs w:val="11"/>
          <w:color w:val="auto"/>
        </w:rPr>
      </w:pPr>
      <w:r>
        <w:rPr>
          <w:rFonts w:ascii="Arial" w:cs="Arial" w:eastAsia="Arial" w:hAnsi="Arial"/>
          <w:sz w:val="11"/>
          <w:szCs w:val="11"/>
          <w:color w:val="auto"/>
        </w:rPr>
        <w:t>Intercompany revenues between lines of business are eliminated within the Consolidated Financial Statements included herein. Net operating revenues relating to operations in the United States and Puerto Rico, as well as Canada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2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United States and Puerto Rico</w:t>
            </w:r>
          </w:p>
        </w:tc>
        <w:tc>
          <w:tcPr>
            <w:tcW w:w="420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11,784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11,137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12,621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Canada</w:t>
            </w:r>
          </w:p>
        </w:tc>
        <w:tc>
          <w:tcPr>
            <w:tcW w:w="4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731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654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767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40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12,515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11,791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13,388</w:t>
            </w:r>
          </w:p>
        </w:tc>
        <w:tc>
          <w:tcPr>
            <w:tcW w:w="800" w:type="dxa"/>
            <w:vAlign w:val="bottom"/>
          </w:tcPr>
          <w:p>
            <w:pPr>
              <w:spacing w:after="0"/>
              <w:rPr>
                <w:sz w:val="14"/>
                <w:szCs w:val="14"/>
                <w:color w:val="auto"/>
              </w:rPr>
            </w:pPr>
          </w:p>
        </w:tc>
      </w:tr>
      <w:tr>
        <w:trPr>
          <w:trHeight w:val="451"/>
        </w:trPr>
        <w:tc>
          <w:tcPr>
            <w:tcW w:w="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60" w:type="dxa"/>
            <w:vAlign w:val="bottom"/>
          </w:tcPr>
          <w:p>
            <w:pPr>
              <w:jc w:val="right"/>
              <w:ind w:right="2134"/>
              <w:spacing w:after="0"/>
              <w:rPr>
                <w:sz w:val="20"/>
                <w:szCs w:val="20"/>
                <w:color w:val="auto"/>
              </w:rPr>
            </w:pPr>
            <w:r>
              <w:rPr>
                <w:rFonts w:ascii="Arial" w:cs="Arial" w:eastAsia="Arial" w:hAnsi="Arial"/>
                <w:sz w:val="13"/>
                <w:szCs w:val="13"/>
                <w:color w:val="auto"/>
              </w:rPr>
              <w:t>120</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40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Property and equipment (net) relating to operations in the United States and Puerto Rico, as well as Canada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United States and Puerto Rico</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10,558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10,251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10,355</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Canada</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1,310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1,290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1,047</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11,868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11,402</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Quarterly Financial Data (Unaudited)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unaudited quarterly results of operations for 2010 and 2009 (in millions, except per share amounts):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First</w:t>
            </w:r>
          </w:p>
        </w:tc>
        <w:tc>
          <w:tcPr>
            <w:tcW w:w="80" w:type="dxa"/>
            <w:vAlign w:val="bottom"/>
          </w:tcPr>
          <w:p>
            <w:pPr>
              <w:spacing w:after="0"/>
              <w:rPr>
                <w:sz w:val="10"/>
                <w:szCs w:val="10"/>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8"/>
              </w:rPr>
              <w:t>Second</w:t>
            </w:r>
          </w:p>
        </w:tc>
        <w:tc>
          <w:tcPr>
            <w:tcW w:w="100" w:type="dxa"/>
            <w:vAlign w:val="bottom"/>
          </w:tcPr>
          <w:p>
            <w:pPr>
              <w:spacing w:after="0"/>
              <w:rPr>
                <w:sz w:val="10"/>
                <w:szCs w:val="10"/>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Third</w:t>
            </w:r>
          </w:p>
        </w:tc>
        <w:tc>
          <w:tcPr>
            <w:tcW w:w="80" w:type="dxa"/>
            <w:vAlign w:val="bottom"/>
          </w:tcPr>
          <w:p>
            <w:pPr>
              <w:spacing w:after="0"/>
              <w:rPr>
                <w:sz w:val="10"/>
                <w:szCs w:val="1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4"/>
              </w:rPr>
              <w:t>Fourth</w:t>
            </w:r>
          </w:p>
        </w:tc>
      </w:tr>
      <w:tr>
        <w:trPr>
          <w:trHeight w:val="12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Quarter</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Quarter</w:t>
            </w:r>
          </w:p>
        </w:tc>
        <w:tc>
          <w:tcPr>
            <w:tcW w:w="9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5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Quarter</w:t>
            </w:r>
          </w:p>
        </w:tc>
      </w:tr>
      <w:tr>
        <w:trPr>
          <w:trHeight w:val="29"/>
        </w:trPr>
        <w:tc>
          <w:tcPr>
            <w:tcW w:w="6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2010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2,935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3,158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3,235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3,187</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412</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544</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574</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192</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258</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294</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Basic earnings per common share</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0.37</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0.51</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0.51</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0.59</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0.37</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0.51</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0.59</w:t>
            </w:r>
          </w:p>
        </w:tc>
      </w:tr>
      <w:tr>
        <w:trPr>
          <w:trHeight w:val="157"/>
        </w:trPr>
        <w:tc>
          <w:tcPr>
            <w:tcW w:w="6700" w:type="dxa"/>
            <w:vAlign w:val="bottom"/>
          </w:tcPr>
          <w:p>
            <w:pPr>
              <w:spacing w:after="0"/>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2,810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2,952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3,006</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372</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534</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525</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456</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155</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277</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315</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0.31</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0.56</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0.65</w:t>
            </w:r>
          </w:p>
        </w:tc>
      </w:tr>
      <w:tr>
        <w:trPr>
          <w:trHeight w:val="165"/>
        </w:trPr>
        <w:tc>
          <w:tcPr>
            <w:tcW w:w="6700" w:type="dxa"/>
            <w:vAlign w:val="bottom"/>
          </w:tcPr>
          <w:p>
            <w:pPr>
              <w:spacing w:after="0"/>
              <w:rPr>
                <w:sz w:val="20"/>
                <w:szCs w:val="20"/>
                <w:color w:val="auto"/>
              </w:rPr>
            </w:pPr>
            <w:r>
              <w:rPr>
                <w:rFonts w:ascii="Arial" w:cs="Arial" w:eastAsia="Arial" w:hAnsi="Arial"/>
                <w:sz w:val="13"/>
                <w:szCs w:val="13"/>
                <w:color w:val="auto"/>
              </w:rPr>
              <w:t>Diluted earnings per common share</w:t>
            </w:r>
          </w:p>
        </w:tc>
        <w:tc>
          <w:tcPr>
            <w:tcW w:w="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0.31</w:t>
            </w: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0.50</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0.56</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0.64</w:t>
            </w:r>
          </w:p>
        </w:tc>
      </w:tr>
    </w:tbl>
    <w:p>
      <w:pPr>
        <w:spacing w:after="0" w:line="72"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3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operating revenues normally tend to be somewhat higher in the summer months, primarily due to the traditional seasonal increase in the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although we saw a significantly weaker seasonal volume increase during 2009 than we generally experience. Additionally, from time to time, our operating results are significantly affected by certain transactions or events that management believes are not indicative or representative of our results. The following significant items have affected the comparison of our operating results during the periods presented: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First Quarter 2010</w:t>
      </w:r>
    </w:p>
    <w:p>
      <w:pPr>
        <w:spacing w:after="0" w:line="96" w:lineRule="exact"/>
        <w:rPr>
          <w:sz w:val="20"/>
          <w:szCs w:val="20"/>
          <w:color w:val="auto"/>
        </w:rPr>
      </w:pPr>
    </w:p>
    <w:p>
      <w:pPr>
        <w:ind w:left="1280" w:right="80" w:hanging="190"/>
        <w:spacing w:after="0" w:line="264"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the recognition of a $28 million charge to “Operating” expenses incurred by our Midwest Group as a result of bargaining unit employees in Michigan and Ohio agreeing to our proposal to withdraw them from an under-funded multiemployer pension plan. This charge reduced diluted earnings per share for the quarter by $0.04.</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280" w:right="160" w:hanging="190"/>
        <w:spacing w:after="0" w:line="276" w:lineRule="auto"/>
        <w:tabs>
          <w:tab w:leader="none" w:pos="12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severe winter weather experienced in early 2010 reduced our revenues and increased our overtime and landfill operating costs, causing an estimated decrease in our diluted earnings per share of $0.02.</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Second Quarter 2010</w:t>
      </w:r>
    </w:p>
    <w:p>
      <w:pPr>
        <w:spacing w:after="0" w:line="96" w:lineRule="exact"/>
        <w:rPr>
          <w:sz w:val="20"/>
          <w:szCs w:val="20"/>
          <w:color w:val="auto"/>
        </w:rPr>
      </w:pPr>
    </w:p>
    <w:p>
      <w:pPr>
        <w:ind w:left="1280" w:hanging="190"/>
        <w:spacing w:after="0" w:line="276" w:lineRule="auto"/>
        <w:tabs>
          <w:tab w:leader="none" w:pos="12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Income from operations was positively affected by the recognition of a pre-tax cash benefit of $77 million due to the settlement of a lawsuit related to the abandonment of revenue management software, which had a favorable impact of $0.10 on our diluted earnings per share.</w:t>
      </w:r>
    </w:p>
    <w:p>
      <w:pPr>
        <w:spacing w:after="0" w:line="49" w:lineRule="exact"/>
        <w:rPr>
          <w:rFonts w:ascii="Arial" w:cs="Arial" w:eastAsia="Arial" w:hAnsi="Arial"/>
          <w:sz w:val="13"/>
          <w:szCs w:val="13"/>
          <w:color w:val="auto"/>
        </w:rPr>
      </w:pPr>
    </w:p>
    <w:p>
      <w:pPr>
        <w:ind w:left="1280" w:right="120" w:hanging="190"/>
        <w:spacing w:after="0" w:line="260" w:lineRule="auto"/>
        <w:tabs>
          <w:tab w:leader="none" w:pos="12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(i) the recognition of a pre-tax non-cash charge of $39 million related to increases in our environmental remediation reserves principally related to two closed landfill sites; and (ii) the recognition of an $8 million unfavorable adjustment to “Operating” expenses due to a decrease from 3.75% to 3.0% in the discount rate used to estimate the present value of our environmental remediation obligations and recovery assets. These items decreased the quarter’s “Net Income attributable to Waste Management, Inc.” by $30 million, or $0.06 per diluted share.</w:t>
      </w:r>
    </w:p>
    <w:p>
      <w:pPr>
        <w:spacing w:after="0" w:line="59"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Our “Provision for income taxes” for the quarter was increased by the recognition of a tax charge of $37 million principally related to refinements in estimates of our deferred state income taxes, which had a negative impact of $0.08 on our diluted earnings per share.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Third Quarter 2010</w:t>
      </w:r>
    </w:p>
    <w:p>
      <w:pPr>
        <w:spacing w:after="0" w:line="96" w:lineRule="exact"/>
        <w:rPr>
          <w:sz w:val="20"/>
          <w:szCs w:val="20"/>
          <w:color w:val="auto"/>
        </w:rPr>
      </w:pPr>
    </w:p>
    <w:p>
      <w:pPr>
        <w:jc w:val="both"/>
        <w:ind w:left="1280" w:hanging="190"/>
        <w:spacing w:after="0" w:line="260" w:lineRule="auto"/>
        <w:tabs>
          <w:tab w:leader="none" w:pos="12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(i) the recognition of pre-tax, non-cash charges aggregating $16 million related to remediation and closure costs at four closed sites; and (ii) the recognition of a $6 million unfavorable adjustment to “Operating” expenses due to a decrease from 3.0% to 2.5% in the discount rate used to estimate the present value of our environmental remediation obligations and recovery assets. These items decreased the quarter’s “Net Income attributable to Waste Management, Inc.” by $14 million, or $0.03 per diluted share.</w:t>
      </w:r>
    </w:p>
    <w:p>
      <w:pPr>
        <w:spacing w:after="0" w:line="59"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Our “Provision for income taxes” for the quarter was increased by the recognition of net tax charges of $4 million due to adjustments relating to the finalization of our 2009 tax returns, partially offset by favorable tax audit settlements, which, combined, had a negative impact of $0.01 on our diluted earnings per share.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Fourth Quarter 2010</w:t>
      </w:r>
    </w:p>
    <w:p>
      <w:pPr>
        <w:spacing w:after="0" w:line="96" w:lineRule="exact"/>
        <w:rPr>
          <w:sz w:val="20"/>
          <w:szCs w:val="20"/>
          <w:color w:val="auto"/>
        </w:rPr>
      </w:pPr>
    </w:p>
    <w:p>
      <w:pPr>
        <w:ind w:left="1280" w:right="260" w:hanging="190"/>
        <w:spacing w:after="0" w:line="289" w:lineRule="auto"/>
        <w:tabs>
          <w:tab w:leader="none" w:pos="12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Income from operations was positively affected by (i) a $29 million decrease to “Depreciation and amortization” expense for adjustments associated with changes in our expectations for the timing and cost of future capping, closure and post-closure of fully utilized airspace; and (ii) the recognition of a $12 million favorable adjustment to “Operating” expenses due to an increase from 2.5% to 3.5% in the discount rate used to estimate the present value of our environmental remediation obligations and recovery assets. These items increased the quarter’s “Net Income attributable to Waste Management, Inc.” by $25 million, or $0.05 per diluted share.</w:t>
      </w:r>
    </w:p>
    <w:p>
      <w:pPr>
        <w:spacing w:after="0" w:line="43" w:lineRule="exact"/>
        <w:rPr>
          <w:rFonts w:ascii="Arial" w:cs="Arial" w:eastAsia="Arial" w:hAnsi="Arial"/>
          <w:sz w:val="12"/>
          <w:szCs w:val="12"/>
          <w:color w:val="auto"/>
        </w:rPr>
      </w:pPr>
    </w:p>
    <w:p>
      <w:pPr>
        <w:ind w:left="1280" w:right="80" w:hanging="190"/>
        <w:spacing w:after="0" w:line="276" w:lineRule="auto"/>
        <w:tabs>
          <w:tab w:leader="none" w:pos="12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the recognition of pre-tax litigation charges of $31 million, which had an unfavorable impact of $0.04 on our diluted earnings per share.</w:t>
      </w:r>
    </w:p>
    <w:p>
      <w:pPr>
        <w:spacing w:after="0" w:line="49" w:lineRule="exact"/>
        <w:rPr>
          <w:rFonts w:ascii="Arial" w:cs="Arial" w:eastAsia="Arial" w:hAnsi="Arial"/>
          <w:sz w:val="13"/>
          <w:szCs w:val="13"/>
          <w:color w:val="auto"/>
        </w:rPr>
      </w:pPr>
    </w:p>
    <w:p>
      <w:pPr>
        <w:ind w:left="1280" w:right="60" w:hanging="190"/>
        <w:spacing w:after="0" w:line="371" w:lineRule="auto"/>
        <w:tabs>
          <w:tab w:leader="none" w:pos="1280" w:val="left"/>
        </w:tabs>
        <w:numPr>
          <w:ilvl w:val="0"/>
          <w:numId w:val="95"/>
        </w:numPr>
        <w:rPr>
          <w:rFonts w:ascii="Arial" w:cs="Arial" w:eastAsia="Arial" w:hAnsi="Arial"/>
          <w:sz w:val="11"/>
          <w:szCs w:val="11"/>
          <w:color w:val="auto"/>
        </w:rPr>
      </w:pPr>
      <w:r>
        <w:rPr>
          <w:rFonts w:ascii="Arial" w:cs="Arial" w:eastAsia="Arial" w:hAnsi="Arial"/>
          <w:sz w:val="11"/>
          <w:szCs w:val="11"/>
          <w:color w:val="auto"/>
        </w:rPr>
        <w:t>Our “Provision for income taxes” for the quarter was reduced by $9 million as a result of (i) the recognition of a benefit of $6 million due to tax audit settlements; and (ii) the realization of state net operating loss and credit carry-forwards of $3 million. This decrease in taxes positively affected the quarter’s diluted earnings per common share by $0.02.</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First Quarter 2009</w:t>
      </w:r>
    </w:p>
    <w:p>
      <w:pPr>
        <w:spacing w:after="0" w:line="96" w:lineRule="exact"/>
        <w:rPr>
          <w:sz w:val="20"/>
          <w:szCs w:val="20"/>
          <w:color w:val="auto"/>
        </w:rPr>
      </w:pPr>
    </w:p>
    <w:p>
      <w:pPr>
        <w:ind w:left="1280" w:right="100" w:hanging="190"/>
        <w:spacing w:after="0" w:line="276" w:lineRule="auto"/>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Income from operations was positively affected by the recognition of a $10 million favorable adjustment to “Operating” expenses due to an increase from 2.25% to 2.75% in the discount rate used to estimate the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280" w:right="220"/>
        <w:spacing w:after="0" w:line="264" w:lineRule="auto"/>
        <w:rPr>
          <w:sz w:val="20"/>
          <w:szCs w:val="20"/>
          <w:color w:val="auto"/>
        </w:rPr>
      </w:pPr>
      <w:r>
        <w:rPr>
          <w:rFonts w:ascii="Arial" w:cs="Arial" w:eastAsia="Arial" w:hAnsi="Arial"/>
          <w:sz w:val="13"/>
          <w:szCs w:val="13"/>
          <w:color w:val="auto"/>
        </w:rPr>
        <w:t>present value of our environmental remediation obligations. This reduction to “Operating” expenses resulted in a corresponding increase in “Net income attributable to noncontrolling interests” of $2 million. The discount rate adjustment increased the quarter’s “Net income attributable to Waste Management, Inc.” by $5 million, or $0.01 per diluted share.</w:t>
      </w:r>
    </w:p>
    <w:p>
      <w:pPr>
        <w:spacing w:after="0" w:line="67" w:lineRule="exact"/>
        <w:rPr>
          <w:sz w:val="20"/>
          <w:szCs w:val="20"/>
          <w:color w:val="auto"/>
        </w:rPr>
      </w:pPr>
    </w:p>
    <w:p>
      <w:pPr>
        <w:ind w:left="1280" w:right="40" w:hanging="190"/>
        <w:spacing w:after="0" w:line="264"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a non-cash charge of $49 million related to the abandonment of revenue management software, which reduced “Net income attributable to Waste Management, Inc.” by $30 million, or $0.06 per diluted share. Additionally, we recognized $38 million of charges related to our January 2009 restructuring, which reduced “Net income attributable to Waste Management, Inc.” by $23 million, or $0.05 per diluted share.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Second Quarter 2009</w:t>
      </w:r>
    </w:p>
    <w:p>
      <w:pPr>
        <w:spacing w:after="0" w:line="96" w:lineRule="exact"/>
        <w:rPr>
          <w:sz w:val="20"/>
          <w:szCs w:val="20"/>
          <w:color w:val="auto"/>
        </w:rPr>
      </w:pPr>
    </w:p>
    <w:p>
      <w:pPr>
        <w:ind w:left="1280" w:right="60" w:hanging="190"/>
        <w:spacing w:after="0" w:line="257" w:lineRule="auto"/>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Income from operations was positively affected by the recognition of a $22 million favorable adjustment to “Operating” expenses due to an increase from 2.75% to 3.50% in the discount rate used to estimate the present value of our environmental remediation obligations and recovery assets. This reduction to “Operating” expenses resulted in a corresponding increase in “Net income attributable to noncontrolling interests” of $6 million. Additionally, our “Selling, general and administrative” expenses were reduced by $8 million as a result of the reversal of all compensation costs previously recognized for our 2008 performance share units based on a determination that it is no longer probable that the targets established for that award will be met. These items increased the quarter’s “Net income attributable to Waste Management, Inc.” by $15 million, or $0.03 per diluted share.</w:t>
      </w:r>
    </w:p>
    <w:p>
      <w:pPr>
        <w:spacing w:after="0" w:line="61" w:lineRule="exact"/>
        <w:rPr>
          <w:rFonts w:ascii="Arial" w:cs="Arial" w:eastAsia="Arial" w:hAnsi="Arial"/>
          <w:sz w:val="13"/>
          <w:szCs w:val="13"/>
          <w:color w:val="auto"/>
        </w:rPr>
      </w:pPr>
    </w:p>
    <w:p>
      <w:pPr>
        <w:ind w:left="1280" w:right="60" w:hanging="190"/>
        <w:spacing w:after="0" w:line="260" w:lineRule="auto"/>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(i) a $9 million charge to “Operating” expenses for a withdrawal of bargaining unit employees from an underfunded, multiemployer pension fund; (ii) $5 million of charges related to our January 2009 restructuring; and (iii) a $2 million impairment charge recognized by our Southern Group due to a change in expectations for the operating life of a landfill. These items decreased the quarter’s “Net income attributable to Waste Management, Inc.” by $10 million, or $0.02 per diluted share.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Third Quarter 2009</w:t>
      </w:r>
    </w:p>
    <w:p>
      <w:pPr>
        <w:spacing w:after="0" w:line="96" w:lineRule="exact"/>
        <w:rPr>
          <w:sz w:val="20"/>
          <w:szCs w:val="20"/>
          <w:color w:val="auto"/>
        </w:rPr>
      </w:pPr>
    </w:p>
    <w:p>
      <w:pPr>
        <w:ind w:left="1280" w:right="160" w:hanging="190"/>
        <w:spacing w:after="0" w:line="276" w:lineRule="auto"/>
        <w:tabs>
          <w:tab w:leader="none" w:pos="12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$3 million of charges related to our January 2009 restructuring. This charge negatively affected “Net income attributable to Waste Management, Inc.” for the quarter by $2 million.</w:t>
      </w:r>
    </w:p>
    <w:p>
      <w:pPr>
        <w:spacing w:after="0" w:line="49"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Our “Provision for income taxes” for the quarter was reduced by $19 million primarily as a result of the finalization of our 2008 tax returns and tax audit settlements, which positively affected “Diluted earnings per common share” by $0.04.</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Fourth Quarter 2009</w:t>
      </w:r>
    </w:p>
    <w:p>
      <w:pPr>
        <w:spacing w:after="0" w:line="96" w:lineRule="exact"/>
        <w:rPr>
          <w:sz w:val="20"/>
          <w:szCs w:val="20"/>
          <w:color w:val="auto"/>
        </w:rPr>
      </w:pPr>
    </w:p>
    <w:p>
      <w:pPr>
        <w:jc w:val="both"/>
        <w:ind w:left="1280" w:hanging="190"/>
        <w:spacing w:after="0" w:line="260" w:lineRule="auto"/>
        <w:tabs>
          <w:tab w:leader="none" w:pos="12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Income from operations was positively affected by (i) an $18 million increase in the revenues of our Eastern Group for payments received under an oil and gas lease at one of our landfills; and (ii) a $22 million decrease to “Depreciation and amortization” expense for adjustments associated with changes in our expectations for the timing and cost of future capping, closure and post-closure of fully utilized airspace. These items increased the quarter’s “Net income attributable to Waste Management, Inc.” by $24 million, or $0.05 per diluted share.</w:t>
      </w:r>
    </w:p>
    <w:p>
      <w:pPr>
        <w:spacing w:after="0" w:line="59" w:lineRule="exact"/>
        <w:rPr>
          <w:rFonts w:ascii="Arial" w:cs="Arial" w:eastAsia="Arial" w:hAnsi="Arial"/>
          <w:sz w:val="13"/>
          <w:szCs w:val="13"/>
          <w:color w:val="auto"/>
        </w:rPr>
      </w:pPr>
    </w:p>
    <w:p>
      <w:pPr>
        <w:ind w:left="1280" w:right="40" w:hanging="190"/>
        <w:spacing w:after="0" w:line="260" w:lineRule="auto"/>
        <w:tabs>
          <w:tab w:leader="none" w:pos="12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(i) a $27 million impairment charge recognized by our Western Group as a result in a change in expectations for the future operations of an inactive landfill in California; (ii) a $12 million increase to “Selling, general and administrative” expenses for several legal matters; (iii) a $4 million impairment charge required to write-down certain of our investments in portable self-storage operations to their fair value as a result of our acquisition of a controlling financial interest in those operations; (iv) $4 million of charges related to our January 2009 restructuring; and (v) a $2 million</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280" w:right="200"/>
        <w:spacing w:after="0" w:line="276" w:lineRule="auto"/>
        <w:rPr>
          <w:sz w:val="20"/>
          <w:szCs w:val="20"/>
          <w:color w:val="auto"/>
        </w:rPr>
      </w:pPr>
      <w:r>
        <w:rPr>
          <w:rFonts w:ascii="Arial" w:cs="Arial" w:eastAsia="Arial" w:hAnsi="Arial"/>
          <w:sz w:val="13"/>
          <w:szCs w:val="13"/>
          <w:color w:val="auto"/>
        </w:rPr>
        <w:t>impairment charge related to the abandonment of revenue management software. These items decreased the quarter’s “Net income attributable to Waste Management, Inc.” by $29 million, or $0.06 per diluted share.</w:t>
      </w:r>
    </w:p>
    <w:p>
      <w:pPr>
        <w:spacing w:after="0" w:line="59" w:lineRule="exact"/>
        <w:rPr>
          <w:sz w:val="20"/>
          <w:szCs w:val="20"/>
          <w:color w:val="auto"/>
        </w:rPr>
      </w:pPr>
    </w:p>
    <w:p>
      <w:pPr>
        <w:ind w:left="1280" w:hanging="190"/>
        <w:spacing w:after="0" w:line="260" w:lineRule="auto"/>
        <w:tabs>
          <w:tab w:leader="none" w:pos="128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Our “Provision for income taxes” for the quarter was reduced by $111 million as a result of (i) the liquidation of a foreign subsidiary, which generated a capital loss that could be utilized to offset capital gains generated in previous years; (ii) the realization of state net operating loss and credit carry-forwards; (iii) a reduction in provincial tax rates in Ontario, Canada, which resulted in the revaluation of related deferred tax balances; and (iv) tax audit settlements. This significant decrease in taxes resulted in an effective tax rate of 4.9% for the fourth quarter of 2009 and positively affected the quarter’s “Diluted earnings per common share” by $0.23.</w:t>
      </w:r>
    </w:p>
    <w:p>
      <w:pPr>
        <w:spacing w:after="0" w:line="144" w:lineRule="exact"/>
        <w:rPr>
          <w:rFonts w:ascii="Arial" w:cs="Arial" w:eastAsia="Arial" w:hAnsi="Arial"/>
          <w:sz w:val="13"/>
          <w:szCs w:val="13"/>
          <w:color w:val="auto"/>
        </w:rPr>
      </w:pPr>
    </w:p>
    <w:p>
      <w:pPr>
        <w:ind w:left="1180" w:hanging="493"/>
        <w:spacing w:after="0"/>
        <w:tabs>
          <w:tab w:leader="none" w:pos="118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2010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11,868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11,868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10,757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13,885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7,023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2,374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4,951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3,713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6,260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13,284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14,328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13,284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11,317</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13,898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23,873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21,476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92"/>
              </w:rPr>
              <w:t>125</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 (Continued)</w:t>
      </w: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1,845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11,541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10,174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12,770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6,524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6,603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580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670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2,901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4,398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6,285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12,135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6,285</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12,135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13,418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11,353</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12,788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22,260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21,154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92"/>
              </w:rPr>
              <w:t>126</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2010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12,515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12,515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10,399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2,116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Interest income (expense)</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(324)</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1,149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(2,321)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Equity in net losses of unconsolidated entities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(2,321)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825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1,134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(2,321)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953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1,149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1,221</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(2,321)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953</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1,149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(2,321)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953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2009</w:t>
            </w: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11,791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11,791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9,904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1,887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Interest income (expense)</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1,157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(2,339)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Equity in net losses of unconsolidated entities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(2,339)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889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1,141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1,782</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(2,339)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994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1,157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1,248</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(2,339)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994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1,182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(2,339)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127</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OPERATIONS (Continued)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13,388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13,388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11,154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2,234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Interest income (expense)</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1,254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Equity in net losses of unconsolidated entities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980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1,238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2,111</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1,087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1,254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1,319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1,087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1,254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1,087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128</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2010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flows from operating activities:</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Consolidated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(2,321)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(1,149)</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(1,172)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2,321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adjustments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Net cash provided by (used in) operating activities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(152)</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2,453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Acquisition of businesses, net of cash acquired</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(407)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(1,104)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700" w:type="dxa"/>
            <w:vAlign w:val="bottom"/>
          </w:tcPr>
          <w:p>
            <w:pPr>
              <w:ind w:left="140"/>
              <w:spacing w:after="0" w:line="149" w:lineRule="exact"/>
              <w:rPr>
                <w:sz w:val="20"/>
                <w:szCs w:val="20"/>
                <w:color w:val="auto"/>
              </w:rPr>
            </w:pPr>
            <w:r>
              <w:rPr>
                <w:rFonts w:ascii="Arial" w:cs="Arial" w:eastAsia="Arial" w:hAnsi="Arial"/>
                <w:sz w:val="13"/>
                <w:szCs w:val="13"/>
                <w:color w:val="auto"/>
                <w:w w:val="96"/>
              </w:rPr>
              <w:t>Proceeds from divestitures of businesses (net of cash divested) and other sales of</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3"/>
                <w:szCs w:val="13"/>
                <w:color w:val="auto"/>
              </w:rPr>
              <w:t>assets</w:t>
            </w:r>
          </w:p>
        </w:tc>
        <w:tc>
          <w:tcPr>
            <w:tcW w:w="1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Net cash provided by (used in) investing activities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(1,601)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(1,606)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1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New borrowings</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592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repayments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(617)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Common stock repurchases</w:t>
            </w: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(501)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(604)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611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(672)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(828)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Decrease in cash and cash equivalents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(628)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1,093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129</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 (Continued)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2009</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flows from operating activities:</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Consolidated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(2,339)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(1,157)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(1,182)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2,339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adjustments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Net cash provided by (used in) operating activities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2,527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(1,179)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700" w:type="dxa"/>
            <w:vAlign w:val="bottom"/>
          </w:tcPr>
          <w:p>
            <w:pPr>
              <w:ind w:left="140"/>
              <w:spacing w:after="0" w:line="149" w:lineRule="exact"/>
              <w:rPr>
                <w:sz w:val="20"/>
                <w:szCs w:val="20"/>
                <w:color w:val="auto"/>
              </w:rPr>
            </w:pPr>
            <w:r>
              <w:rPr>
                <w:rFonts w:ascii="Arial" w:cs="Arial" w:eastAsia="Arial" w:hAnsi="Arial"/>
                <w:sz w:val="13"/>
                <w:szCs w:val="13"/>
                <w:color w:val="auto"/>
                <w:w w:val="96"/>
              </w:rPr>
              <w:t>Proceeds from divestitures of businesses (net of cash divested) and other sales of</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3"/>
                <w:szCs w:val="13"/>
                <w:color w:val="auto"/>
              </w:rPr>
              <w:t>assets</w:t>
            </w:r>
          </w:p>
        </w:tc>
        <w:tc>
          <w:tcPr>
            <w:tcW w:w="1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140"/>
              <w:spacing w:after="0"/>
              <w:rPr>
                <w:sz w:val="20"/>
                <w:szCs w:val="20"/>
                <w:color w:val="auto"/>
              </w:rPr>
            </w:pPr>
            <w:r>
              <w:rPr>
                <w:rFonts w:ascii="Arial" w:cs="Arial" w:eastAsia="Arial" w:hAnsi="Arial"/>
                <w:sz w:val="13"/>
                <w:szCs w:val="13"/>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(1,250)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flows from financing activities:</w:t>
            </w:r>
          </w:p>
        </w:tc>
        <w:tc>
          <w:tcPr>
            <w:tcW w:w="1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New borrowings</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1,385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repayments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Common stock repurchases</w:t>
            </w: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977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(1,005)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(1,265)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Increase in cash and cash equivalents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450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130</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 (Continued)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2008</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flows from operating activities:</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Consolidated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(1,254)</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(1,278)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2,532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adjustments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Net cash provided by (used in) operating activities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(189)</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2,804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Acquisition of businesses, net of cash acquired</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(1,221)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700" w:type="dxa"/>
            <w:vAlign w:val="bottom"/>
          </w:tcPr>
          <w:p>
            <w:pPr>
              <w:ind w:left="140"/>
              <w:spacing w:after="0" w:line="149" w:lineRule="exact"/>
              <w:rPr>
                <w:sz w:val="20"/>
                <w:szCs w:val="20"/>
                <w:color w:val="auto"/>
              </w:rPr>
            </w:pPr>
            <w:r>
              <w:rPr>
                <w:rFonts w:ascii="Arial" w:cs="Arial" w:eastAsia="Arial" w:hAnsi="Arial"/>
                <w:sz w:val="13"/>
                <w:szCs w:val="13"/>
                <w:color w:val="auto"/>
                <w:w w:val="96"/>
              </w:rPr>
              <w:t>Proceeds from divestitures of businesses (net of cash divested) and other sales of</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3"/>
                <w:szCs w:val="13"/>
                <w:color w:val="auto"/>
              </w:rPr>
              <w:t>assets</w:t>
            </w:r>
          </w:p>
        </w:tc>
        <w:tc>
          <w:tcPr>
            <w:tcW w:w="1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(1,181)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(1,183)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1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New borrowings</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944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repayments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(760)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(781)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Common stock repurchases</w:t>
            </w: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(410)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938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(1,290)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Increase in cash and cash equivalents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416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131</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 (Unaudited)</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October 2009, the FASB amended authoritative guidance associated with multiple-deliverable revenue arrangements. This</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guidance addresses the determination of when individual deliverables within an arrangement may be treated as separate units of accounting and modifies the manner in which consideration is allocated across the separately identifiable deliverables. The amendments to authoritative guidance associated with multiple-deliverable revenue arrangements became effective for the Company on January 1, 2011. The new accounting standard may be applied either retrospectively for all periods presented or prospectively to arrangements entered into or materially modified after the date of adoption. We do not expect that the adoption of this guidance will have a material impact on our consolidated financial statements. However, our adoption of this guidance may significantly impact our accounting and reporting for future revenue arrangements to the extent they are material.</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Effectiveness of Controls and Procedures</w:t>
      </w:r>
    </w:p>
    <w:p>
      <w:pPr>
        <w:spacing w:after="0" w:line="10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2010 (the end of the period covered by this Annual Report on Form 10-K).</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Management’s report on our internal control over financial reporting can be found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xml:space="preserve"> of this report. Ernst &amp; Young LLP, an independent registered public accounting firm, has audited the effectiveness of our internal control over financial reporting as of December 31, 2010 as stated in their report, which appears in Item 8 of this report.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Management, together with our CEO and CFO, evaluated the changes in our internal control over financial reporting during the quarter ended December 31, 2010. We determined that there were no changes in our internal control over financial reporting during the quarter ended December 31, 2010 that have materially affected, or are reasonably likely to materially affect, our internal control over financial reporting.</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information required by this Item is incorporated by reference to the Company’s definitive Proxy Statement for its 2011 Annual Meeting of Stockholders, to be held May 13,</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2011.</w:t>
      </w:r>
    </w:p>
    <w:p>
      <w:pPr>
        <w:spacing w:after="0" w:line="8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have adopted a code of ethics that applies to our CEO, CFO and Chief Accounting Officer, as well as other officers, directors and employees of the Company. The code of ethics, entitled “Code of Conduct,” is posted on our website at http://www.wm.com under the section “Corporate Governance” within the “Investor Relations” tab.</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in the 2011 Proxy Statement and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in the 2011 Proxy Statement and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in the 2011 Proxy Statement and is incorporated herein by reference.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in the 2011 Proxy Statement and is incorporated herein by reference.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Financial Statement Schedules</w:t>
      </w:r>
    </w:p>
    <w:p>
      <w:pPr>
        <w:spacing w:after="0" w:line="100" w:lineRule="exact"/>
        <w:rPr>
          <w:sz w:val="20"/>
          <w:szCs w:val="20"/>
          <w:color w:val="auto"/>
        </w:rPr>
      </w:pPr>
    </w:p>
    <w:p>
      <w:pPr>
        <w:ind w:left="1260" w:hanging="174"/>
        <w:spacing w:after="0"/>
        <w:tabs>
          <w:tab w:leader="none" w:pos="12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(1) Consolidated Financial Statements:</w:t>
      </w:r>
    </w:p>
    <w:p>
      <w:pPr>
        <w:spacing w:after="0" w:line="106" w:lineRule="exact"/>
        <w:rPr>
          <w:rFonts w:ascii="Arial" w:cs="Arial" w:eastAsia="Arial" w:hAnsi="Arial"/>
          <w:sz w:val="13"/>
          <w:szCs w:val="13"/>
          <w:color w:val="auto"/>
        </w:rPr>
      </w:pPr>
    </w:p>
    <w:p>
      <w:pPr>
        <w:ind w:left="1280" w:right="5579"/>
        <w:spacing w:after="0" w:line="305" w:lineRule="auto"/>
        <w:rPr>
          <w:rFonts w:ascii="Arial" w:cs="Arial" w:eastAsia="Arial" w:hAnsi="Arial"/>
          <w:sz w:val="13"/>
          <w:szCs w:val="13"/>
          <w:color w:val="auto"/>
        </w:rPr>
      </w:pPr>
      <w:r>
        <w:rPr>
          <w:rFonts w:ascii="Arial" w:cs="Arial" w:eastAsia="Arial" w:hAnsi="Arial"/>
          <w:sz w:val="11"/>
          <w:szCs w:val="11"/>
          <w:color w:val="auto"/>
        </w:rPr>
        <w:t>Reports of Independent Registered Public Accounting Firm Consolidated Balance Sheets as of December 31, 2010 and 2009</w:t>
      </w:r>
    </w:p>
    <w:p>
      <w:pPr>
        <w:ind w:left="1280" w:right="3579"/>
        <w:spacing w:after="0" w:line="256" w:lineRule="auto"/>
        <w:rPr>
          <w:rFonts w:ascii="Arial" w:cs="Arial" w:eastAsia="Arial" w:hAnsi="Arial"/>
          <w:sz w:val="13"/>
          <w:szCs w:val="13"/>
          <w:color w:val="auto"/>
        </w:rPr>
      </w:pPr>
      <w:r>
        <w:rPr>
          <w:rFonts w:ascii="Arial" w:cs="Arial" w:eastAsia="Arial" w:hAnsi="Arial"/>
          <w:sz w:val="13"/>
          <w:szCs w:val="13"/>
          <w:color w:val="auto"/>
        </w:rPr>
        <w:t>Consolidated Statements of Operations for the years ended December 31, 2010, 2009 and 2008 Consolidated Statements of Cash Flows for the years ended December 31, 2010, 2009 and 2008 Consolidated Statements of Changes in Equity for the years ended December 31, 2010, 2009 and 2008 Notes to Consolidated Financial Statements</w:t>
      </w:r>
    </w:p>
    <w:p>
      <w:pPr>
        <w:spacing w:after="0" w:line="72" w:lineRule="exact"/>
        <w:rPr>
          <w:sz w:val="20"/>
          <w:szCs w:val="20"/>
          <w:color w:val="auto"/>
        </w:rPr>
      </w:pPr>
    </w:p>
    <w:p>
      <w:pPr>
        <w:ind w:left="1260" w:hanging="174"/>
        <w:spacing w:after="0"/>
        <w:tabs>
          <w:tab w:leader="none" w:pos="126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Consolidated Financial Statement Schedules:</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Schedule II — Valuation and Qualifying Accounts</w:t>
      </w:r>
    </w:p>
    <w:p>
      <w:pPr>
        <w:spacing w:after="0" w:line="96" w:lineRule="exact"/>
        <w:rPr>
          <w:sz w:val="20"/>
          <w:szCs w:val="20"/>
          <w:color w:val="auto"/>
        </w:rPr>
      </w:pPr>
    </w:p>
    <w:p>
      <w:pPr>
        <w:jc w:val="right"/>
        <w:ind w:right="379"/>
        <w:spacing w:after="0"/>
        <w:rPr>
          <w:sz w:val="20"/>
          <w:szCs w:val="20"/>
          <w:color w:val="auto"/>
        </w:rPr>
      </w:pPr>
      <w:r>
        <w:rPr>
          <w:rFonts w:ascii="Arial" w:cs="Arial" w:eastAsia="Arial" w:hAnsi="Arial"/>
          <w:sz w:val="13"/>
          <w:szCs w:val="13"/>
          <w:color w:val="auto"/>
        </w:rPr>
        <w:t>All other schedules have been omitted because the required information is not significant or is included in the financial statements or notes thereto, or is not applicable.</w:t>
      </w:r>
    </w:p>
    <w:p>
      <w:pPr>
        <w:spacing w:after="0" w:line="96" w:lineRule="exact"/>
        <w:rPr>
          <w:sz w:val="20"/>
          <w:szCs w:val="20"/>
          <w:color w:val="auto"/>
        </w:rPr>
      </w:pPr>
    </w:p>
    <w:p>
      <w:pPr>
        <w:ind w:left="1280" w:hanging="194"/>
        <w:spacing w:after="0"/>
        <w:tabs>
          <w:tab w:leader="none" w:pos="1280" w:val="left"/>
        </w:tabs>
        <w:numPr>
          <w:ilvl w:val="0"/>
          <w:numId w:val="105"/>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exhibit list required by this Item is incorporated by reference to the Exhibit Index filed as part of this report.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President, Chief Executive Officer and Director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February 17, 2011</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580"/>
        <w:spacing w:after="0"/>
        <w:tabs>
          <w:tab w:leader="none" w:pos="6960" w:val="left"/>
          <w:tab w:leader="none" w:pos="9840" w:val="left"/>
        </w:tabs>
        <w:rPr>
          <w:sz w:val="20"/>
          <w:szCs w:val="20"/>
          <w:color w:val="auto"/>
        </w:rPr>
      </w:pPr>
      <w:r>
        <w:rPr>
          <w:rFonts w:ascii="Arial" w:cs="Arial" w:eastAsia="Arial" w:hAnsi="Arial"/>
          <w:sz w:val="10"/>
          <w:szCs w:val="10"/>
          <w:b w:val="1"/>
          <w:bCs w:val="1"/>
          <w:color w:val="auto"/>
        </w:rPr>
        <w:t>Signature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wp:posOffset>
            </wp:positionV>
            <wp:extent cx="633539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307" w:lineRule="exact"/>
        <w:rPr>
          <w:sz w:val="20"/>
          <w:szCs w:val="20"/>
          <w:color w:val="auto"/>
        </w:rPr>
      </w:pPr>
    </w:p>
    <w:tbl>
      <w:tblPr>
        <w:tblLayout w:type="fixed"/>
        <w:tblInd w:w="680" w:type="dxa"/>
        <w:tblCellMar>
          <w:top w:w="0" w:type="dxa"/>
          <w:left w:w="0" w:type="dxa"/>
          <w:bottom w:w="0" w:type="dxa"/>
          <w:right w:w="0" w:type="dxa"/>
        </w:tblCellMar>
      </w:tblPr>
      <w:tr>
        <w:trPr>
          <w:trHeight w:val="152"/>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DAVID P. STEINER</w:t>
            </w:r>
          </w:p>
        </w:tc>
        <w:tc>
          <w:tcPr>
            <w:tcW w:w="4340" w:type="dxa"/>
            <w:vAlign w:val="bottom"/>
          </w:tcPr>
          <w:p>
            <w:pPr>
              <w:jc w:val="center"/>
              <w:spacing w:after="0"/>
              <w:rPr>
                <w:sz w:val="20"/>
                <w:szCs w:val="20"/>
                <w:color w:val="auto"/>
              </w:rPr>
            </w:pPr>
            <w:r>
              <w:rPr>
                <w:rFonts w:ascii="Arial" w:cs="Arial" w:eastAsia="Arial" w:hAnsi="Arial"/>
                <w:sz w:val="12"/>
                <w:szCs w:val="12"/>
                <w:color w:val="auto"/>
                <w:w w:val="91"/>
              </w:rPr>
              <w:t>President, Chief Executive Officer and Director (Principal Executive Officer)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17, 2011</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7"/>
              </w:rPr>
              <w:t>David P. Steiner</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ROBERT G. SIMPSON</w:t>
            </w:r>
          </w:p>
        </w:tc>
        <w:tc>
          <w:tcPr>
            <w:tcW w:w="4340" w:type="dxa"/>
            <w:vAlign w:val="bottom"/>
          </w:tcPr>
          <w:p>
            <w:pPr>
              <w:jc w:val="center"/>
              <w:spacing w:after="0"/>
              <w:rPr>
                <w:sz w:val="20"/>
                <w:szCs w:val="20"/>
                <w:color w:val="auto"/>
              </w:rPr>
            </w:pPr>
            <w:r>
              <w:rPr>
                <w:rFonts w:ascii="Arial" w:cs="Arial" w:eastAsia="Arial" w:hAnsi="Arial"/>
                <w:sz w:val="12"/>
                <w:szCs w:val="12"/>
                <w:color w:val="auto"/>
                <w:w w:val="91"/>
              </w:rPr>
              <w:t>Senior Vice President and Chief Financial Officer (Principal Financial Officer)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17, 2011</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8"/>
              </w:rPr>
              <w:t>Robert G. Simpson</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GREG A. ROBERTSON</w:t>
            </w:r>
          </w:p>
        </w:tc>
        <w:tc>
          <w:tcPr>
            <w:tcW w:w="4340" w:type="dxa"/>
            <w:vAlign w:val="bottom"/>
          </w:tcPr>
          <w:p>
            <w:pPr>
              <w:jc w:val="center"/>
              <w:spacing w:after="0"/>
              <w:rPr>
                <w:sz w:val="20"/>
                <w:szCs w:val="20"/>
                <w:color w:val="auto"/>
              </w:rPr>
            </w:pPr>
            <w:r>
              <w:rPr>
                <w:rFonts w:ascii="Arial" w:cs="Arial" w:eastAsia="Arial" w:hAnsi="Arial"/>
                <w:sz w:val="12"/>
                <w:szCs w:val="12"/>
                <w:color w:val="auto"/>
                <w:w w:val="91"/>
              </w:rPr>
              <w:t>Vice President and Chief Accounting Officer (Principal Accounting Officer)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17, 2011</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9"/>
              </w:rPr>
              <w:t>Greg A. Robertson</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PASTORA SAN JUAN CAFFERTY</w:t>
            </w:r>
          </w:p>
        </w:tc>
        <w:tc>
          <w:tcPr>
            <w:tcW w:w="4340" w:type="dxa"/>
            <w:vAlign w:val="bottom"/>
          </w:tcPr>
          <w:p>
            <w:pPr>
              <w:jc w:val="center"/>
              <w:spacing w:after="0"/>
              <w:rPr>
                <w:sz w:val="20"/>
                <w:szCs w:val="20"/>
                <w:color w:val="auto"/>
              </w:rPr>
            </w:pPr>
            <w:r>
              <w:rPr>
                <w:rFonts w:ascii="Arial" w:cs="Arial" w:eastAsia="Arial" w:hAnsi="Arial"/>
                <w:sz w:val="12"/>
                <w:szCs w:val="12"/>
                <w:color w:val="auto"/>
                <w:w w:val="95"/>
              </w:rPr>
              <w:t>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17, 2011</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6"/>
              </w:rPr>
              <w:t>Pastora San Juan Cafferty</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FRANK M. CLARK</w:t>
            </w:r>
          </w:p>
        </w:tc>
        <w:tc>
          <w:tcPr>
            <w:tcW w:w="4340" w:type="dxa"/>
            <w:vAlign w:val="bottom"/>
          </w:tcPr>
          <w:p>
            <w:pPr>
              <w:jc w:val="center"/>
              <w:spacing w:after="0"/>
              <w:rPr>
                <w:sz w:val="20"/>
                <w:szCs w:val="20"/>
                <w:color w:val="auto"/>
              </w:rPr>
            </w:pPr>
            <w:r>
              <w:rPr>
                <w:rFonts w:ascii="Arial" w:cs="Arial" w:eastAsia="Arial" w:hAnsi="Arial"/>
                <w:sz w:val="12"/>
                <w:szCs w:val="12"/>
                <w:color w:val="auto"/>
                <w:w w:val="95"/>
              </w:rPr>
              <w:t>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17, 2011</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93"/>
              </w:rPr>
              <w:t>Frank M. Clark</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PATRICK W. GROSS</w:t>
            </w:r>
          </w:p>
        </w:tc>
        <w:tc>
          <w:tcPr>
            <w:tcW w:w="4340" w:type="dxa"/>
            <w:vAlign w:val="bottom"/>
          </w:tcPr>
          <w:p>
            <w:pPr>
              <w:jc w:val="center"/>
              <w:spacing w:after="0"/>
              <w:rPr>
                <w:sz w:val="20"/>
                <w:szCs w:val="20"/>
                <w:color w:val="auto"/>
              </w:rPr>
            </w:pPr>
            <w:r>
              <w:rPr>
                <w:rFonts w:ascii="Arial" w:cs="Arial" w:eastAsia="Arial" w:hAnsi="Arial"/>
                <w:sz w:val="12"/>
                <w:szCs w:val="12"/>
                <w:color w:val="auto"/>
                <w:w w:val="95"/>
              </w:rPr>
              <w:t>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17, 2011</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8"/>
              </w:rPr>
              <w:t>Patrick W. Gross</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JOHN C. POPE</w:t>
            </w:r>
          </w:p>
        </w:tc>
        <w:tc>
          <w:tcPr>
            <w:tcW w:w="4340" w:type="dxa"/>
            <w:vAlign w:val="bottom"/>
          </w:tcPr>
          <w:p>
            <w:pPr>
              <w:jc w:val="center"/>
              <w:spacing w:after="0"/>
              <w:rPr>
                <w:sz w:val="20"/>
                <w:szCs w:val="20"/>
                <w:color w:val="auto"/>
              </w:rPr>
            </w:pPr>
            <w:r>
              <w:rPr>
                <w:rFonts w:ascii="Arial" w:cs="Arial" w:eastAsia="Arial" w:hAnsi="Arial"/>
                <w:sz w:val="12"/>
                <w:szCs w:val="12"/>
                <w:color w:val="auto"/>
                <w:w w:val="90"/>
              </w:rPr>
              <w:t>Chairman of the Board and 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17, 2011</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5"/>
              </w:rPr>
              <w:t>John C. Pope</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W. ROBERT REUM</w:t>
            </w:r>
          </w:p>
        </w:tc>
        <w:tc>
          <w:tcPr>
            <w:tcW w:w="4340" w:type="dxa"/>
            <w:vAlign w:val="bottom"/>
          </w:tcPr>
          <w:p>
            <w:pPr>
              <w:jc w:val="center"/>
              <w:spacing w:after="0"/>
              <w:rPr>
                <w:sz w:val="20"/>
                <w:szCs w:val="20"/>
                <w:color w:val="auto"/>
              </w:rPr>
            </w:pPr>
            <w:r>
              <w:rPr>
                <w:rFonts w:ascii="Arial" w:cs="Arial" w:eastAsia="Arial" w:hAnsi="Arial"/>
                <w:sz w:val="12"/>
                <w:szCs w:val="12"/>
                <w:color w:val="auto"/>
                <w:w w:val="95"/>
              </w:rPr>
              <w:t>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17, 2011</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7"/>
              </w:rPr>
              <w:t>W. Robert Reum</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STEVEN G. ROTHMEIER</w:t>
            </w:r>
          </w:p>
        </w:tc>
        <w:tc>
          <w:tcPr>
            <w:tcW w:w="4340" w:type="dxa"/>
            <w:vAlign w:val="bottom"/>
          </w:tcPr>
          <w:p>
            <w:pPr>
              <w:jc w:val="center"/>
              <w:spacing w:after="0"/>
              <w:rPr>
                <w:sz w:val="20"/>
                <w:szCs w:val="20"/>
                <w:color w:val="auto"/>
              </w:rPr>
            </w:pPr>
            <w:r>
              <w:rPr>
                <w:rFonts w:ascii="Arial" w:cs="Arial" w:eastAsia="Arial" w:hAnsi="Arial"/>
                <w:sz w:val="12"/>
                <w:szCs w:val="12"/>
                <w:color w:val="auto"/>
                <w:w w:val="95"/>
              </w:rPr>
              <w:t>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17, 2011</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7"/>
              </w:rPr>
              <w:t>Steven G. Rothmeier</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0"/>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THOMAS H. WEIDEMEYER</w:t>
            </w:r>
          </w:p>
        </w:tc>
        <w:tc>
          <w:tcPr>
            <w:tcW w:w="4340" w:type="dxa"/>
            <w:vAlign w:val="bottom"/>
          </w:tcPr>
          <w:p>
            <w:pPr>
              <w:jc w:val="center"/>
              <w:spacing w:after="0"/>
              <w:rPr>
                <w:sz w:val="20"/>
                <w:szCs w:val="20"/>
                <w:color w:val="auto"/>
              </w:rPr>
            </w:pPr>
            <w:r>
              <w:rPr>
                <w:rFonts w:ascii="Arial" w:cs="Arial" w:eastAsia="Arial" w:hAnsi="Arial"/>
                <w:sz w:val="12"/>
                <w:szCs w:val="12"/>
                <w:color w:val="auto"/>
                <w:w w:val="95"/>
              </w:rPr>
              <w:t>Director</w:t>
            </w:r>
          </w:p>
        </w:tc>
        <w:tc>
          <w:tcPr>
            <w:tcW w:w="1160" w:type="dxa"/>
            <w:vAlign w:val="bottom"/>
          </w:tcPr>
          <w:p>
            <w:pPr>
              <w:ind w:left="300"/>
              <w:spacing w:after="0"/>
              <w:rPr>
                <w:sz w:val="20"/>
                <w:szCs w:val="20"/>
                <w:color w:val="auto"/>
              </w:rPr>
            </w:pPr>
            <w:r>
              <w:rPr>
                <w:rFonts w:ascii="Arial" w:cs="Arial" w:eastAsia="Arial" w:hAnsi="Arial"/>
                <w:sz w:val="12"/>
                <w:szCs w:val="12"/>
                <w:color w:val="auto"/>
                <w:w w:val="85"/>
              </w:rPr>
              <w:t>February 17, 2011</w:t>
            </w:r>
          </w:p>
        </w:tc>
      </w:tr>
      <w:tr>
        <w:trPr>
          <w:trHeight w:val="142"/>
        </w:trPr>
        <w:tc>
          <w:tcPr>
            <w:tcW w:w="4220" w:type="dxa"/>
            <w:vAlign w:val="bottom"/>
          </w:tcPr>
          <w:p>
            <w:pPr>
              <w:jc w:val="center"/>
              <w:spacing w:after="0"/>
              <w:rPr>
                <w:sz w:val="20"/>
                <w:szCs w:val="20"/>
                <w:color w:val="auto"/>
              </w:rPr>
            </w:pPr>
            <w:r>
              <w:rPr>
                <w:rFonts w:ascii="Arial" w:cs="Arial" w:eastAsia="Arial" w:hAnsi="Arial"/>
                <w:sz w:val="12"/>
                <w:szCs w:val="12"/>
                <w:color w:val="auto"/>
                <w:w w:val="88"/>
              </w:rPr>
              <w:t>Thomas H. Weidemeyer</w:t>
            </w:r>
          </w:p>
        </w:tc>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r>
    </w:tbl>
    <w:p>
      <w:pPr>
        <w:spacing w:after="0" w:line="2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Waste Management, Inc</w:t>
      </w:r>
    </w:p>
    <w:p>
      <w:pPr>
        <w:spacing w:after="0" w:line="96"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We have audited the consolidated financial statements of Waste Management, Inc. as of December 31, 2010 and 2009, and for each of the three years in the period ended December 31, 2010, and have issued our report thereon dated February 17, 2011 (included elsewhere in this Form 10-K). Our audits also included the financial statement schedule listed in Item 15(a)(2) of this Form 10-K. This schedule is the responsibility of the Company’s management. Our responsibility is to express an opinion based on our audits.</w:t>
      </w:r>
    </w:p>
    <w:p>
      <w:pPr>
        <w:spacing w:after="0" w:line="5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our opinion, the financial statement schedule referred to above, when considered in relation to the basic financial statements taken as a whole, presents fairly in all material respects the information set forth therein.</w:t>
      </w:r>
    </w:p>
    <w:p>
      <w:pPr>
        <w:spacing w:after="0" w:line="29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17, 2011</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9"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(In Millions)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88"/>
              </w:rPr>
              <w:t>Balance</w:t>
            </w:r>
          </w:p>
        </w:tc>
        <w:tc>
          <w:tcPr>
            <w:tcW w:w="280" w:type="dxa"/>
            <w:vAlign w:val="bottom"/>
          </w:tcPr>
          <w:p>
            <w:pPr>
              <w:spacing w:after="0"/>
              <w:rPr>
                <w:sz w:val="10"/>
                <w:szCs w:val="1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3"/>
              </w:rPr>
              <w:t>Charged</w:t>
            </w:r>
          </w:p>
        </w:tc>
        <w:tc>
          <w:tcPr>
            <w:tcW w:w="280" w:type="dxa"/>
            <w:vAlign w:val="bottom"/>
          </w:tcPr>
          <w:p>
            <w:pPr>
              <w:spacing w:after="0"/>
              <w:rPr>
                <w:sz w:val="10"/>
                <w:szCs w:val="10"/>
                <w:color w:val="auto"/>
              </w:rPr>
            </w:pPr>
          </w:p>
        </w:tc>
        <w:tc>
          <w:tcPr>
            <w:tcW w:w="7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Accounts</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gridSpan w:val="2"/>
            <w:vMerge w:val="restart"/>
          </w:tcPr>
          <w:p>
            <w:pPr>
              <w:jc w:val="right"/>
              <w:ind w:right="18"/>
              <w:spacing w:after="0"/>
              <w:rPr>
                <w:sz w:val="20"/>
                <w:szCs w:val="20"/>
                <w:color w:val="auto"/>
              </w:rPr>
            </w:pPr>
            <w:r>
              <w:rPr>
                <w:rFonts w:ascii="Arial" w:cs="Arial" w:eastAsia="Arial" w:hAnsi="Arial"/>
                <w:sz w:val="10"/>
                <w:szCs w:val="10"/>
                <w:b w:val="1"/>
                <w:bCs w:val="1"/>
                <w:color w:val="auto"/>
              </w:rPr>
              <w:t>Balance</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8"/>
              </w:rPr>
              <w:t>Written</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9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4"/>
              </w:rPr>
              <w:t>Beginning of</w:t>
            </w:r>
          </w:p>
        </w:tc>
        <w:tc>
          <w:tcPr>
            <w:tcW w:w="280" w:type="dxa"/>
            <w:vAlign w:val="bottom"/>
          </w:tcPr>
          <w:p>
            <w:pPr>
              <w:spacing w:after="0"/>
              <w:rPr>
                <w:sz w:val="9"/>
                <w:szCs w:val="9"/>
                <w:color w:val="auto"/>
              </w:rPr>
            </w:pPr>
          </w:p>
        </w:tc>
        <w:tc>
          <w:tcPr>
            <w:tcW w:w="9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7"/>
              </w:rPr>
              <w:t>(Credited) to</w:t>
            </w:r>
          </w:p>
        </w:tc>
        <w:tc>
          <w:tcPr>
            <w:tcW w:w="280" w:type="dxa"/>
            <w:vAlign w:val="bottom"/>
          </w:tcPr>
          <w:p>
            <w:pPr>
              <w:spacing w:after="0"/>
              <w:rPr>
                <w:sz w:val="9"/>
                <w:szCs w:val="9"/>
                <w:color w:val="auto"/>
              </w:rPr>
            </w:pPr>
          </w:p>
        </w:tc>
        <w:tc>
          <w:tcPr>
            <w:tcW w:w="7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6"/>
              </w:rPr>
              <w:t>Off/Use of</w:t>
            </w:r>
          </w:p>
        </w:tc>
        <w:tc>
          <w:tcPr>
            <w:tcW w:w="280" w:type="dxa"/>
            <w:vAlign w:val="bottom"/>
          </w:tcPr>
          <w:p>
            <w:pPr>
              <w:spacing w:after="0"/>
              <w:rPr>
                <w:sz w:val="9"/>
                <w:szCs w:val="9"/>
                <w:color w:val="auto"/>
              </w:rPr>
            </w:pPr>
          </w:p>
        </w:tc>
        <w:tc>
          <w:tcPr>
            <w:tcW w:w="540" w:type="dxa"/>
            <w:vAlign w:val="bottom"/>
            <w:gridSpan w:val="2"/>
            <w:vMerge w:val="restart"/>
          </w:tcPr>
          <w:p>
            <w:pPr>
              <w:jc w:val="right"/>
              <w:ind w:right="14"/>
              <w:spacing w:after="0"/>
              <w:rPr>
                <w:sz w:val="20"/>
                <w:szCs w:val="20"/>
                <w:color w:val="auto"/>
              </w:rPr>
            </w:pPr>
            <w:r>
              <w:rPr>
                <w:rFonts w:ascii="Arial" w:cs="Arial" w:eastAsia="Arial" w:hAnsi="Arial"/>
                <w:sz w:val="10"/>
                <w:szCs w:val="10"/>
                <w:b w:val="1"/>
                <w:bCs w:val="1"/>
                <w:color w:val="auto"/>
              </w:rPr>
              <w:t>Other(a)</w:t>
            </w:r>
          </w:p>
        </w:tc>
        <w:tc>
          <w:tcPr>
            <w:tcW w:w="300" w:type="dxa"/>
            <w:vAlign w:val="bottom"/>
          </w:tcPr>
          <w:p>
            <w:pPr>
              <w:spacing w:after="0"/>
              <w:rPr>
                <w:sz w:val="9"/>
                <w:szCs w:val="9"/>
                <w:color w:val="auto"/>
              </w:rPr>
            </w:pPr>
          </w:p>
        </w:tc>
        <w:tc>
          <w:tcPr>
            <w:tcW w:w="520" w:type="dxa"/>
            <w:vAlign w:val="bottom"/>
            <w:gridSpan w:val="2"/>
          </w:tcPr>
          <w:p>
            <w:pPr>
              <w:ind w:left="100"/>
              <w:spacing w:after="0" w:line="108" w:lineRule="exact"/>
              <w:rPr>
                <w:sz w:val="20"/>
                <w:szCs w:val="20"/>
                <w:color w:val="auto"/>
              </w:rPr>
            </w:pPr>
            <w:r>
              <w:rPr>
                <w:rFonts w:ascii="Arial" w:cs="Arial" w:eastAsia="Arial" w:hAnsi="Arial"/>
                <w:sz w:val="10"/>
                <w:szCs w:val="10"/>
                <w:b w:val="1"/>
                <w:bCs w:val="1"/>
                <w:color w:val="auto"/>
              </w:rPr>
              <w:t>End of</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Year</w:t>
            </w:r>
          </w:p>
        </w:tc>
        <w:tc>
          <w:tcPr>
            <w:tcW w:w="280" w:type="dxa"/>
            <w:vAlign w:val="bottom"/>
          </w:tcPr>
          <w:p>
            <w:pPr>
              <w:spacing w:after="0"/>
              <w:rPr>
                <w:sz w:val="10"/>
                <w:szCs w:val="1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6"/>
              </w:rPr>
              <w:t>Income</w:t>
            </w:r>
          </w:p>
        </w:tc>
        <w:tc>
          <w:tcPr>
            <w:tcW w:w="280" w:type="dxa"/>
            <w:vAlign w:val="bottom"/>
          </w:tcPr>
          <w:p>
            <w:pPr>
              <w:spacing w:after="0"/>
              <w:rPr>
                <w:sz w:val="10"/>
                <w:szCs w:val="1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7"/>
              </w:rPr>
              <w:t>Reserve</w:t>
            </w:r>
          </w:p>
        </w:tc>
        <w:tc>
          <w:tcPr>
            <w:tcW w:w="280" w:type="dxa"/>
            <w:vAlign w:val="bottom"/>
          </w:tcPr>
          <w:p>
            <w:pPr>
              <w:spacing w:after="0"/>
              <w:rPr>
                <w:sz w:val="10"/>
                <w:szCs w:val="10"/>
                <w:color w:val="auto"/>
              </w:rPr>
            </w:pPr>
          </w:p>
        </w:tc>
        <w:tc>
          <w:tcPr>
            <w:tcW w:w="540" w:type="dxa"/>
            <w:vAlign w:val="bottom"/>
            <w:tcBorders>
              <w:bottom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0"/>
                <w:szCs w:val="10"/>
                <w:b w:val="1"/>
                <w:bCs w:val="1"/>
                <w:color w:val="auto"/>
              </w:rPr>
              <w:t>Year</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2008</w:t>
            </w:r>
          </w:p>
        </w:tc>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Reserves for doubtful accounts(b)</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w w:val="82"/>
              </w:rPr>
              <w:t>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w w:val="82"/>
              </w:rPr>
              <w:t>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6"/>
              </w:rPr>
              <w:t>(56)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74"/>
              </w:rPr>
              <w:t>39</w:t>
            </w:r>
          </w:p>
        </w:tc>
        <w:tc>
          <w:tcPr>
            <w:tcW w:w="0" w:type="dxa"/>
            <w:vAlign w:val="bottom"/>
          </w:tcPr>
          <w:p>
            <w:pPr>
              <w:spacing w:after="0"/>
              <w:rPr>
                <w:sz w:val="1"/>
                <w:szCs w:val="1"/>
                <w:color w:val="auto"/>
              </w:rPr>
            </w:pPr>
          </w:p>
        </w:tc>
      </w:tr>
      <w:tr>
        <w:trPr>
          <w:trHeight w:val="157"/>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2009</w:t>
            </w:r>
          </w:p>
        </w:tc>
        <w:tc>
          <w:tcPr>
            <w:tcW w:w="4840" w:type="dxa"/>
            <w:vAlign w:val="bottom"/>
          </w:tcPr>
          <w:p>
            <w:pPr>
              <w:ind w:left="20"/>
              <w:spacing w:after="0"/>
              <w:rPr>
                <w:sz w:val="20"/>
                <w:szCs w:val="20"/>
                <w:color w:val="auto"/>
              </w:rPr>
            </w:pPr>
            <w:r>
              <w:rPr>
                <w:rFonts w:ascii="Arial" w:cs="Arial" w:eastAsia="Arial" w:hAnsi="Arial"/>
                <w:sz w:val="13"/>
                <w:szCs w:val="13"/>
                <w:color w:val="auto"/>
              </w:rPr>
              <w:t>— Reserves for doubtful accounts(b)</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w w:val="82"/>
              </w:rPr>
              <w:t>39</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w w:val="82"/>
              </w:rPr>
              <w:t>48</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94"/>
              <w:spacing w:after="0"/>
              <w:rPr>
                <w:sz w:val="20"/>
                <w:szCs w:val="20"/>
                <w:color w:val="auto"/>
              </w:rPr>
            </w:pPr>
            <w:r>
              <w:rPr>
                <w:rFonts w:ascii="Arial" w:cs="Arial" w:eastAsia="Arial" w:hAnsi="Arial"/>
                <w:sz w:val="13"/>
                <w:szCs w:val="13"/>
                <w:color w:val="auto"/>
                <w:w w:val="86"/>
              </w:rPr>
              <w:t>(57)</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2</w:t>
            </w:r>
          </w:p>
        </w:tc>
        <w:tc>
          <w:tcPr>
            <w:tcW w:w="500" w:type="dxa"/>
            <w:vAlign w:val="bottom"/>
            <w:gridSpan w:val="2"/>
          </w:tcPr>
          <w:p>
            <w:pPr>
              <w:ind w:left="420"/>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138"/>
              <w:spacing w:after="0"/>
              <w:rPr>
                <w:sz w:val="20"/>
                <w:szCs w:val="20"/>
                <w:color w:val="auto"/>
              </w:rPr>
            </w:pPr>
            <w:r>
              <w:rPr>
                <w:rFonts w:ascii="Arial" w:cs="Arial" w:eastAsia="Arial" w:hAnsi="Arial"/>
                <w:sz w:val="12"/>
                <w:szCs w:val="12"/>
                <w:color w:val="auto"/>
                <w:w w:val="74"/>
              </w:rPr>
              <w:t>32</w:t>
            </w:r>
          </w:p>
        </w:tc>
        <w:tc>
          <w:tcPr>
            <w:tcW w:w="0" w:type="dxa"/>
            <w:vAlign w:val="bottom"/>
          </w:tcPr>
          <w:p>
            <w:pPr>
              <w:spacing w:after="0"/>
              <w:rPr>
                <w:sz w:val="1"/>
                <w:szCs w:val="1"/>
                <w:color w:val="auto"/>
              </w:rPr>
            </w:pPr>
          </w:p>
        </w:tc>
      </w:tr>
      <w:tr>
        <w:trPr>
          <w:trHeight w:val="157"/>
        </w:trPr>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2010</w:t>
            </w:r>
          </w:p>
        </w:tc>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Reserves for doubtful accounts(b)</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w w:val="82"/>
              </w:rPr>
              <w:t>32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w w:val="82"/>
              </w:rPr>
              <w:t>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6"/>
              </w:rPr>
              <w:t>(47)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1</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74"/>
              </w:rPr>
              <w:t>27</w:t>
            </w:r>
          </w:p>
        </w:tc>
        <w:tc>
          <w:tcPr>
            <w:tcW w:w="0" w:type="dxa"/>
            <w:vAlign w:val="bottom"/>
          </w:tcPr>
          <w:p>
            <w:pPr>
              <w:spacing w:after="0"/>
              <w:rPr>
                <w:sz w:val="1"/>
                <w:szCs w:val="1"/>
                <w:color w:val="auto"/>
              </w:rPr>
            </w:pPr>
          </w:p>
        </w:tc>
      </w:tr>
      <w:tr>
        <w:trPr>
          <w:trHeight w:val="157"/>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2008</w:t>
            </w:r>
          </w:p>
        </w:tc>
        <w:tc>
          <w:tcPr>
            <w:tcW w:w="4840" w:type="dxa"/>
            <w:vAlign w:val="bottom"/>
          </w:tcPr>
          <w:p>
            <w:pPr>
              <w:ind w:left="20"/>
              <w:spacing w:after="0"/>
              <w:rPr>
                <w:sz w:val="20"/>
                <w:szCs w:val="20"/>
                <w:color w:val="auto"/>
              </w:rPr>
            </w:pPr>
            <w:r>
              <w:rPr>
                <w:rFonts w:ascii="Arial" w:cs="Arial" w:eastAsia="Arial" w:hAnsi="Arial"/>
                <w:sz w:val="13"/>
                <w:szCs w:val="13"/>
                <w:color w:val="auto"/>
              </w:rPr>
              <w:t>— Merger and restructuring accruals(c)</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rPr>
              <w:t>4</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rPr>
              <w:t>2</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94"/>
              <w:spacing w:after="0"/>
              <w:rPr>
                <w:sz w:val="20"/>
                <w:szCs w:val="20"/>
                <w:color w:val="auto"/>
              </w:rPr>
            </w:pPr>
            <w:r>
              <w:rPr>
                <w:rFonts w:ascii="Arial" w:cs="Arial" w:eastAsia="Arial" w:hAnsi="Arial"/>
                <w:sz w:val="13"/>
                <w:szCs w:val="13"/>
                <w:color w:val="auto"/>
              </w:rPr>
              <w:t>(4)</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ind w:left="420"/>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138"/>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2009</w:t>
            </w:r>
          </w:p>
        </w:tc>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Merger and restructuring accruals(c)</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w w:val="82"/>
              </w:rPr>
              <w:t>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6"/>
              </w:rPr>
              <w:t>(42)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91"/>
              </w:rPr>
              <w: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74"/>
              </w:rPr>
              <w:t>10</w:t>
            </w:r>
          </w:p>
        </w:tc>
        <w:tc>
          <w:tcPr>
            <w:tcW w:w="0" w:type="dxa"/>
            <w:vAlign w:val="bottom"/>
          </w:tcPr>
          <w:p>
            <w:pPr>
              <w:spacing w:after="0"/>
              <w:rPr>
                <w:sz w:val="1"/>
                <w:szCs w:val="1"/>
                <w:color w:val="auto"/>
              </w:rPr>
            </w:pPr>
          </w:p>
        </w:tc>
      </w:tr>
      <w:tr>
        <w:trPr>
          <w:trHeight w:val="165"/>
        </w:trPr>
        <w:tc>
          <w:tcPr>
            <w:tcW w:w="280" w:type="dxa"/>
            <w:vAlign w:val="bottom"/>
          </w:tcPr>
          <w:p>
            <w:pPr>
              <w:jc w:val="right"/>
              <w:spacing w:after="0"/>
              <w:rPr>
                <w:sz w:val="20"/>
                <w:szCs w:val="20"/>
                <w:color w:val="auto"/>
              </w:rPr>
            </w:pPr>
            <w:r>
              <w:rPr>
                <w:rFonts w:ascii="Arial" w:cs="Arial" w:eastAsia="Arial" w:hAnsi="Arial"/>
                <w:sz w:val="13"/>
                <w:szCs w:val="13"/>
                <w:color w:val="auto"/>
                <w:w w:val="89"/>
              </w:rPr>
              <w:t>2010</w:t>
            </w:r>
          </w:p>
        </w:tc>
        <w:tc>
          <w:tcPr>
            <w:tcW w:w="4840" w:type="dxa"/>
            <w:vAlign w:val="bottom"/>
          </w:tcPr>
          <w:p>
            <w:pPr>
              <w:ind w:left="20"/>
              <w:spacing w:after="0"/>
              <w:rPr>
                <w:sz w:val="20"/>
                <w:szCs w:val="20"/>
                <w:color w:val="auto"/>
              </w:rPr>
            </w:pPr>
            <w:r>
              <w:rPr>
                <w:rFonts w:ascii="Arial" w:cs="Arial" w:eastAsia="Arial" w:hAnsi="Arial"/>
                <w:sz w:val="13"/>
                <w:szCs w:val="13"/>
                <w:color w:val="auto"/>
              </w:rPr>
              <w:t>— Merger and restructuring accruals(c)</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34"/>
              <w:spacing w:after="0"/>
              <w:rPr>
                <w:sz w:val="20"/>
                <w:szCs w:val="20"/>
                <w:color w:val="auto"/>
              </w:rPr>
            </w:pPr>
            <w:r>
              <w:rPr>
                <w:rFonts w:ascii="Arial" w:cs="Arial" w:eastAsia="Arial" w:hAnsi="Arial"/>
                <w:sz w:val="13"/>
                <w:szCs w:val="13"/>
                <w:color w:val="auto"/>
                <w:w w:val="82"/>
              </w:rPr>
              <w:t>10</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94"/>
              <w:spacing w:after="0"/>
              <w:rPr>
                <w:sz w:val="20"/>
                <w:szCs w:val="20"/>
                <w:color w:val="auto"/>
              </w:rPr>
            </w:pPr>
            <w:r>
              <w:rPr>
                <w:rFonts w:ascii="Arial" w:cs="Arial" w:eastAsia="Arial" w:hAnsi="Arial"/>
                <w:sz w:val="13"/>
                <w:szCs w:val="13"/>
                <w:color w:val="auto"/>
              </w:rPr>
              <w:t>(2)</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94"/>
              <w:spacing w:after="0"/>
              <w:rPr>
                <w:sz w:val="20"/>
                <w:szCs w:val="20"/>
                <w:color w:val="auto"/>
              </w:rPr>
            </w:pPr>
            <w:r>
              <w:rPr>
                <w:rFonts w:ascii="Arial" w:cs="Arial" w:eastAsia="Arial" w:hAnsi="Arial"/>
                <w:sz w:val="13"/>
                <w:szCs w:val="13"/>
                <w:color w:val="auto"/>
              </w:rPr>
              <w:t>(5)</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ind w:left="420"/>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138"/>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80" w:right="460" w:hanging="393"/>
        <w:spacing w:after="0" w:line="276" w:lineRule="auto"/>
        <w:tabs>
          <w:tab w:leader="none" w:pos="10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“Other” activity is related to reserves for doubtful accounts of acquired businesses, reserves associated with dispositions of businesses, reserves reclassified to operations held-for-sale, and reclassifications among reserve accounts.</w:t>
      </w:r>
    </w:p>
    <w:p>
      <w:pPr>
        <w:spacing w:after="0" w:line="10" w:lineRule="exact"/>
        <w:rPr>
          <w:rFonts w:ascii="Arial" w:cs="Arial" w:eastAsia="Arial" w:hAnsi="Arial"/>
          <w:sz w:val="13"/>
          <w:szCs w:val="13"/>
          <w:color w:val="auto"/>
        </w:rPr>
      </w:pPr>
    </w:p>
    <w:p>
      <w:pPr>
        <w:ind w:left="1080" w:hanging="393"/>
        <w:spacing w:after="0"/>
        <w:tabs>
          <w:tab w:leader="none" w:pos="10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Includes reserves for doubtful accounts receivable and notes receivable.</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Included in accrued liabilities in our Consolidated Balance Sheets. These accruals represent employee severance and benefit costs and transitional costs.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80" w:type="dxa"/>
            <w:vAlign w:val="bottom"/>
          </w:tcPr>
          <w:p>
            <w:pPr>
              <w:ind w:left="2640"/>
              <w:spacing w:after="0"/>
              <w:rPr>
                <w:sz w:val="20"/>
                <w:szCs w:val="20"/>
                <w:color w:val="auto"/>
              </w:rPr>
            </w:pPr>
            <w:r>
              <w:rPr>
                <w:rFonts w:ascii="Arial" w:cs="Arial" w:eastAsia="Arial" w:hAnsi="Arial"/>
                <w:sz w:val="13"/>
                <w:szCs w:val="13"/>
                <w:b w:val="1"/>
                <w:bCs w:val="1"/>
                <w:color w:val="auto"/>
              </w:rPr>
              <w:t>INDEX TO EXHIBITS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600" w:type="dxa"/>
            <w:vAlign w:val="bottom"/>
          </w:tcPr>
          <w:p>
            <w:pPr>
              <w:jc w:val="right"/>
              <w:ind w:right="196"/>
              <w:spacing w:after="0"/>
              <w:rPr>
                <w:sz w:val="20"/>
                <w:szCs w:val="20"/>
                <w:color w:val="auto"/>
              </w:rPr>
            </w:pPr>
            <w:r>
              <w:rPr>
                <w:rFonts w:ascii="Arial" w:cs="Arial" w:eastAsia="Arial" w:hAnsi="Arial"/>
                <w:sz w:val="10"/>
                <w:szCs w:val="10"/>
                <w:b w:val="1"/>
                <w:bCs w:val="1"/>
                <w:color w:val="auto"/>
                <w:w w:val="95"/>
              </w:rPr>
              <w:t>Exhibit</w:t>
            </w: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80" w:type="dxa"/>
            <w:vAlign w:val="bottom"/>
            <w:vMerge w:val="restart"/>
          </w:tcPr>
          <w:p>
            <w:pPr>
              <w:ind w:left="388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00" w:type="dxa"/>
            <w:vAlign w:val="bottom"/>
            <w:tcBorders>
              <w:bottom w:val="single" w:sz="8" w:color="auto"/>
            </w:tcBorders>
          </w:tcPr>
          <w:p>
            <w:pPr>
              <w:jc w:val="right"/>
              <w:ind w:right="316"/>
              <w:spacing w:after="0"/>
              <w:rPr>
                <w:sz w:val="20"/>
                <w:szCs w:val="20"/>
                <w:color w:val="auto"/>
              </w:rPr>
            </w:pPr>
            <w:r>
              <w:rPr>
                <w:rFonts w:ascii="Arial" w:cs="Arial" w:eastAsia="Arial" w:hAnsi="Arial"/>
                <w:sz w:val="10"/>
                <w:szCs w:val="10"/>
                <w:b w:val="1"/>
                <w:bCs w:val="1"/>
                <w:color w:val="auto"/>
              </w:rPr>
              <w:t>No.</w:t>
            </w:r>
          </w:p>
        </w:tc>
        <w:tc>
          <w:tcPr>
            <w:tcW w:w="52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280" w:type="dxa"/>
            <w:vAlign w:val="bottom"/>
            <w:tcBorders>
              <w:bottom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w:t>
            </w:r>
          </w:p>
        </w:tc>
        <w:tc>
          <w:tcPr>
            <w:tcW w:w="520" w:type="dxa"/>
            <w:vAlign w:val="bottom"/>
          </w:tcPr>
          <w:p>
            <w:pPr>
              <w:jc w:val="right"/>
              <w:ind w:right="334"/>
              <w:spacing w:after="0"/>
              <w:rPr>
                <w:sz w:val="20"/>
                <w:szCs w:val="20"/>
                <w:color w:val="auto"/>
              </w:rPr>
            </w:pPr>
            <w:r>
              <w:rPr>
                <w:rFonts w:ascii="Arial" w:cs="Arial" w:eastAsia="Arial" w:hAnsi="Arial"/>
                <w:sz w:val="13"/>
                <w:szCs w:val="13"/>
                <w:color w:val="auto"/>
                <w:w w:val="91"/>
              </w:rPr>
              <w:t>.1</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rPr>
              <w:t>—   Third Restated Certificate of Incorporation [Incorporated by reference to Exhibit 3.1 to Form 10-Q for the quarter ended June 30, 2010].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w:t>
            </w:r>
          </w:p>
        </w:tc>
        <w:tc>
          <w:tcPr>
            <w:tcW w:w="520" w:type="dxa"/>
            <w:vAlign w:val="bottom"/>
          </w:tcPr>
          <w:p>
            <w:pPr>
              <w:jc w:val="right"/>
              <w:ind w:right="334"/>
              <w:spacing w:after="0"/>
              <w:rPr>
                <w:sz w:val="20"/>
                <w:szCs w:val="20"/>
                <w:color w:val="auto"/>
              </w:rPr>
            </w:pPr>
            <w:r>
              <w:rPr>
                <w:rFonts w:ascii="Arial" w:cs="Arial" w:eastAsia="Arial" w:hAnsi="Arial"/>
                <w:sz w:val="13"/>
                <w:szCs w:val="13"/>
                <w:color w:val="auto"/>
                <w:w w:val="91"/>
              </w:rPr>
              <w:t>.2</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rPr>
              <w:t>—   Amended and Restated Bylaws [Incorporated by reference to Exhibit 3.2 to Form 8-K dated May 11, 2010].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520" w:type="dxa"/>
            <w:vAlign w:val="bottom"/>
          </w:tcPr>
          <w:p>
            <w:pPr>
              <w:jc w:val="right"/>
              <w:ind w:right="334"/>
              <w:spacing w:after="0"/>
              <w:rPr>
                <w:sz w:val="20"/>
                <w:szCs w:val="20"/>
                <w:color w:val="auto"/>
              </w:rPr>
            </w:pPr>
            <w:r>
              <w:rPr>
                <w:rFonts w:ascii="Arial" w:cs="Arial" w:eastAsia="Arial" w:hAnsi="Arial"/>
                <w:sz w:val="13"/>
                <w:szCs w:val="13"/>
                <w:color w:val="auto"/>
                <w:w w:val="91"/>
              </w:rPr>
              <w:t>.1</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rPr>
              <w:t>—   Specimen Stock Certificate [Incorporated by reference to Exhibit 4.1 to Form 10-K for the year ended December 31, 1998].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520" w:type="dxa"/>
            <w:vAlign w:val="bottom"/>
          </w:tcPr>
          <w:p>
            <w:pPr>
              <w:jc w:val="right"/>
              <w:ind w:right="334"/>
              <w:spacing w:after="0"/>
              <w:rPr>
                <w:sz w:val="20"/>
                <w:szCs w:val="20"/>
                <w:color w:val="auto"/>
              </w:rPr>
            </w:pPr>
            <w:r>
              <w:rPr>
                <w:rFonts w:ascii="Arial" w:cs="Arial" w:eastAsia="Arial" w:hAnsi="Arial"/>
                <w:sz w:val="13"/>
                <w:szCs w:val="13"/>
                <w:color w:val="auto"/>
                <w:w w:val="91"/>
              </w:rPr>
              <w:t>.2</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6"/>
              </w:rPr>
              <w:t>—   Indenture for Subordinated Debt Securities dated February 3, 1997, among the Registrant and The Bank of New York Mellon Trust Company, N.A. (the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1"/>
              </w:rPr>
              <w:t>current successor to Texas Commerce Bank National Association), as trustee [Incorporated by reference to Exhibit 4.1 to Form 8-K dated February 7, 1997].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520" w:type="dxa"/>
            <w:vAlign w:val="bottom"/>
          </w:tcPr>
          <w:p>
            <w:pPr>
              <w:jc w:val="right"/>
              <w:ind w:right="334"/>
              <w:spacing w:after="0"/>
              <w:rPr>
                <w:sz w:val="20"/>
                <w:szCs w:val="20"/>
                <w:color w:val="auto"/>
              </w:rPr>
            </w:pPr>
            <w:r>
              <w:rPr>
                <w:rFonts w:ascii="Arial" w:cs="Arial" w:eastAsia="Arial" w:hAnsi="Arial"/>
                <w:sz w:val="13"/>
                <w:szCs w:val="13"/>
                <w:color w:val="auto"/>
                <w:w w:val="91"/>
              </w:rPr>
              <w:t>.3</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3"/>
              </w:rPr>
              <w:t>—   Indenture for Senior Debt Securities dated September 10, 1997, among the Registrant and The Bank of New York Mellon Trust Company, N.A. (the current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4"/>
              </w:rPr>
              <w:t>successor to Texas Commerce Bank National Association), as trustee [Incorporated by reference to Exhibit 4.1 to Form 8-K dated September 10, 1997].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520" w:type="dxa"/>
            <w:vAlign w:val="bottom"/>
          </w:tcPr>
          <w:p>
            <w:pPr>
              <w:jc w:val="right"/>
              <w:ind w:right="334"/>
              <w:spacing w:after="0"/>
              <w:rPr>
                <w:sz w:val="20"/>
                <w:szCs w:val="20"/>
                <w:color w:val="auto"/>
              </w:rPr>
            </w:pPr>
            <w:r>
              <w:rPr>
                <w:rFonts w:ascii="Arial" w:cs="Arial" w:eastAsia="Arial" w:hAnsi="Arial"/>
                <w:sz w:val="13"/>
                <w:szCs w:val="13"/>
                <w:color w:val="auto"/>
                <w:w w:val="91"/>
              </w:rPr>
              <w:t>.4</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2"/>
              </w:rPr>
              <w:t>—   Officers’ Certificate delivered pursuant to Section 301 of the Indenture dated September 10, 1997 by and between Waste Management, Inc. and The Bank of</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9"/>
              </w:rPr>
              <w:t>New York Mellon Trust Company, N.A., as Trustee, establishing the terms and form of Waste Management, Inc.’s 4.75% Senior Notes due 2020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[Incorporated by reference to Exhibit 4.1 to Form 10-Q for the quarter ended June 30, 2010].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520" w:type="dxa"/>
            <w:vAlign w:val="bottom"/>
          </w:tcPr>
          <w:p>
            <w:pPr>
              <w:jc w:val="right"/>
              <w:ind w:right="334"/>
              <w:spacing w:after="0"/>
              <w:rPr>
                <w:sz w:val="20"/>
                <w:szCs w:val="20"/>
                <w:color w:val="auto"/>
              </w:rPr>
            </w:pPr>
            <w:r>
              <w:rPr>
                <w:rFonts w:ascii="Arial" w:cs="Arial" w:eastAsia="Arial" w:hAnsi="Arial"/>
                <w:sz w:val="13"/>
                <w:szCs w:val="13"/>
                <w:color w:val="auto"/>
                <w:w w:val="91"/>
              </w:rPr>
              <w:t>.5</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4"/>
              </w:rPr>
              <w:t>—   Guarantee Agreement by Waste Management Holdings, Inc. in favor of The Bank of New York Mellon Trust Company, N.A., as Trustee for the holders of</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5"/>
              </w:rPr>
              <w:t>Waste Management, Inc.’s 4.75% Senior Notes due 2020 [Incorporated by reference to Exhibit 4.2 to Form 10-Q for the quarter ended June 30, 2010].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520" w:type="dxa"/>
            <w:vAlign w:val="bottom"/>
          </w:tcPr>
          <w:p>
            <w:pPr>
              <w:jc w:val="right"/>
              <w:ind w:right="254"/>
              <w:spacing w:after="0"/>
              <w:rPr>
                <w:sz w:val="20"/>
                <w:szCs w:val="20"/>
                <w:color w:val="auto"/>
              </w:rPr>
            </w:pPr>
            <w:r>
              <w:rPr>
                <w:rFonts w:ascii="Arial" w:cs="Arial" w:eastAsia="Arial" w:hAnsi="Arial"/>
                <w:sz w:val="13"/>
                <w:szCs w:val="13"/>
                <w:color w:val="auto"/>
              </w:rPr>
              <w:t>.6*</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5"/>
              </w:rPr>
              <w:t>—   Schedule of Officers’ Certificates delivered pursuant to Section 301 of the Indenture dated September 10, 1997 establishing the terms and form of Waste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1"/>
              </w:rPr>
              <w:t>Management, Inc.’s Senior Notes. Waste Management and its subsidiaries are parties to debt instruments that have not been filed with the SEC under which</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0"/>
              </w:rPr>
              <w:t>the total amount of securities authorized does not exceed 10% of the total assets of Waste Management and its subsidiaries on a consolidated basis. Pursuant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8"/>
              </w:rPr>
              <w:t>to paragraph 4(iii)(A) of Item 601(b) of Regulation S-K, Waste Management agrees to furnish a copy of such instruments to the SEC upon request.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20" w:type="dxa"/>
            <w:vAlign w:val="bottom"/>
            <w:gridSpan w:val="2"/>
          </w:tcPr>
          <w:p>
            <w:pPr>
              <w:jc w:val="right"/>
              <w:ind w:right="254"/>
              <w:spacing w:after="0"/>
              <w:rPr>
                <w:sz w:val="20"/>
                <w:szCs w:val="20"/>
                <w:color w:val="auto"/>
              </w:rPr>
            </w:pPr>
            <w:r>
              <w:rPr>
                <w:rFonts w:ascii="Arial" w:cs="Arial" w:eastAsia="Arial" w:hAnsi="Arial"/>
                <w:sz w:val="13"/>
                <w:szCs w:val="13"/>
                <w:color w:val="auto"/>
              </w:rPr>
              <w:t>10.1†</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rPr>
              <w:t>—   2009 Stock Incentive Plan [Incorporated by reference to Appendix B to the Proxy Statement on Schedule 14A filed March 25, 2009].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20" w:type="dxa"/>
            <w:vAlign w:val="bottom"/>
            <w:gridSpan w:val="2"/>
          </w:tcPr>
          <w:p>
            <w:pPr>
              <w:jc w:val="right"/>
              <w:ind w:right="254"/>
              <w:spacing w:after="0"/>
              <w:rPr>
                <w:sz w:val="20"/>
                <w:szCs w:val="20"/>
                <w:color w:val="auto"/>
              </w:rPr>
            </w:pPr>
            <w:r>
              <w:rPr>
                <w:rFonts w:ascii="Arial" w:cs="Arial" w:eastAsia="Arial" w:hAnsi="Arial"/>
                <w:sz w:val="13"/>
                <w:szCs w:val="13"/>
                <w:color w:val="auto"/>
              </w:rPr>
              <w:t>10.2†</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rPr>
              <w:t>—   2005 Annual Incentive Plan [Incorporated by reference to Appendix D to the Proxy Statement on Schedule 14A filed April 8, 2004].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20" w:type="dxa"/>
            <w:vAlign w:val="bottom"/>
            <w:gridSpan w:val="2"/>
          </w:tcPr>
          <w:p>
            <w:pPr>
              <w:jc w:val="right"/>
              <w:ind w:right="254"/>
              <w:spacing w:after="0"/>
              <w:rPr>
                <w:sz w:val="20"/>
                <w:szCs w:val="20"/>
                <w:color w:val="auto"/>
              </w:rPr>
            </w:pPr>
            <w:r>
              <w:rPr>
                <w:rFonts w:ascii="Arial" w:cs="Arial" w:eastAsia="Arial" w:hAnsi="Arial"/>
                <w:sz w:val="13"/>
                <w:szCs w:val="13"/>
                <w:color w:val="auto"/>
              </w:rPr>
              <w:t>10.3†</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rPr>
              <w:t>—   Employee Stock Purchase Plan [Incorporated by reference to Appendix A to the Proxy Statement on Schedule 14A filed March 25, 2009].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20" w:type="dxa"/>
            <w:vAlign w:val="bottom"/>
            <w:gridSpan w:val="2"/>
          </w:tcPr>
          <w:p>
            <w:pPr>
              <w:jc w:val="right"/>
              <w:ind w:right="254"/>
              <w:spacing w:after="0"/>
              <w:rPr>
                <w:sz w:val="20"/>
                <w:szCs w:val="20"/>
                <w:color w:val="auto"/>
              </w:rPr>
            </w:pPr>
            <w:r>
              <w:rPr>
                <w:rFonts w:ascii="Arial" w:cs="Arial" w:eastAsia="Arial" w:hAnsi="Arial"/>
                <w:sz w:val="13"/>
                <w:szCs w:val="13"/>
                <w:color w:val="auto"/>
              </w:rPr>
              <w:t>10.4†</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6"/>
              </w:rPr>
              <w:t>—   Waste Management, Inc. 409A Deferral Savings Plan. [Incorporated by reference to Exhibit 10.4 to Form 10-K for the year ended December 31, 2006].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20" w:type="dxa"/>
            <w:vAlign w:val="bottom"/>
            <w:gridSpan w:val="2"/>
          </w:tcPr>
          <w:p>
            <w:pPr>
              <w:jc w:val="right"/>
              <w:ind w:right="254"/>
              <w:spacing w:after="0"/>
              <w:rPr>
                <w:sz w:val="20"/>
                <w:szCs w:val="20"/>
                <w:color w:val="auto"/>
              </w:rPr>
            </w:pPr>
            <w:r>
              <w:rPr>
                <w:rFonts w:ascii="Arial" w:cs="Arial" w:eastAsia="Arial" w:hAnsi="Arial"/>
                <w:sz w:val="13"/>
                <w:szCs w:val="13"/>
                <w:color w:val="auto"/>
              </w:rPr>
              <w:t>10.5†</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rPr>
              <w:t>—   1993 Stock Incentive Plan [Incorporated by reference to Exhibit 10.2 to Form 10-K for the year ended December 31, 1998].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20" w:type="dxa"/>
            <w:vAlign w:val="bottom"/>
            <w:gridSpan w:val="2"/>
          </w:tcPr>
          <w:p>
            <w:pPr>
              <w:jc w:val="right"/>
              <w:ind w:right="254"/>
              <w:spacing w:after="0"/>
              <w:rPr>
                <w:sz w:val="20"/>
                <w:szCs w:val="20"/>
                <w:color w:val="auto"/>
              </w:rPr>
            </w:pPr>
            <w:r>
              <w:rPr>
                <w:rFonts w:ascii="Arial" w:cs="Arial" w:eastAsia="Arial" w:hAnsi="Arial"/>
                <w:sz w:val="13"/>
                <w:szCs w:val="13"/>
                <w:color w:val="auto"/>
              </w:rPr>
              <w:t>10.6†</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rPr>
              <w:t>—   2000 Stock Incentive Plan [Incorporated by reference to Appendix B to the Proxy Statement on Schedule 14a filed April 6, 2000].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1120" w:type="dxa"/>
            <w:vAlign w:val="bottom"/>
            <w:gridSpan w:val="2"/>
          </w:tcPr>
          <w:p>
            <w:pPr>
              <w:jc w:val="right"/>
              <w:ind w:right="254"/>
              <w:spacing w:after="0"/>
              <w:rPr>
                <w:sz w:val="20"/>
                <w:szCs w:val="20"/>
                <w:color w:val="auto"/>
              </w:rPr>
            </w:pPr>
            <w:r>
              <w:rPr>
                <w:rFonts w:ascii="Arial" w:cs="Arial" w:eastAsia="Arial" w:hAnsi="Arial"/>
                <w:sz w:val="13"/>
                <w:szCs w:val="13"/>
                <w:color w:val="auto"/>
              </w:rPr>
              <w:t>10.7†</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rPr>
              <w:t>—   2004 Stock Incentive Plan [Incorporated by reference to Appendix C to Proxy Statement on Schedule 14A filed April 8, 2004].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60" w:type="dxa"/>
            <w:vAlign w:val="bottom"/>
            <w:gridSpan w:val="2"/>
          </w:tcPr>
          <w:p>
            <w:pPr>
              <w:ind w:left="378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1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80" w:type="dxa"/>
            <w:vAlign w:val="bottom"/>
          </w:tcPr>
          <w:p>
            <w:pPr>
              <w:spacing w:after="0"/>
              <w:rPr>
                <w:sz w:val="10"/>
                <w:szCs w:val="10"/>
                <w:color w:val="auto"/>
              </w:rPr>
            </w:pPr>
          </w:p>
        </w:tc>
        <w:tc>
          <w:tcPr>
            <w:tcW w:w="8280" w:type="dxa"/>
            <w:vAlign w:val="bottom"/>
            <w:vMerge w:val="restart"/>
          </w:tcPr>
          <w:p>
            <w:pPr>
              <w:ind w:left="38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No.</w:t>
            </w:r>
          </w:p>
        </w:tc>
        <w:tc>
          <w:tcPr>
            <w:tcW w:w="580" w:type="dxa"/>
            <w:vAlign w:val="bottom"/>
          </w:tcPr>
          <w:p>
            <w:pPr>
              <w:spacing w:after="0"/>
              <w:rPr>
                <w:sz w:val="10"/>
                <w:szCs w:val="10"/>
                <w:color w:val="auto"/>
              </w:rPr>
            </w:pPr>
          </w:p>
        </w:tc>
        <w:tc>
          <w:tcPr>
            <w:tcW w:w="82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20" w:type="dxa"/>
            <w:vAlign w:val="bottom"/>
          </w:tcPr>
          <w:p>
            <w:pPr>
              <w:ind w:left="500"/>
              <w:spacing w:after="0"/>
              <w:rPr>
                <w:sz w:val="20"/>
                <w:szCs w:val="20"/>
                <w:color w:val="auto"/>
              </w:rPr>
            </w:pPr>
            <w:r>
              <w:rPr>
                <w:rFonts w:ascii="Arial" w:cs="Arial" w:eastAsia="Arial" w:hAnsi="Arial"/>
                <w:sz w:val="13"/>
                <w:szCs w:val="13"/>
                <w:color w:val="auto"/>
              </w:rPr>
              <w:t>10.8</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2"/>
              </w:rPr>
              <w:t>—   $2 Billion Revolving Credit Agreement dated as of June 22, 2010 by and among Waste Management, Inc. and Waste Management Holdings, Inc. and certain</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3"/>
              </w:rPr>
              <w:t>banks party thereto, Bank of America, N.A., as Administrative Agent, JPMorgan Chase Bank, N.A. and Barclays Capital, as Syndication Agents, Deutsche</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3"/>
              </w:rPr>
              <w:t>Bank Securities Inc. and The Royal Bank of Scotland PLC, as Documentation Agents, BNP Paribas and Citibank, N.A., as Co-Documentation Agents and</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3"/>
              </w:rPr>
              <w:t>J.P. Morgan Securities Inc., Banc of America Securities LLC and Barclays Capital, as Lead Arrangers and Joint Bookrunners [Incorporated by reference to</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Exhibit 10.1 to Form 10-Q for the quarter ended June 30, 2010].</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10.9</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4"/>
              </w:rPr>
              <w:t>—   CDN $410,000,000 Credit Facility Credit Agreement by and between Waste Management of Canada Corporation (as Borrower), Waste Management, Inc.</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0"/>
              </w:rPr>
              <w:t>and Waste Management Holdings, Inc. (as Guarantors), BNP Paribas Securities Corp. and Scotia Capital (as Lead Arrangers and Book Runners) and Bank of</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1"/>
              </w:rPr>
              <w:t>Nova Scotia (as Administrative Agent) and the Lenders from time to time party to the Agreement dated as of November 30, 2005. [Incorporated by reference</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to Exhibit 10.32 to Form 10-K for the year ended December 31, 2005].</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10.10</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3"/>
              </w:rPr>
              <w:t>—   First Amendment Agreement dated as of December 21, 2007 to a Credit Agreement dated as of November 30, 2005 by and between Waste Management of</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1"/>
              </w:rPr>
              <w:t>Canada Corporation as borrower, Waste Management, Inc. and Waste Management Holdings, Inc. as guarantors, the lenders from time to time party thereto</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w w:val="95"/>
              </w:rPr>
              <w:t>and the Bank of Nova Scotia as Administrative Agent [Incorporated by reference to Exhibit 10.28 to Form 10-K for the year ended December 31, 2007].</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10.11†</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5"/>
              </w:rPr>
              <w:t>—   Employment Agreement between the Company and Cherie C. Rice dated August 26, 2005 [Incorporated by reference to Exhibit 10.1 to Form 8-K dated</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August 26, 2005].</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10.12†</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2"/>
              </w:rPr>
              <w:t>—   Employment Agreement between the Company and Greg A. Robertson dated August 1, 2003 [Incorporated by reference to Exhibit 10.2 to Form 10-Q for the</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quarter ended June 30, 2004].</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10.13†</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3"/>
              </w:rPr>
              <w:t>—   Employment Agreement between the Company and Lawrence O’Donnell III dated January 21, 2000 [Incorporated by reference to Exhibit 10.1 to Form 10-Q</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for the quarter ended March 31, 2000].</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10.14†</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3"/>
              </w:rPr>
              <w:t>—   Agreement for Termination of Employment dated June 1, 2010 between Waste Management, Inc. and Lawrence O’Donnell, III [Incorporated by reference to</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Exhibit 10.1 to Form 8-K dated June 1, 2010.]</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10.15†</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2"/>
              </w:rPr>
              <w:t>—   Employment Agreement between the Company and Puneet Bhasin dated December 7, 2009 [Incorporated by reference to Exhibit 10.12 to Form 10-K for the</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year ended December 31, 2009].</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10.16†</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3"/>
              </w:rPr>
              <w:t>—   Employment Agreement between the Company and Duane C. Woods dated October 20, 2004 [Incorporated by reference to Exhibit 10.2 to Form 8-K dated</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October 20, 2004].</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10.17†</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4"/>
              </w:rPr>
              <w:t>—   Employment Agreement between the Company and David Steiner dated as of May 6, 2002 [Incorporated by reference to Exhibit 10.1 to Form 10-Q for the</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quarter ended March 31, 2002].</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10.18†</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3"/>
              </w:rPr>
              <w:t>—   Employment Agreement between the Company and James E. Trevathan dated as of June 1, 2000 [Incorporated by reference to Exhibit 10.20 to Form 10-K</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for the year ended December 31, 2000].</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10.19†</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9"/>
              </w:rPr>
              <w:t>—   Employment Agreement between Recycle America Alliance, L.L.C. and Patrick DeRueda dated as of August 4, 2005 [Incorporated by reference to</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Exhibit 10.1 to Form 8-K dated August 4, 2005].</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10.20†</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2"/>
              </w:rPr>
              <w:t>—   Employment Agreement between the Company and Robert G. Simpson dated as of October 20, 2004 [Incorporated by reference to Exhibit 10.1 to Form 8-K</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dated October 20, 2004].</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10.21†</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7"/>
              </w:rPr>
              <w:t>—   Employment Agreement between the Company and Barry H. Caldwell dated as of September 23, 2002 [Incorporated by reference to Exhibit 10.24 to</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Form 10-K for the year ended December 31, 2002].</w:t>
            </w:r>
          </w:p>
        </w:tc>
        <w:tc>
          <w:tcPr>
            <w:tcW w:w="0" w:type="dxa"/>
            <w:vAlign w:val="bottom"/>
          </w:tcPr>
          <w:p>
            <w:pPr>
              <w:spacing w:after="0"/>
              <w:rPr>
                <w:sz w:val="1"/>
                <w:szCs w:val="1"/>
                <w:color w:val="auto"/>
              </w:rPr>
            </w:pPr>
          </w:p>
        </w:tc>
      </w:tr>
      <w:tr>
        <w:trPr>
          <w:trHeight w:val="157"/>
        </w:trPr>
        <w:tc>
          <w:tcPr>
            <w:tcW w:w="1120" w:type="dxa"/>
            <w:vAlign w:val="bottom"/>
          </w:tcPr>
          <w:p>
            <w:pPr>
              <w:ind w:left="500"/>
              <w:spacing w:after="0"/>
              <w:rPr>
                <w:sz w:val="20"/>
                <w:szCs w:val="20"/>
                <w:color w:val="auto"/>
              </w:rPr>
            </w:pPr>
            <w:r>
              <w:rPr>
                <w:rFonts w:ascii="Arial" w:cs="Arial" w:eastAsia="Arial" w:hAnsi="Arial"/>
                <w:sz w:val="13"/>
                <w:szCs w:val="13"/>
                <w:color w:val="auto"/>
              </w:rPr>
              <w:t>10.22†</w:t>
            </w:r>
          </w:p>
        </w:tc>
        <w:tc>
          <w:tcPr>
            <w:tcW w:w="8860" w:type="dxa"/>
            <w:vAlign w:val="bottom"/>
            <w:gridSpan w:val="2"/>
          </w:tcPr>
          <w:p>
            <w:pPr>
              <w:ind w:left="260"/>
              <w:spacing w:after="0"/>
              <w:rPr>
                <w:sz w:val="20"/>
                <w:szCs w:val="20"/>
                <w:color w:val="auto"/>
              </w:rPr>
            </w:pPr>
            <w:r>
              <w:rPr>
                <w:rFonts w:ascii="Arial" w:cs="Arial" w:eastAsia="Arial" w:hAnsi="Arial"/>
                <w:sz w:val="13"/>
                <w:szCs w:val="13"/>
                <w:color w:val="auto"/>
                <w:w w:val="96"/>
              </w:rPr>
              <w:t>—   Employment Agreement between the Company and David Aardsma dated June 16, 2005 [Incorporated by reference to Exhibit 10.1 to Form 8-K dated</w:t>
            </w: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80" w:type="dxa"/>
            <w:vAlign w:val="bottom"/>
          </w:tcPr>
          <w:p>
            <w:pPr>
              <w:spacing w:after="0"/>
              <w:rPr>
                <w:sz w:val="20"/>
                <w:szCs w:val="20"/>
                <w:color w:val="auto"/>
              </w:rPr>
            </w:pPr>
            <w:r>
              <w:rPr>
                <w:rFonts w:ascii="Arial" w:cs="Arial" w:eastAsia="Arial" w:hAnsi="Arial"/>
                <w:sz w:val="13"/>
                <w:szCs w:val="13"/>
                <w:color w:val="auto"/>
              </w:rPr>
              <w:t>June 16, 2005].</w:t>
            </w: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4"/>
                <w:szCs w:val="24"/>
                <w:color w:val="auto"/>
              </w:rPr>
            </w:pPr>
          </w:p>
        </w:tc>
        <w:tc>
          <w:tcPr>
            <w:tcW w:w="8860" w:type="dxa"/>
            <w:vAlign w:val="bottom"/>
            <w:gridSpan w:val="2"/>
          </w:tcPr>
          <w:p>
            <w:pPr>
              <w:ind w:left="3780"/>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bl>
    <w:p>
      <w:pPr>
        <w:sectPr>
          <w:pgSz w:w="11900" w:h="16838" w:orient="portrait"/>
          <w:cols w:equalWidth="0" w:num="1">
            <w:col w:w="10660"/>
          </w:cols>
          <w:pgMar w:left="220" w:top="343" w:right="10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3"/>
          <w:szCs w:val="13"/>
          <w:b w:val="1"/>
          <w:bCs w:val="1"/>
          <w:color w:val="auto"/>
        </w:rPr>
        <w:t>Exhibit 4.6</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Officers’ Certificates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delivered pursuant to Section 301 of the Indenture dated September 10, 1997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by and between Waste Management, Inc. and The Bank of New York Mellon Trust Company, N.A., as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Trustee, establishing the terms and form of Waste Management, Inc.’s Senior Notes</w:t>
      </w:r>
    </w:p>
    <w:p>
      <w:pPr>
        <w:spacing w:after="0" w:line="143" w:lineRule="exact"/>
        <w:rPr>
          <w:sz w:val="20"/>
          <w:szCs w:val="20"/>
          <w:color w:val="auto"/>
        </w:rPr>
      </w:pPr>
    </w:p>
    <w:tbl>
      <w:tblPr>
        <w:tblLayout w:type="fixed"/>
        <w:tblInd w:w="1" w:type="dxa"/>
        <w:tblCellMar>
          <w:top w:w="0" w:type="dxa"/>
          <w:left w:w="0" w:type="dxa"/>
          <w:bottom w:w="0" w:type="dxa"/>
          <w:right w:w="0" w:type="dxa"/>
        </w:tblCellMar>
      </w:tblPr>
      <w:tr>
        <w:trPr>
          <w:trHeight w:val="115"/>
        </w:trPr>
        <w:tc>
          <w:tcPr>
            <w:tcW w:w="2000" w:type="dxa"/>
            <w:vAlign w:val="bottom"/>
          </w:tcPr>
          <w:p>
            <w:pPr>
              <w:jc w:val="center"/>
              <w:spacing w:after="0"/>
              <w:rPr>
                <w:sz w:val="20"/>
                <w:szCs w:val="20"/>
                <w:color w:val="auto"/>
              </w:rPr>
            </w:pPr>
            <w:r>
              <w:rPr>
                <w:rFonts w:ascii="Arial" w:cs="Arial" w:eastAsia="Arial" w:hAnsi="Arial"/>
                <w:sz w:val="10"/>
                <w:szCs w:val="10"/>
                <w:b w:val="1"/>
                <w:bCs w:val="1"/>
                <w:color w:val="auto"/>
                <w:w w:val="94"/>
              </w:rPr>
              <w:t>Principal</w:t>
            </w:r>
          </w:p>
        </w:tc>
        <w:tc>
          <w:tcPr>
            <w:tcW w:w="340" w:type="dxa"/>
            <w:vAlign w:val="bottom"/>
          </w:tcPr>
          <w:p>
            <w:pPr>
              <w:spacing w:after="0"/>
              <w:rPr>
                <w:sz w:val="10"/>
                <w:szCs w:val="10"/>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rPr>
              <w:t>Interest Rate</w:t>
            </w:r>
          </w:p>
        </w:tc>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Amount</w:t>
            </w:r>
          </w:p>
        </w:tc>
        <w:tc>
          <w:tcPr>
            <w:tcW w:w="3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vMerge w:val="restart"/>
          </w:tcPr>
          <w:p>
            <w:pPr>
              <w:ind w:left="440"/>
              <w:spacing w:after="0"/>
              <w:rPr>
                <w:sz w:val="20"/>
                <w:szCs w:val="20"/>
                <w:color w:val="auto"/>
              </w:rPr>
            </w:pPr>
            <w:r>
              <w:rPr>
                <w:rFonts w:ascii="Arial" w:cs="Arial" w:eastAsia="Arial" w:hAnsi="Arial"/>
                <w:sz w:val="10"/>
                <w:szCs w:val="10"/>
                <w:b w:val="1"/>
                <w:bCs w:val="1"/>
                <w:color w:val="auto"/>
              </w:rPr>
              <w:t>Issue Date</w:t>
            </w:r>
          </w:p>
        </w:tc>
        <w:tc>
          <w:tcPr>
            <w:tcW w:w="340" w:type="dxa"/>
            <w:vAlign w:val="bottom"/>
          </w:tcPr>
          <w:p>
            <w:pPr>
              <w:spacing w:after="0"/>
              <w:rPr>
                <w:sz w:val="9"/>
                <w:szCs w:val="9"/>
                <w:color w:val="auto"/>
              </w:rPr>
            </w:pPr>
          </w:p>
        </w:tc>
        <w:tc>
          <w:tcPr>
            <w:tcW w:w="1700" w:type="dxa"/>
            <w:vAlign w:val="bottom"/>
            <w:vMerge w:val="restart"/>
          </w:tcPr>
          <w:p>
            <w:pPr>
              <w:ind w:left="520"/>
              <w:spacing w:after="0"/>
              <w:rPr>
                <w:sz w:val="20"/>
                <w:szCs w:val="20"/>
                <w:color w:val="auto"/>
              </w:rPr>
            </w:pPr>
            <w:r>
              <w:rPr>
                <w:rFonts w:ascii="Arial" w:cs="Arial" w:eastAsia="Arial" w:hAnsi="Arial"/>
                <w:sz w:val="10"/>
                <w:szCs w:val="10"/>
                <w:b w:val="1"/>
                <w:bCs w:val="1"/>
                <w:color w:val="auto"/>
              </w:rPr>
              <w:t>Maturity Date</w:t>
            </w:r>
          </w:p>
        </w:tc>
        <w:tc>
          <w:tcPr>
            <w:tcW w:w="340" w:type="dxa"/>
            <w:vAlign w:val="bottom"/>
          </w:tcPr>
          <w:p>
            <w:pPr>
              <w:spacing w:after="0"/>
              <w:rPr>
                <w:sz w:val="9"/>
                <w:szCs w:val="9"/>
                <w:color w:val="auto"/>
              </w:rPr>
            </w:pPr>
          </w:p>
        </w:tc>
        <w:tc>
          <w:tcPr>
            <w:tcW w:w="1140" w:type="dxa"/>
            <w:vAlign w:val="bottom"/>
            <w:vMerge w:val="restart"/>
          </w:tcPr>
          <w:p>
            <w:pPr>
              <w:ind w:left="420"/>
              <w:spacing w:after="0"/>
              <w:rPr>
                <w:sz w:val="20"/>
                <w:szCs w:val="20"/>
                <w:color w:val="auto"/>
              </w:rPr>
            </w:pPr>
            <w:r>
              <w:rPr>
                <w:rFonts w:ascii="Arial" w:cs="Arial" w:eastAsia="Arial" w:hAnsi="Arial"/>
                <w:sz w:val="10"/>
                <w:szCs w:val="10"/>
                <w:b w:val="1"/>
                <w:bCs w:val="1"/>
                <w:color w:val="auto"/>
              </w:rPr>
              <w:t>CUSIP</w:t>
            </w:r>
          </w:p>
        </w:tc>
        <w:tc>
          <w:tcPr>
            <w:tcW w:w="340" w:type="dxa"/>
            <w:vAlign w:val="bottom"/>
          </w:tcPr>
          <w:p>
            <w:pPr>
              <w:spacing w:after="0"/>
              <w:rPr>
                <w:sz w:val="9"/>
                <w:szCs w:val="9"/>
                <w:color w:val="auto"/>
              </w:rPr>
            </w:pPr>
          </w:p>
        </w:tc>
        <w:tc>
          <w:tcPr>
            <w:tcW w:w="27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Interest Payment Dates</w:t>
            </w:r>
          </w:p>
        </w:tc>
        <w:tc>
          <w:tcPr>
            <w:tcW w:w="0" w:type="dxa"/>
            <w:vAlign w:val="bottom"/>
          </w:tcPr>
          <w:p>
            <w:pPr>
              <w:spacing w:after="0"/>
              <w:rPr>
                <w:sz w:val="1"/>
                <w:szCs w:val="1"/>
                <w:color w:val="auto"/>
              </w:rPr>
            </w:pPr>
          </w:p>
        </w:tc>
      </w:tr>
      <w:tr>
        <w:trPr>
          <w:trHeight w:val="125"/>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Issued</w:t>
            </w:r>
          </w:p>
        </w:tc>
        <w:tc>
          <w:tcPr>
            <w:tcW w:w="340" w:type="dxa"/>
            <w:vAlign w:val="bottom"/>
          </w:tcPr>
          <w:p>
            <w:pPr>
              <w:spacing w:after="0"/>
              <w:rPr>
                <w:sz w:val="10"/>
                <w:szCs w:val="10"/>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rPr>
              <w:t>(per annum)</w:t>
            </w:r>
          </w:p>
        </w:tc>
        <w:tc>
          <w:tcPr>
            <w:tcW w:w="340" w:type="dxa"/>
            <w:vAlign w:val="bottom"/>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2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9"/>
              </w:rPr>
              <w:t>$150 million*</w:t>
            </w:r>
          </w:p>
        </w:tc>
        <w:tc>
          <w:tcPr>
            <w:tcW w:w="1200" w:type="dxa"/>
            <w:vAlign w:val="bottom"/>
            <w:gridSpan w:val="2"/>
            <w:shd w:val="clear" w:color="auto" w:fill="CCEEFF"/>
          </w:tcPr>
          <w:p>
            <w:pPr>
              <w:jc w:val="right"/>
              <w:ind w:right="188"/>
              <w:spacing w:after="0" w:line="148" w:lineRule="exact"/>
              <w:rPr>
                <w:sz w:val="20"/>
                <w:szCs w:val="20"/>
                <w:color w:val="auto"/>
              </w:rPr>
            </w:pPr>
            <w:r>
              <w:rPr>
                <w:rFonts w:ascii="Arial" w:cs="Arial" w:eastAsia="Arial" w:hAnsi="Arial"/>
                <w:sz w:val="13"/>
                <w:szCs w:val="13"/>
                <w:color w:val="auto"/>
              </w:rPr>
              <w:t>7.125%</w:t>
            </w:r>
          </w:p>
        </w:tc>
        <w:tc>
          <w:tcPr>
            <w:tcW w:w="1700" w:type="dxa"/>
            <w:vAlign w:val="bottom"/>
            <w:gridSpan w:val="2"/>
            <w:shd w:val="clear" w:color="auto" w:fill="CCEEFF"/>
          </w:tcPr>
          <w:p>
            <w:pPr>
              <w:jc w:val="center"/>
              <w:ind w:left="274"/>
              <w:spacing w:after="0" w:line="148" w:lineRule="exact"/>
              <w:rPr>
                <w:sz w:val="20"/>
                <w:szCs w:val="20"/>
                <w:color w:val="auto"/>
              </w:rPr>
            </w:pPr>
            <w:r>
              <w:rPr>
                <w:rFonts w:ascii="Arial" w:cs="Arial" w:eastAsia="Arial" w:hAnsi="Arial"/>
                <w:sz w:val="13"/>
                <w:szCs w:val="13"/>
                <w:color w:val="auto"/>
                <w:w w:val="92"/>
              </w:rPr>
              <w:t>12/17/1997</w:t>
            </w:r>
          </w:p>
        </w:tc>
        <w:tc>
          <w:tcPr>
            <w:tcW w:w="2040" w:type="dxa"/>
            <w:vAlign w:val="bottom"/>
            <w:gridSpan w:val="2"/>
            <w:shd w:val="clear" w:color="auto" w:fill="CCEEFF"/>
          </w:tcPr>
          <w:p>
            <w:pPr>
              <w:jc w:val="center"/>
              <w:ind w:left="254"/>
              <w:spacing w:after="0" w:line="148" w:lineRule="exact"/>
              <w:rPr>
                <w:sz w:val="20"/>
                <w:szCs w:val="20"/>
                <w:color w:val="auto"/>
              </w:rPr>
            </w:pPr>
            <w:r>
              <w:rPr>
                <w:rFonts w:ascii="Arial" w:cs="Arial" w:eastAsia="Arial" w:hAnsi="Arial"/>
                <w:sz w:val="13"/>
                <w:szCs w:val="13"/>
                <w:color w:val="auto"/>
                <w:w w:val="92"/>
              </w:rPr>
              <w:t>12/15/2017</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2"/>
              </w:rPr>
              <w:t>902917AF0</w:t>
            </w:r>
          </w:p>
        </w:tc>
        <w:tc>
          <w:tcPr>
            <w:tcW w:w="340" w:type="dxa"/>
            <w:vAlign w:val="bottom"/>
            <w:shd w:val="clear" w:color="auto" w:fill="CCEEFF"/>
          </w:tcPr>
          <w:p>
            <w:pPr>
              <w:spacing w:after="0"/>
              <w:rPr>
                <w:sz w:val="12"/>
                <w:szCs w:val="12"/>
                <w:color w:val="auto"/>
              </w:rPr>
            </w:pPr>
          </w:p>
        </w:tc>
        <w:tc>
          <w:tcPr>
            <w:tcW w:w="27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9"/>
              </w:rPr>
              <w:t>December 15; June 15</w:t>
            </w:r>
          </w:p>
        </w:tc>
        <w:tc>
          <w:tcPr>
            <w:tcW w:w="0" w:type="dxa"/>
            <w:vAlign w:val="bottom"/>
          </w:tcPr>
          <w:p>
            <w:pPr>
              <w:spacing w:after="0"/>
              <w:rPr>
                <w:sz w:val="1"/>
                <w:szCs w:val="1"/>
                <w:color w:val="auto"/>
              </w:rPr>
            </w:pPr>
          </w:p>
        </w:tc>
      </w:tr>
      <w:tr>
        <w:trPr>
          <w:trHeight w:val="157"/>
        </w:trPr>
        <w:tc>
          <w:tcPr>
            <w:tcW w:w="2000" w:type="dxa"/>
            <w:vAlign w:val="bottom"/>
          </w:tcPr>
          <w:p>
            <w:pPr>
              <w:jc w:val="center"/>
              <w:spacing w:after="0"/>
              <w:rPr>
                <w:sz w:val="20"/>
                <w:szCs w:val="20"/>
                <w:color w:val="auto"/>
              </w:rPr>
            </w:pPr>
            <w:r>
              <w:rPr>
                <w:rFonts w:ascii="Arial" w:cs="Arial" w:eastAsia="Arial" w:hAnsi="Arial"/>
                <w:sz w:val="13"/>
                <w:szCs w:val="13"/>
                <w:color w:val="auto"/>
                <w:w w:val="99"/>
              </w:rPr>
              <w:t>$600 million*</w:t>
            </w: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7.00%</w:t>
            </w:r>
          </w:p>
        </w:tc>
        <w:tc>
          <w:tcPr>
            <w:tcW w:w="1700" w:type="dxa"/>
            <w:vAlign w:val="bottom"/>
            <w:gridSpan w:val="2"/>
          </w:tcPr>
          <w:p>
            <w:pPr>
              <w:jc w:val="center"/>
              <w:ind w:left="254"/>
              <w:spacing w:after="0"/>
              <w:rPr>
                <w:sz w:val="20"/>
                <w:szCs w:val="20"/>
                <w:color w:val="auto"/>
              </w:rPr>
            </w:pPr>
            <w:r>
              <w:rPr>
                <w:rFonts w:ascii="Arial" w:cs="Arial" w:eastAsia="Arial" w:hAnsi="Arial"/>
                <w:sz w:val="13"/>
                <w:szCs w:val="13"/>
                <w:color w:val="auto"/>
                <w:w w:val="93"/>
              </w:rPr>
              <w:t>7/17/1998</w:t>
            </w:r>
          </w:p>
        </w:tc>
        <w:tc>
          <w:tcPr>
            <w:tcW w:w="2040" w:type="dxa"/>
            <w:vAlign w:val="bottom"/>
            <w:gridSpan w:val="2"/>
          </w:tcPr>
          <w:p>
            <w:pPr>
              <w:jc w:val="center"/>
              <w:ind w:left="274"/>
              <w:spacing w:after="0"/>
              <w:rPr>
                <w:sz w:val="20"/>
                <w:szCs w:val="20"/>
                <w:color w:val="auto"/>
              </w:rPr>
            </w:pPr>
            <w:r>
              <w:rPr>
                <w:rFonts w:ascii="Arial" w:cs="Arial" w:eastAsia="Arial" w:hAnsi="Arial"/>
                <w:sz w:val="13"/>
                <w:szCs w:val="13"/>
                <w:color w:val="auto"/>
                <w:w w:val="93"/>
              </w:rPr>
              <w:t>7/15/2028</w:t>
            </w:r>
          </w:p>
        </w:tc>
        <w:tc>
          <w:tcPr>
            <w:tcW w:w="3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6"/>
              </w:rPr>
              <w:t>902917AH6</w:t>
            </w:r>
          </w:p>
        </w:tc>
        <w:tc>
          <w:tcPr>
            <w:tcW w:w="34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0"/>
              </w:rPr>
              <w:t>January 15; July 15</w:t>
            </w:r>
          </w:p>
        </w:tc>
        <w:tc>
          <w:tcPr>
            <w:tcW w:w="0" w:type="dxa"/>
            <w:vAlign w:val="bottom"/>
          </w:tcPr>
          <w:p>
            <w:pPr>
              <w:spacing w:after="0"/>
              <w:rPr>
                <w:sz w:val="1"/>
                <w:szCs w:val="1"/>
                <w:color w:val="auto"/>
              </w:rPr>
            </w:pPr>
          </w:p>
        </w:tc>
      </w:tr>
      <w:tr>
        <w:trPr>
          <w:trHeight w:val="157"/>
        </w:trPr>
        <w:tc>
          <w:tcPr>
            <w:tcW w:w="2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$250 million*</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7.375%</w:t>
            </w:r>
          </w:p>
        </w:tc>
        <w:tc>
          <w:tcPr>
            <w:tcW w:w="1700" w:type="dxa"/>
            <w:vAlign w:val="bottom"/>
            <w:gridSpan w:val="2"/>
            <w:shd w:val="clear" w:color="auto" w:fill="CCEEFF"/>
          </w:tcPr>
          <w:p>
            <w:pPr>
              <w:jc w:val="center"/>
              <w:ind w:left="274"/>
              <w:spacing w:after="0"/>
              <w:rPr>
                <w:sz w:val="20"/>
                <w:szCs w:val="20"/>
                <w:color w:val="auto"/>
              </w:rPr>
            </w:pPr>
            <w:r>
              <w:rPr>
                <w:rFonts w:ascii="Arial" w:cs="Arial" w:eastAsia="Arial" w:hAnsi="Arial"/>
                <w:sz w:val="13"/>
                <w:szCs w:val="13"/>
                <w:color w:val="auto"/>
                <w:w w:val="92"/>
              </w:rPr>
              <w:t>12/21/1999</w:t>
            </w:r>
          </w:p>
        </w:tc>
        <w:tc>
          <w:tcPr>
            <w:tcW w:w="2040" w:type="dxa"/>
            <w:vAlign w:val="bottom"/>
            <w:gridSpan w:val="2"/>
            <w:shd w:val="clear" w:color="auto" w:fill="CCEEFF"/>
          </w:tcPr>
          <w:p>
            <w:pPr>
              <w:jc w:val="center"/>
              <w:ind w:left="274"/>
              <w:spacing w:after="0"/>
              <w:rPr>
                <w:sz w:val="20"/>
                <w:szCs w:val="20"/>
                <w:color w:val="auto"/>
              </w:rPr>
            </w:pPr>
            <w:r>
              <w:rPr>
                <w:rFonts w:ascii="Arial" w:cs="Arial" w:eastAsia="Arial" w:hAnsi="Arial"/>
                <w:sz w:val="13"/>
                <w:szCs w:val="13"/>
                <w:color w:val="auto"/>
                <w:w w:val="93"/>
              </w:rPr>
              <w:t>5/15/2029</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94106LAF6</w:t>
            </w:r>
          </w:p>
        </w:tc>
        <w:tc>
          <w:tcPr>
            <w:tcW w:w="340" w:type="dxa"/>
            <w:vAlign w:val="bottom"/>
            <w:shd w:val="clear" w:color="auto" w:fill="CCEEFF"/>
          </w:tcPr>
          <w:p>
            <w:pPr>
              <w:spacing w:after="0"/>
              <w:rPr>
                <w:sz w:val="13"/>
                <w:szCs w:val="13"/>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May 15; November 15</w:t>
            </w:r>
          </w:p>
        </w:tc>
        <w:tc>
          <w:tcPr>
            <w:tcW w:w="0" w:type="dxa"/>
            <w:vAlign w:val="bottom"/>
          </w:tcPr>
          <w:p>
            <w:pPr>
              <w:spacing w:after="0"/>
              <w:rPr>
                <w:sz w:val="1"/>
                <w:szCs w:val="1"/>
                <w:color w:val="auto"/>
              </w:rPr>
            </w:pPr>
          </w:p>
        </w:tc>
      </w:tr>
      <w:tr>
        <w:trPr>
          <w:trHeight w:val="157"/>
        </w:trPr>
        <w:tc>
          <w:tcPr>
            <w:tcW w:w="2000" w:type="dxa"/>
            <w:vAlign w:val="bottom"/>
          </w:tcPr>
          <w:p>
            <w:pPr>
              <w:jc w:val="center"/>
              <w:spacing w:after="0"/>
              <w:rPr>
                <w:sz w:val="20"/>
                <w:szCs w:val="20"/>
                <w:color w:val="auto"/>
              </w:rPr>
            </w:pPr>
            <w:r>
              <w:rPr>
                <w:rFonts w:ascii="Arial" w:cs="Arial" w:eastAsia="Arial" w:hAnsi="Arial"/>
                <w:sz w:val="13"/>
                <w:szCs w:val="13"/>
                <w:color w:val="auto"/>
                <w:w w:val="99"/>
              </w:rPr>
              <w:t>$500 million*</w:t>
            </w: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7.75%</w:t>
            </w:r>
          </w:p>
        </w:tc>
        <w:tc>
          <w:tcPr>
            <w:tcW w:w="1700" w:type="dxa"/>
            <w:vAlign w:val="bottom"/>
            <w:gridSpan w:val="2"/>
          </w:tcPr>
          <w:p>
            <w:pPr>
              <w:jc w:val="center"/>
              <w:ind w:left="254"/>
              <w:spacing w:after="0"/>
              <w:rPr>
                <w:sz w:val="20"/>
                <w:szCs w:val="20"/>
                <w:color w:val="auto"/>
              </w:rPr>
            </w:pPr>
            <w:r>
              <w:rPr>
                <w:rFonts w:ascii="Arial" w:cs="Arial" w:eastAsia="Arial" w:hAnsi="Arial"/>
                <w:sz w:val="13"/>
                <w:szCs w:val="13"/>
                <w:color w:val="auto"/>
                <w:w w:val="93"/>
              </w:rPr>
              <w:t>5/21/2002</w:t>
            </w:r>
          </w:p>
        </w:tc>
        <w:tc>
          <w:tcPr>
            <w:tcW w:w="2040" w:type="dxa"/>
            <w:vAlign w:val="bottom"/>
            <w:gridSpan w:val="2"/>
          </w:tcPr>
          <w:p>
            <w:pPr>
              <w:jc w:val="center"/>
              <w:ind w:left="274"/>
              <w:spacing w:after="0"/>
              <w:rPr>
                <w:sz w:val="20"/>
                <w:szCs w:val="20"/>
                <w:color w:val="auto"/>
              </w:rPr>
            </w:pPr>
            <w:r>
              <w:rPr>
                <w:rFonts w:ascii="Arial" w:cs="Arial" w:eastAsia="Arial" w:hAnsi="Arial"/>
                <w:sz w:val="13"/>
                <w:szCs w:val="13"/>
                <w:color w:val="auto"/>
                <w:w w:val="93"/>
              </w:rPr>
              <w:t>5/15/2032</w:t>
            </w:r>
          </w:p>
        </w:tc>
        <w:tc>
          <w:tcPr>
            <w:tcW w:w="3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6"/>
              </w:rPr>
              <w:t>94106LAN9</w:t>
            </w:r>
          </w:p>
        </w:tc>
        <w:tc>
          <w:tcPr>
            <w:tcW w:w="34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2"/>
              </w:rPr>
              <w:t>May 15; November 15</w:t>
            </w:r>
          </w:p>
        </w:tc>
        <w:tc>
          <w:tcPr>
            <w:tcW w:w="0" w:type="dxa"/>
            <w:vAlign w:val="bottom"/>
          </w:tcPr>
          <w:p>
            <w:pPr>
              <w:spacing w:after="0"/>
              <w:rPr>
                <w:sz w:val="1"/>
                <w:szCs w:val="1"/>
                <w:color w:val="auto"/>
              </w:rPr>
            </w:pPr>
          </w:p>
        </w:tc>
      </w:tr>
      <w:tr>
        <w:trPr>
          <w:trHeight w:val="157"/>
        </w:trPr>
        <w:tc>
          <w:tcPr>
            <w:tcW w:w="2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$400 million</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6.375%</w:t>
            </w:r>
          </w:p>
        </w:tc>
        <w:tc>
          <w:tcPr>
            <w:tcW w:w="1700" w:type="dxa"/>
            <w:vAlign w:val="bottom"/>
            <w:gridSpan w:val="2"/>
            <w:shd w:val="clear" w:color="auto" w:fill="CCEEFF"/>
          </w:tcPr>
          <w:p>
            <w:pPr>
              <w:jc w:val="center"/>
              <w:ind w:left="274"/>
              <w:spacing w:after="0"/>
              <w:rPr>
                <w:sz w:val="20"/>
                <w:szCs w:val="20"/>
                <w:color w:val="auto"/>
              </w:rPr>
            </w:pPr>
            <w:r>
              <w:rPr>
                <w:rFonts w:ascii="Arial" w:cs="Arial" w:eastAsia="Arial" w:hAnsi="Arial"/>
                <w:sz w:val="13"/>
                <w:szCs w:val="13"/>
                <w:color w:val="auto"/>
                <w:w w:val="92"/>
              </w:rPr>
              <w:t>11/21/2002</w:t>
            </w:r>
          </w:p>
        </w:tc>
        <w:tc>
          <w:tcPr>
            <w:tcW w:w="2040" w:type="dxa"/>
            <w:vAlign w:val="bottom"/>
            <w:gridSpan w:val="2"/>
            <w:shd w:val="clear" w:color="auto" w:fill="CCEEFF"/>
          </w:tcPr>
          <w:p>
            <w:pPr>
              <w:jc w:val="center"/>
              <w:ind w:left="274"/>
              <w:spacing w:after="0"/>
              <w:rPr>
                <w:sz w:val="20"/>
                <w:szCs w:val="20"/>
                <w:color w:val="auto"/>
              </w:rPr>
            </w:pPr>
            <w:r>
              <w:rPr>
                <w:rFonts w:ascii="Arial" w:cs="Arial" w:eastAsia="Arial" w:hAnsi="Arial"/>
                <w:sz w:val="13"/>
                <w:szCs w:val="13"/>
                <w:color w:val="auto"/>
                <w:w w:val="89"/>
              </w:rPr>
              <w:t>11/15/2012</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94106LAP4</w:t>
            </w:r>
          </w:p>
        </w:tc>
        <w:tc>
          <w:tcPr>
            <w:tcW w:w="340" w:type="dxa"/>
            <w:vAlign w:val="bottom"/>
            <w:shd w:val="clear" w:color="auto" w:fill="CCEEFF"/>
          </w:tcPr>
          <w:p>
            <w:pPr>
              <w:spacing w:after="0"/>
              <w:rPr>
                <w:sz w:val="13"/>
                <w:szCs w:val="13"/>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May 15; November 15</w:t>
            </w:r>
          </w:p>
        </w:tc>
        <w:tc>
          <w:tcPr>
            <w:tcW w:w="0" w:type="dxa"/>
            <w:vAlign w:val="bottom"/>
          </w:tcPr>
          <w:p>
            <w:pPr>
              <w:spacing w:after="0"/>
              <w:rPr>
                <w:sz w:val="1"/>
                <w:szCs w:val="1"/>
                <w:color w:val="auto"/>
              </w:rPr>
            </w:pPr>
          </w:p>
        </w:tc>
      </w:tr>
      <w:tr>
        <w:trPr>
          <w:trHeight w:val="157"/>
        </w:trPr>
        <w:tc>
          <w:tcPr>
            <w:tcW w:w="2000" w:type="dxa"/>
            <w:vAlign w:val="bottom"/>
          </w:tcPr>
          <w:p>
            <w:pPr>
              <w:jc w:val="center"/>
              <w:spacing w:after="0"/>
              <w:rPr>
                <w:sz w:val="20"/>
                <w:szCs w:val="20"/>
                <w:color w:val="auto"/>
              </w:rPr>
            </w:pPr>
            <w:r>
              <w:rPr>
                <w:rFonts w:ascii="Arial" w:cs="Arial" w:eastAsia="Arial" w:hAnsi="Arial"/>
                <w:sz w:val="13"/>
                <w:szCs w:val="13"/>
                <w:color w:val="auto"/>
                <w:w w:val="97"/>
              </w:rPr>
              <w:t>$350 million</w:t>
            </w: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5.00%</w:t>
            </w:r>
          </w:p>
        </w:tc>
        <w:tc>
          <w:tcPr>
            <w:tcW w:w="1700" w:type="dxa"/>
            <w:vAlign w:val="bottom"/>
            <w:gridSpan w:val="2"/>
          </w:tcPr>
          <w:p>
            <w:pPr>
              <w:jc w:val="center"/>
              <w:ind w:left="254"/>
              <w:spacing w:after="0"/>
              <w:rPr>
                <w:sz w:val="20"/>
                <w:szCs w:val="20"/>
                <w:color w:val="auto"/>
              </w:rPr>
            </w:pPr>
            <w:r>
              <w:rPr>
                <w:rFonts w:ascii="Arial" w:cs="Arial" w:eastAsia="Arial" w:hAnsi="Arial"/>
                <w:sz w:val="13"/>
                <w:szCs w:val="13"/>
                <w:color w:val="auto"/>
                <w:w w:val="90"/>
              </w:rPr>
              <w:t>3/5/2004</w:t>
            </w:r>
          </w:p>
        </w:tc>
        <w:tc>
          <w:tcPr>
            <w:tcW w:w="2040" w:type="dxa"/>
            <w:vAlign w:val="bottom"/>
            <w:gridSpan w:val="2"/>
          </w:tcPr>
          <w:p>
            <w:pPr>
              <w:jc w:val="center"/>
              <w:ind w:left="274"/>
              <w:spacing w:after="0"/>
              <w:rPr>
                <w:sz w:val="20"/>
                <w:szCs w:val="20"/>
                <w:color w:val="auto"/>
              </w:rPr>
            </w:pPr>
            <w:r>
              <w:rPr>
                <w:rFonts w:ascii="Arial" w:cs="Arial" w:eastAsia="Arial" w:hAnsi="Arial"/>
                <w:sz w:val="13"/>
                <w:szCs w:val="13"/>
                <w:color w:val="auto"/>
                <w:w w:val="93"/>
              </w:rPr>
              <w:t>3/15/2014</w:t>
            </w:r>
          </w:p>
        </w:tc>
        <w:tc>
          <w:tcPr>
            <w:tcW w:w="3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6"/>
              </w:rPr>
              <w:t>94106LAR0</w:t>
            </w:r>
          </w:p>
        </w:tc>
        <w:tc>
          <w:tcPr>
            <w:tcW w:w="34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0"/>
              </w:rPr>
              <w:t>March 15; September 15</w:t>
            </w:r>
          </w:p>
        </w:tc>
        <w:tc>
          <w:tcPr>
            <w:tcW w:w="0" w:type="dxa"/>
            <w:vAlign w:val="bottom"/>
          </w:tcPr>
          <w:p>
            <w:pPr>
              <w:spacing w:after="0"/>
              <w:rPr>
                <w:sz w:val="1"/>
                <w:szCs w:val="1"/>
                <w:color w:val="auto"/>
              </w:rPr>
            </w:pPr>
          </w:p>
        </w:tc>
      </w:tr>
      <w:tr>
        <w:trPr>
          <w:trHeight w:val="157"/>
        </w:trPr>
        <w:tc>
          <w:tcPr>
            <w:tcW w:w="2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$600 million</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6.10%</w:t>
            </w:r>
          </w:p>
        </w:tc>
        <w:tc>
          <w:tcPr>
            <w:tcW w:w="1700" w:type="dxa"/>
            <w:vAlign w:val="bottom"/>
            <w:gridSpan w:val="2"/>
            <w:shd w:val="clear" w:color="auto" w:fill="CCEEFF"/>
          </w:tcPr>
          <w:p>
            <w:pPr>
              <w:jc w:val="center"/>
              <w:ind w:left="254"/>
              <w:spacing w:after="0"/>
              <w:rPr>
                <w:sz w:val="20"/>
                <w:szCs w:val="20"/>
                <w:color w:val="auto"/>
              </w:rPr>
            </w:pPr>
            <w:r>
              <w:rPr>
                <w:rFonts w:ascii="Arial" w:cs="Arial" w:eastAsia="Arial" w:hAnsi="Arial"/>
                <w:sz w:val="13"/>
                <w:szCs w:val="13"/>
                <w:color w:val="auto"/>
                <w:w w:val="90"/>
              </w:rPr>
              <w:t>3/6/2008</w:t>
            </w:r>
          </w:p>
        </w:tc>
        <w:tc>
          <w:tcPr>
            <w:tcW w:w="2040" w:type="dxa"/>
            <w:vAlign w:val="bottom"/>
            <w:gridSpan w:val="2"/>
            <w:shd w:val="clear" w:color="auto" w:fill="CCEEFF"/>
          </w:tcPr>
          <w:p>
            <w:pPr>
              <w:jc w:val="center"/>
              <w:ind w:left="274"/>
              <w:spacing w:after="0"/>
              <w:rPr>
                <w:sz w:val="20"/>
                <w:szCs w:val="20"/>
                <w:color w:val="auto"/>
              </w:rPr>
            </w:pPr>
            <w:r>
              <w:rPr>
                <w:rFonts w:ascii="Arial" w:cs="Arial" w:eastAsia="Arial" w:hAnsi="Arial"/>
                <w:sz w:val="13"/>
                <w:szCs w:val="13"/>
                <w:color w:val="auto"/>
                <w:w w:val="97"/>
              </w:rPr>
              <w:t>3/15/2018**</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94106LAS8</w:t>
            </w:r>
          </w:p>
        </w:tc>
        <w:tc>
          <w:tcPr>
            <w:tcW w:w="340" w:type="dxa"/>
            <w:vAlign w:val="bottom"/>
            <w:shd w:val="clear" w:color="auto" w:fill="CCEEFF"/>
          </w:tcPr>
          <w:p>
            <w:pPr>
              <w:spacing w:after="0"/>
              <w:rPr>
                <w:sz w:val="13"/>
                <w:szCs w:val="13"/>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March 15; September 15</w:t>
            </w:r>
          </w:p>
        </w:tc>
        <w:tc>
          <w:tcPr>
            <w:tcW w:w="0" w:type="dxa"/>
            <w:vAlign w:val="bottom"/>
          </w:tcPr>
          <w:p>
            <w:pPr>
              <w:spacing w:after="0"/>
              <w:rPr>
                <w:sz w:val="1"/>
                <w:szCs w:val="1"/>
                <w:color w:val="auto"/>
              </w:rPr>
            </w:pPr>
          </w:p>
        </w:tc>
      </w:tr>
      <w:tr>
        <w:trPr>
          <w:trHeight w:val="157"/>
        </w:trPr>
        <w:tc>
          <w:tcPr>
            <w:tcW w:w="2000" w:type="dxa"/>
            <w:vAlign w:val="bottom"/>
          </w:tcPr>
          <w:p>
            <w:pPr>
              <w:jc w:val="center"/>
              <w:spacing w:after="0"/>
              <w:rPr>
                <w:sz w:val="20"/>
                <w:szCs w:val="20"/>
                <w:color w:val="auto"/>
              </w:rPr>
            </w:pPr>
            <w:r>
              <w:rPr>
                <w:rFonts w:ascii="Arial" w:cs="Arial" w:eastAsia="Arial" w:hAnsi="Arial"/>
                <w:sz w:val="13"/>
                <w:szCs w:val="13"/>
                <w:color w:val="auto"/>
                <w:w w:val="97"/>
              </w:rPr>
              <w:t>$350 million</w:t>
            </w: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6.375%</w:t>
            </w:r>
          </w:p>
        </w:tc>
        <w:tc>
          <w:tcPr>
            <w:tcW w:w="1700" w:type="dxa"/>
            <w:vAlign w:val="bottom"/>
            <w:gridSpan w:val="2"/>
          </w:tcPr>
          <w:p>
            <w:pPr>
              <w:jc w:val="center"/>
              <w:ind w:left="254"/>
              <w:spacing w:after="0"/>
              <w:rPr>
                <w:sz w:val="20"/>
                <w:szCs w:val="20"/>
                <w:color w:val="auto"/>
              </w:rPr>
            </w:pPr>
            <w:r>
              <w:rPr>
                <w:rFonts w:ascii="Arial" w:cs="Arial" w:eastAsia="Arial" w:hAnsi="Arial"/>
                <w:sz w:val="13"/>
                <w:szCs w:val="13"/>
                <w:color w:val="auto"/>
                <w:w w:val="93"/>
              </w:rPr>
              <w:t>2/26/2009</w:t>
            </w:r>
          </w:p>
        </w:tc>
        <w:tc>
          <w:tcPr>
            <w:tcW w:w="2040" w:type="dxa"/>
            <w:vAlign w:val="bottom"/>
            <w:gridSpan w:val="2"/>
          </w:tcPr>
          <w:p>
            <w:pPr>
              <w:jc w:val="center"/>
              <w:ind w:left="274"/>
              <w:spacing w:after="0"/>
              <w:rPr>
                <w:sz w:val="20"/>
                <w:szCs w:val="20"/>
                <w:color w:val="auto"/>
              </w:rPr>
            </w:pPr>
            <w:r>
              <w:rPr>
                <w:rFonts w:ascii="Arial" w:cs="Arial" w:eastAsia="Arial" w:hAnsi="Arial"/>
                <w:sz w:val="13"/>
                <w:szCs w:val="13"/>
                <w:color w:val="auto"/>
                <w:w w:val="97"/>
              </w:rPr>
              <w:t>3/11/2015**</w:t>
            </w:r>
          </w:p>
        </w:tc>
        <w:tc>
          <w:tcPr>
            <w:tcW w:w="3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2"/>
              </w:rPr>
              <w:t>94106LAT6</w:t>
            </w:r>
          </w:p>
        </w:tc>
        <w:tc>
          <w:tcPr>
            <w:tcW w:w="34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0"/>
              </w:rPr>
              <w:t>March 11; September 11</w:t>
            </w:r>
          </w:p>
        </w:tc>
        <w:tc>
          <w:tcPr>
            <w:tcW w:w="0" w:type="dxa"/>
            <w:vAlign w:val="bottom"/>
          </w:tcPr>
          <w:p>
            <w:pPr>
              <w:spacing w:after="0"/>
              <w:rPr>
                <w:sz w:val="1"/>
                <w:szCs w:val="1"/>
                <w:color w:val="auto"/>
              </w:rPr>
            </w:pPr>
          </w:p>
        </w:tc>
      </w:tr>
      <w:tr>
        <w:trPr>
          <w:trHeight w:val="157"/>
        </w:trPr>
        <w:tc>
          <w:tcPr>
            <w:tcW w:w="2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$450 million</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7.375%</w:t>
            </w:r>
          </w:p>
        </w:tc>
        <w:tc>
          <w:tcPr>
            <w:tcW w:w="1700" w:type="dxa"/>
            <w:vAlign w:val="bottom"/>
            <w:gridSpan w:val="2"/>
            <w:shd w:val="clear" w:color="auto" w:fill="CCEEFF"/>
          </w:tcPr>
          <w:p>
            <w:pPr>
              <w:jc w:val="center"/>
              <w:ind w:left="254"/>
              <w:spacing w:after="0"/>
              <w:rPr>
                <w:sz w:val="20"/>
                <w:szCs w:val="20"/>
                <w:color w:val="auto"/>
              </w:rPr>
            </w:pPr>
            <w:r>
              <w:rPr>
                <w:rFonts w:ascii="Arial" w:cs="Arial" w:eastAsia="Arial" w:hAnsi="Arial"/>
                <w:sz w:val="13"/>
                <w:szCs w:val="13"/>
                <w:color w:val="auto"/>
                <w:w w:val="93"/>
              </w:rPr>
              <w:t>2/26/2009</w:t>
            </w:r>
          </w:p>
        </w:tc>
        <w:tc>
          <w:tcPr>
            <w:tcW w:w="2040" w:type="dxa"/>
            <w:vAlign w:val="bottom"/>
            <w:gridSpan w:val="2"/>
            <w:shd w:val="clear" w:color="auto" w:fill="CCEEFF"/>
          </w:tcPr>
          <w:p>
            <w:pPr>
              <w:jc w:val="center"/>
              <w:ind w:left="274"/>
              <w:spacing w:after="0"/>
              <w:rPr>
                <w:sz w:val="20"/>
                <w:szCs w:val="20"/>
                <w:color w:val="auto"/>
              </w:rPr>
            </w:pPr>
            <w:r>
              <w:rPr>
                <w:rFonts w:ascii="Arial" w:cs="Arial" w:eastAsia="Arial" w:hAnsi="Arial"/>
                <w:sz w:val="13"/>
                <w:szCs w:val="13"/>
                <w:color w:val="auto"/>
                <w:w w:val="97"/>
              </w:rPr>
              <w:t>3/11/2019**</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94106LAU3</w:t>
            </w:r>
          </w:p>
        </w:tc>
        <w:tc>
          <w:tcPr>
            <w:tcW w:w="340" w:type="dxa"/>
            <w:vAlign w:val="bottom"/>
            <w:shd w:val="clear" w:color="auto" w:fill="CCEEFF"/>
          </w:tcPr>
          <w:p>
            <w:pPr>
              <w:spacing w:after="0"/>
              <w:rPr>
                <w:sz w:val="13"/>
                <w:szCs w:val="13"/>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March 11; September 11</w:t>
            </w:r>
          </w:p>
        </w:tc>
        <w:tc>
          <w:tcPr>
            <w:tcW w:w="0" w:type="dxa"/>
            <w:vAlign w:val="bottom"/>
          </w:tcPr>
          <w:p>
            <w:pPr>
              <w:spacing w:after="0"/>
              <w:rPr>
                <w:sz w:val="1"/>
                <w:szCs w:val="1"/>
                <w:color w:val="auto"/>
              </w:rPr>
            </w:pPr>
          </w:p>
        </w:tc>
      </w:tr>
      <w:tr>
        <w:trPr>
          <w:trHeight w:val="157"/>
        </w:trPr>
        <w:tc>
          <w:tcPr>
            <w:tcW w:w="2000" w:type="dxa"/>
            <w:vAlign w:val="bottom"/>
          </w:tcPr>
          <w:p>
            <w:pPr>
              <w:jc w:val="center"/>
              <w:spacing w:after="0"/>
              <w:rPr>
                <w:sz w:val="20"/>
                <w:szCs w:val="20"/>
                <w:color w:val="auto"/>
              </w:rPr>
            </w:pPr>
            <w:r>
              <w:rPr>
                <w:rFonts w:ascii="Arial" w:cs="Arial" w:eastAsia="Arial" w:hAnsi="Arial"/>
                <w:sz w:val="13"/>
                <w:szCs w:val="13"/>
                <w:color w:val="auto"/>
                <w:w w:val="97"/>
              </w:rPr>
              <w:t>$600 million</w:t>
            </w: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6.125%</w:t>
            </w:r>
          </w:p>
        </w:tc>
        <w:tc>
          <w:tcPr>
            <w:tcW w:w="1700" w:type="dxa"/>
            <w:vAlign w:val="bottom"/>
            <w:gridSpan w:val="2"/>
          </w:tcPr>
          <w:p>
            <w:pPr>
              <w:jc w:val="center"/>
              <w:ind w:left="274"/>
              <w:spacing w:after="0"/>
              <w:rPr>
                <w:sz w:val="20"/>
                <w:szCs w:val="20"/>
                <w:color w:val="auto"/>
              </w:rPr>
            </w:pPr>
            <w:r>
              <w:rPr>
                <w:rFonts w:ascii="Arial" w:cs="Arial" w:eastAsia="Arial" w:hAnsi="Arial"/>
                <w:sz w:val="13"/>
                <w:szCs w:val="13"/>
                <w:color w:val="auto"/>
                <w:w w:val="92"/>
              </w:rPr>
              <w:t>11/12/2009</w:t>
            </w:r>
          </w:p>
        </w:tc>
        <w:tc>
          <w:tcPr>
            <w:tcW w:w="2040" w:type="dxa"/>
            <w:vAlign w:val="bottom"/>
            <w:gridSpan w:val="2"/>
          </w:tcPr>
          <w:p>
            <w:pPr>
              <w:jc w:val="center"/>
              <w:ind w:left="254"/>
              <w:spacing w:after="0"/>
              <w:rPr>
                <w:sz w:val="20"/>
                <w:szCs w:val="20"/>
                <w:color w:val="auto"/>
              </w:rPr>
            </w:pPr>
            <w:r>
              <w:rPr>
                <w:rFonts w:ascii="Arial" w:cs="Arial" w:eastAsia="Arial" w:hAnsi="Arial"/>
                <w:sz w:val="13"/>
                <w:szCs w:val="13"/>
                <w:color w:val="auto"/>
                <w:w w:val="95"/>
              </w:rPr>
              <w:t>11/30/2039**</w:t>
            </w:r>
          </w:p>
        </w:tc>
        <w:tc>
          <w:tcPr>
            <w:tcW w:w="3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7"/>
              </w:rPr>
              <w:t>94106LAV1</w:t>
            </w:r>
          </w:p>
        </w:tc>
        <w:tc>
          <w:tcPr>
            <w:tcW w:w="34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2"/>
              </w:rPr>
              <w:t>May 30; November 30</w:t>
            </w:r>
          </w:p>
        </w:tc>
        <w:tc>
          <w:tcPr>
            <w:tcW w:w="0" w:type="dxa"/>
            <w:vAlign w:val="bottom"/>
          </w:tcPr>
          <w:p>
            <w:pPr>
              <w:spacing w:after="0"/>
              <w:rPr>
                <w:sz w:val="1"/>
                <w:szCs w:val="1"/>
                <w:color w:val="auto"/>
              </w:rPr>
            </w:pPr>
          </w:p>
        </w:tc>
      </w:tr>
      <w:tr>
        <w:trPr>
          <w:trHeight w:val="157"/>
        </w:trPr>
        <w:tc>
          <w:tcPr>
            <w:tcW w:w="2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$600 million</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4.75%</w:t>
            </w:r>
          </w:p>
        </w:tc>
        <w:tc>
          <w:tcPr>
            <w:tcW w:w="1700" w:type="dxa"/>
            <w:vAlign w:val="bottom"/>
            <w:gridSpan w:val="2"/>
            <w:shd w:val="clear" w:color="auto" w:fill="CCEEFF"/>
          </w:tcPr>
          <w:p>
            <w:pPr>
              <w:jc w:val="center"/>
              <w:ind w:left="254"/>
              <w:spacing w:after="0"/>
              <w:rPr>
                <w:sz w:val="20"/>
                <w:szCs w:val="20"/>
                <w:color w:val="auto"/>
              </w:rPr>
            </w:pPr>
            <w:r>
              <w:rPr>
                <w:rFonts w:ascii="Arial" w:cs="Arial" w:eastAsia="Arial" w:hAnsi="Arial"/>
                <w:sz w:val="13"/>
                <w:szCs w:val="13"/>
                <w:color w:val="auto"/>
                <w:w w:val="90"/>
              </w:rPr>
              <w:t>6/8/2010</w:t>
            </w:r>
          </w:p>
        </w:tc>
        <w:tc>
          <w:tcPr>
            <w:tcW w:w="2040" w:type="dxa"/>
            <w:vAlign w:val="bottom"/>
            <w:gridSpan w:val="2"/>
            <w:shd w:val="clear" w:color="auto" w:fill="CCEEFF"/>
          </w:tcPr>
          <w:p>
            <w:pPr>
              <w:jc w:val="center"/>
              <w:ind w:left="274"/>
              <w:spacing w:after="0"/>
              <w:rPr>
                <w:sz w:val="20"/>
                <w:szCs w:val="20"/>
                <w:color w:val="auto"/>
              </w:rPr>
            </w:pPr>
            <w:r>
              <w:rPr>
                <w:rFonts w:ascii="Arial" w:cs="Arial" w:eastAsia="Arial" w:hAnsi="Arial"/>
                <w:sz w:val="13"/>
                <w:szCs w:val="13"/>
                <w:color w:val="auto"/>
                <w:w w:val="97"/>
              </w:rPr>
              <w:t>6/30/2020**</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94106LAW9</w:t>
            </w:r>
          </w:p>
        </w:tc>
        <w:tc>
          <w:tcPr>
            <w:tcW w:w="340" w:type="dxa"/>
            <w:vAlign w:val="bottom"/>
            <w:shd w:val="clear" w:color="auto" w:fill="CCEEFF"/>
          </w:tcPr>
          <w:p>
            <w:pPr>
              <w:spacing w:after="0"/>
              <w:rPr>
                <w:sz w:val="13"/>
                <w:szCs w:val="13"/>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June 30; December 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31064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37" w:lineRule="exact"/>
        <w:rPr>
          <w:sz w:val="20"/>
          <w:szCs w:val="20"/>
          <w:color w:val="auto"/>
        </w:rPr>
      </w:pPr>
    </w:p>
    <w:p>
      <w:pPr>
        <w:ind w:left="461" w:right="360" w:hanging="461"/>
        <w:spacing w:after="0" w:line="276" w:lineRule="auto"/>
        <w:tabs>
          <w:tab w:leader="none" w:pos="461" w:val="left"/>
        </w:tabs>
        <w:numPr>
          <w:ilvl w:val="0"/>
          <w:numId w:val="107"/>
        </w:numPr>
        <w:rPr>
          <w:rFonts w:ascii="Arial" w:cs="Arial" w:eastAsia="Arial" w:hAnsi="Arial"/>
          <w:sz w:val="13"/>
          <w:szCs w:val="13"/>
          <w:color w:val="auto"/>
        </w:rPr>
      </w:pPr>
      <w:r>
        <w:rPr>
          <w:rFonts w:ascii="Arial" w:cs="Arial" w:eastAsia="Arial" w:hAnsi="Arial"/>
          <w:sz w:val="13"/>
          <w:szCs w:val="13"/>
          <w:color w:val="auto"/>
        </w:rPr>
        <w:t>Each of these series of Senior Notes has been partially redeemed, such that the remaining outstanding principal amount of such Senior Notes as of December 31, 2010 was $146.8 million, $577.2 million, $222.9 million and $496.0 million, respectively.</w:t>
      </w:r>
    </w:p>
    <w:p>
      <w:pPr>
        <w:spacing w:after="0" w:line="20" w:lineRule="exact"/>
        <w:rPr>
          <w:sz w:val="20"/>
          <w:szCs w:val="20"/>
          <w:color w:val="auto"/>
        </w:rPr>
      </w:pPr>
    </w:p>
    <w:p>
      <w:pPr>
        <w:ind w:left="461" w:right="60" w:hanging="461"/>
        <w:spacing w:after="0" w:line="276" w:lineRule="auto"/>
        <w:tabs>
          <w:tab w:leader="none" w:pos="461" w:val="left"/>
        </w:tabs>
        <w:numPr>
          <w:ilvl w:val="0"/>
          <w:numId w:val="108"/>
        </w:numPr>
        <w:rPr>
          <w:rFonts w:ascii="Arial" w:cs="Arial" w:eastAsia="Arial" w:hAnsi="Arial"/>
          <w:sz w:val="13"/>
          <w:szCs w:val="13"/>
          <w:color w:val="auto"/>
        </w:rPr>
      </w:pPr>
      <w:r>
        <w:rPr>
          <w:rFonts w:ascii="Arial" w:cs="Arial" w:eastAsia="Arial" w:hAnsi="Arial"/>
          <w:sz w:val="13"/>
          <w:szCs w:val="13"/>
          <w:color w:val="auto"/>
        </w:rPr>
        <w:t>Each of these series of Senior Notes contain a Change of Control Offer covenant that provides, if a change of control triggering event occurs, each holder of the notes may require us to purchase all or a portion of such holder’s notes at a price equal to 101% of the principal amount, plus accrued interest, if any, to the date of purchase.</w:t>
      </w:r>
    </w:p>
    <w:p>
      <w:pPr>
        <w:spacing w:after="0" w:line="49" w:lineRule="exact"/>
        <w:rPr>
          <w:sz w:val="20"/>
          <w:szCs w:val="20"/>
          <w:color w:val="auto"/>
        </w:rPr>
      </w:pPr>
    </w:p>
    <w:p>
      <w:pPr>
        <w:jc w:val="both"/>
        <w:ind w:left="1" w:right="20"/>
        <w:spacing w:after="0" w:line="264" w:lineRule="auto"/>
        <w:rPr>
          <w:sz w:val="20"/>
          <w:szCs w:val="20"/>
          <w:color w:val="auto"/>
        </w:rPr>
      </w:pPr>
      <w:r>
        <w:rPr>
          <w:rFonts w:ascii="Arial" w:cs="Arial" w:eastAsia="Arial" w:hAnsi="Arial"/>
          <w:sz w:val="13"/>
          <w:szCs w:val="13"/>
          <w:color w:val="auto"/>
        </w:rPr>
        <w:t>This schedule is provided in accordance with Instruction 2 to Regulation S-K Item 601, as each of the series of Series Notes is governed by an instrument that differs only in the material respects set forth in the schedule above from the Officers’ Certificate identified as Exhibit 4.4. Each of the series of Senior Notes identified above is also guaranteed by Waste Management Holdings, Inc. in favor of The Bank of New York Mellon Trust Company, N.A., as Trustee for the holders of Waste Management, Inc.’s Senior Notes.</w:t>
      </w:r>
    </w:p>
    <w:p>
      <w:pPr>
        <w:sectPr>
          <w:pgSz w:w="11900" w:h="16838" w:orient="portrait"/>
          <w:cols w:equalWidth="0" w:num="1">
            <w:col w:w="11461"/>
          </w:cols>
          <w:pgMar w:left="219" w:top="127" w:right="2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3"/>
          <w:szCs w:val="13"/>
          <w:b w:val="1"/>
          <w:bCs w:val="1"/>
          <w:color w:val="auto"/>
        </w:rPr>
        <w:t>Exhibit 12.1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COMPUTATION OF RATIO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w w:val="96"/>
              </w:rPr>
              <w:t>Years Ended December 31,</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income taxes and losses in equity investments(a)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1,475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1,801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1,560</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rPr>
                <w:sz w:val="20"/>
                <w:szCs w:val="20"/>
                <w:color w:val="auto"/>
              </w:rPr>
            </w:pPr>
            <w:r>
              <w:rPr>
                <w:rFonts w:ascii="Arial" w:cs="Arial" w:eastAsia="Arial" w:hAnsi="Arial"/>
                <w:sz w:val="13"/>
                <w:szCs w:val="13"/>
                <w:color w:val="auto"/>
              </w:rPr>
              <w:t>Fixed charges deducted from income:</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545</w:t>
            </w:r>
          </w:p>
        </w:tc>
        <w:tc>
          <w:tcPr>
            <w:tcW w:w="0" w:type="dxa"/>
            <w:vAlign w:val="bottom"/>
          </w:tcPr>
          <w:p>
            <w:pPr>
              <w:spacing w:after="0"/>
              <w:rPr>
                <w:sz w:val="1"/>
                <w:szCs w:val="1"/>
                <w:color w:val="auto"/>
              </w:rPr>
            </w:pPr>
          </w:p>
        </w:tc>
      </w:tr>
      <w:tr>
        <w:trPr>
          <w:trHeight w:val="157"/>
        </w:trPr>
        <w:tc>
          <w:tcPr>
            <w:tcW w:w="5800" w:type="dxa"/>
            <w:vAlign w:val="bottom"/>
            <w:gridSpan w:val="2"/>
          </w:tcPr>
          <w:p>
            <w:pPr>
              <w:ind w:left="140"/>
              <w:spacing w:after="0"/>
              <w:rPr>
                <w:sz w:val="20"/>
                <w:szCs w:val="20"/>
                <w:color w:val="auto"/>
              </w:rPr>
            </w:pPr>
            <w:r>
              <w:rPr>
                <w:rFonts w:ascii="Arial" w:cs="Arial" w:eastAsia="Arial" w:hAnsi="Arial"/>
                <w:sz w:val="13"/>
                <w:szCs w:val="13"/>
                <w:color w:val="auto"/>
              </w:rPr>
              <w:t>Implicit interest in rents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4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594</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280"/>
              <w:spacing w:after="0"/>
              <w:rPr>
                <w:sz w:val="20"/>
                <w:szCs w:val="20"/>
                <w:color w:val="auto"/>
              </w:rPr>
            </w:pPr>
            <w:r>
              <w:rPr>
                <w:rFonts w:ascii="Arial" w:cs="Arial" w:eastAsia="Arial" w:hAnsi="Arial"/>
                <w:sz w:val="13"/>
                <w:szCs w:val="13"/>
                <w:color w:val="auto"/>
              </w:rPr>
              <w:t>Earnings available for fixed charges(b)</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gridSpan w:val="2"/>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2,169</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1,939</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2,294</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2,357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2,154</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545</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Capitalized interest</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3"/>
                <w:szCs w:val="13"/>
                <w:color w:val="auto"/>
              </w:rPr>
            </w:pP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Implicit interest in rents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fixed charges(b)</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gridSpan w:val="2"/>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530</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481</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510</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587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Ratio of earnings to fixed charges(a)</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4.1x</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4.0x</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4.5x</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4.0x</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3.5x</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80" w:hanging="393"/>
        <w:spacing w:after="0" w:line="264" w:lineRule="auto"/>
        <w:tabs>
          <w:tab w:leader="none" w:pos="4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Our “Income before income taxes and losses in equity investments” for the periods presented has been significantly affected by restructurings, asset impairments, divestitures and other items that management believes are not representative of our results. The effect of these items on our “Income before income taxes and losses in equity investments” should be considered when comparing the “Ratio of earnings to fixed charges” for the periods presented.</w:t>
      </w:r>
    </w:p>
    <w:p>
      <w:pPr>
        <w:spacing w:after="0" w:line="17" w:lineRule="exact"/>
        <w:rPr>
          <w:rFonts w:ascii="Arial" w:cs="Arial" w:eastAsia="Arial" w:hAnsi="Arial"/>
          <w:sz w:val="13"/>
          <w:szCs w:val="13"/>
          <w:color w:val="auto"/>
        </w:rPr>
      </w:pPr>
    </w:p>
    <w:p>
      <w:pPr>
        <w:ind w:left="400" w:right="520" w:hanging="393"/>
        <w:spacing w:after="0" w:line="264" w:lineRule="auto"/>
        <w:tabs>
          <w:tab w:leader="none" w:pos="4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w:t>
      </w:r>
    </w:p>
    <w:p>
      <w:pPr>
        <w:sectPr>
          <w:pgSz w:w="11900" w:h="16838" w:orient="portrait"/>
          <w:cols w:equalWidth="0" w:num="1">
            <w:col w:w="9980"/>
          </w:cols>
          <w:pgMar w:left="900" w:top="136" w:right="10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3"/>
          <w:szCs w:val="13"/>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80" w:type="dxa"/>
            <w:vAlign w:val="bottom"/>
          </w:tcPr>
          <w:p>
            <w:pPr>
              <w:spacing w:after="0"/>
              <w:rPr>
                <w:sz w:val="10"/>
                <w:szCs w:val="10"/>
                <w:color w:val="auto"/>
              </w:rPr>
            </w:pPr>
          </w:p>
        </w:tc>
        <w:tc>
          <w:tcPr>
            <w:tcW w:w="5580" w:type="dxa"/>
            <w:vAlign w:val="bottom"/>
          </w:tcPr>
          <w:p>
            <w:pPr>
              <w:ind w:left="3080"/>
              <w:spacing w:after="0"/>
              <w:rPr>
                <w:sz w:val="20"/>
                <w:szCs w:val="20"/>
                <w:color w:val="auto"/>
              </w:rPr>
            </w:pPr>
            <w:r>
              <w:rPr>
                <w:rFonts w:ascii="Arial" w:cs="Arial" w:eastAsia="Arial" w:hAnsi="Arial"/>
                <w:sz w:val="10"/>
                <w:szCs w:val="10"/>
                <w:b w:val="1"/>
                <w:bCs w:val="1"/>
                <w:i w:val="1"/>
                <w:iCs w:val="1"/>
                <w:color w:val="auto"/>
              </w:rPr>
              <w:t>Jurisdiction</w:t>
            </w:r>
          </w:p>
        </w:tc>
      </w:tr>
      <w:tr>
        <w:trPr>
          <w:trHeight w:val="112"/>
        </w:trPr>
        <w:tc>
          <w:tcPr>
            <w:tcW w:w="5880" w:type="dxa"/>
            <w:vAlign w:val="bottom"/>
          </w:tcPr>
          <w:p>
            <w:pPr>
              <w:spacing w:after="0" w:line="113" w:lineRule="exact"/>
              <w:rPr>
                <w:sz w:val="20"/>
                <w:szCs w:val="20"/>
                <w:color w:val="auto"/>
              </w:rPr>
            </w:pPr>
            <w:r>
              <w:rPr>
                <w:rFonts w:ascii="Arial" w:cs="Arial" w:eastAsia="Arial" w:hAnsi="Arial"/>
                <w:sz w:val="10"/>
                <w:szCs w:val="10"/>
                <w:b w:val="1"/>
                <w:bCs w:val="1"/>
                <w:i w:val="1"/>
                <w:iCs w:val="1"/>
                <w:color w:val="auto"/>
              </w:rPr>
              <w:t>Name of Entity</w:t>
            </w:r>
          </w:p>
        </w:tc>
        <w:tc>
          <w:tcPr>
            <w:tcW w:w="5580" w:type="dxa"/>
            <w:vAlign w:val="bottom"/>
          </w:tcPr>
          <w:p>
            <w:pPr>
              <w:ind w:left="3080"/>
              <w:spacing w:after="0" w:line="113" w:lineRule="exact"/>
              <w:rPr>
                <w:sz w:val="20"/>
                <w:szCs w:val="20"/>
                <w:color w:val="auto"/>
              </w:rPr>
            </w:pPr>
            <w:r>
              <w:rPr>
                <w:rFonts w:ascii="Arial" w:cs="Arial" w:eastAsia="Arial" w:hAnsi="Arial"/>
                <w:sz w:val="10"/>
                <w:szCs w:val="10"/>
                <w:b w:val="1"/>
                <w:bCs w:val="1"/>
                <w:i w:val="1"/>
                <w:iCs w:val="1"/>
                <w:color w:val="auto"/>
              </w:rPr>
              <w:t>Incorporation/Formation</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0842463 B.C. Ltd.</w:t>
            </w:r>
          </w:p>
        </w:tc>
        <w:tc>
          <w:tcPr>
            <w:tcW w:w="5580" w:type="dxa"/>
            <w:vAlign w:val="bottom"/>
          </w:tcPr>
          <w:p>
            <w:pPr>
              <w:ind w:left="3080"/>
              <w:spacing w:after="0"/>
              <w:rPr>
                <w:sz w:val="20"/>
                <w:szCs w:val="20"/>
                <w:color w:val="auto"/>
              </w:rPr>
            </w:pPr>
            <w:r>
              <w:rPr>
                <w:rFonts w:ascii="Arial" w:cs="Arial" w:eastAsia="Arial" w:hAnsi="Arial"/>
                <w:sz w:val="13"/>
                <w:szCs w:val="13"/>
                <w:color w:val="auto"/>
              </w:rPr>
              <w:t>British Columbia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1-800-Pack-Rat,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1329409 Ontario Inc.</w:t>
            </w:r>
          </w:p>
        </w:tc>
        <w:tc>
          <w:tcPr>
            <w:tcW w:w="5580" w:type="dxa"/>
            <w:vAlign w:val="bottom"/>
          </w:tcPr>
          <w:p>
            <w:pPr>
              <w:ind w:left="3080"/>
              <w:spacing w:after="0"/>
              <w:rPr>
                <w:sz w:val="20"/>
                <w:szCs w:val="20"/>
                <w:color w:val="auto"/>
              </w:rPr>
            </w:pPr>
            <w:r>
              <w:rPr>
                <w:rFonts w:ascii="Arial" w:cs="Arial" w:eastAsia="Arial" w:hAnsi="Arial"/>
                <w:sz w:val="13"/>
                <w:szCs w:val="13"/>
                <w:color w:val="auto"/>
              </w:rPr>
              <w:t>Ontario</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2M Investments,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Utah</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3368084 Canada Inc.</w:t>
            </w:r>
          </w:p>
        </w:tc>
        <w:tc>
          <w:tcPr>
            <w:tcW w:w="5580" w:type="dxa"/>
            <w:vAlign w:val="bottom"/>
          </w:tcPr>
          <w:p>
            <w:pPr>
              <w:ind w:left="3080"/>
              <w:spacing w:after="0"/>
              <w:rPr>
                <w:sz w:val="20"/>
                <w:szCs w:val="20"/>
                <w:color w:val="auto"/>
              </w:rPr>
            </w:pPr>
            <w:r>
              <w:rPr>
                <w:rFonts w:ascii="Arial" w:cs="Arial" w:eastAsia="Arial" w:hAnsi="Arial"/>
                <w:sz w:val="13"/>
                <w:szCs w:val="13"/>
                <w:color w:val="auto"/>
              </w:rPr>
              <w:t>Canada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635952 Ontario Inc.</w:t>
            </w:r>
          </w:p>
        </w:tc>
        <w:tc>
          <w:tcPr>
            <w:tcW w:w="5580" w:type="dxa"/>
            <w:vAlign w:val="bottom"/>
          </w:tcPr>
          <w:p>
            <w:pPr>
              <w:ind w:left="3080"/>
              <w:spacing w:after="0"/>
              <w:rPr>
                <w:sz w:val="20"/>
                <w:szCs w:val="20"/>
                <w:color w:val="auto"/>
              </w:rPr>
            </w:pPr>
            <w:r>
              <w:rPr>
                <w:rFonts w:ascii="Arial" w:cs="Arial" w:eastAsia="Arial" w:hAnsi="Arial"/>
                <w:sz w:val="13"/>
                <w:szCs w:val="13"/>
                <w:color w:val="auto"/>
              </w:rPr>
              <w:t>Ontario</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Acaverde S.A. de C.V.</w:t>
            </w:r>
          </w:p>
        </w:tc>
        <w:tc>
          <w:tcPr>
            <w:tcW w:w="5580" w:type="dxa"/>
            <w:vAlign w:val="bottom"/>
          </w:tcPr>
          <w:p>
            <w:pPr>
              <w:ind w:left="3080"/>
              <w:spacing w:after="0"/>
              <w:rPr>
                <w:sz w:val="20"/>
                <w:szCs w:val="20"/>
                <w:color w:val="auto"/>
              </w:rPr>
            </w:pPr>
            <w:r>
              <w:rPr>
                <w:rFonts w:ascii="Arial" w:cs="Arial" w:eastAsia="Arial" w:hAnsi="Arial"/>
                <w:sz w:val="13"/>
                <w:szCs w:val="13"/>
                <w:color w:val="auto"/>
              </w:rPr>
              <w:t>Mexico</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Acaverde Servicios, S.A. de C.V.</w:t>
            </w:r>
          </w:p>
        </w:tc>
        <w:tc>
          <w:tcPr>
            <w:tcW w:w="5580" w:type="dxa"/>
            <w:vAlign w:val="bottom"/>
          </w:tcPr>
          <w:p>
            <w:pPr>
              <w:ind w:left="3080"/>
              <w:spacing w:after="0"/>
              <w:rPr>
                <w:sz w:val="20"/>
                <w:szCs w:val="20"/>
                <w:color w:val="auto"/>
              </w:rPr>
            </w:pPr>
            <w:r>
              <w:rPr>
                <w:rFonts w:ascii="Arial" w:cs="Arial" w:eastAsia="Arial" w:hAnsi="Arial"/>
                <w:sz w:val="13"/>
                <w:szCs w:val="13"/>
                <w:color w:val="auto"/>
              </w:rPr>
              <w:t>Mexico</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Advanced Environmental Technical Services,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Akron Regional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Alabama Waste Disposal Solutions,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Alabama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Alliance Sanitary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Pennsylvania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Alpharetta Transfer Station, LLC</w:t>
            </w:r>
          </w:p>
        </w:tc>
        <w:tc>
          <w:tcPr>
            <w:tcW w:w="5580" w:type="dxa"/>
            <w:vAlign w:val="bottom"/>
          </w:tcPr>
          <w:p>
            <w:pPr>
              <w:ind w:left="3080"/>
              <w:spacing w:after="0"/>
              <w:rPr>
                <w:sz w:val="20"/>
                <w:szCs w:val="20"/>
                <w:color w:val="auto"/>
              </w:rPr>
            </w:pPr>
            <w:r>
              <w:rPr>
                <w:rFonts w:ascii="Arial" w:cs="Arial" w:eastAsia="Arial" w:hAnsi="Arial"/>
                <w:sz w:val="13"/>
                <w:szCs w:val="13"/>
                <w:color w:val="auto"/>
              </w:rPr>
              <w:t>Georgia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American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Ohio</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Anderson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Antelope Valley Recycling and Disposal Facility, Inc.</w:t>
            </w:r>
          </w:p>
        </w:tc>
        <w:tc>
          <w:tcPr>
            <w:tcW w:w="5580" w:type="dxa"/>
            <w:vAlign w:val="bottom"/>
          </w:tcPr>
          <w:p>
            <w:pPr>
              <w:ind w:left="3080"/>
              <w:spacing w:after="0"/>
              <w:rPr>
                <w:sz w:val="20"/>
                <w:szCs w:val="20"/>
                <w:color w:val="auto"/>
              </w:rPr>
            </w:pPr>
            <w:r>
              <w:rPr>
                <w:rFonts w:ascii="Arial" w:cs="Arial" w:eastAsia="Arial" w:hAnsi="Arial"/>
                <w:sz w:val="13"/>
                <w:szCs w:val="13"/>
                <w:color w:val="auto"/>
              </w:rPr>
              <w:t>California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Arden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Pennsylvania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Atlantic Waste Disposal,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Automated Salvage Transport Co.,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Auxiwaste Services SA</w:t>
            </w:r>
          </w:p>
        </w:tc>
        <w:tc>
          <w:tcPr>
            <w:tcW w:w="5580" w:type="dxa"/>
            <w:vAlign w:val="bottom"/>
          </w:tcPr>
          <w:p>
            <w:pPr>
              <w:ind w:left="3080"/>
              <w:spacing w:after="0"/>
              <w:rPr>
                <w:sz w:val="20"/>
                <w:szCs w:val="20"/>
                <w:color w:val="auto"/>
              </w:rPr>
            </w:pPr>
            <w:r>
              <w:rPr>
                <w:rFonts w:ascii="Arial" w:cs="Arial" w:eastAsia="Arial" w:hAnsi="Arial"/>
                <w:sz w:val="13"/>
                <w:szCs w:val="13"/>
                <w:color w:val="auto"/>
              </w:rPr>
              <w:t>France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Avalon South,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Avalon Southwest,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Azusa Land Reclamation, Inc.</w:t>
            </w:r>
          </w:p>
        </w:tc>
        <w:tc>
          <w:tcPr>
            <w:tcW w:w="5580" w:type="dxa"/>
            <w:vAlign w:val="bottom"/>
          </w:tcPr>
          <w:p>
            <w:pPr>
              <w:ind w:left="3080"/>
              <w:spacing w:after="0"/>
              <w:rPr>
                <w:sz w:val="20"/>
                <w:szCs w:val="20"/>
                <w:color w:val="auto"/>
              </w:rPr>
            </w:pPr>
            <w:r>
              <w:rPr>
                <w:rFonts w:ascii="Arial" w:cs="Arial" w:eastAsia="Arial" w:hAnsi="Arial"/>
                <w:sz w:val="13"/>
                <w:szCs w:val="13"/>
                <w:color w:val="auto"/>
              </w:rPr>
              <w:t>California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B&amp;B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Barre Landfill Gas Associates, L.P.</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Beecher Development Company</w:t>
            </w:r>
          </w:p>
        </w:tc>
        <w:tc>
          <w:tcPr>
            <w:tcW w:w="5580" w:type="dxa"/>
            <w:vAlign w:val="bottom"/>
          </w:tcPr>
          <w:p>
            <w:pPr>
              <w:ind w:left="3080"/>
              <w:spacing w:after="0"/>
              <w:rPr>
                <w:sz w:val="20"/>
                <w:szCs w:val="20"/>
                <w:color w:val="auto"/>
              </w:rPr>
            </w:pPr>
            <w:r>
              <w:rPr>
                <w:rFonts w:ascii="Arial" w:cs="Arial" w:eastAsia="Arial" w:hAnsi="Arial"/>
                <w:sz w:val="13"/>
                <w:szCs w:val="13"/>
                <w:color w:val="auto"/>
              </w:rPr>
              <w:t>Illinois</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Bestan Inc.</w:t>
            </w:r>
          </w:p>
        </w:tc>
        <w:tc>
          <w:tcPr>
            <w:tcW w:w="5580" w:type="dxa"/>
            <w:vAlign w:val="bottom"/>
          </w:tcPr>
          <w:p>
            <w:pPr>
              <w:ind w:left="3080"/>
              <w:spacing w:after="0"/>
              <w:rPr>
                <w:sz w:val="20"/>
                <w:szCs w:val="20"/>
                <w:color w:val="auto"/>
              </w:rPr>
            </w:pPr>
            <w:r>
              <w:rPr>
                <w:rFonts w:ascii="Arial" w:cs="Arial" w:eastAsia="Arial" w:hAnsi="Arial"/>
                <w:sz w:val="13"/>
                <w:szCs w:val="13"/>
                <w:color w:val="auto"/>
              </w:rPr>
              <w:t>Quebec</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Big Dipper Enterprises,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North Dakota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Bluegrass Containment,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Burnsville Sanitary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Minnesota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C.I.D.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New York</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CA Newco,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Cal Sierra Disposal</w:t>
            </w:r>
          </w:p>
        </w:tc>
        <w:tc>
          <w:tcPr>
            <w:tcW w:w="5580" w:type="dxa"/>
            <w:vAlign w:val="bottom"/>
          </w:tcPr>
          <w:p>
            <w:pPr>
              <w:ind w:left="3080"/>
              <w:spacing w:after="0"/>
              <w:rPr>
                <w:sz w:val="20"/>
                <w:szCs w:val="20"/>
                <w:color w:val="auto"/>
              </w:rPr>
            </w:pPr>
            <w:r>
              <w:rPr>
                <w:rFonts w:ascii="Arial" w:cs="Arial" w:eastAsia="Arial" w:hAnsi="Arial"/>
                <w:sz w:val="13"/>
                <w:szCs w:val="13"/>
                <w:color w:val="auto"/>
              </w:rPr>
              <w:t>California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California Asbestos Monofill,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California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Canadian Waste Services Holdings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Ontario</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Capital Sanitation Company</w:t>
            </w:r>
          </w:p>
        </w:tc>
        <w:tc>
          <w:tcPr>
            <w:tcW w:w="5580" w:type="dxa"/>
            <w:vAlign w:val="bottom"/>
          </w:tcPr>
          <w:p>
            <w:pPr>
              <w:ind w:left="3080"/>
              <w:spacing w:after="0"/>
              <w:rPr>
                <w:sz w:val="20"/>
                <w:szCs w:val="20"/>
                <w:color w:val="auto"/>
              </w:rPr>
            </w:pPr>
            <w:r>
              <w:rPr>
                <w:rFonts w:ascii="Arial" w:cs="Arial" w:eastAsia="Arial" w:hAnsi="Arial"/>
                <w:sz w:val="13"/>
                <w:szCs w:val="13"/>
                <w:color w:val="auto"/>
              </w:rPr>
              <w:t>Nevada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Capitol Disposal,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Alaska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Carolina Grading, Inc.</w:t>
            </w:r>
          </w:p>
        </w:tc>
        <w:tc>
          <w:tcPr>
            <w:tcW w:w="5580" w:type="dxa"/>
            <w:vAlign w:val="bottom"/>
          </w:tcPr>
          <w:p>
            <w:pPr>
              <w:ind w:left="3080"/>
              <w:spacing w:after="0"/>
              <w:rPr>
                <w:sz w:val="20"/>
                <w:szCs w:val="20"/>
                <w:color w:val="auto"/>
              </w:rPr>
            </w:pPr>
            <w:r>
              <w:rPr>
                <w:rFonts w:ascii="Arial" w:cs="Arial" w:eastAsia="Arial" w:hAnsi="Arial"/>
                <w:sz w:val="13"/>
                <w:szCs w:val="13"/>
                <w:color w:val="auto"/>
              </w:rPr>
              <w:t>South Carolina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Cedar Ridge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Central Disposal Systems,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Iowa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Chadwick Road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Georgia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Chambers Clearview Environmental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Mississippi</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Chambers Development Company,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Chambers Development of Ohio, Inc.</w:t>
            </w:r>
          </w:p>
        </w:tc>
        <w:tc>
          <w:tcPr>
            <w:tcW w:w="5580" w:type="dxa"/>
            <w:vAlign w:val="bottom"/>
          </w:tcPr>
          <w:p>
            <w:pPr>
              <w:ind w:left="3080"/>
              <w:spacing w:after="0"/>
              <w:rPr>
                <w:sz w:val="20"/>
                <w:szCs w:val="20"/>
                <w:color w:val="auto"/>
              </w:rPr>
            </w:pPr>
            <w:r>
              <w:rPr>
                <w:rFonts w:ascii="Arial" w:cs="Arial" w:eastAsia="Arial" w:hAnsi="Arial"/>
                <w:sz w:val="13"/>
                <w:szCs w:val="13"/>
                <w:color w:val="auto"/>
              </w:rPr>
              <w:t>Ohio</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Chambers of Georgia,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Chambers of Mississippi, Inc.</w:t>
            </w:r>
          </w:p>
        </w:tc>
        <w:tc>
          <w:tcPr>
            <w:tcW w:w="5580" w:type="dxa"/>
            <w:vAlign w:val="bottom"/>
          </w:tcPr>
          <w:p>
            <w:pPr>
              <w:ind w:left="3080"/>
              <w:spacing w:after="0"/>
              <w:rPr>
                <w:sz w:val="20"/>
                <w:szCs w:val="20"/>
                <w:color w:val="auto"/>
              </w:rPr>
            </w:pPr>
            <w:r>
              <w:rPr>
                <w:rFonts w:ascii="Arial" w:cs="Arial" w:eastAsia="Arial" w:hAnsi="Arial"/>
                <w:sz w:val="13"/>
                <w:szCs w:val="13"/>
                <w:color w:val="auto"/>
              </w:rPr>
              <w:t>Mississippi</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Chemical Waste Management of Indiana,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Chemical Waste Management of the Northwest, Inc.</w:t>
            </w:r>
          </w:p>
        </w:tc>
        <w:tc>
          <w:tcPr>
            <w:tcW w:w="5580" w:type="dxa"/>
            <w:vAlign w:val="bottom"/>
          </w:tcPr>
          <w:p>
            <w:pPr>
              <w:ind w:left="3080"/>
              <w:spacing w:after="0"/>
              <w:rPr>
                <w:sz w:val="20"/>
                <w:szCs w:val="20"/>
                <w:color w:val="auto"/>
              </w:rPr>
            </w:pPr>
            <w:r>
              <w:rPr>
                <w:rFonts w:ascii="Arial" w:cs="Arial" w:eastAsia="Arial" w:hAnsi="Arial"/>
                <w:sz w:val="13"/>
                <w:szCs w:val="13"/>
                <w:color w:val="auto"/>
              </w:rPr>
              <w:t>Washington</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Chemical Waste Management,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65"/>
        </w:trPr>
        <w:tc>
          <w:tcPr>
            <w:tcW w:w="5880" w:type="dxa"/>
            <w:vAlign w:val="bottom"/>
          </w:tcPr>
          <w:p>
            <w:pPr>
              <w:spacing w:after="0"/>
              <w:rPr>
                <w:sz w:val="20"/>
                <w:szCs w:val="20"/>
                <w:color w:val="auto"/>
              </w:rPr>
            </w:pPr>
            <w:r>
              <w:rPr>
                <w:rFonts w:ascii="Arial" w:cs="Arial" w:eastAsia="Arial" w:hAnsi="Arial"/>
                <w:sz w:val="13"/>
                <w:szCs w:val="13"/>
                <w:color w:val="auto"/>
              </w:rPr>
              <w:t>Chesser Island Road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Georgia</w:t>
            </w:r>
          </w:p>
        </w:tc>
      </w:tr>
      <w:tr>
        <w:trPr>
          <w:trHeight w:val="448"/>
        </w:trPr>
        <w:tc>
          <w:tcPr>
            <w:tcW w:w="588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15"/>
        </w:trPr>
        <w:tc>
          <w:tcPr>
            <w:tcW w:w="5760" w:type="dxa"/>
            <w:vAlign w:val="bottom"/>
          </w:tcPr>
          <w:p>
            <w:pPr>
              <w:spacing w:after="0"/>
              <w:rPr>
                <w:sz w:val="10"/>
                <w:szCs w:val="10"/>
                <w:color w:val="auto"/>
              </w:rPr>
            </w:pPr>
          </w:p>
        </w:tc>
        <w:tc>
          <w:tcPr>
            <w:tcW w:w="5700" w:type="dxa"/>
            <w:vAlign w:val="bottom"/>
          </w:tcPr>
          <w:p>
            <w:pPr>
              <w:ind w:left="3200"/>
              <w:spacing w:after="0"/>
              <w:rPr>
                <w:sz w:val="20"/>
                <w:szCs w:val="20"/>
                <w:color w:val="auto"/>
              </w:rPr>
            </w:pPr>
            <w:r>
              <w:rPr>
                <w:rFonts w:ascii="Arial" w:cs="Arial" w:eastAsia="Arial" w:hAnsi="Arial"/>
                <w:sz w:val="10"/>
                <w:szCs w:val="10"/>
                <w:b w:val="1"/>
                <w:bCs w:val="1"/>
                <w:i w:val="1"/>
                <w:iCs w:val="1"/>
                <w:color w:val="auto"/>
              </w:rPr>
              <w:t>Jurisdiction</w:t>
            </w:r>
          </w:p>
        </w:tc>
      </w:tr>
      <w:tr>
        <w:trPr>
          <w:trHeight w:val="112"/>
        </w:trPr>
        <w:tc>
          <w:tcPr>
            <w:tcW w:w="5760" w:type="dxa"/>
            <w:vAlign w:val="bottom"/>
          </w:tcPr>
          <w:p>
            <w:pPr>
              <w:spacing w:after="0" w:line="113" w:lineRule="exact"/>
              <w:rPr>
                <w:sz w:val="20"/>
                <w:szCs w:val="20"/>
                <w:color w:val="auto"/>
              </w:rPr>
            </w:pPr>
            <w:r>
              <w:rPr>
                <w:rFonts w:ascii="Arial" w:cs="Arial" w:eastAsia="Arial" w:hAnsi="Arial"/>
                <w:sz w:val="10"/>
                <w:szCs w:val="10"/>
                <w:b w:val="1"/>
                <w:bCs w:val="1"/>
                <w:i w:val="1"/>
                <w:iCs w:val="1"/>
                <w:color w:val="auto"/>
              </w:rPr>
              <w:t>Name of Entity</w:t>
            </w:r>
          </w:p>
        </w:tc>
        <w:tc>
          <w:tcPr>
            <w:tcW w:w="5700" w:type="dxa"/>
            <w:vAlign w:val="bottom"/>
          </w:tcPr>
          <w:p>
            <w:pPr>
              <w:ind w:left="3200"/>
              <w:spacing w:after="0" w:line="113" w:lineRule="exact"/>
              <w:rPr>
                <w:sz w:val="20"/>
                <w:szCs w:val="20"/>
                <w:color w:val="auto"/>
              </w:rPr>
            </w:pPr>
            <w:r>
              <w:rPr>
                <w:rFonts w:ascii="Arial" w:cs="Arial" w:eastAsia="Arial" w:hAnsi="Arial"/>
                <w:sz w:val="10"/>
                <w:szCs w:val="10"/>
                <w:b w:val="1"/>
                <w:bCs w:val="1"/>
                <w:i w:val="1"/>
                <w:iCs w:val="1"/>
                <w:color w:val="auto"/>
              </w:rPr>
              <w:t>Incorporation/Formation</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City Environmental Services, Inc. of Waters</w:t>
            </w:r>
          </w:p>
        </w:tc>
        <w:tc>
          <w:tcPr>
            <w:tcW w:w="5700" w:type="dxa"/>
            <w:vAlign w:val="bottom"/>
          </w:tcPr>
          <w:p>
            <w:pPr>
              <w:ind w:left="3200"/>
              <w:spacing w:after="0"/>
              <w:rPr>
                <w:sz w:val="20"/>
                <w:szCs w:val="20"/>
                <w:color w:val="auto"/>
              </w:rPr>
            </w:pPr>
            <w:r>
              <w:rPr>
                <w:rFonts w:ascii="Arial" w:cs="Arial" w:eastAsia="Arial" w:hAnsi="Arial"/>
                <w:sz w:val="13"/>
                <w:szCs w:val="13"/>
                <w:color w:val="auto"/>
              </w:rPr>
              <w:t>Michigan</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City Environmental,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Cleburne Landfill Company Corp.</w:t>
            </w:r>
          </w:p>
        </w:tc>
        <w:tc>
          <w:tcPr>
            <w:tcW w:w="5700" w:type="dxa"/>
            <w:vAlign w:val="bottom"/>
          </w:tcPr>
          <w:p>
            <w:pPr>
              <w:ind w:left="3200"/>
              <w:spacing w:after="0"/>
              <w:rPr>
                <w:sz w:val="20"/>
                <w:szCs w:val="20"/>
                <w:color w:val="auto"/>
              </w:rPr>
            </w:pPr>
            <w:r>
              <w:rPr>
                <w:rFonts w:ascii="Arial" w:cs="Arial" w:eastAsia="Arial" w:hAnsi="Arial"/>
                <w:sz w:val="13"/>
                <w:szCs w:val="13"/>
                <w:color w:val="auto"/>
              </w:rPr>
              <w:t>Alabama</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Coast Waste Management, Inc.</w:t>
            </w:r>
          </w:p>
        </w:tc>
        <w:tc>
          <w:tcPr>
            <w:tcW w:w="5700" w:type="dxa"/>
            <w:vAlign w:val="bottom"/>
          </w:tcPr>
          <w:p>
            <w:pPr>
              <w:ind w:left="3200"/>
              <w:spacing w:after="0"/>
              <w:rPr>
                <w:sz w:val="20"/>
                <w:szCs w:val="20"/>
                <w:color w:val="auto"/>
              </w:rPr>
            </w:pPr>
            <w:r>
              <w:rPr>
                <w:rFonts w:ascii="Arial" w:cs="Arial" w:eastAsia="Arial" w:hAnsi="Arial"/>
                <w:sz w:val="13"/>
                <w:szCs w:val="13"/>
                <w:color w:val="auto"/>
              </w:rPr>
              <w:t>California</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Connecticut Valley Sanitary Waste Disposal,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Massachusetts</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Conservation Services, Inc.</w:t>
            </w:r>
          </w:p>
        </w:tc>
        <w:tc>
          <w:tcPr>
            <w:tcW w:w="5700" w:type="dxa"/>
            <w:vAlign w:val="bottom"/>
          </w:tcPr>
          <w:p>
            <w:pPr>
              <w:ind w:left="3200"/>
              <w:spacing w:after="0"/>
              <w:rPr>
                <w:sz w:val="20"/>
                <w:szCs w:val="20"/>
                <w:color w:val="auto"/>
              </w:rPr>
            </w:pPr>
            <w:r>
              <w:rPr>
                <w:rFonts w:ascii="Arial" w:cs="Arial" w:eastAsia="Arial" w:hAnsi="Arial"/>
                <w:sz w:val="13"/>
                <w:szCs w:val="13"/>
                <w:color w:val="auto"/>
              </w:rPr>
              <w:t>Colorado</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Continental Waste Industries Arizona, Inc.</w:t>
            </w:r>
          </w:p>
        </w:tc>
        <w:tc>
          <w:tcPr>
            <w:tcW w:w="5700" w:type="dxa"/>
            <w:vAlign w:val="bottom"/>
          </w:tcPr>
          <w:p>
            <w:pPr>
              <w:ind w:left="3200"/>
              <w:spacing w:after="0"/>
              <w:rPr>
                <w:sz w:val="20"/>
                <w:szCs w:val="20"/>
                <w:color w:val="auto"/>
              </w:rPr>
            </w:pPr>
            <w:r>
              <w:rPr>
                <w:rFonts w:ascii="Arial" w:cs="Arial" w:eastAsia="Arial" w:hAnsi="Arial"/>
                <w:sz w:val="13"/>
                <w:szCs w:val="13"/>
                <w:color w:val="auto"/>
              </w:rPr>
              <w:t>New Jersey</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Coshocton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Ohio</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Cougar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Texas</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Countryside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Illinois</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CR Group, LLC</w:t>
            </w:r>
          </w:p>
        </w:tc>
        <w:tc>
          <w:tcPr>
            <w:tcW w:w="5700" w:type="dxa"/>
            <w:vAlign w:val="bottom"/>
          </w:tcPr>
          <w:p>
            <w:pPr>
              <w:ind w:left="3200"/>
              <w:spacing w:after="0"/>
              <w:rPr>
                <w:sz w:val="20"/>
                <w:szCs w:val="20"/>
                <w:color w:val="auto"/>
              </w:rPr>
            </w:pPr>
            <w:r>
              <w:rPr>
                <w:rFonts w:ascii="Arial" w:cs="Arial" w:eastAsia="Arial" w:hAnsi="Arial"/>
                <w:sz w:val="13"/>
                <w:szCs w:val="13"/>
                <w:color w:val="auto"/>
              </w:rPr>
              <w:t>Utah</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Cuyahoga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CWM Chemical Services, L.L.C.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Dafter Sanitary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Michigan</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Dauphin Meadows, Inc.</w:t>
            </w:r>
          </w:p>
        </w:tc>
        <w:tc>
          <w:tcPr>
            <w:tcW w:w="5700" w:type="dxa"/>
            <w:vAlign w:val="bottom"/>
          </w:tcPr>
          <w:p>
            <w:pPr>
              <w:ind w:left="3200"/>
              <w:spacing w:after="0"/>
              <w:rPr>
                <w:sz w:val="20"/>
                <w:szCs w:val="20"/>
                <w:color w:val="auto"/>
              </w:rPr>
            </w:pPr>
            <w:r>
              <w:rPr>
                <w:rFonts w:ascii="Arial" w:cs="Arial" w:eastAsia="Arial" w:hAnsi="Arial"/>
                <w:sz w:val="13"/>
                <w:szCs w:val="13"/>
                <w:color w:val="auto"/>
              </w:rPr>
              <w:t>Pennsylvania</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Deep Valley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Deer Track Park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Del Almo Landfill, L.L.C.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Delaware Recyclable Products, Inc.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Dickinson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Disposal Service, Incorporated</w:t>
            </w:r>
          </w:p>
        </w:tc>
        <w:tc>
          <w:tcPr>
            <w:tcW w:w="5700" w:type="dxa"/>
            <w:vAlign w:val="bottom"/>
          </w:tcPr>
          <w:p>
            <w:pPr>
              <w:ind w:left="3200"/>
              <w:spacing w:after="0"/>
              <w:rPr>
                <w:sz w:val="20"/>
                <w:szCs w:val="20"/>
                <w:color w:val="auto"/>
              </w:rPr>
            </w:pPr>
            <w:r>
              <w:rPr>
                <w:rFonts w:ascii="Arial" w:cs="Arial" w:eastAsia="Arial" w:hAnsi="Arial"/>
                <w:sz w:val="13"/>
                <w:szCs w:val="13"/>
                <w:color w:val="auto"/>
              </w:rPr>
              <w:t>West Virginia</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DLA Investments, Inc.</w:t>
            </w:r>
          </w:p>
        </w:tc>
        <w:tc>
          <w:tcPr>
            <w:tcW w:w="5700" w:type="dxa"/>
            <w:vAlign w:val="bottom"/>
          </w:tcPr>
          <w:p>
            <w:pPr>
              <w:ind w:left="3200"/>
              <w:spacing w:after="0"/>
              <w:rPr>
                <w:sz w:val="20"/>
                <w:szCs w:val="20"/>
                <w:color w:val="auto"/>
              </w:rPr>
            </w:pPr>
            <w:r>
              <w:rPr>
                <w:rFonts w:ascii="Arial" w:cs="Arial" w:eastAsia="Arial" w:hAnsi="Arial"/>
                <w:sz w:val="13"/>
                <w:szCs w:val="13"/>
                <w:color w:val="auto"/>
              </w:rPr>
              <w:t>Florida</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Doctor Bramblett Road, LLC</w:t>
            </w:r>
          </w:p>
        </w:tc>
        <w:tc>
          <w:tcPr>
            <w:tcW w:w="5700" w:type="dxa"/>
            <w:vAlign w:val="bottom"/>
          </w:tcPr>
          <w:p>
            <w:pPr>
              <w:ind w:left="3200"/>
              <w:spacing w:after="0"/>
              <w:rPr>
                <w:sz w:val="20"/>
                <w:szCs w:val="20"/>
                <w:color w:val="auto"/>
              </w:rPr>
            </w:pPr>
            <w:r>
              <w:rPr>
                <w:rFonts w:ascii="Arial" w:cs="Arial" w:eastAsia="Arial" w:hAnsi="Arial"/>
                <w:sz w:val="13"/>
                <w:szCs w:val="13"/>
                <w:color w:val="auto"/>
              </w:rPr>
              <w:t>Georgia</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Downtown Diversion Inc.</w:t>
            </w:r>
          </w:p>
        </w:tc>
        <w:tc>
          <w:tcPr>
            <w:tcW w:w="5700" w:type="dxa"/>
            <w:vAlign w:val="bottom"/>
          </w:tcPr>
          <w:p>
            <w:pPr>
              <w:ind w:left="3200"/>
              <w:spacing w:after="0"/>
              <w:rPr>
                <w:sz w:val="20"/>
                <w:szCs w:val="20"/>
                <w:color w:val="auto"/>
              </w:rPr>
            </w:pPr>
            <w:r>
              <w:rPr>
                <w:rFonts w:ascii="Arial" w:cs="Arial" w:eastAsia="Arial" w:hAnsi="Arial"/>
                <w:sz w:val="13"/>
                <w:szCs w:val="13"/>
                <w:color w:val="auto"/>
              </w:rPr>
              <w:t>California</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E.C. Waste, Inc.</w:t>
            </w:r>
          </w:p>
        </w:tc>
        <w:tc>
          <w:tcPr>
            <w:tcW w:w="5700" w:type="dxa"/>
            <w:vAlign w:val="bottom"/>
          </w:tcPr>
          <w:p>
            <w:pPr>
              <w:ind w:left="3200"/>
              <w:spacing w:after="0"/>
              <w:rPr>
                <w:sz w:val="20"/>
                <w:szCs w:val="20"/>
                <w:color w:val="auto"/>
              </w:rPr>
            </w:pPr>
            <w:r>
              <w:rPr>
                <w:rFonts w:ascii="Arial" w:cs="Arial" w:eastAsia="Arial" w:hAnsi="Arial"/>
                <w:sz w:val="13"/>
                <w:szCs w:val="13"/>
                <w:color w:val="auto"/>
              </w:rPr>
              <w:t>Puerto Rico</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Earthmovers Landfill, L.L.C.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East Liverpool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Ohio</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Eastern One Land Corporation</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Eco-Vista, LLC</w:t>
            </w:r>
          </w:p>
        </w:tc>
        <w:tc>
          <w:tcPr>
            <w:tcW w:w="5700" w:type="dxa"/>
            <w:vAlign w:val="bottom"/>
          </w:tcPr>
          <w:p>
            <w:pPr>
              <w:ind w:left="3200"/>
              <w:spacing w:after="0"/>
              <w:rPr>
                <w:sz w:val="20"/>
                <w:szCs w:val="20"/>
                <w:color w:val="auto"/>
              </w:rPr>
            </w:pPr>
            <w:r>
              <w:rPr>
                <w:rFonts w:ascii="Arial" w:cs="Arial" w:eastAsia="Arial" w:hAnsi="Arial"/>
                <w:sz w:val="13"/>
                <w:szCs w:val="13"/>
                <w:color w:val="auto"/>
              </w:rPr>
              <w:t>Arkansas</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eCycling Services, L.L.C.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El Coqui Landfill Company, Inc.</w:t>
            </w:r>
          </w:p>
        </w:tc>
        <w:tc>
          <w:tcPr>
            <w:tcW w:w="5700" w:type="dxa"/>
            <w:vAlign w:val="bottom"/>
          </w:tcPr>
          <w:p>
            <w:pPr>
              <w:ind w:left="3200"/>
              <w:spacing w:after="0"/>
              <w:rPr>
                <w:sz w:val="20"/>
                <w:szCs w:val="20"/>
                <w:color w:val="auto"/>
              </w:rPr>
            </w:pPr>
            <w:r>
              <w:rPr>
                <w:rFonts w:ascii="Arial" w:cs="Arial" w:eastAsia="Arial" w:hAnsi="Arial"/>
                <w:sz w:val="13"/>
                <w:szCs w:val="13"/>
                <w:color w:val="auto"/>
              </w:rPr>
              <w:t>Puerto Rico</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El Coqui Waste Disposal,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ELDA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Elk River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Minnesota</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Envirofil of Illinois, Inc.</w:t>
            </w:r>
          </w:p>
        </w:tc>
        <w:tc>
          <w:tcPr>
            <w:tcW w:w="5700" w:type="dxa"/>
            <w:vAlign w:val="bottom"/>
          </w:tcPr>
          <w:p>
            <w:pPr>
              <w:ind w:left="3200"/>
              <w:spacing w:after="0"/>
              <w:rPr>
                <w:sz w:val="20"/>
                <w:szCs w:val="20"/>
                <w:color w:val="auto"/>
              </w:rPr>
            </w:pPr>
            <w:r>
              <w:rPr>
                <w:rFonts w:ascii="Arial" w:cs="Arial" w:eastAsia="Arial" w:hAnsi="Arial"/>
                <w:sz w:val="13"/>
                <w:szCs w:val="13"/>
                <w:color w:val="auto"/>
              </w:rPr>
              <w:t>Illinois</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Evergreen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Evergreen Recycling and Disposal Facility, Inc.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Feather River Disposal,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California</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G.I. Industries</w:t>
            </w:r>
          </w:p>
        </w:tc>
        <w:tc>
          <w:tcPr>
            <w:tcW w:w="5700" w:type="dxa"/>
            <w:vAlign w:val="bottom"/>
          </w:tcPr>
          <w:p>
            <w:pPr>
              <w:ind w:left="3200"/>
              <w:spacing w:after="0"/>
              <w:rPr>
                <w:sz w:val="20"/>
                <w:szCs w:val="20"/>
                <w:color w:val="auto"/>
              </w:rPr>
            </w:pPr>
            <w:r>
              <w:rPr>
                <w:rFonts w:ascii="Arial" w:cs="Arial" w:eastAsia="Arial" w:hAnsi="Arial"/>
                <w:sz w:val="13"/>
                <w:szCs w:val="13"/>
                <w:color w:val="auto"/>
              </w:rPr>
              <w:t>Utah</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GA Landfills, Inc.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Gallia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Garick, LLC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Garnet of Maryland, Inc.</w:t>
            </w:r>
          </w:p>
        </w:tc>
        <w:tc>
          <w:tcPr>
            <w:tcW w:w="5700" w:type="dxa"/>
            <w:vAlign w:val="bottom"/>
          </w:tcPr>
          <w:p>
            <w:pPr>
              <w:ind w:left="3200"/>
              <w:spacing w:after="0"/>
              <w:rPr>
                <w:sz w:val="20"/>
                <w:szCs w:val="20"/>
                <w:color w:val="auto"/>
              </w:rPr>
            </w:pPr>
            <w:r>
              <w:rPr>
                <w:rFonts w:ascii="Arial" w:cs="Arial" w:eastAsia="Arial" w:hAnsi="Arial"/>
                <w:sz w:val="13"/>
                <w:szCs w:val="13"/>
                <w:color w:val="auto"/>
              </w:rPr>
              <w:t>Maryland</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Gartran, L.L.C.</w:t>
            </w:r>
          </w:p>
        </w:tc>
        <w:tc>
          <w:tcPr>
            <w:tcW w:w="5700" w:type="dxa"/>
            <w:vAlign w:val="bottom"/>
          </w:tcPr>
          <w:p>
            <w:pPr>
              <w:ind w:left="3200"/>
              <w:spacing w:after="0"/>
              <w:rPr>
                <w:sz w:val="20"/>
                <w:szCs w:val="20"/>
                <w:color w:val="auto"/>
              </w:rPr>
            </w:pPr>
            <w:r>
              <w:rPr>
                <w:rFonts w:ascii="Arial" w:cs="Arial" w:eastAsia="Arial" w:hAnsi="Arial"/>
                <w:sz w:val="13"/>
                <w:szCs w:val="13"/>
                <w:color w:val="auto"/>
              </w:rPr>
              <w:t>Ohio</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Gateway Transfer Station, LLC</w:t>
            </w:r>
          </w:p>
        </w:tc>
        <w:tc>
          <w:tcPr>
            <w:tcW w:w="5700" w:type="dxa"/>
            <w:vAlign w:val="bottom"/>
          </w:tcPr>
          <w:p>
            <w:pPr>
              <w:ind w:left="3200"/>
              <w:spacing w:after="0"/>
              <w:rPr>
                <w:sz w:val="20"/>
                <w:szCs w:val="20"/>
                <w:color w:val="auto"/>
              </w:rPr>
            </w:pPr>
            <w:r>
              <w:rPr>
                <w:rFonts w:ascii="Arial" w:cs="Arial" w:eastAsia="Arial" w:hAnsi="Arial"/>
                <w:sz w:val="13"/>
                <w:szCs w:val="13"/>
                <w:color w:val="auto"/>
              </w:rPr>
              <w:t>Georgia</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Georgia Waste Systems, Inc.</w:t>
            </w:r>
          </w:p>
        </w:tc>
        <w:tc>
          <w:tcPr>
            <w:tcW w:w="5700" w:type="dxa"/>
            <w:vAlign w:val="bottom"/>
          </w:tcPr>
          <w:p>
            <w:pPr>
              <w:ind w:left="3200"/>
              <w:spacing w:after="0"/>
              <w:rPr>
                <w:sz w:val="20"/>
                <w:szCs w:val="20"/>
                <w:color w:val="auto"/>
              </w:rPr>
            </w:pPr>
            <w:r>
              <w:rPr>
                <w:rFonts w:ascii="Arial" w:cs="Arial" w:eastAsia="Arial" w:hAnsi="Arial"/>
                <w:sz w:val="13"/>
                <w:szCs w:val="13"/>
                <w:color w:val="auto"/>
              </w:rPr>
              <w:t>Georgia</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Gestion Des Rebuts D.M.P. Inc.</w:t>
            </w:r>
          </w:p>
        </w:tc>
        <w:tc>
          <w:tcPr>
            <w:tcW w:w="5700" w:type="dxa"/>
            <w:vAlign w:val="bottom"/>
          </w:tcPr>
          <w:p>
            <w:pPr>
              <w:ind w:left="3200"/>
              <w:spacing w:after="0"/>
              <w:rPr>
                <w:sz w:val="20"/>
                <w:szCs w:val="20"/>
                <w:color w:val="auto"/>
              </w:rPr>
            </w:pPr>
            <w:r>
              <w:rPr>
                <w:rFonts w:ascii="Arial" w:cs="Arial" w:eastAsia="Arial" w:hAnsi="Arial"/>
                <w:sz w:val="13"/>
                <w:szCs w:val="13"/>
                <w:color w:val="auto"/>
              </w:rPr>
              <w:t>Quebec</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Giordano Recycling, L.L.C.</w:t>
            </w:r>
          </w:p>
        </w:tc>
        <w:tc>
          <w:tcPr>
            <w:tcW w:w="5700" w:type="dxa"/>
            <w:vAlign w:val="bottom"/>
          </w:tcPr>
          <w:p>
            <w:pPr>
              <w:ind w:left="3200"/>
              <w:spacing w:after="0"/>
              <w:rPr>
                <w:sz w:val="20"/>
                <w:szCs w:val="20"/>
                <w:color w:val="auto"/>
              </w:rPr>
            </w:pPr>
            <w:r>
              <w:rPr>
                <w:rFonts w:ascii="Arial" w:cs="Arial" w:eastAsia="Arial" w:hAnsi="Arial"/>
                <w:sz w:val="13"/>
                <w:szCs w:val="13"/>
                <w:color w:val="auto"/>
              </w:rPr>
              <w:t>Delaware</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Glades Landfill, LLC</w:t>
            </w:r>
          </w:p>
        </w:tc>
        <w:tc>
          <w:tcPr>
            <w:tcW w:w="5700" w:type="dxa"/>
            <w:vAlign w:val="bottom"/>
          </w:tcPr>
          <w:p>
            <w:pPr>
              <w:ind w:left="3200"/>
              <w:spacing w:after="0"/>
              <w:rPr>
                <w:sz w:val="20"/>
                <w:szCs w:val="20"/>
                <w:color w:val="auto"/>
              </w:rPr>
            </w:pPr>
            <w:r>
              <w:rPr>
                <w:rFonts w:ascii="Arial" w:cs="Arial" w:eastAsia="Arial" w:hAnsi="Arial"/>
                <w:sz w:val="13"/>
                <w:szCs w:val="13"/>
                <w:color w:val="auto"/>
              </w:rPr>
              <w:t>Florida</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Glen’s Sanitary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Michigan</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Grand Central Sanitary Landfill, Inc.</w:t>
            </w:r>
          </w:p>
        </w:tc>
        <w:tc>
          <w:tcPr>
            <w:tcW w:w="5700" w:type="dxa"/>
            <w:vAlign w:val="bottom"/>
          </w:tcPr>
          <w:p>
            <w:pPr>
              <w:ind w:left="3200"/>
              <w:spacing w:after="0"/>
              <w:rPr>
                <w:sz w:val="20"/>
                <w:szCs w:val="20"/>
                <w:color w:val="auto"/>
              </w:rPr>
            </w:pPr>
            <w:r>
              <w:rPr>
                <w:rFonts w:ascii="Arial" w:cs="Arial" w:eastAsia="Arial" w:hAnsi="Arial"/>
                <w:sz w:val="13"/>
                <w:szCs w:val="13"/>
                <w:color w:val="auto"/>
              </w:rPr>
              <w:t>Pennsylvania</w:t>
            </w:r>
          </w:p>
        </w:tc>
      </w:tr>
      <w:tr>
        <w:trPr>
          <w:trHeight w:val="165"/>
        </w:trPr>
        <w:tc>
          <w:tcPr>
            <w:tcW w:w="5760" w:type="dxa"/>
            <w:vAlign w:val="bottom"/>
          </w:tcPr>
          <w:p>
            <w:pPr>
              <w:spacing w:after="0"/>
              <w:rPr>
                <w:sz w:val="20"/>
                <w:szCs w:val="20"/>
                <w:color w:val="auto"/>
              </w:rPr>
            </w:pPr>
            <w:r>
              <w:rPr>
                <w:rFonts w:ascii="Arial" w:cs="Arial" w:eastAsia="Arial" w:hAnsi="Arial"/>
                <w:sz w:val="13"/>
                <w:szCs w:val="13"/>
                <w:color w:val="auto"/>
              </w:rPr>
              <w:t>Greenbow, LLC</w:t>
            </w:r>
          </w:p>
        </w:tc>
        <w:tc>
          <w:tcPr>
            <w:tcW w:w="5700" w:type="dxa"/>
            <w:vAlign w:val="bottom"/>
          </w:tcPr>
          <w:p>
            <w:pPr>
              <w:ind w:left="3200"/>
              <w:spacing w:after="0"/>
              <w:rPr>
                <w:sz w:val="20"/>
                <w:szCs w:val="20"/>
                <w:color w:val="auto"/>
              </w:rPr>
            </w:pPr>
            <w:r>
              <w:rPr>
                <w:rFonts w:ascii="Arial" w:cs="Arial" w:eastAsia="Arial" w:hAnsi="Arial"/>
                <w:sz w:val="13"/>
                <w:szCs w:val="13"/>
                <w:color w:val="auto"/>
              </w:rPr>
              <w:t>Alabama</w:t>
            </w:r>
          </w:p>
        </w:tc>
      </w:tr>
      <w:tr>
        <w:trPr>
          <w:trHeight w:val="458"/>
        </w:trPr>
        <w:tc>
          <w:tcPr>
            <w:tcW w:w="576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15"/>
        </w:trPr>
        <w:tc>
          <w:tcPr>
            <w:tcW w:w="5820" w:type="dxa"/>
            <w:vAlign w:val="bottom"/>
          </w:tcPr>
          <w:p>
            <w:pPr>
              <w:spacing w:after="0"/>
              <w:rPr>
                <w:sz w:val="10"/>
                <w:szCs w:val="10"/>
                <w:color w:val="auto"/>
              </w:rPr>
            </w:pPr>
          </w:p>
        </w:tc>
        <w:tc>
          <w:tcPr>
            <w:tcW w:w="5640" w:type="dxa"/>
            <w:vAlign w:val="bottom"/>
          </w:tcPr>
          <w:p>
            <w:pPr>
              <w:ind w:left="3140"/>
              <w:spacing w:after="0"/>
              <w:rPr>
                <w:sz w:val="20"/>
                <w:szCs w:val="20"/>
                <w:color w:val="auto"/>
              </w:rPr>
            </w:pPr>
            <w:r>
              <w:rPr>
                <w:rFonts w:ascii="Arial" w:cs="Arial" w:eastAsia="Arial" w:hAnsi="Arial"/>
                <w:sz w:val="10"/>
                <w:szCs w:val="10"/>
                <w:b w:val="1"/>
                <w:bCs w:val="1"/>
                <w:i w:val="1"/>
                <w:iCs w:val="1"/>
                <w:color w:val="auto"/>
              </w:rPr>
              <w:t>Jurisdiction</w:t>
            </w:r>
          </w:p>
        </w:tc>
      </w:tr>
      <w:tr>
        <w:trPr>
          <w:trHeight w:val="112"/>
        </w:trPr>
        <w:tc>
          <w:tcPr>
            <w:tcW w:w="5820" w:type="dxa"/>
            <w:vAlign w:val="bottom"/>
          </w:tcPr>
          <w:p>
            <w:pPr>
              <w:spacing w:after="0" w:line="113" w:lineRule="exact"/>
              <w:rPr>
                <w:sz w:val="20"/>
                <w:szCs w:val="20"/>
                <w:color w:val="auto"/>
              </w:rPr>
            </w:pPr>
            <w:r>
              <w:rPr>
                <w:rFonts w:ascii="Arial" w:cs="Arial" w:eastAsia="Arial" w:hAnsi="Arial"/>
                <w:sz w:val="10"/>
                <w:szCs w:val="10"/>
                <w:b w:val="1"/>
                <w:bCs w:val="1"/>
                <w:i w:val="1"/>
                <w:iCs w:val="1"/>
                <w:color w:val="auto"/>
              </w:rPr>
              <w:t>Name of Entity</w:t>
            </w:r>
          </w:p>
        </w:tc>
        <w:tc>
          <w:tcPr>
            <w:tcW w:w="5640" w:type="dxa"/>
            <w:vAlign w:val="bottom"/>
          </w:tcPr>
          <w:p>
            <w:pPr>
              <w:ind w:left="3140"/>
              <w:spacing w:after="0" w:line="113" w:lineRule="exact"/>
              <w:rPr>
                <w:sz w:val="20"/>
                <w:szCs w:val="20"/>
                <w:color w:val="auto"/>
              </w:rPr>
            </w:pPr>
            <w:r>
              <w:rPr>
                <w:rFonts w:ascii="Arial" w:cs="Arial" w:eastAsia="Arial" w:hAnsi="Arial"/>
                <w:sz w:val="10"/>
                <w:szCs w:val="10"/>
                <w:b w:val="1"/>
                <w:bCs w:val="1"/>
                <w:i w:val="1"/>
                <w:iCs w:val="1"/>
                <w:color w:val="auto"/>
              </w:rPr>
              <w:t>Incorporation/Formation</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Grupo WMX, S.A. De C.V.</w:t>
            </w:r>
          </w:p>
        </w:tc>
        <w:tc>
          <w:tcPr>
            <w:tcW w:w="5640" w:type="dxa"/>
            <w:vAlign w:val="bottom"/>
          </w:tcPr>
          <w:p>
            <w:pPr>
              <w:ind w:left="3140"/>
              <w:spacing w:after="0"/>
              <w:rPr>
                <w:sz w:val="20"/>
                <w:szCs w:val="20"/>
                <w:color w:val="auto"/>
              </w:rPr>
            </w:pPr>
            <w:r>
              <w:rPr>
                <w:rFonts w:ascii="Arial" w:cs="Arial" w:eastAsia="Arial" w:hAnsi="Arial"/>
                <w:sz w:val="13"/>
                <w:szCs w:val="13"/>
                <w:color w:val="auto"/>
              </w:rPr>
              <w:t>Mexico</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Guadalupe Mines Mutual Water Company</w:t>
            </w:r>
          </w:p>
        </w:tc>
        <w:tc>
          <w:tcPr>
            <w:tcW w:w="5640" w:type="dxa"/>
            <w:vAlign w:val="bottom"/>
          </w:tcPr>
          <w:p>
            <w:pPr>
              <w:ind w:left="3140"/>
              <w:spacing w:after="0"/>
              <w:rPr>
                <w:sz w:val="20"/>
                <w:szCs w:val="20"/>
                <w:color w:val="auto"/>
              </w:rPr>
            </w:pPr>
            <w:r>
              <w:rPr>
                <w:rFonts w:ascii="Arial" w:cs="Arial" w:eastAsia="Arial" w:hAnsi="Arial"/>
                <w:sz w:val="13"/>
                <w:szCs w:val="13"/>
                <w:color w:val="auto"/>
              </w:rPr>
              <w:t>California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Guadalupe Rubbish Disposal Co., Inc.</w:t>
            </w:r>
          </w:p>
        </w:tc>
        <w:tc>
          <w:tcPr>
            <w:tcW w:w="5640" w:type="dxa"/>
            <w:vAlign w:val="bottom"/>
          </w:tcPr>
          <w:p>
            <w:pPr>
              <w:ind w:left="3140"/>
              <w:spacing w:after="0"/>
              <w:rPr>
                <w:sz w:val="20"/>
                <w:szCs w:val="20"/>
                <w:color w:val="auto"/>
              </w:rPr>
            </w:pPr>
            <w:r>
              <w:rPr>
                <w:rFonts w:ascii="Arial" w:cs="Arial" w:eastAsia="Arial" w:hAnsi="Arial"/>
                <w:sz w:val="13"/>
                <w:szCs w:val="13"/>
                <w:color w:val="auto"/>
              </w:rPr>
              <w:t>California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Guam Resource Recovery Partners, L.P.</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Harris Sanitation, Inc.</w:t>
            </w:r>
          </w:p>
        </w:tc>
        <w:tc>
          <w:tcPr>
            <w:tcW w:w="5640" w:type="dxa"/>
            <w:vAlign w:val="bottom"/>
          </w:tcPr>
          <w:p>
            <w:pPr>
              <w:ind w:left="3140"/>
              <w:spacing w:after="0"/>
              <w:rPr>
                <w:sz w:val="20"/>
                <w:szCs w:val="20"/>
                <w:color w:val="auto"/>
              </w:rPr>
            </w:pPr>
            <w:r>
              <w:rPr>
                <w:rFonts w:ascii="Arial" w:cs="Arial" w:eastAsia="Arial" w:hAnsi="Arial"/>
                <w:sz w:val="13"/>
                <w:szCs w:val="13"/>
                <w:color w:val="auto"/>
              </w:rPr>
              <w:t>Florida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Harwood Landfill, Inc.</w:t>
            </w:r>
          </w:p>
        </w:tc>
        <w:tc>
          <w:tcPr>
            <w:tcW w:w="5640" w:type="dxa"/>
            <w:vAlign w:val="bottom"/>
          </w:tcPr>
          <w:p>
            <w:pPr>
              <w:ind w:left="3140"/>
              <w:spacing w:after="0"/>
              <w:rPr>
                <w:sz w:val="20"/>
                <w:szCs w:val="20"/>
                <w:color w:val="auto"/>
              </w:rPr>
            </w:pPr>
            <w:r>
              <w:rPr>
                <w:rFonts w:ascii="Arial" w:cs="Arial" w:eastAsia="Arial" w:hAnsi="Arial"/>
                <w:sz w:val="13"/>
                <w:szCs w:val="13"/>
                <w:color w:val="auto"/>
              </w:rPr>
              <w:t>Maryland</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Hedco Landfill Limited</w:t>
            </w:r>
          </w:p>
        </w:tc>
        <w:tc>
          <w:tcPr>
            <w:tcW w:w="5640" w:type="dxa"/>
            <w:vAlign w:val="bottom"/>
          </w:tcPr>
          <w:p>
            <w:pPr>
              <w:ind w:left="3140"/>
              <w:spacing w:after="0"/>
              <w:rPr>
                <w:sz w:val="20"/>
                <w:szCs w:val="20"/>
                <w:color w:val="auto"/>
              </w:rPr>
            </w:pPr>
            <w:r>
              <w:rPr>
                <w:rFonts w:ascii="Arial" w:cs="Arial" w:eastAsia="Arial" w:hAnsi="Arial"/>
                <w:sz w:val="13"/>
                <w:szCs w:val="13"/>
                <w:color w:val="auto"/>
              </w:rPr>
              <w:t>England</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High Mountain Fuels LLC</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Hillsboro Landfill Inc.</w:t>
            </w:r>
          </w:p>
        </w:tc>
        <w:tc>
          <w:tcPr>
            <w:tcW w:w="5640" w:type="dxa"/>
            <w:vAlign w:val="bottom"/>
          </w:tcPr>
          <w:p>
            <w:pPr>
              <w:ind w:left="3140"/>
              <w:spacing w:after="0"/>
              <w:rPr>
                <w:sz w:val="20"/>
                <w:szCs w:val="20"/>
                <w:color w:val="auto"/>
              </w:rPr>
            </w:pPr>
            <w:r>
              <w:rPr>
                <w:rFonts w:ascii="Arial" w:cs="Arial" w:eastAsia="Arial" w:hAnsi="Arial"/>
                <w:sz w:val="13"/>
                <w:szCs w:val="13"/>
                <w:color w:val="auto"/>
              </w:rPr>
              <w:t>Oregon</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Holyoke Sanitary Landfill, Inc.</w:t>
            </w:r>
          </w:p>
        </w:tc>
        <w:tc>
          <w:tcPr>
            <w:tcW w:w="5640" w:type="dxa"/>
            <w:vAlign w:val="bottom"/>
          </w:tcPr>
          <w:p>
            <w:pPr>
              <w:ind w:left="3140"/>
              <w:spacing w:after="0"/>
              <w:rPr>
                <w:sz w:val="20"/>
                <w:szCs w:val="20"/>
                <w:color w:val="auto"/>
              </w:rPr>
            </w:pPr>
            <w:r>
              <w:rPr>
                <w:rFonts w:ascii="Arial" w:cs="Arial" w:eastAsia="Arial" w:hAnsi="Arial"/>
                <w:sz w:val="13"/>
                <w:szCs w:val="13"/>
                <w:color w:val="auto"/>
              </w:rPr>
              <w:t>Massachusetts</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IN Landfills, L.L.C.</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Jahner Sanitation, Inc.</w:t>
            </w:r>
          </w:p>
        </w:tc>
        <w:tc>
          <w:tcPr>
            <w:tcW w:w="5640" w:type="dxa"/>
            <w:vAlign w:val="bottom"/>
          </w:tcPr>
          <w:p>
            <w:pPr>
              <w:ind w:left="3140"/>
              <w:spacing w:after="0"/>
              <w:rPr>
                <w:sz w:val="20"/>
                <w:szCs w:val="20"/>
                <w:color w:val="auto"/>
              </w:rPr>
            </w:pPr>
            <w:r>
              <w:rPr>
                <w:rFonts w:ascii="Arial" w:cs="Arial" w:eastAsia="Arial" w:hAnsi="Arial"/>
                <w:sz w:val="13"/>
                <w:szCs w:val="13"/>
                <w:color w:val="auto"/>
              </w:rPr>
              <w:t>North Dakota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Jay County Landfill, L.L.C.</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JFS (UK) Limited</w:t>
            </w:r>
          </w:p>
        </w:tc>
        <w:tc>
          <w:tcPr>
            <w:tcW w:w="5640" w:type="dxa"/>
            <w:vAlign w:val="bottom"/>
          </w:tcPr>
          <w:p>
            <w:pPr>
              <w:ind w:left="3140"/>
              <w:spacing w:after="0"/>
              <w:rPr>
                <w:sz w:val="20"/>
                <w:szCs w:val="20"/>
                <w:color w:val="auto"/>
              </w:rPr>
            </w:pPr>
            <w:r>
              <w:rPr>
                <w:rFonts w:ascii="Arial" w:cs="Arial" w:eastAsia="Arial" w:hAnsi="Arial"/>
                <w:sz w:val="13"/>
                <w:szCs w:val="13"/>
                <w:color w:val="auto"/>
              </w:rPr>
              <w:t>England</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K and W Landfill Inc.</w:t>
            </w:r>
          </w:p>
        </w:tc>
        <w:tc>
          <w:tcPr>
            <w:tcW w:w="5640" w:type="dxa"/>
            <w:vAlign w:val="bottom"/>
          </w:tcPr>
          <w:p>
            <w:pPr>
              <w:ind w:left="3140"/>
              <w:spacing w:after="0"/>
              <w:rPr>
                <w:sz w:val="20"/>
                <w:szCs w:val="20"/>
                <w:color w:val="auto"/>
              </w:rPr>
            </w:pPr>
            <w:r>
              <w:rPr>
                <w:rFonts w:ascii="Arial" w:cs="Arial" w:eastAsia="Arial" w:hAnsi="Arial"/>
                <w:sz w:val="13"/>
                <w:szCs w:val="13"/>
                <w:color w:val="auto"/>
              </w:rPr>
              <w:t>Michigan</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Keene Road Landfill, Inc.</w:t>
            </w:r>
          </w:p>
        </w:tc>
        <w:tc>
          <w:tcPr>
            <w:tcW w:w="5640" w:type="dxa"/>
            <w:vAlign w:val="bottom"/>
          </w:tcPr>
          <w:p>
            <w:pPr>
              <w:ind w:left="3140"/>
              <w:spacing w:after="0"/>
              <w:rPr>
                <w:sz w:val="20"/>
                <w:szCs w:val="20"/>
                <w:color w:val="auto"/>
              </w:rPr>
            </w:pPr>
            <w:r>
              <w:rPr>
                <w:rFonts w:ascii="Arial" w:cs="Arial" w:eastAsia="Arial" w:hAnsi="Arial"/>
                <w:sz w:val="13"/>
                <w:szCs w:val="13"/>
                <w:color w:val="auto"/>
              </w:rPr>
              <w:t>Florida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Kelly Run Sanitation, Inc.</w:t>
            </w:r>
          </w:p>
        </w:tc>
        <w:tc>
          <w:tcPr>
            <w:tcW w:w="5640" w:type="dxa"/>
            <w:vAlign w:val="bottom"/>
          </w:tcPr>
          <w:p>
            <w:pPr>
              <w:ind w:left="3140"/>
              <w:spacing w:after="0"/>
              <w:rPr>
                <w:sz w:val="20"/>
                <w:szCs w:val="20"/>
                <w:color w:val="auto"/>
              </w:rPr>
            </w:pPr>
            <w:r>
              <w:rPr>
                <w:rFonts w:ascii="Arial" w:cs="Arial" w:eastAsia="Arial" w:hAnsi="Arial"/>
                <w:sz w:val="13"/>
                <w:szCs w:val="13"/>
                <w:color w:val="auto"/>
              </w:rPr>
              <w:t>Pennsylvania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Key Disposal Ltd.</w:t>
            </w:r>
          </w:p>
        </w:tc>
        <w:tc>
          <w:tcPr>
            <w:tcW w:w="5640" w:type="dxa"/>
            <w:vAlign w:val="bottom"/>
          </w:tcPr>
          <w:p>
            <w:pPr>
              <w:ind w:left="3140"/>
              <w:spacing w:after="0"/>
              <w:rPr>
                <w:sz w:val="20"/>
                <w:szCs w:val="20"/>
                <w:color w:val="auto"/>
              </w:rPr>
            </w:pPr>
            <w:r>
              <w:rPr>
                <w:rFonts w:ascii="Arial" w:cs="Arial" w:eastAsia="Arial" w:hAnsi="Arial"/>
                <w:sz w:val="13"/>
                <w:szCs w:val="13"/>
                <w:color w:val="auto"/>
              </w:rPr>
              <w:t>British Columbia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King George Landfill Properties, LLC</w:t>
            </w:r>
          </w:p>
        </w:tc>
        <w:tc>
          <w:tcPr>
            <w:tcW w:w="5640" w:type="dxa"/>
            <w:vAlign w:val="bottom"/>
          </w:tcPr>
          <w:p>
            <w:pPr>
              <w:ind w:left="3140"/>
              <w:spacing w:after="0"/>
              <w:rPr>
                <w:sz w:val="20"/>
                <w:szCs w:val="20"/>
                <w:color w:val="auto"/>
              </w:rPr>
            </w:pPr>
            <w:r>
              <w:rPr>
                <w:rFonts w:ascii="Arial" w:cs="Arial" w:eastAsia="Arial" w:hAnsi="Arial"/>
                <w:sz w:val="13"/>
                <w:szCs w:val="13"/>
                <w:color w:val="auto"/>
              </w:rPr>
              <w:t>Virginia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King George Landfill, Inc.</w:t>
            </w:r>
          </w:p>
        </w:tc>
        <w:tc>
          <w:tcPr>
            <w:tcW w:w="5640" w:type="dxa"/>
            <w:vAlign w:val="bottom"/>
          </w:tcPr>
          <w:p>
            <w:pPr>
              <w:ind w:left="3140"/>
              <w:spacing w:after="0"/>
              <w:rPr>
                <w:sz w:val="20"/>
                <w:szCs w:val="20"/>
                <w:color w:val="auto"/>
              </w:rPr>
            </w:pPr>
            <w:r>
              <w:rPr>
                <w:rFonts w:ascii="Arial" w:cs="Arial" w:eastAsia="Arial" w:hAnsi="Arial"/>
                <w:sz w:val="13"/>
                <w:szCs w:val="13"/>
                <w:color w:val="auto"/>
              </w:rPr>
              <w:t>Virginia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Lakeville Recycling, L.P.</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Land Reclamation Company, Inc.</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Land South Holdings, LLC</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Landfill Services of Charleston, Inc.</w:t>
            </w:r>
          </w:p>
        </w:tc>
        <w:tc>
          <w:tcPr>
            <w:tcW w:w="5640" w:type="dxa"/>
            <w:vAlign w:val="bottom"/>
          </w:tcPr>
          <w:p>
            <w:pPr>
              <w:ind w:left="3140"/>
              <w:spacing w:after="0"/>
              <w:rPr>
                <w:sz w:val="20"/>
                <w:szCs w:val="20"/>
                <w:color w:val="auto"/>
              </w:rPr>
            </w:pPr>
            <w:r>
              <w:rPr>
                <w:rFonts w:ascii="Arial" w:cs="Arial" w:eastAsia="Arial" w:hAnsi="Arial"/>
                <w:sz w:val="13"/>
                <w:szCs w:val="13"/>
                <w:color w:val="auto"/>
              </w:rPr>
              <w:t>West Virginia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Laurel Highlands Landfill, Inc.</w:t>
            </w:r>
          </w:p>
        </w:tc>
        <w:tc>
          <w:tcPr>
            <w:tcW w:w="5640" w:type="dxa"/>
            <w:vAlign w:val="bottom"/>
          </w:tcPr>
          <w:p>
            <w:pPr>
              <w:ind w:left="3140"/>
              <w:spacing w:after="0"/>
              <w:rPr>
                <w:sz w:val="20"/>
                <w:szCs w:val="20"/>
                <w:color w:val="auto"/>
              </w:rPr>
            </w:pPr>
            <w:r>
              <w:rPr>
                <w:rFonts w:ascii="Arial" w:cs="Arial" w:eastAsia="Arial" w:hAnsi="Arial"/>
                <w:sz w:val="13"/>
                <w:szCs w:val="13"/>
                <w:color w:val="auto"/>
              </w:rPr>
              <w:t>Pennsylvania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LCS Services, Inc.</w:t>
            </w:r>
          </w:p>
        </w:tc>
        <w:tc>
          <w:tcPr>
            <w:tcW w:w="5640" w:type="dxa"/>
            <w:vAlign w:val="bottom"/>
          </w:tcPr>
          <w:p>
            <w:pPr>
              <w:ind w:left="3140"/>
              <w:spacing w:after="0"/>
              <w:rPr>
                <w:sz w:val="20"/>
                <w:szCs w:val="20"/>
                <w:color w:val="auto"/>
              </w:rPr>
            </w:pPr>
            <w:r>
              <w:rPr>
                <w:rFonts w:ascii="Arial" w:cs="Arial" w:eastAsia="Arial" w:hAnsi="Arial"/>
                <w:sz w:val="13"/>
                <w:szCs w:val="13"/>
                <w:color w:val="auto"/>
              </w:rPr>
              <w:t>West Virginia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Liberty Landfill, L.L.C.</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Liberty Lane West Owners’ Association</w:t>
            </w:r>
          </w:p>
        </w:tc>
        <w:tc>
          <w:tcPr>
            <w:tcW w:w="5640" w:type="dxa"/>
            <w:vAlign w:val="bottom"/>
          </w:tcPr>
          <w:p>
            <w:pPr>
              <w:ind w:left="3140"/>
              <w:spacing w:after="0"/>
              <w:rPr>
                <w:sz w:val="20"/>
                <w:szCs w:val="20"/>
                <w:color w:val="auto"/>
              </w:rPr>
            </w:pPr>
            <w:r>
              <w:rPr>
                <w:rFonts w:ascii="Arial" w:cs="Arial" w:eastAsia="Arial" w:hAnsi="Arial"/>
                <w:sz w:val="13"/>
                <w:szCs w:val="13"/>
                <w:color w:val="auto"/>
              </w:rPr>
              <w:t>New Hampshire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Liquid Waste Management, Inc.</w:t>
            </w:r>
          </w:p>
        </w:tc>
        <w:tc>
          <w:tcPr>
            <w:tcW w:w="5640" w:type="dxa"/>
            <w:vAlign w:val="bottom"/>
          </w:tcPr>
          <w:p>
            <w:pPr>
              <w:ind w:left="3140"/>
              <w:spacing w:after="0"/>
              <w:rPr>
                <w:sz w:val="20"/>
                <w:szCs w:val="20"/>
                <w:color w:val="auto"/>
              </w:rPr>
            </w:pPr>
            <w:r>
              <w:rPr>
                <w:rFonts w:ascii="Arial" w:cs="Arial" w:eastAsia="Arial" w:hAnsi="Arial"/>
                <w:sz w:val="13"/>
                <w:szCs w:val="13"/>
                <w:color w:val="auto"/>
              </w:rPr>
              <w:t>California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Longleaf C&amp;D Disposal Facility, Inc.</w:t>
            </w:r>
          </w:p>
        </w:tc>
        <w:tc>
          <w:tcPr>
            <w:tcW w:w="5640" w:type="dxa"/>
            <w:vAlign w:val="bottom"/>
          </w:tcPr>
          <w:p>
            <w:pPr>
              <w:ind w:left="3140"/>
              <w:spacing w:after="0"/>
              <w:rPr>
                <w:sz w:val="20"/>
                <w:szCs w:val="20"/>
                <w:color w:val="auto"/>
              </w:rPr>
            </w:pPr>
            <w:r>
              <w:rPr>
                <w:rFonts w:ascii="Arial" w:cs="Arial" w:eastAsia="Arial" w:hAnsi="Arial"/>
                <w:sz w:val="13"/>
                <w:szCs w:val="13"/>
                <w:color w:val="auto"/>
              </w:rPr>
              <w:t>Florida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Longmont Landfill, L.L.C.</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Looney Bins, Inc.</w:t>
            </w:r>
          </w:p>
        </w:tc>
        <w:tc>
          <w:tcPr>
            <w:tcW w:w="5640" w:type="dxa"/>
            <w:vAlign w:val="bottom"/>
          </w:tcPr>
          <w:p>
            <w:pPr>
              <w:ind w:left="3140"/>
              <w:spacing w:after="0"/>
              <w:rPr>
                <w:sz w:val="20"/>
                <w:szCs w:val="20"/>
                <w:color w:val="auto"/>
              </w:rPr>
            </w:pPr>
            <w:r>
              <w:rPr>
                <w:rFonts w:ascii="Arial" w:cs="Arial" w:eastAsia="Arial" w:hAnsi="Arial"/>
                <w:sz w:val="13"/>
                <w:szCs w:val="13"/>
                <w:color w:val="auto"/>
              </w:rPr>
              <w:t>California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M.S.T.S., Inc.</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Mahoning Landfill, Inc.</w:t>
            </w:r>
          </w:p>
        </w:tc>
        <w:tc>
          <w:tcPr>
            <w:tcW w:w="5640" w:type="dxa"/>
            <w:vAlign w:val="bottom"/>
          </w:tcPr>
          <w:p>
            <w:pPr>
              <w:ind w:left="3140"/>
              <w:spacing w:after="0"/>
              <w:rPr>
                <w:sz w:val="20"/>
                <w:szCs w:val="20"/>
                <w:color w:val="auto"/>
              </w:rPr>
            </w:pPr>
            <w:r>
              <w:rPr>
                <w:rFonts w:ascii="Arial" w:cs="Arial" w:eastAsia="Arial" w:hAnsi="Arial"/>
                <w:sz w:val="13"/>
                <w:szCs w:val="13"/>
                <w:color w:val="auto"/>
              </w:rPr>
              <w:t>Ohio</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Mass Gravel Inc.</w:t>
            </w:r>
          </w:p>
        </w:tc>
        <w:tc>
          <w:tcPr>
            <w:tcW w:w="5640" w:type="dxa"/>
            <w:vAlign w:val="bottom"/>
          </w:tcPr>
          <w:p>
            <w:pPr>
              <w:ind w:left="3140"/>
              <w:spacing w:after="0"/>
              <w:rPr>
                <w:sz w:val="20"/>
                <w:szCs w:val="20"/>
                <w:color w:val="auto"/>
              </w:rPr>
            </w:pPr>
            <w:r>
              <w:rPr>
                <w:rFonts w:ascii="Arial" w:cs="Arial" w:eastAsia="Arial" w:hAnsi="Arial"/>
                <w:sz w:val="13"/>
                <w:szCs w:val="13"/>
                <w:color w:val="auto"/>
              </w:rPr>
              <w:t>Massachusetts</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Mc Ginnes Industrial Maintenance Corporation</w:t>
            </w:r>
          </w:p>
        </w:tc>
        <w:tc>
          <w:tcPr>
            <w:tcW w:w="5640" w:type="dxa"/>
            <w:vAlign w:val="bottom"/>
          </w:tcPr>
          <w:p>
            <w:pPr>
              <w:ind w:left="3140"/>
              <w:spacing w:after="0"/>
              <w:rPr>
                <w:sz w:val="20"/>
                <w:szCs w:val="20"/>
                <w:color w:val="auto"/>
              </w:rPr>
            </w:pPr>
            <w:r>
              <w:rPr>
                <w:rFonts w:ascii="Arial" w:cs="Arial" w:eastAsia="Arial" w:hAnsi="Arial"/>
                <w:sz w:val="13"/>
                <w:szCs w:val="13"/>
                <w:color w:val="auto"/>
              </w:rPr>
              <w:t>Texas</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McDaniel Landfill, Inc.</w:t>
            </w:r>
          </w:p>
        </w:tc>
        <w:tc>
          <w:tcPr>
            <w:tcW w:w="5640" w:type="dxa"/>
            <w:vAlign w:val="bottom"/>
          </w:tcPr>
          <w:p>
            <w:pPr>
              <w:ind w:left="3140"/>
              <w:spacing w:after="0"/>
              <w:rPr>
                <w:sz w:val="20"/>
                <w:szCs w:val="20"/>
                <w:color w:val="auto"/>
              </w:rPr>
            </w:pPr>
            <w:r>
              <w:rPr>
                <w:rFonts w:ascii="Arial" w:cs="Arial" w:eastAsia="Arial" w:hAnsi="Arial"/>
                <w:sz w:val="13"/>
                <w:szCs w:val="13"/>
                <w:color w:val="auto"/>
              </w:rPr>
              <w:t>North Dakota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McGill Landfill, Inc.</w:t>
            </w:r>
          </w:p>
        </w:tc>
        <w:tc>
          <w:tcPr>
            <w:tcW w:w="5640" w:type="dxa"/>
            <w:vAlign w:val="bottom"/>
          </w:tcPr>
          <w:p>
            <w:pPr>
              <w:ind w:left="3140"/>
              <w:spacing w:after="0"/>
              <w:rPr>
                <w:sz w:val="20"/>
                <w:szCs w:val="20"/>
                <w:color w:val="auto"/>
              </w:rPr>
            </w:pPr>
            <w:r>
              <w:rPr>
                <w:rFonts w:ascii="Arial" w:cs="Arial" w:eastAsia="Arial" w:hAnsi="Arial"/>
                <w:sz w:val="13"/>
                <w:szCs w:val="13"/>
                <w:color w:val="auto"/>
              </w:rPr>
              <w:t>Michigan</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Meadowfill Landfill, Inc.</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Michigan Environs, Inc.</w:t>
            </w:r>
          </w:p>
        </w:tc>
        <w:tc>
          <w:tcPr>
            <w:tcW w:w="5640" w:type="dxa"/>
            <w:vAlign w:val="bottom"/>
          </w:tcPr>
          <w:p>
            <w:pPr>
              <w:ind w:left="3140"/>
              <w:spacing w:after="0"/>
              <w:rPr>
                <w:sz w:val="20"/>
                <w:szCs w:val="20"/>
                <w:color w:val="auto"/>
              </w:rPr>
            </w:pPr>
            <w:r>
              <w:rPr>
                <w:rFonts w:ascii="Arial" w:cs="Arial" w:eastAsia="Arial" w:hAnsi="Arial"/>
                <w:sz w:val="13"/>
                <w:szCs w:val="13"/>
                <w:color w:val="auto"/>
              </w:rPr>
              <w:t>Michigan</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Midwest One Land Corporation</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Modern-Mallard Energy, LLC</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Modesto Garbage Co., Inc.</w:t>
            </w:r>
          </w:p>
        </w:tc>
        <w:tc>
          <w:tcPr>
            <w:tcW w:w="5640" w:type="dxa"/>
            <w:vAlign w:val="bottom"/>
          </w:tcPr>
          <w:p>
            <w:pPr>
              <w:ind w:left="3140"/>
              <w:spacing w:after="0"/>
              <w:rPr>
                <w:sz w:val="20"/>
                <w:szCs w:val="20"/>
                <w:color w:val="auto"/>
              </w:rPr>
            </w:pPr>
            <w:r>
              <w:rPr>
                <w:rFonts w:ascii="Arial" w:cs="Arial" w:eastAsia="Arial" w:hAnsi="Arial"/>
                <w:sz w:val="13"/>
                <w:szCs w:val="13"/>
                <w:color w:val="auto"/>
              </w:rPr>
              <w:t>California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Moor Refuse, Inc.</w:t>
            </w:r>
          </w:p>
        </w:tc>
        <w:tc>
          <w:tcPr>
            <w:tcW w:w="5640" w:type="dxa"/>
            <w:vAlign w:val="bottom"/>
          </w:tcPr>
          <w:p>
            <w:pPr>
              <w:ind w:left="3140"/>
              <w:spacing w:after="0"/>
              <w:rPr>
                <w:sz w:val="20"/>
                <w:szCs w:val="20"/>
                <w:color w:val="auto"/>
              </w:rPr>
            </w:pPr>
            <w:r>
              <w:rPr>
                <w:rFonts w:ascii="Arial" w:cs="Arial" w:eastAsia="Arial" w:hAnsi="Arial"/>
                <w:sz w:val="13"/>
                <w:szCs w:val="13"/>
                <w:color w:val="auto"/>
              </w:rPr>
              <w:t>California</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Mountain High Medical Disposal Services, Inc.</w:t>
            </w:r>
          </w:p>
        </w:tc>
        <w:tc>
          <w:tcPr>
            <w:tcW w:w="5640" w:type="dxa"/>
            <w:vAlign w:val="bottom"/>
          </w:tcPr>
          <w:p>
            <w:pPr>
              <w:ind w:left="3140"/>
              <w:spacing w:after="0"/>
              <w:rPr>
                <w:sz w:val="20"/>
                <w:szCs w:val="20"/>
                <w:color w:val="auto"/>
              </w:rPr>
            </w:pPr>
            <w:r>
              <w:rPr>
                <w:rFonts w:ascii="Arial" w:cs="Arial" w:eastAsia="Arial" w:hAnsi="Arial"/>
                <w:sz w:val="13"/>
                <w:szCs w:val="13"/>
                <w:color w:val="auto"/>
              </w:rPr>
              <w:t>Utah</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Mountain Indemnity Insurance Company</w:t>
            </w:r>
          </w:p>
        </w:tc>
        <w:tc>
          <w:tcPr>
            <w:tcW w:w="5640" w:type="dxa"/>
            <w:vAlign w:val="bottom"/>
          </w:tcPr>
          <w:p>
            <w:pPr>
              <w:ind w:left="3140"/>
              <w:spacing w:after="0"/>
              <w:rPr>
                <w:sz w:val="20"/>
                <w:szCs w:val="20"/>
                <w:color w:val="auto"/>
              </w:rPr>
            </w:pPr>
            <w:r>
              <w:rPr>
                <w:rFonts w:ascii="Arial" w:cs="Arial" w:eastAsia="Arial" w:hAnsi="Arial"/>
                <w:sz w:val="13"/>
                <w:szCs w:val="13"/>
                <w:color w:val="auto"/>
              </w:rPr>
              <w:t>Vermont</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Mountainview Landfill, Inc. (MD)</w:t>
            </w:r>
          </w:p>
        </w:tc>
        <w:tc>
          <w:tcPr>
            <w:tcW w:w="5640" w:type="dxa"/>
            <w:vAlign w:val="bottom"/>
          </w:tcPr>
          <w:p>
            <w:pPr>
              <w:ind w:left="3140"/>
              <w:spacing w:after="0"/>
              <w:rPr>
                <w:sz w:val="20"/>
                <w:szCs w:val="20"/>
                <w:color w:val="auto"/>
              </w:rPr>
            </w:pPr>
            <w:r>
              <w:rPr>
                <w:rFonts w:ascii="Arial" w:cs="Arial" w:eastAsia="Arial" w:hAnsi="Arial"/>
                <w:sz w:val="13"/>
                <w:szCs w:val="13"/>
                <w:color w:val="auto"/>
              </w:rPr>
              <w:t>Maryland</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Mountainview Landfill, Inc. (UT)</w:t>
            </w:r>
          </w:p>
        </w:tc>
        <w:tc>
          <w:tcPr>
            <w:tcW w:w="5640" w:type="dxa"/>
            <w:vAlign w:val="bottom"/>
          </w:tcPr>
          <w:p>
            <w:pPr>
              <w:ind w:left="3140"/>
              <w:spacing w:after="0"/>
              <w:rPr>
                <w:sz w:val="20"/>
                <w:szCs w:val="20"/>
                <w:color w:val="auto"/>
              </w:rPr>
            </w:pPr>
            <w:r>
              <w:rPr>
                <w:rFonts w:ascii="Arial" w:cs="Arial" w:eastAsia="Arial" w:hAnsi="Arial"/>
                <w:sz w:val="13"/>
                <w:szCs w:val="13"/>
                <w:color w:val="auto"/>
              </w:rPr>
              <w:t>Utah</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Nassau Landfill, L.L.C.</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National Guaranty Insurance Company of Vermont</w:t>
            </w:r>
          </w:p>
        </w:tc>
        <w:tc>
          <w:tcPr>
            <w:tcW w:w="5640" w:type="dxa"/>
            <w:vAlign w:val="bottom"/>
          </w:tcPr>
          <w:p>
            <w:pPr>
              <w:ind w:left="3140"/>
              <w:spacing w:after="0"/>
              <w:rPr>
                <w:sz w:val="20"/>
                <w:szCs w:val="20"/>
                <w:color w:val="auto"/>
              </w:rPr>
            </w:pPr>
            <w:r>
              <w:rPr>
                <w:rFonts w:ascii="Arial" w:cs="Arial" w:eastAsia="Arial" w:hAnsi="Arial"/>
                <w:sz w:val="13"/>
                <w:szCs w:val="13"/>
                <w:color w:val="auto"/>
              </w:rPr>
              <w:t>Vermont</w:t>
            </w:r>
          </w:p>
        </w:tc>
      </w:tr>
      <w:tr>
        <w:trPr>
          <w:trHeight w:val="157"/>
        </w:trPr>
        <w:tc>
          <w:tcPr>
            <w:tcW w:w="5820" w:type="dxa"/>
            <w:vAlign w:val="bottom"/>
          </w:tcPr>
          <w:p>
            <w:pPr>
              <w:spacing w:after="0"/>
              <w:rPr>
                <w:sz w:val="20"/>
                <w:szCs w:val="20"/>
                <w:color w:val="auto"/>
              </w:rPr>
            </w:pPr>
            <w:r>
              <w:rPr>
                <w:rFonts w:ascii="Arial" w:cs="Arial" w:eastAsia="Arial" w:hAnsi="Arial"/>
                <w:sz w:val="13"/>
                <w:szCs w:val="13"/>
                <w:color w:val="auto"/>
              </w:rPr>
              <w:t>New England CR L.L.C.</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165"/>
        </w:trPr>
        <w:tc>
          <w:tcPr>
            <w:tcW w:w="5820" w:type="dxa"/>
            <w:vAlign w:val="bottom"/>
          </w:tcPr>
          <w:p>
            <w:pPr>
              <w:spacing w:after="0"/>
              <w:rPr>
                <w:sz w:val="20"/>
                <w:szCs w:val="20"/>
                <w:color w:val="auto"/>
              </w:rPr>
            </w:pPr>
            <w:r>
              <w:rPr>
                <w:rFonts w:ascii="Arial" w:cs="Arial" w:eastAsia="Arial" w:hAnsi="Arial"/>
                <w:sz w:val="13"/>
                <w:szCs w:val="13"/>
                <w:color w:val="auto"/>
              </w:rPr>
              <w:t>New Milford Connecticut Farms, LLC</w:t>
            </w:r>
          </w:p>
        </w:tc>
        <w:tc>
          <w:tcPr>
            <w:tcW w:w="5640" w:type="dxa"/>
            <w:vAlign w:val="bottom"/>
          </w:tcPr>
          <w:p>
            <w:pPr>
              <w:ind w:left="3140"/>
              <w:spacing w:after="0"/>
              <w:rPr>
                <w:sz w:val="20"/>
                <w:szCs w:val="20"/>
                <w:color w:val="auto"/>
              </w:rPr>
            </w:pPr>
            <w:r>
              <w:rPr>
                <w:rFonts w:ascii="Arial" w:cs="Arial" w:eastAsia="Arial" w:hAnsi="Arial"/>
                <w:sz w:val="13"/>
                <w:szCs w:val="13"/>
                <w:color w:val="auto"/>
              </w:rPr>
              <w:t>Delaware</w:t>
            </w:r>
          </w:p>
        </w:tc>
      </w:tr>
      <w:tr>
        <w:trPr>
          <w:trHeight w:val="458"/>
        </w:trPr>
        <w:tc>
          <w:tcPr>
            <w:tcW w:w="582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15"/>
        </w:trPr>
        <w:tc>
          <w:tcPr>
            <w:tcW w:w="5920" w:type="dxa"/>
            <w:vAlign w:val="bottom"/>
          </w:tcPr>
          <w:p>
            <w:pPr>
              <w:spacing w:after="0"/>
              <w:rPr>
                <w:sz w:val="10"/>
                <w:szCs w:val="10"/>
                <w:color w:val="auto"/>
              </w:rPr>
            </w:pPr>
          </w:p>
        </w:tc>
        <w:tc>
          <w:tcPr>
            <w:tcW w:w="5540" w:type="dxa"/>
            <w:vAlign w:val="bottom"/>
          </w:tcPr>
          <w:p>
            <w:pPr>
              <w:ind w:left="3040"/>
              <w:spacing w:after="0"/>
              <w:rPr>
                <w:sz w:val="20"/>
                <w:szCs w:val="20"/>
                <w:color w:val="auto"/>
              </w:rPr>
            </w:pPr>
            <w:r>
              <w:rPr>
                <w:rFonts w:ascii="Arial" w:cs="Arial" w:eastAsia="Arial" w:hAnsi="Arial"/>
                <w:sz w:val="10"/>
                <w:szCs w:val="10"/>
                <w:b w:val="1"/>
                <w:bCs w:val="1"/>
                <w:i w:val="1"/>
                <w:iCs w:val="1"/>
                <w:color w:val="auto"/>
              </w:rPr>
              <w:t>Jurisdiction</w:t>
            </w:r>
          </w:p>
        </w:tc>
      </w:tr>
      <w:tr>
        <w:trPr>
          <w:trHeight w:val="112"/>
        </w:trPr>
        <w:tc>
          <w:tcPr>
            <w:tcW w:w="5920" w:type="dxa"/>
            <w:vAlign w:val="bottom"/>
          </w:tcPr>
          <w:p>
            <w:pPr>
              <w:spacing w:after="0" w:line="113" w:lineRule="exact"/>
              <w:rPr>
                <w:sz w:val="20"/>
                <w:szCs w:val="20"/>
                <w:color w:val="auto"/>
              </w:rPr>
            </w:pPr>
            <w:r>
              <w:rPr>
                <w:rFonts w:ascii="Arial" w:cs="Arial" w:eastAsia="Arial" w:hAnsi="Arial"/>
                <w:sz w:val="10"/>
                <w:szCs w:val="10"/>
                <w:b w:val="1"/>
                <w:bCs w:val="1"/>
                <w:i w:val="1"/>
                <w:iCs w:val="1"/>
                <w:color w:val="auto"/>
              </w:rPr>
              <w:t>Name of Entity</w:t>
            </w:r>
          </w:p>
        </w:tc>
        <w:tc>
          <w:tcPr>
            <w:tcW w:w="5540" w:type="dxa"/>
            <w:vAlign w:val="bottom"/>
          </w:tcPr>
          <w:p>
            <w:pPr>
              <w:ind w:left="3040"/>
              <w:spacing w:after="0" w:line="113" w:lineRule="exact"/>
              <w:rPr>
                <w:sz w:val="20"/>
                <w:szCs w:val="20"/>
                <w:color w:val="auto"/>
              </w:rPr>
            </w:pPr>
            <w:r>
              <w:rPr>
                <w:rFonts w:ascii="Arial" w:cs="Arial" w:eastAsia="Arial" w:hAnsi="Arial"/>
                <w:sz w:val="10"/>
                <w:szCs w:val="10"/>
                <w:b w:val="1"/>
                <w:bCs w:val="1"/>
                <w:i w:val="1"/>
                <w:iCs w:val="1"/>
                <w:color w:val="auto"/>
              </w:rPr>
              <w:t>Incorporation/Formation</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New Milford Landfill, L.L.C.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New Orleans Landfill, L.L.C.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NH/VT Energy Recovery Corporation</w:t>
            </w:r>
          </w:p>
        </w:tc>
        <w:tc>
          <w:tcPr>
            <w:tcW w:w="5540" w:type="dxa"/>
            <w:vAlign w:val="bottom"/>
          </w:tcPr>
          <w:p>
            <w:pPr>
              <w:ind w:left="3040"/>
              <w:spacing w:after="0"/>
              <w:rPr>
                <w:sz w:val="20"/>
                <w:szCs w:val="20"/>
                <w:color w:val="auto"/>
              </w:rPr>
            </w:pPr>
            <w:r>
              <w:rPr>
                <w:rFonts w:ascii="Arial" w:cs="Arial" w:eastAsia="Arial" w:hAnsi="Arial"/>
                <w:sz w:val="13"/>
                <w:szCs w:val="13"/>
                <w:color w:val="auto"/>
              </w:rPr>
              <w:t>New Hampshire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North Manatee Recycling and Disposal Facility, L.L.C.</w:t>
            </w:r>
          </w:p>
        </w:tc>
        <w:tc>
          <w:tcPr>
            <w:tcW w:w="5540" w:type="dxa"/>
            <w:vAlign w:val="bottom"/>
          </w:tcPr>
          <w:p>
            <w:pPr>
              <w:ind w:left="3040"/>
              <w:spacing w:after="0"/>
              <w:rPr>
                <w:sz w:val="20"/>
                <w:szCs w:val="20"/>
                <w:color w:val="auto"/>
              </w:rPr>
            </w:pPr>
            <w:r>
              <w:rPr>
                <w:rFonts w:ascii="Arial" w:cs="Arial" w:eastAsia="Arial" w:hAnsi="Arial"/>
                <w:sz w:val="13"/>
                <w:szCs w:val="13"/>
                <w:color w:val="auto"/>
              </w:rPr>
              <w:t>Florida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Northwestern Landfill,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Nu-Way Live Oak Reclamation, Inc.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Oakridge Landfill,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South Carolina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Oakwood Landfill,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South Carolina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Okeechobee Landfill,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Florida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Ozark Ridge Landfill,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Arkansas</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 &amp; R Environmental Industries, L.L.C.</w:t>
            </w:r>
          </w:p>
        </w:tc>
        <w:tc>
          <w:tcPr>
            <w:tcW w:w="5540" w:type="dxa"/>
            <w:vAlign w:val="bottom"/>
          </w:tcPr>
          <w:p>
            <w:pPr>
              <w:ind w:left="3040"/>
              <w:spacing w:after="0"/>
              <w:rPr>
                <w:sz w:val="20"/>
                <w:szCs w:val="20"/>
                <w:color w:val="auto"/>
              </w:rPr>
            </w:pPr>
            <w:r>
              <w:rPr>
                <w:rFonts w:ascii="Arial" w:cs="Arial" w:eastAsia="Arial" w:hAnsi="Arial"/>
                <w:sz w:val="13"/>
                <w:szCs w:val="13"/>
                <w:color w:val="auto"/>
              </w:rPr>
              <w:t>North Carolina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Pacific Waste Management L.L.C.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Palo Alto Sanitation Company</w:t>
            </w:r>
          </w:p>
        </w:tc>
        <w:tc>
          <w:tcPr>
            <w:tcW w:w="5540" w:type="dxa"/>
            <w:vAlign w:val="bottom"/>
          </w:tcPr>
          <w:p>
            <w:pPr>
              <w:ind w:left="3040"/>
              <w:spacing w:after="0"/>
              <w:rPr>
                <w:sz w:val="20"/>
                <w:szCs w:val="20"/>
                <w:color w:val="auto"/>
              </w:rPr>
            </w:pPr>
            <w:r>
              <w:rPr>
                <w:rFonts w:ascii="Arial" w:cs="Arial" w:eastAsia="Arial" w:hAnsi="Arial"/>
                <w:sz w:val="13"/>
                <w:szCs w:val="13"/>
                <w:color w:val="auto"/>
              </w:rPr>
              <w:t>California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Pappy, Inc.</w:t>
            </w:r>
          </w:p>
        </w:tc>
        <w:tc>
          <w:tcPr>
            <w:tcW w:w="5540" w:type="dxa"/>
            <w:vAlign w:val="bottom"/>
          </w:tcPr>
          <w:p>
            <w:pPr>
              <w:ind w:left="3040"/>
              <w:spacing w:after="0"/>
              <w:rPr>
                <w:sz w:val="20"/>
                <w:szCs w:val="20"/>
                <w:color w:val="auto"/>
              </w:rPr>
            </w:pPr>
            <w:r>
              <w:rPr>
                <w:rFonts w:ascii="Arial" w:cs="Arial" w:eastAsia="Arial" w:hAnsi="Arial"/>
                <w:sz w:val="13"/>
                <w:szCs w:val="13"/>
                <w:color w:val="auto"/>
              </w:rPr>
              <w:t>Maryland</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Peltz H.C., LLC</w:t>
            </w:r>
          </w:p>
        </w:tc>
        <w:tc>
          <w:tcPr>
            <w:tcW w:w="5540" w:type="dxa"/>
            <w:vAlign w:val="bottom"/>
          </w:tcPr>
          <w:p>
            <w:pPr>
              <w:ind w:left="3040"/>
              <w:spacing w:after="0"/>
              <w:rPr>
                <w:sz w:val="20"/>
                <w:szCs w:val="20"/>
                <w:color w:val="auto"/>
              </w:rPr>
            </w:pPr>
            <w:r>
              <w:rPr>
                <w:rFonts w:ascii="Arial" w:cs="Arial" w:eastAsia="Arial" w:hAnsi="Arial"/>
                <w:sz w:val="13"/>
                <w:szCs w:val="13"/>
                <w:color w:val="auto"/>
              </w:rPr>
              <w:t>Wisconsin</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Pen-Rob, Inc.</w:t>
            </w:r>
          </w:p>
        </w:tc>
        <w:tc>
          <w:tcPr>
            <w:tcW w:w="5540" w:type="dxa"/>
            <w:vAlign w:val="bottom"/>
          </w:tcPr>
          <w:p>
            <w:pPr>
              <w:ind w:left="3040"/>
              <w:spacing w:after="0"/>
              <w:rPr>
                <w:sz w:val="20"/>
                <w:szCs w:val="20"/>
                <w:color w:val="auto"/>
              </w:rPr>
            </w:pPr>
            <w:r>
              <w:rPr>
                <w:rFonts w:ascii="Arial" w:cs="Arial" w:eastAsia="Arial" w:hAnsi="Arial"/>
                <w:sz w:val="13"/>
                <w:szCs w:val="13"/>
                <w:color w:val="auto"/>
              </w:rPr>
              <w:t>Arizona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Penuelas Valley Landfill,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Puerto Rico</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People’s Landfill,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Peterson Demolition, Inc.</w:t>
            </w:r>
          </w:p>
        </w:tc>
        <w:tc>
          <w:tcPr>
            <w:tcW w:w="5540" w:type="dxa"/>
            <w:vAlign w:val="bottom"/>
          </w:tcPr>
          <w:p>
            <w:pPr>
              <w:ind w:left="3040"/>
              <w:spacing w:after="0"/>
              <w:rPr>
                <w:sz w:val="20"/>
                <w:szCs w:val="20"/>
                <w:color w:val="auto"/>
              </w:rPr>
            </w:pPr>
            <w:r>
              <w:rPr>
                <w:rFonts w:ascii="Arial" w:cs="Arial" w:eastAsia="Arial" w:hAnsi="Arial"/>
                <w:sz w:val="13"/>
                <w:szCs w:val="13"/>
                <w:color w:val="auto"/>
              </w:rPr>
              <w:t>Minnesota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Phoenix Resources, Inc.</w:t>
            </w:r>
          </w:p>
        </w:tc>
        <w:tc>
          <w:tcPr>
            <w:tcW w:w="5540" w:type="dxa"/>
            <w:vAlign w:val="bottom"/>
          </w:tcPr>
          <w:p>
            <w:pPr>
              <w:ind w:left="3040"/>
              <w:spacing w:after="0"/>
              <w:rPr>
                <w:sz w:val="20"/>
                <w:szCs w:val="20"/>
                <w:color w:val="auto"/>
              </w:rPr>
            </w:pPr>
            <w:r>
              <w:rPr>
                <w:rFonts w:ascii="Arial" w:cs="Arial" w:eastAsia="Arial" w:hAnsi="Arial"/>
                <w:sz w:val="13"/>
                <w:szCs w:val="13"/>
                <w:color w:val="auto"/>
              </w:rPr>
              <w:t>Pennsylvania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Pine Grove Landfill, Inc. (PA)</w:t>
            </w:r>
          </w:p>
        </w:tc>
        <w:tc>
          <w:tcPr>
            <w:tcW w:w="5540" w:type="dxa"/>
            <w:vAlign w:val="bottom"/>
          </w:tcPr>
          <w:p>
            <w:pPr>
              <w:ind w:left="3040"/>
              <w:spacing w:after="0"/>
              <w:rPr>
                <w:sz w:val="20"/>
                <w:szCs w:val="20"/>
                <w:color w:val="auto"/>
              </w:rPr>
            </w:pPr>
            <w:r>
              <w:rPr>
                <w:rFonts w:ascii="Arial" w:cs="Arial" w:eastAsia="Arial" w:hAnsi="Arial"/>
                <w:sz w:val="13"/>
                <w:szCs w:val="13"/>
                <w:color w:val="auto"/>
              </w:rPr>
              <w:t>Pennsylvania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Pine Tree Acres, Inc.</w:t>
            </w:r>
          </w:p>
        </w:tc>
        <w:tc>
          <w:tcPr>
            <w:tcW w:w="5540" w:type="dxa"/>
            <w:vAlign w:val="bottom"/>
          </w:tcPr>
          <w:p>
            <w:pPr>
              <w:ind w:left="3040"/>
              <w:spacing w:after="0"/>
              <w:rPr>
                <w:sz w:val="20"/>
                <w:szCs w:val="20"/>
                <w:color w:val="auto"/>
              </w:rPr>
            </w:pPr>
            <w:r>
              <w:rPr>
                <w:rFonts w:ascii="Arial" w:cs="Arial" w:eastAsia="Arial" w:hAnsi="Arial"/>
                <w:sz w:val="13"/>
                <w:szCs w:val="13"/>
                <w:color w:val="auto"/>
              </w:rPr>
              <w:t>Michigan</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PPP Corporation</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Pulaski Grading, L.L.C.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Quail Hollow Landfill,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Questquill Limited</w:t>
            </w:r>
          </w:p>
        </w:tc>
        <w:tc>
          <w:tcPr>
            <w:tcW w:w="5540" w:type="dxa"/>
            <w:vAlign w:val="bottom"/>
          </w:tcPr>
          <w:p>
            <w:pPr>
              <w:ind w:left="3040"/>
              <w:spacing w:after="0"/>
              <w:rPr>
                <w:sz w:val="20"/>
                <w:szCs w:val="20"/>
                <w:color w:val="auto"/>
              </w:rPr>
            </w:pPr>
            <w:r>
              <w:rPr>
                <w:rFonts w:ascii="Arial" w:cs="Arial" w:eastAsia="Arial" w:hAnsi="Arial"/>
                <w:sz w:val="13"/>
                <w:szCs w:val="13"/>
                <w:color w:val="auto"/>
              </w:rPr>
              <w:t>United Kingdom</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 &amp; B Landfill,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Georgia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RAA Colorado, L.L.C.</w:t>
            </w:r>
          </w:p>
        </w:tc>
        <w:tc>
          <w:tcPr>
            <w:tcW w:w="5540" w:type="dxa"/>
            <w:vAlign w:val="bottom"/>
          </w:tcPr>
          <w:p>
            <w:pPr>
              <w:ind w:left="3040"/>
              <w:spacing w:after="0"/>
              <w:rPr>
                <w:sz w:val="20"/>
                <w:szCs w:val="20"/>
                <w:color w:val="auto"/>
              </w:rPr>
            </w:pPr>
            <w:r>
              <w:rPr>
                <w:rFonts w:ascii="Arial" w:cs="Arial" w:eastAsia="Arial" w:hAnsi="Arial"/>
                <w:sz w:val="13"/>
                <w:szCs w:val="13"/>
                <w:color w:val="auto"/>
              </w:rPr>
              <w:t>Colorado</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RAA Trucking, LLC</w:t>
            </w:r>
          </w:p>
        </w:tc>
        <w:tc>
          <w:tcPr>
            <w:tcW w:w="5540" w:type="dxa"/>
            <w:vAlign w:val="bottom"/>
          </w:tcPr>
          <w:p>
            <w:pPr>
              <w:ind w:left="3040"/>
              <w:spacing w:after="0"/>
              <w:rPr>
                <w:sz w:val="20"/>
                <w:szCs w:val="20"/>
                <w:color w:val="auto"/>
              </w:rPr>
            </w:pPr>
            <w:r>
              <w:rPr>
                <w:rFonts w:ascii="Arial" w:cs="Arial" w:eastAsia="Arial" w:hAnsi="Arial"/>
                <w:sz w:val="13"/>
                <w:szCs w:val="13"/>
                <w:color w:val="auto"/>
              </w:rPr>
              <w:t>Wisconsin</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RCI Hudson, Inc.</w:t>
            </w:r>
          </w:p>
        </w:tc>
        <w:tc>
          <w:tcPr>
            <w:tcW w:w="5540" w:type="dxa"/>
            <w:vAlign w:val="bottom"/>
          </w:tcPr>
          <w:p>
            <w:pPr>
              <w:ind w:left="3040"/>
              <w:spacing w:after="0"/>
              <w:rPr>
                <w:sz w:val="20"/>
                <w:szCs w:val="20"/>
                <w:color w:val="auto"/>
              </w:rPr>
            </w:pPr>
            <w:r>
              <w:rPr>
                <w:rFonts w:ascii="Arial" w:cs="Arial" w:eastAsia="Arial" w:hAnsi="Arial"/>
                <w:sz w:val="13"/>
                <w:szCs w:val="13"/>
                <w:color w:val="auto"/>
              </w:rPr>
              <w:t>Massachusetts</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Recycle America Co., L.L.C.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Recycle America Holdings, Inc.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Redwood Landfill,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Refuse Services, Inc.</w:t>
            </w:r>
          </w:p>
        </w:tc>
        <w:tc>
          <w:tcPr>
            <w:tcW w:w="5540" w:type="dxa"/>
            <w:vAlign w:val="bottom"/>
          </w:tcPr>
          <w:p>
            <w:pPr>
              <w:ind w:left="3040"/>
              <w:spacing w:after="0"/>
              <w:rPr>
                <w:sz w:val="20"/>
                <w:szCs w:val="20"/>
                <w:color w:val="auto"/>
              </w:rPr>
            </w:pPr>
            <w:r>
              <w:rPr>
                <w:rFonts w:ascii="Arial" w:cs="Arial" w:eastAsia="Arial" w:hAnsi="Arial"/>
                <w:sz w:val="13"/>
                <w:szCs w:val="13"/>
                <w:color w:val="auto"/>
              </w:rPr>
              <w:t>Florida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Refuse, Inc.</w:t>
            </w:r>
          </w:p>
        </w:tc>
        <w:tc>
          <w:tcPr>
            <w:tcW w:w="5540" w:type="dxa"/>
            <w:vAlign w:val="bottom"/>
          </w:tcPr>
          <w:p>
            <w:pPr>
              <w:ind w:left="3040"/>
              <w:spacing w:after="0"/>
              <w:rPr>
                <w:sz w:val="20"/>
                <w:szCs w:val="20"/>
                <w:color w:val="auto"/>
              </w:rPr>
            </w:pPr>
            <w:r>
              <w:rPr>
                <w:rFonts w:ascii="Arial" w:cs="Arial" w:eastAsia="Arial" w:hAnsi="Arial"/>
                <w:sz w:val="13"/>
                <w:szCs w:val="13"/>
                <w:color w:val="auto"/>
              </w:rPr>
              <w:t>Nevada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Reliable Landfill, L.L.C.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Remote Landfill Services, Inc.</w:t>
            </w:r>
          </w:p>
        </w:tc>
        <w:tc>
          <w:tcPr>
            <w:tcW w:w="5540" w:type="dxa"/>
            <w:vAlign w:val="bottom"/>
          </w:tcPr>
          <w:p>
            <w:pPr>
              <w:ind w:left="3040"/>
              <w:spacing w:after="0"/>
              <w:rPr>
                <w:sz w:val="20"/>
                <w:szCs w:val="20"/>
                <w:color w:val="auto"/>
              </w:rPr>
            </w:pPr>
            <w:r>
              <w:rPr>
                <w:rFonts w:ascii="Arial" w:cs="Arial" w:eastAsia="Arial" w:hAnsi="Arial"/>
                <w:sz w:val="13"/>
                <w:szCs w:val="13"/>
                <w:color w:val="auto"/>
              </w:rPr>
              <w:t>Tennessee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Reno Disposal Co.</w:t>
            </w:r>
          </w:p>
        </w:tc>
        <w:tc>
          <w:tcPr>
            <w:tcW w:w="5540" w:type="dxa"/>
            <w:vAlign w:val="bottom"/>
          </w:tcPr>
          <w:p>
            <w:pPr>
              <w:ind w:left="3040"/>
              <w:spacing w:after="0"/>
              <w:rPr>
                <w:sz w:val="20"/>
                <w:szCs w:val="20"/>
                <w:color w:val="auto"/>
              </w:rPr>
            </w:pPr>
            <w:r>
              <w:rPr>
                <w:rFonts w:ascii="Arial" w:cs="Arial" w:eastAsia="Arial" w:hAnsi="Arial"/>
                <w:sz w:val="13"/>
                <w:szCs w:val="13"/>
                <w:color w:val="auto"/>
              </w:rPr>
              <w:t>Nevada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Resco Holdings L.L.C.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Resource Control Composting, Inc.</w:t>
            </w:r>
          </w:p>
        </w:tc>
        <w:tc>
          <w:tcPr>
            <w:tcW w:w="5540" w:type="dxa"/>
            <w:vAlign w:val="bottom"/>
          </w:tcPr>
          <w:p>
            <w:pPr>
              <w:ind w:left="3040"/>
              <w:spacing w:after="0"/>
              <w:rPr>
                <w:sz w:val="20"/>
                <w:szCs w:val="20"/>
                <w:color w:val="auto"/>
              </w:rPr>
            </w:pPr>
            <w:r>
              <w:rPr>
                <w:rFonts w:ascii="Arial" w:cs="Arial" w:eastAsia="Arial" w:hAnsi="Arial"/>
                <w:sz w:val="13"/>
                <w:szCs w:val="13"/>
                <w:color w:val="auto"/>
              </w:rPr>
              <w:t>Massachusetts</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Resource Control,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Massachusetts</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Richland County Landfill,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South Carolina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Riverbend Landfill Co.</w:t>
            </w:r>
          </w:p>
        </w:tc>
        <w:tc>
          <w:tcPr>
            <w:tcW w:w="5540" w:type="dxa"/>
            <w:vAlign w:val="bottom"/>
          </w:tcPr>
          <w:p>
            <w:pPr>
              <w:ind w:left="3040"/>
              <w:spacing w:after="0"/>
              <w:rPr>
                <w:sz w:val="20"/>
                <w:szCs w:val="20"/>
                <w:color w:val="auto"/>
              </w:rPr>
            </w:pPr>
            <w:r>
              <w:rPr>
                <w:rFonts w:ascii="Arial" w:cs="Arial" w:eastAsia="Arial" w:hAnsi="Arial"/>
                <w:sz w:val="13"/>
                <w:szCs w:val="13"/>
                <w:color w:val="auto"/>
              </w:rPr>
              <w:t>Oregon</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RTS Landfill,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Rust Engineering &amp; Construction Inc.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Rust Engineering (Thailand) Ltd</w:t>
            </w:r>
          </w:p>
        </w:tc>
        <w:tc>
          <w:tcPr>
            <w:tcW w:w="5540" w:type="dxa"/>
            <w:vAlign w:val="bottom"/>
          </w:tcPr>
          <w:p>
            <w:pPr>
              <w:ind w:left="3040"/>
              <w:spacing w:after="0"/>
              <w:rPr>
                <w:sz w:val="20"/>
                <w:szCs w:val="20"/>
                <w:color w:val="auto"/>
              </w:rPr>
            </w:pPr>
            <w:r>
              <w:rPr>
                <w:rFonts w:ascii="Arial" w:cs="Arial" w:eastAsia="Arial" w:hAnsi="Arial"/>
                <w:sz w:val="13"/>
                <w:szCs w:val="13"/>
                <w:color w:val="auto"/>
              </w:rPr>
              <w:t>Thailand</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Rust International Inc.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S &amp; J Landfill Limited Partnership</w:t>
            </w:r>
          </w:p>
        </w:tc>
        <w:tc>
          <w:tcPr>
            <w:tcW w:w="5540" w:type="dxa"/>
            <w:vAlign w:val="bottom"/>
          </w:tcPr>
          <w:p>
            <w:pPr>
              <w:ind w:left="3040"/>
              <w:spacing w:after="0"/>
              <w:rPr>
                <w:sz w:val="20"/>
                <w:szCs w:val="20"/>
                <w:color w:val="auto"/>
              </w:rPr>
            </w:pPr>
            <w:r>
              <w:rPr>
                <w:rFonts w:ascii="Arial" w:cs="Arial" w:eastAsia="Arial" w:hAnsi="Arial"/>
                <w:sz w:val="13"/>
                <w:szCs w:val="13"/>
                <w:color w:val="auto"/>
              </w:rPr>
              <w:t>Texas</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S &amp; S Grading, Inc.</w:t>
            </w:r>
          </w:p>
        </w:tc>
        <w:tc>
          <w:tcPr>
            <w:tcW w:w="5540" w:type="dxa"/>
            <w:vAlign w:val="bottom"/>
          </w:tcPr>
          <w:p>
            <w:pPr>
              <w:ind w:left="3040"/>
              <w:spacing w:after="0"/>
              <w:rPr>
                <w:sz w:val="20"/>
                <w:szCs w:val="20"/>
                <w:color w:val="auto"/>
              </w:rPr>
            </w:pPr>
            <w:r>
              <w:rPr>
                <w:rFonts w:ascii="Arial" w:cs="Arial" w:eastAsia="Arial" w:hAnsi="Arial"/>
                <w:sz w:val="13"/>
                <w:szCs w:val="13"/>
                <w:color w:val="auto"/>
              </w:rPr>
              <w:t>West Virginia</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S. V. Farming Corp.</w:t>
            </w:r>
          </w:p>
        </w:tc>
        <w:tc>
          <w:tcPr>
            <w:tcW w:w="5540" w:type="dxa"/>
            <w:vAlign w:val="bottom"/>
          </w:tcPr>
          <w:p>
            <w:pPr>
              <w:ind w:left="3040"/>
              <w:spacing w:after="0"/>
              <w:rPr>
                <w:sz w:val="20"/>
                <w:szCs w:val="20"/>
                <w:color w:val="auto"/>
              </w:rPr>
            </w:pPr>
            <w:r>
              <w:rPr>
                <w:rFonts w:ascii="Arial" w:cs="Arial" w:eastAsia="Arial" w:hAnsi="Arial"/>
                <w:sz w:val="13"/>
                <w:szCs w:val="13"/>
                <w:color w:val="auto"/>
              </w:rPr>
              <w:t>New Jersey</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S4 Columbia Ridge Recovery, LLC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165"/>
        </w:trPr>
        <w:tc>
          <w:tcPr>
            <w:tcW w:w="5920" w:type="dxa"/>
            <w:vAlign w:val="bottom"/>
          </w:tcPr>
          <w:p>
            <w:pPr>
              <w:spacing w:after="0"/>
              <w:rPr>
                <w:sz w:val="20"/>
                <w:szCs w:val="20"/>
                <w:color w:val="auto"/>
              </w:rPr>
            </w:pPr>
            <w:r>
              <w:rPr>
                <w:rFonts w:ascii="Arial" w:cs="Arial" w:eastAsia="Arial" w:hAnsi="Arial"/>
                <w:sz w:val="13"/>
                <w:szCs w:val="13"/>
                <w:color w:val="auto"/>
              </w:rPr>
              <w:t>S4 Energy Chambers Recovery, LLC</w:t>
            </w:r>
          </w:p>
        </w:tc>
        <w:tc>
          <w:tcPr>
            <w:tcW w:w="5540" w:type="dxa"/>
            <w:vAlign w:val="bottom"/>
          </w:tcPr>
          <w:p>
            <w:pPr>
              <w:ind w:left="3040"/>
              <w:spacing w:after="0"/>
              <w:rPr>
                <w:sz w:val="20"/>
                <w:szCs w:val="20"/>
                <w:color w:val="auto"/>
              </w:rPr>
            </w:pPr>
            <w:r>
              <w:rPr>
                <w:rFonts w:ascii="Arial" w:cs="Arial" w:eastAsia="Arial" w:hAnsi="Arial"/>
                <w:sz w:val="13"/>
                <w:szCs w:val="13"/>
                <w:color w:val="auto"/>
              </w:rPr>
              <w:t>Delaware</w:t>
            </w:r>
          </w:p>
        </w:tc>
      </w:tr>
      <w:tr>
        <w:trPr>
          <w:trHeight w:val="458"/>
        </w:trPr>
        <w:tc>
          <w:tcPr>
            <w:tcW w:w="5920" w:type="dxa"/>
            <w:vAlign w:val="bottom"/>
            <w:tcBorders>
              <w:bottom w:val="single" w:sz="8" w:color="808080"/>
            </w:tcBorders>
          </w:tcPr>
          <w:p>
            <w:pPr>
              <w:spacing w:after="0"/>
              <w:rPr>
                <w:sz w:val="24"/>
                <w:szCs w:val="24"/>
                <w:color w:val="auto"/>
              </w:rPr>
            </w:pPr>
          </w:p>
        </w:tc>
        <w:tc>
          <w:tcPr>
            <w:tcW w:w="5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15"/>
        </w:trPr>
        <w:tc>
          <w:tcPr>
            <w:tcW w:w="5880" w:type="dxa"/>
            <w:vAlign w:val="bottom"/>
          </w:tcPr>
          <w:p>
            <w:pPr>
              <w:spacing w:after="0"/>
              <w:rPr>
                <w:sz w:val="10"/>
                <w:szCs w:val="10"/>
                <w:color w:val="auto"/>
              </w:rPr>
            </w:pPr>
          </w:p>
        </w:tc>
        <w:tc>
          <w:tcPr>
            <w:tcW w:w="5580" w:type="dxa"/>
            <w:vAlign w:val="bottom"/>
          </w:tcPr>
          <w:p>
            <w:pPr>
              <w:ind w:left="3080"/>
              <w:spacing w:after="0"/>
              <w:rPr>
                <w:sz w:val="20"/>
                <w:szCs w:val="20"/>
                <w:color w:val="auto"/>
              </w:rPr>
            </w:pPr>
            <w:r>
              <w:rPr>
                <w:rFonts w:ascii="Arial" w:cs="Arial" w:eastAsia="Arial" w:hAnsi="Arial"/>
                <w:sz w:val="10"/>
                <w:szCs w:val="10"/>
                <w:b w:val="1"/>
                <w:bCs w:val="1"/>
                <w:i w:val="1"/>
                <w:iCs w:val="1"/>
                <w:color w:val="auto"/>
              </w:rPr>
              <w:t>Jurisdiction</w:t>
            </w:r>
          </w:p>
        </w:tc>
      </w:tr>
      <w:tr>
        <w:trPr>
          <w:trHeight w:val="112"/>
        </w:trPr>
        <w:tc>
          <w:tcPr>
            <w:tcW w:w="5880" w:type="dxa"/>
            <w:vAlign w:val="bottom"/>
          </w:tcPr>
          <w:p>
            <w:pPr>
              <w:spacing w:after="0" w:line="113" w:lineRule="exact"/>
              <w:rPr>
                <w:sz w:val="20"/>
                <w:szCs w:val="20"/>
                <w:color w:val="auto"/>
              </w:rPr>
            </w:pPr>
            <w:r>
              <w:rPr>
                <w:rFonts w:ascii="Arial" w:cs="Arial" w:eastAsia="Arial" w:hAnsi="Arial"/>
                <w:sz w:val="10"/>
                <w:szCs w:val="10"/>
                <w:b w:val="1"/>
                <w:bCs w:val="1"/>
                <w:i w:val="1"/>
                <w:iCs w:val="1"/>
                <w:color w:val="auto"/>
              </w:rPr>
              <w:t>Name of Entity</w:t>
            </w:r>
          </w:p>
        </w:tc>
        <w:tc>
          <w:tcPr>
            <w:tcW w:w="5580" w:type="dxa"/>
            <w:vAlign w:val="bottom"/>
          </w:tcPr>
          <w:p>
            <w:pPr>
              <w:ind w:left="3080"/>
              <w:spacing w:after="0" w:line="113" w:lineRule="exact"/>
              <w:rPr>
                <w:sz w:val="20"/>
                <w:szCs w:val="20"/>
                <w:color w:val="auto"/>
              </w:rPr>
            </w:pPr>
            <w:r>
              <w:rPr>
                <w:rFonts w:ascii="Arial" w:cs="Arial" w:eastAsia="Arial" w:hAnsi="Arial"/>
                <w:sz w:val="10"/>
                <w:szCs w:val="10"/>
                <w:b w:val="1"/>
                <w:bCs w:val="1"/>
                <w:i w:val="1"/>
                <w:iCs w:val="1"/>
                <w:color w:val="auto"/>
              </w:rPr>
              <w:t>Incorporation/Formation</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S4 Energy Solutions,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Sanifill de Mexico (US),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Sanifill de Mexico, S.A. de C.V.</w:t>
            </w:r>
          </w:p>
        </w:tc>
        <w:tc>
          <w:tcPr>
            <w:tcW w:w="5580" w:type="dxa"/>
            <w:vAlign w:val="bottom"/>
          </w:tcPr>
          <w:p>
            <w:pPr>
              <w:ind w:left="3080"/>
              <w:spacing w:after="0"/>
              <w:rPr>
                <w:sz w:val="20"/>
                <w:szCs w:val="20"/>
                <w:color w:val="auto"/>
              </w:rPr>
            </w:pPr>
            <w:r>
              <w:rPr>
                <w:rFonts w:ascii="Arial" w:cs="Arial" w:eastAsia="Arial" w:hAnsi="Arial"/>
                <w:sz w:val="13"/>
                <w:szCs w:val="13"/>
                <w:color w:val="auto"/>
              </w:rPr>
              <w:t>Mexico</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SC Holdings,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Pennsylvania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Serubam Servicos Urbanos E Ambientais Ltda</w:t>
            </w:r>
          </w:p>
        </w:tc>
        <w:tc>
          <w:tcPr>
            <w:tcW w:w="5580" w:type="dxa"/>
            <w:vAlign w:val="bottom"/>
          </w:tcPr>
          <w:p>
            <w:pPr>
              <w:ind w:left="3080"/>
              <w:spacing w:after="0"/>
              <w:rPr>
                <w:sz w:val="20"/>
                <w:szCs w:val="20"/>
                <w:color w:val="auto"/>
              </w:rPr>
            </w:pPr>
            <w:r>
              <w:rPr>
                <w:rFonts w:ascii="Arial" w:cs="Arial" w:eastAsia="Arial" w:hAnsi="Arial"/>
                <w:sz w:val="13"/>
                <w:szCs w:val="13"/>
                <w:color w:val="auto"/>
              </w:rPr>
              <w:t>Brazil</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SES Bridgeport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Shade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Sierra Estrella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Arizona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Southern Alleghenies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Pennsylvania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Southern One Land Corporation</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Southern Waste Services,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Spruce Ridge, Inc.</w:t>
            </w:r>
          </w:p>
        </w:tc>
        <w:tc>
          <w:tcPr>
            <w:tcW w:w="5580" w:type="dxa"/>
            <w:vAlign w:val="bottom"/>
          </w:tcPr>
          <w:p>
            <w:pPr>
              <w:ind w:left="3080"/>
              <w:spacing w:after="0"/>
              <w:rPr>
                <w:sz w:val="20"/>
                <w:szCs w:val="20"/>
                <w:color w:val="auto"/>
              </w:rPr>
            </w:pPr>
            <w:r>
              <w:rPr>
                <w:rFonts w:ascii="Arial" w:cs="Arial" w:eastAsia="Arial" w:hAnsi="Arial"/>
                <w:sz w:val="13"/>
                <w:szCs w:val="13"/>
                <w:color w:val="auto"/>
              </w:rPr>
              <w:t>Minnesota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Stony Hollow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Suburban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Texarkana Landfill,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Texas Pack Rat — Austin #1 LLC</w:t>
            </w:r>
          </w:p>
        </w:tc>
        <w:tc>
          <w:tcPr>
            <w:tcW w:w="5580" w:type="dxa"/>
            <w:vAlign w:val="bottom"/>
          </w:tcPr>
          <w:p>
            <w:pPr>
              <w:ind w:left="3080"/>
              <w:spacing w:after="0"/>
              <w:rPr>
                <w:sz w:val="20"/>
                <w:szCs w:val="20"/>
                <w:color w:val="auto"/>
              </w:rPr>
            </w:pPr>
            <w:r>
              <w:rPr>
                <w:rFonts w:ascii="Arial" w:cs="Arial" w:eastAsia="Arial" w:hAnsi="Arial"/>
                <w:sz w:val="13"/>
                <w:szCs w:val="13"/>
                <w:color w:val="auto"/>
              </w:rPr>
              <w:t>Texas</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Texas Pack Rat — Dallas #1 LLC</w:t>
            </w:r>
          </w:p>
        </w:tc>
        <w:tc>
          <w:tcPr>
            <w:tcW w:w="5580" w:type="dxa"/>
            <w:vAlign w:val="bottom"/>
          </w:tcPr>
          <w:p>
            <w:pPr>
              <w:ind w:left="3080"/>
              <w:spacing w:after="0"/>
              <w:rPr>
                <w:sz w:val="20"/>
                <w:szCs w:val="20"/>
                <w:color w:val="auto"/>
              </w:rPr>
            </w:pPr>
            <w:r>
              <w:rPr>
                <w:rFonts w:ascii="Arial" w:cs="Arial" w:eastAsia="Arial" w:hAnsi="Arial"/>
                <w:sz w:val="13"/>
                <w:szCs w:val="13"/>
                <w:color w:val="auto"/>
              </w:rPr>
              <w:t>Texas</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Texas Pack Rat — Houston #1 LLC</w:t>
            </w:r>
          </w:p>
        </w:tc>
        <w:tc>
          <w:tcPr>
            <w:tcW w:w="5580" w:type="dxa"/>
            <w:vAlign w:val="bottom"/>
          </w:tcPr>
          <w:p>
            <w:pPr>
              <w:ind w:left="3080"/>
              <w:spacing w:after="0"/>
              <w:rPr>
                <w:sz w:val="20"/>
                <w:szCs w:val="20"/>
                <w:color w:val="auto"/>
              </w:rPr>
            </w:pPr>
            <w:r>
              <w:rPr>
                <w:rFonts w:ascii="Arial" w:cs="Arial" w:eastAsia="Arial" w:hAnsi="Arial"/>
                <w:sz w:val="13"/>
                <w:szCs w:val="13"/>
                <w:color w:val="auto"/>
              </w:rPr>
              <w:t>Texas</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Texas Pack Rat — Houston #2 LLC</w:t>
            </w:r>
          </w:p>
        </w:tc>
        <w:tc>
          <w:tcPr>
            <w:tcW w:w="5580" w:type="dxa"/>
            <w:vAlign w:val="bottom"/>
          </w:tcPr>
          <w:p>
            <w:pPr>
              <w:ind w:left="3080"/>
              <w:spacing w:after="0"/>
              <w:rPr>
                <w:sz w:val="20"/>
                <w:szCs w:val="20"/>
                <w:color w:val="auto"/>
              </w:rPr>
            </w:pPr>
            <w:r>
              <w:rPr>
                <w:rFonts w:ascii="Arial" w:cs="Arial" w:eastAsia="Arial" w:hAnsi="Arial"/>
                <w:sz w:val="13"/>
                <w:szCs w:val="13"/>
                <w:color w:val="auto"/>
              </w:rPr>
              <w:t>Texas</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Texas Pack Rat — Houston #3 LLC</w:t>
            </w:r>
          </w:p>
        </w:tc>
        <w:tc>
          <w:tcPr>
            <w:tcW w:w="5580" w:type="dxa"/>
            <w:vAlign w:val="bottom"/>
          </w:tcPr>
          <w:p>
            <w:pPr>
              <w:ind w:left="3080"/>
              <w:spacing w:after="0"/>
              <w:rPr>
                <w:sz w:val="20"/>
                <w:szCs w:val="20"/>
                <w:color w:val="auto"/>
              </w:rPr>
            </w:pPr>
            <w:r>
              <w:rPr>
                <w:rFonts w:ascii="Arial" w:cs="Arial" w:eastAsia="Arial" w:hAnsi="Arial"/>
                <w:sz w:val="13"/>
                <w:szCs w:val="13"/>
                <w:color w:val="auto"/>
              </w:rPr>
              <w:t>Texas</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Texas Pack Rat — San Antonio #1 LLC</w:t>
            </w:r>
          </w:p>
        </w:tc>
        <w:tc>
          <w:tcPr>
            <w:tcW w:w="5580" w:type="dxa"/>
            <w:vAlign w:val="bottom"/>
          </w:tcPr>
          <w:p>
            <w:pPr>
              <w:ind w:left="3080"/>
              <w:spacing w:after="0"/>
              <w:rPr>
                <w:sz w:val="20"/>
                <w:szCs w:val="20"/>
                <w:color w:val="auto"/>
              </w:rPr>
            </w:pPr>
            <w:r>
              <w:rPr>
                <w:rFonts w:ascii="Arial" w:cs="Arial" w:eastAsia="Arial" w:hAnsi="Arial"/>
                <w:sz w:val="13"/>
                <w:szCs w:val="13"/>
                <w:color w:val="auto"/>
              </w:rPr>
              <w:t>Texas</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Texas Pack Rat Service Company LLC</w:t>
            </w:r>
          </w:p>
        </w:tc>
        <w:tc>
          <w:tcPr>
            <w:tcW w:w="5580" w:type="dxa"/>
            <w:vAlign w:val="bottom"/>
          </w:tcPr>
          <w:p>
            <w:pPr>
              <w:ind w:left="3080"/>
              <w:spacing w:after="0"/>
              <w:rPr>
                <w:sz w:val="20"/>
                <w:szCs w:val="20"/>
                <w:color w:val="auto"/>
              </w:rPr>
            </w:pPr>
            <w:r>
              <w:rPr>
                <w:rFonts w:ascii="Arial" w:cs="Arial" w:eastAsia="Arial" w:hAnsi="Arial"/>
                <w:sz w:val="13"/>
                <w:szCs w:val="13"/>
                <w:color w:val="auto"/>
              </w:rPr>
              <w:t>Texas</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The Peltz Group, LLC</w:t>
            </w:r>
          </w:p>
        </w:tc>
        <w:tc>
          <w:tcPr>
            <w:tcW w:w="5580" w:type="dxa"/>
            <w:vAlign w:val="bottom"/>
          </w:tcPr>
          <w:p>
            <w:pPr>
              <w:ind w:left="3080"/>
              <w:spacing w:after="0"/>
              <w:rPr>
                <w:sz w:val="20"/>
                <w:szCs w:val="20"/>
                <w:color w:val="auto"/>
              </w:rPr>
            </w:pPr>
            <w:r>
              <w:rPr>
                <w:rFonts w:ascii="Arial" w:cs="Arial" w:eastAsia="Arial" w:hAnsi="Arial"/>
                <w:sz w:val="13"/>
                <w:szCs w:val="13"/>
                <w:color w:val="auto"/>
              </w:rPr>
              <w:t>Wisconsin</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The Trashmasters Waste and Recycling Services,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Oregon</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The Waste Management Charitable Foundation</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The Woodlands of Van Buren,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Thermal Remediation Solutions,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Oregon</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TN’T Sands,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South Carolina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Trail Ridge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Transamerican Waste Central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Trash Hunters,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Mississippi</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TrashCo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Tri-County Sanitary Landfill,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TX Newco,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United Waste Systems Leasing, Inc.</w:t>
            </w:r>
          </w:p>
        </w:tc>
        <w:tc>
          <w:tcPr>
            <w:tcW w:w="5580" w:type="dxa"/>
            <w:vAlign w:val="bottom"/>
          </w:tcPr>
          <w:p>
            <w:pPr>
              <w:ind w:left="3080"/>
              <w:spacing w:after="0"/>
              <w:rPr>
                <w:sz w:val="20"/>
                <w:szCs w:val="20"/>
                <w:color w:val="auto"/>
              </w:rPr>
            </w:pPr>
            <w:r>
              <w:rPr>
                <w:rFonts w:ascii="Arial" w:cs="Arial" w:eastAsia="Arial" w:hAnsi="Arial"/>
                <w:sz w:val="13"/>
                <w:szCs w:val="13"/>
                <w:color w:val="auto"/>
              </w:rPr>
              <w:t>Michigan</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United Waste Systems of Gardner, Inc.</w:t>
            </w:r>
          </w:p>
        </w:tc>
        <w:tc>
          <w:tcPr>
            <w:tcW w:w="5580" w:type="dxa"/>
            <w:vAlign w:val="bottom"/>
          </w:tcPr>
          <w:p>
            <w:pPr>
              <w:ind w:left="3080"/>
              <w:spacing w:after="0"/>
              <w:rPr>
                <w:sz w:val="20"/>
                <w:szCs w:val="20"/>
                <w:color w:val="auto"/>
              </w:rPr>
            </w:pPr>
            <w:r>
              <w:rPr>
                <w:rFonts w:ascii="Arial" w:cs="Arial" w:eastAsia="Arial" w:hAnsi="Arial"/>
                <w:sz w:val="13"/>
                <w:szCs w:val="13"/>
                <w:color w:val="auto"/>
              </w:rPr>
              <w:t>Massachusetts</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USA South Hills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Pennsylvania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USA Valley Facility,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USA Waste Geneva Landfill,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USA Waste Landfill Operations and Transfer, Inc.</w:t>
            </w:r>
          </w:p>
        </w:tc>
        <w:tc>
          <w:tcPr>
            <w:tcW w:w="5580" w:type="dxa"/>
            <w:vAlign w:val="bottom"/>
          </w:tcPr>
          <w:p>
            <w:pPr>
              <w:ind w:left="3080"/>
              <w:spacing w:after="0"/>
              <w:rPr>
                <w:sz w:val="20"/>
                <w:szCs w:val="20"/>
                <w:color w:val="auto"/>
              </w:rPr>
            </w:pPr>
            <w:r>
              <w:rPr>
                <w:rFonts w:ascii="Arial" w:cs="Arial" w:eastAsia="Arial" w:hAnsi="Arial"/>
                <w:sz w:val="13"/>
                <w:szCs w:val="13"/>
                <w:color w:val="auto"/>
              </w:rPr>
              <w:t>Texas</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USA Waste of California,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USA Waste of Pennsylvania,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USA Waste of Texas Landfills,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USA Waste of Virginia Landfills,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USA Waste Services of NYC,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USA Waste-Management Resources,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New York</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USA-Crinc,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UWS Barre, Inc.</w:t>
            </w:r>
          </w:p>
        </w:tc>
        <w:tc>
          <w:tcPr>
            <w:tcW w:w="5580" w:type="dxa"/>
            <w:vAlign w:val="bottom"/>
          </w:tcPr>
          <w:p>
            <w:pPr>
              <w:ind w:left="3080"/>
              <w:spacing w:after="0"/>
              <w:rPr>
                <w:sz w:val="20"/>
                <w:szCs w:val="20"/>
                <w:color w:val="auto"/>
              </w:rPr>
            </w:pPr>
            <w:r>
              <w:rPr>
                <w:rFonts w:ascii="Arial" w:cs="Arial" w:eastAsia="Arial" w:hAnsi="Arial"/>
                <w:sz w:val="13"/>
                <w:szCs w:val="13"/>
                <w:color w:val="auto"/>
              </w:rPr>
              <w:t>Massachusetts</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Valley Garbage and Rubbish Company, Inc.</w:t>
            </w:r>
          </w:p>
        </w:tc>
        <w:tc>
          <w:tcPr>
            <w:tcW w:w="5580" w:type="dxa"/>
            <w:vAlign w:val="bottom"/>
          </w:tcPr>
          <w:p>
            <w:pPr>
              <w:ind w:left="3080"/>
              <w:spacing w:after="0"/>
              <w:rPr>
                <w:sz w:val="20"/>
                <w:szCs w:val="20"/>
                <w:color w:val="auto"/>
              </w:rPr>
            </w:pPr>
            <w:r>
              <w:rPr>
                <w:rFonts w:ascii="Arial" w:cs="Arial" w:eastAsia="Arial" w:hAnsi="Arial"/>
                <w:sz w:val="13"/>
                <w:szCs w:val="13"/>
                <w:color w:val="auto"/>
              </w:rPr>
              <w:t>California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Vern’s Refuse Service, Inc.</w:t>
            </w:r>
          </w:p>
        </w:tc>
        <w:tc>
          <w:tcPr>
            <w:tcW w:w="5580" w:type="dxa"/>
            <w:vAlign w:val="bottom"/>
          </w:tcPr>
          <w:p>
            <w:pPr>
              <w:ind w:left="3080"/>
              <w:spacing w:after="0"/>
              <w:rPr>
                <w:sz w:val="20"/>
                <w:szCs w:val="20"/>
                <w:color w:val="auto"/>
              </w:rPr>
            </w:pPr>
            <w:r>
              <w:rPr>
                <w:rFonts w:ascii="Arial" w:cs="Arial" w:eastAsia="Arial" w:hAnsi="Arial"/>
                <w:sz w:val="13"/>
                <w:szCs w:val="13"/>
                <w:color w:val="auto"/>
              </w:rPr>
              <w:t>North Dakota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Vickery Environmental,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Ohio</w:t>
            </w:r>
          </w:p>
        </w:tc>
      </w:tr>
      <w:tr>
        <w:trPr>
          <w:trHeight w:val="165"/>
        </w:trPr>
        <w:tc>
          <w:tcPr>
            <w:tcW w:w="5880" w:type="dxa"/>
            <w:vAlign w:val="bottom"/>
          </w:tcPr>
          <w:p>
            <w:pPr>
              <w:spacing w:after="0"/>
              <w:rPr>
                <w:sz w:val="20"/>
                <w:szCs w:val="20"/>
                <w:color w:val="auto"/>
              </w:rPr>
            </w:pPr>
            <w:r>
              <w:rPr>
                <w:rFonts w:ascii="Arial" w:cs="Arial" w:eastAsia="Arial" w:hAnsi="Arial"/>
                <w:sz w:val="13"/>
                <w:szCs w:val="13"/>
                <w:color w:val="auto"/>
              </w:rPr>
              <w:t>Vista Landfill, LLC</w:t>
            </w:r>
          </w:p>
        </w:tc>
        <w:tc>
          <w:tcPr>
            <w:tcW w:w="5580" w:type="dxa"/>
            <w:vAlign w:val="bottom"/>
          </w:tcPr>
          <w:p>
            <w:pPr>
              <w:ind w:left="3080"/>
              <w:spacing w:after="0"/>
              <w:rPr>
                <w:sz w:val="20"/>
                <w:szCs w:val="20"/>
                <w:color w:val="auto"/>
              </w:rPr>
            </w:pPr>
            <w:r>
              <w:rPr>
                <w:rFonts w:ascii="Arial" w:cs="Arial" w:eastAsia="Arial" w:hAnsi="Arial"/>
                <w:sz w:val="13"/>
                <w:szCs w:val="13"/>
                <w:color w:val="auto"/>
              </w:rPr>
              <w:t>Florida</w:t>
            </w:r>
          </w:p>
        </w:tc>
      </w:tr>
      <w:tr>
        <w:trPr>
          <w:trHeight w:val="458"/>
        </w:trPr>
        <w:tc>
          <w:tcPr>
            <w:tcW w:w="588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15"/>
        </w:trPr>
        <w:tc>
          <w:tcPr>
            <w:tcW w:w="6340" w:type="dxa"/>
            <w:vAlign w:val="bottom"/>
          </w:tcPr>
          <w:p>
            <w:pPr>
              <w:spacing w:after="0"/>
              <w:rPr>
                <w:sz w:val="10"/>
                <w:szCs w:val="10"/>
                <w:color w:val="auto"/>
              </w:rPr>
            </w:pPr>
          </w:p>
        </w:tc>
        <w:tc>
          <w:tcPr>
            <w:tcW w:w="5120" w:type="dxa"/>
            <w:vAlign w:val="bottom"/>
          </w:tcPr>
          <w:p>
            <w:pPr>
              <w:ind w:left="2620"/>
              <w:spacing w:after="0"/>
              <w:rPr>
                <w:sz w:val="20"/>
                <w:szCs w:val="20"/>
                <w:color w:val="auto"/>
              </w:rPr>
            </w:pPr>
            <w:r>
              <w:rPr>
                <w:rFonts w:ascii="Arial" w:cs="Arial" w:eastAsia="Arial" w:hAnsi="Arial"/>
                <w:sz w:val="10"/>
                <w:szCs w:val="10"/>
                <w:b w:val="1"/>
                <w:bCs w:val="1"/>
                <w:i w:val="1"/>
                <w:iCs w:val="1"/>
                <w:color w:val="auto"/>
              </w:rPr>
              <w:t>Jurisdiction</w:t>
            </w:r>
          </w:p>
        </w:tc>
      </w:tr>
      <w:tr>
        <w:trPr>
          <w:trHeight w:val="112"/>
        </w:trPr>
        <w:tc>
          <w:tcPr>
            <w:tcW w:w="6340" w:type="dxa"/>
            <w:vAlign w:val="bottom"/>
          </w:tcPr>
          <w:p>
            <w:pPr>
              <w:spacing w:after="0" w:line="113" w:lineRule="exact"/>
              <w:rPr>
                <w:sz w:val="20"/>
                <w:szCs w:val="20"/>
                <w:color w:val="auto"/>
              </w:rPr>
            </w:pPr>
            <w:r>
              <w:rPr>
                <w:rFonts w:ascii="Arial" w:cs="Arial" w:eastAsia="Arial" w:hAnsi="Arial"/>
                <w:sz w:val="10"/>
                <w:szCs w:val="10"/>
                <w:b w:val="1"/>
                <w:bCs w:val="1"/>
                <w:i w:val="1"/>
                <w:iCs w:val="1"/>
                <w:color w:val="auto"/>
              </w:rPr>
              <w:t>Name of Entity</w:t>
            </w:r>
          </w:p>
        </w:tc>
        <w:tc>
          <w:tcPr>
            <w:tcW w:w="5120" w:type="dxa"/>
            <w:vAlign w:val="bottom"/>
          </w:tcPr>
          <w:p>
            <w:pPr>
              <w:ind w:left="2620"/>
              <w:spacing w:after="0" w:line="113" w:lineRule="exact"/>
              <w:rPr>
                <w:sz w:val="20"/>
                <w:szCs w:val="20"/>
                <w:color w:val="auto"/>
              </w:rPr>
            </w:pPr>
            <w:r>
              <w:rPr>
                <w:rFonts w:ascii="Arial" w:cs="Arial" w:eastAsia="Arial" w:hAnsi="Arial"/>
                <w:sz w:val="10"/>
                <w:szCs w:val="10"/>
                <w:b w:val="1"/>
                <w:bCs w:val="1"/>
                <w:i w:val="1"/>
                <w:iCs w:val="1"/>
                <w:color w:val="auto"/>
              </w:rPr>
              <w:t>Incorporation/Formation</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Voyageur Disposal Processing, Inc.</w:t>
            </w:r>
          </w:p>
        </w:tc>
        <w:tc>
          <w:tcPr>
            <w:tcW w:w="5120" w:type="dxa"/>
            <w:vAlign w:val="bottom"/>
          </w:tcPr>
          <w:p>
            <w:pPr>
              <w:ind w:left="2620"/>
              <w:spacing w:after="0"/>
              <w:rPr>
                <w:sz w:val="20"/>
                <w:szCs w:val="20"/>
                <w:color w:val="auto"/>
              </w:rPr>
            </w:pPr>
            <w:r>
              <w:rPr>
                <w:rFonts w:ascii="Arial" w:cs="Arial" w:eastAsia="Arial" w:hAnsi="Arial"/>
                <w:sz w:val="13"/>
                <w:szCs w:val="13"/>
                <w:color w:val="auto"/>
              </w:rPr>
              <w:t>Minnesota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Warner Company</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Away Group, Inc.</w:t>
            </w:r>
          </w:p>
        </w:tc>
        <w:tc>
          <w:tcPr>
            <w:tcW w:w="5120" w:type="dxa"/>
            <w:vAlign w:val="bottom"/>
          </w:tcPr>
          <w:p>
            <w:pPr>
              <w:ind w:left="2620"/>
              <w:spacing w:after="0"/>
              <w:rPr>
                <w:sz w:val="20"/>
                <w:szCs w:val="20"/>
                <w:color w:val="auto"/>
              </w:rPr>
            </w:pPr>
            <w:r>
              <w:rPr>
                <w:rFonts w:ascii="Arial" w:cs="Arial" w:eastAsia="Arial" w:hAnsi="Arial"/>
                <w:sz w:val="13"/>
                <w:szCs w:val="13"/>
                <w:color w:val="auto"/>
              </w:rPr>
              <w:t>Alabama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Arizona Landfills,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Buckeye, L.L.C.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Collection and Recycling, Inc.</w:t>
            </w:r>
          </w:p>
        </w:tc>
        <w:tc>
          <w:tcPr>
            <w:tcW w:w="5120" w:type="dxa"/>
            <w:vAlign w:val="bottom"/>
          </w:tcPr>
          <w:p>
            <w:pPr>
              <w:ind w:left="2620"/>
              <w:spacing w:after="0"/>
              <w:rPr>
                <w:sz w:val="20"/>
                <w:szCs w:val="20"/>
                <w:color w:val="auto"/>
              </w:rPr>
            </w:pPr>
            <w:r>
              <w:rPr>
                <w:rFonts w:ascii="Arial" w:cs="Arial" w:eastAsia="Arial" w:hAnsi="Arial"/>
                <w:sz w:val="13"/>
                <w:szCs w:val="13"/>
                <w:color w:val="auto"/>
              </w:rPr>
              <w:t>California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Disposal Services of Colorado, Inc.</w:t>
            </w:r>
          </w:p>
        </w:tc>
        <w:tc>
          <w:tcPr>
            <w:tcW w:w="5120" w:type="dxa"/>
            <w:vAlign w:val="bottom"/>
          </w:tcPr>
          <w:p>
            <w:pPr>
              <w:ind w:left="2620"/>
              <w:spacing w:after="0"/>
              <w:rPr>
                <w:sz w:val="20"/>
                <w:szCs w:val="20"/>
                <w:color w:val="auto"/>
              </w:rPr>
            </w:pPr>
            <w:r>
              <w:rPr>
                <w:rFonts w:ascii="Arial" w:cs="Arial" w:eastAsia="Arial" w:hAnsi="Arial"/>
                <w:sz w:val="13"/>
                <w:szCs w:val="13"/>
                <w:color w:val="auto"/>
              </w:rPr>
              <w:t>Colorado</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Disposal Services of Maine, Inc.</w:t>
            </w:r>
          </w:p>
        </w:tc>
        <w:tc>
          <w:tcPr>
            <w:tcW w:w="5120" w:type="dxa"/>
            <w:vAlign w:val="bottom"/>
          </w:tcPr>
          <w:p>
            <w:pPr>
              <w:ind w:left="2620"/>
              <w:spacing w:after="0"/>
              <w:rPr>
                <w:sz w:val="20"/>
                <w:szCs w:val="20"/>
                <w:color w:val="auto"/>
              </w:rPr>
            </w:pPr>
            <w:r>
              <w:rPr>
                <w:rFonts w:ascii="Arial" w:cs="Arial" w:eastAsia="Arial" w:hAnsi="Arial"/>
                <w:sz w:val="13"/>
                <w:szCs w:val="13"/>
                <w:color w:val="auto"/>
              </w:rPr>
              <w:t>Maine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Disposal Services of Maryland, Inc.</w:t>
            </w:r>
          </w:p>
        </w:tc>
        <w:tc>
          <w:tcPr>
            <w:tcW w:w="5120" w:type="dxa"/>
            <w:vAlign w:val="bottom"/>
          </w:tcPr>
          <w:p>
            <w:pPr>
              <w:ind w:left="2620"/>
              <w:spacing w:after="0"/>
              <w:rPr>
                <w:sz w:val="20"/>
                <w:szCs w:val="20"/>
                <w:color w:val="auto"/>
              </w:rPr>
            </w:pPr>
            <w:r>
              <w:rPr>
                <w:rFonts w:ascii="Arial" w:cs="Arial" w:eastAsia="Arial" w:hAnsi="Arial"/>
                <w:sz w:val="13"/>
                <w:szCs w:val="13"/>
                <w:color w:val="auto"/>
              </w:rPr>
              <w:t>Maryland</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Disposal Services of Massachusetts, Inc.</w:t>
            </w:r>
          </w:p>
        </w:tc>
        <w:tc>
          <w:tcPr>
            <w:tcW w:w="5120" w:type="dxa"/>
            <w:vAlign w:val="bottom"/>
          </w:tcPr>
          <w:p>
            <w:pPr>
              <w:ind w:left="2620"/>
              <w:spacing w:after="0"/>
              <w:rPr>
                <w:sz w:val="20"/>
                <w:szCs w:val="20"/>
                <w:color w:val="auto"/>
              </w:rPr>
            </w:pPr>
            <w:r>
              <w:rPr>
                <w:rFonts w:ascii="Arial" w:cs="Arial" w:eastAsia="Arial" w:hAnsi="Arial"/>
                <w:sz w:val="13"/>
                <w:szCs w:val="13"/>
                <w:color w:val="auto"/>
              </w:rPr>
              <w:t>Massachusetts</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Disposal Services of Oregon,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Disposal Services of Pennsylvania, Inc.</w:t>
            </w:r>
          </w:p>
        </w:tc>
        <w:tc>
          <w:tcPr>
            <w:tcW w:w="5120" w:type="dxa"/>
            <w:vAlign w:val="bottom"/>
          </w:tcPr>
          <w:p>
            <w:pPr>
              <w:ind w:left="2620"/>
              <w:spacing w:after="0"/>
              <w:rPr>
                <w:sz w:val="20"/>
                <w:szCs w:val="20"/>
                <w:color w:val="auto"/>
              </w:rPr>
            </w:pPr>
            <w:r>
              <w:rPr>
                <w:rFonts w:ascii="Arial" w:cs="Arial" w:eastAsia="Arial" w:hAnsi="Arial"/>
                <w:sz w:val="13"/>
                <w:szCs w:val="13"/>
                <w:color w:val="auto"/>
              </w:rPr>
              <w:t>Pennsylvania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Disposal Services of Virginia,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Holdings,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Inc. of Florida</w:t>
            </w:r>
          </w:p>
        </w:tc>
        <w:tc>
          <w:tcPr>
            <w:tcW w:w="5120" w:type="dxa"/>
            <w:vAlign w:val="bottom"/>
          </w:tcPr>
          <w:p>
            <w:pPr>
              <w:ind w:left="2620"/>
              <w:spacing w:after="0"/>
              <w:rPr>
                <w:sz w:val="20"/>
                <w:szCs w:val="20"/>
                <w:color w:val="auto"/>
              </w:rPr>
            </w:pPr>
            <w:r>
              <w:rPr>
                <w:rFonts w:ascii="Arial" w:cs="Arial" w:eastAsia="Arial" w:hAnsi="Arial"/>
                <w:sz w:val="13"/>
                <w:szCs w:val="13"/>
                <w:color w:val="auto"/>
              </w:rPr>
              <w:t>Florida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Indycoke, L.L.C.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International,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Municipal Services of California, Inc.</w:t>
            </w:r>
          </w:p>
        </w:tc>
        <w:tc>
          <w:tcPr>
            <w:tcW w:w="5120" w:type="dxa"/>
            <w:vAlign w:val="bottom"/>
          </w:tcPr>
          <w:p>
            <w:pPr>
              <w:ind w:left="2620"/>
              <w:spacing w:after="0"/>
              <w:rPr>
                <w:sz w:val="20"/>
                <w:szCs w:val="20"/>
                <w:color w:val="auto"/>
              </w:rPr>
            </w:pPr>
            <w:r>
              <w:rPr>
                <w:rFonts w:ascii="Arial" w:cs="Arial" w:eastAsia="Arial" w:hAnsi="Arial"/>
                <w:sz w:val="13"/>
                <w:szCs w:val="13"/>
                <w:color w:val="auto"/>
              </w:rPr>
              <w:t>California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National Services,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New England Environmental Transport,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Alameda County, Inc.</w:t>
            </w:r>
          </w:p>
        </w:tc>
        <w:tc>
          <w:tcPr>
            <w:tcW w:w="5120" w:type="dxa"/>
            <w:vAlign w:val="bottom"/>
          </w:tcPr>
          <w:p>
            <w:pPr>
              <w:ind w:left="2620"/>
              <w:spacing w:after="0"/>
              <w:rPr>
                <w:sz w:val="20"/>
                <w:szCs w:val="20"/>
                <w:color w:val="auto"/>
              </w:rPr>
            </w:pPr>
            <w:r>
              <w:rPr>
                <w:rFonts w:ascii="Arial" w:cs="Arial" w:eastAsia="Arial" w:hAnsi="Arial"/>
                <w:sz w:val="13"/>
                <w:szCs w:val="13"/>
                <w:color w:val="auto"/>
              </w:rPr>
              <w:t>California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Alaska,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Arizona, Inc.</w:t>
            </w:r>
          </w:p>
        </w:tc>
        <w:tc>
          <w:tcPr>
            <w:tcW w:w="5120" w:type="dxa"/>
            <w:vAlign w:val="bottom"/>
          </w:tcPr>
          <w:p>
            <w:pPr>
              <w:ind w:left="2620"/>
              <w:spacing w:after="0"/>
              <w:rPr>
                <w:sz w:val="20"/>
                <w:szCs w:val="20"/>
                <w:color w:val="auto"/>
              </w:rPr>
            </w:pPr>
            <w:r>
              <w:rPr>
                <w:rFonts w:ascii="Arial" w:cs="Arial" w:eastAsia="Arial" w:hAnsi="Arial"/>
                <w:sz w:val="13"/>
                <w:szCs w:val="13"/>
                <w:color w:val="auto"/>
              </w:rPr>
              <w:t>California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Arkansas,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California, Inc.</w:t>
            </w:r>
          </w:p>
        </w:tc>
        <w:tc>
          <w:tcPr>
            <w:tcW w:w="5120" w:type="dxa"/>
            <w:vAlign w:val="bottom"/>
          </w:tcPr>
          <w:p>
            <w:pPr>
              <w:ind w:left="2620"/>
              <w:spacing w:after="0"/>
              <w:rPr>
                <w:sz w:val="20"/>
                <w:szCs w:val="20"/>
                <w:color w:val="auto"/>
              </w:rPr>
            </w:pPr>
            <w:r>
              <w:rPr>
                <w:rFonts w:ascii="Arial" w:cs="Arial" w:eastAsia="Arial" w:hAnsi="Arial"/>
                <w:sz w:val="13"/>
                <w:szCs w:val="13"/>
                <w:color w:val="auto"/>
              </w:rPr>
              <w:t>California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Canada Corporation</w:t>
            </w:r>
          </w:p>
        </w:tc>
        <w:tc>
          <w:tcPr>
            <w:tcW w:w="5120" w:type="dxa"/>
            <w:vAlign w:val="bottom"/>
          </w:tcPr>
          <w:p>
            <w:pPr>
              <w:ind w:left="2620"/>
              <w:spacing w:after="0"/>
              <w:rPr>
                <w:sz w:val="20"/>
                <w:szCs w:val="20"/>
                <w:color w:val="auto"/>
              </w:rPr>
            </w:pPr>
            <w:r>
              <w:rPr>
                <w:rFonts w:ascii="Arial" w:cs="Arial" w:eastAsia="Arial" w:hAnsi="Arial"/>
                <w:sz w:val="13"/>
                <w:szCs w:val="13"/>
                <w:color w:val="auto"/>
              </w:rPr>
              <w:t>Ontario</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Carolinas, Inc.</w:t>
            </w:r>
          </w:p>
        </w:tc>
        <w:tc>
          <w:tcPr>
            <w:tcW w:w="5120" w:type="dxa"/>
            <w:vAlign w:val="bottom"/>
          </w:tcPr>
          <w:p>
            <w:pPr>
              <w:ind w:left="2620"/>
              <w:spacing w:after="0"/>
              <w:rPr>
                <w:sz w:val="20"/>
                <w:szCs w:val="20"/>
                <w:color w:val="auto"/>
              </w:rPr>
            </w:pPr>
            <w:r>
              <w:rPr>
                <w:rFonts w:ascii="Arial" w:cs="Arial" w:eastAsia="Arial" w:hAnsi="Arial"/>
                <w:sz w:val="13"/>
                <w:szCs w:val="13"/>
                <w:color w:val="auto"/>
              </w:rPr>
              <w:t>North Carolina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Colorado, Inc.</w:t>
            </w:r>
          </w:p>
        </w:tc>
        <w:tc>
          <w:tcPr>
            <w:tcW w:w="5120" w:type="dxa"/>
            <w:vAlign w:val="bottom"/>
          </w:tcPr>
          <w:p>
            <w:pPr>
              <w:ind w:left="2620"/>
              <w:spacing w:after="0"/>
              <w:rPr>
                <w:sz w:val="20"/>
                <w:szCs w:val="20"/>
                <w:color w:val="auto"/>
              </w:rPr>
            </w:pPr>
            <w:r>
              <w:rPr>
                <w:rFonts w:ascii="Arial" w:cs="Arial" w:eastAsia="Arial" w:hAnsi="Arial"/>
                <w:sz w:val="13"/>
                <w:szCs w:val="13"/>
                <w:color w:val="auto"/>
              </w:rPr>
              <w:t>Colorado</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Connecticut,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Delaware,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Fairless, L.L.C.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Five Oaks Recycling and Disposal Facility,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Georgia, Inc.</w:t>
            </w:r>
          </w:p>
        </w:tc>
        <w:tc>
          <w:tcPr>
            <w:tcW w:w="5120" w:type="dxa"/>
            <w:vAlign w:val="bottom"/>
          </w:tcPr>
          <w:p>
            <w:pPr>
              <w:ind w:left="2620"/>
              <w:spacing w:after="0"/>
              <w:rPr>
                <w:sz w:val="20"/>
                <w:szCs w:val="20"/>
                <w:color w:val="auto"/>
              </w:rPr>
            </w:pPr>
            <w:r>
              <w:rPr>
                <w:rFonts w:ascii="Arial" w:cs="Arial" w:eastAsia="Arial" w:hAnsi="Arial"/>
                <w:sz w:val="13"/>
                <w:szCs w:val="13"/>
                <w:color w:val="auto"/>
              </w:rPr>
              <w:t>Georgia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Hawaii,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Idaho, Inc.</w:t>
            </w:r>
          </w:p>
        </w:tc>
        <w:tc>
          <w:tcPr>
            <w:tcW w:w="5120" w:type="dxa"/>
            <w:vAlign w:val="bottom"/>
          </w:tcPr>
          <w:p>
            <w:pPr>
              <w:ind w:left="2620"/>
              <w:spacing w:after="0"/>
              <w:rPr>
                <w:sz w:val="20"/>
                <w:szCs w:val="20"/>
                <w:color w:val="auto"/>
              </w:rPr>
            </w:pPr>
            <w:r>
              <w:rPr>
                <w:rFonts w:ascii="Arial" w:cs="Arial" w:eastAsia="Arial" w:hAnsi="Arial"/>
                <w:sz w:val="13"/>
                <w:szCs w:val="13"/>
                <w:color w:val="auto"/>
              </w:rPr>
              <w:t>Idaho</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Illinois,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Indiana Holdings One,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Indiana Holdings Two,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Indiana, L.L.C.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Iowa, Inc.</w:t>
            </w:r>
          </w:p>
        </w:tc>
        <w:tc>
          <w:tcPr>
            <w:tcW w:w="5120" w:type="dxa"/>
            <w:vAlign w:val="bottom"/>
          </w:tcPr>
          <w:p>
            <w:pPr>
              <w:ind w:left="2620"/>
              <w:spacing w:after="0"/>
              <w:rPr>
                <w:sz w:val="20"/>
                <w:szCs w:val="20"/>
                <w:color w:val="auto"/>
              </w:rPr>
            </w:pPr>
            <w:r>
              <w:rPr>
                <w:rFonts w:ascii="Arial" w:cs="Arial" w:eastAsia="Arial" w:hAnsi="Arial"/>
                <w:sz w:val="13"/>
                <w:szCs w:val="13"/>
                <w:color w:val="auto"/>
              </w:rPr>
              <w:t>Iowa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Kansas, Inc.</w:t>
            </w:r>
          </w:p>
        </w:tc>
        <w:tc>
          <w:tcPr>
            <w:tcW w:w="5120" w:type="dxa"/>
            <w:vAlign w:val="bottom"/>
          </w:tcPr>
          <w:p>
            <w:pPr>
              <w:ind w:left="2620"/>
              <w:spacing w:after="0"/>
              <w:rPr>
                <w:sz w:val="20"/>
                <w:szCs w:val="20"/>
                <w:color w:val="auto"/>
              </w:rPr>
            </w:pPr>
            <w:r>
              <w:rPr>
                <w:rFonts w:ascii="Arial" w:cs="Arial" w:eastAsia="Arial" w:hAnsi="Arial"/>
                <w:sz w:val="13"/>
                <w:szCs w:val="13"/>
                <w:color w:val="auto"/>
              </w:rPr>
              <w:t>Kansas</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Kentucky Holdings,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Kentucky, L.L.C.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Leon County, Inc.</w:t>
            </w:r>
          </w:p>
        </w:tc>
        <w:tc>
          <w:tcPr>
            <w:tcW w:w="5120" w:type="dxa"/>
            <w:vAlign w:val="bottom"/>
          </w:tcPr>
          <w:p>
            <w:pPr>
              <w:ind w:left="2620"/>
              <w:spacing w:after="0"/>
              <w:rPr>
                <w:sz w:val="20"/>
                <w:szCs w:val="20"/>
                <w:color w:val="auto"/>
              </w:rPr>
            </w:pPr>
            <w:r>
              <w:rPr>
                <w:rFonts w:ascii="Arial" w:cs="Arial" w:eastAsia="Arial" w:hAnsi="Arial"/>
                <w:sz w:val="13"/>
                <w:szCs w:val="13"/>
                <w:color w:val="auto"/>
              </w:rPr>
              <w:t>Florida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Londonderry,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Louisiana Holdings One, Inc.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Louisiana, L.L.C.</w:t>
            </w:r>
          </w:p>
        </w:tc>
        <w:tc>
          <w:tcPr>
            <w:tcW w:w="5120" w:type="dxa"/>
            <w:vAlign w:val="bottom"/>
          </w:tcPr>
          <w:p>
            <w:pPr>
              <w:ind w:left="2620"/>
              <w:spacing w:after="0"/>
              <w:rPr>
                <w:sz w:val="20"/>
                <w:szCs w:val="20"/>
                <w:color w:val="auto"/>
              </w:rPr>
            </w:pPr>
            <w:r>
              <w:rPr>
                <w:rFonts w:ascii="Arial" w:cs="Arial" w:eastAsia="Arial" w:hAnsi="Arial"/>
                <w:sz w:val="13"/>
                <w:szCs w:val="13"/>
                <w:color w:val="auto"/>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Maine, Inc.</w:t>
            </w:r>
          </w:p>
        </w:tc>
        <w:tc>
          <w:tcPr>
            <w:tcW w:w="5120" w:type="dxa"/>
            <w:vAlign w:val="bottom"/>
          </w:tcPr>
          <w:p>
            <w:pPr>
              <w:ind w:left="2620"/>
              <w:spacing w:after="0"/>
              <w:rPr>
                <w:sz w:val="20"/>
                <w:szCs w:val="20"/>
                <w:color w:val="auto"/>
              </w:rPr>
            </w:pPr>
            <w:r>
              <w:rPr>
                <w:rFonts w:ascii="Arial" w:cs="Arial" w:eastAsia="Arial" w:hAnsi="Arial"/>
                <w:sz w:val="13"/>
                <w:szCs w:val="13"/>
                <w:color w:val="auto"/>
              </w:rPr>
              <w:t>Maine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Maryland, Inc.</w:t>
            </w:r>
          </w:p>
        </w:tc>
        <w:tc>
          <w:tcPr>
            <w:tcW w:w="5120" w:type="dxa"/>
            <w:vAlign w:val="bottom"/>
          </w:tcPr>
          <w:p>
            <w:pPr>
              <w:ind w:left="2620"/>
              <w:spacing w:after="0"/>
              <w:rPr>
                <w:sz w:val="20"/>
                <w:szCs w:val="20"/>
                <w:color w:val="auto"/>
              </w:rPr>
            </w:pPr>
            <w:r>
              <w:rPr>
                <w:rFonts w:ascii="Arial" w:cs="Arial" w:eastAsia="Arial" w:hAnsi="Arial"/>
                <w:sz w:val="13"/>
                <w:szCs w:val="13"/>
                <w:color w:val="auto"/>
              </w:rPr>
              <w:t>Maryland</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Massachusetts, Inc.</w:t>
            </w:r>
          </w:p>
        </w:tc>
        <w:tc>
          <w:tcPr>
            <w:tcW w:w="5120" w:type="dxa"/>
            <w:vAlign w:val="bottom"/>
          </w:tcPr>
          <w:p>
            <w:pPr>
              <w:ind w:left="2620"/>
              <w:spacing w:after="0"/>
              <w:rPr>
                <w:sz w:val="20"/>
                <w:szCs w:val="20"/>
                <w:color w:val="auto"/>
              </w:rPr>
            </w:pPr>
            <w:r>
              <w:rPr>
                <w:rFonts w:ascii="Arial" w:cs="Arial" w:eastAsia="Arial" w:hAnsi="Arial"/>
                <w:sz w:val="13"/>
                <w:szCs w:val="13"/>
                <w:color w:val="auto"/>
              </w:rPr>
              <w:t>Massachusetts</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Waste Management of Metro Atlanta, Inc.</w:t>
            </w:r>
          </w:p>
        </w:tc>
        <w:tc>
          <w:tcPr>
            <w:tcW w:w="5120" w:type="dxa"/>
            <w:vAlign w:val="bottom"/>
          </w:tcPr>
          <w:p>
            <w:pPr>
              <w:ind w:left="2620"/>
              <w:spacing w:after="0"/>
              <w:rPr>
                <w:sz w:val="20"/>
                <w:szCs w:val="20"/>
                <w:color w:val="auto"/>
              </w:rPr>
            </w:pPr>
            <w:r>
              <w:rPr>
                <w:rFonts w:ascii="Arial" w:cs="Arial" w:eastAsia="Arial" w:hAnsi="Arial"/>
                <w:sz w:val="13"/>
                <w:szCs w:val="13"/>
                <w:color w:val="auto"/>
              </w:rPr>
              <w:t>Georgia</w:t>
            </w:r>
          </w:p>
        </w:tc>
      </w:tr>
      <w:tr>
        <w:trPr>
          <w:trHeight w:val="165"/>
        </w:trPr>
        <w:tc>
          <w:tcPr>
            <w:tcW w:w="6340" w:type="dxa"/>
            <w:vAlign w:val="bottom"/>
          </w:tcPr>
          <w:p>
            <w:pPr>
              <w:spacing w:after="0"/>
              <w:rPr>
                <w:sz w:val="20"/>
                <w:szCs w:val="20"/>
                <w:color w:val="auto"/>
              </w:rPr>
            </w:pPr>
            <w:r>
              <w:rPr>
                <w:rFonts w:ascii="Arial" w:cs="Arial" w:eastAsia="Arial" w:hAnsi="Arial"/>
                <w:sz w:val="13"/>
                <w:szCs w:val="13"/>
                <w:color w:val="auto"/>
              </w:rPr>
              <w:t>Waste Management of Michigan, Inc.</w:t>
            </w:r>
          </w:p>
        </w:tc>
        <w:tc>
          <w:tcPr>
            <w:tcW w:w="5120" w:type="dxa"/>
            <w:vAlign w:val="bottom"/>
          </w:tcPr>
          <w:p>
            <w:pPr>
              <w:ind w:left="2620"/>
              <w:spacing w:after="0"/>
              <w:rPr>
                <w:sz w:val="20"/>
                <w:szCs w:val="20"/>
                <w:color w:val="auto"/>
              </w:rPr>
            </w:pPr>
            <w:r>
              <w:rPr>
                <w:rFonts w:ascii="Arial" w:cs="Arial" w:eastAsia="Arial" w:hAnsi="Arial"/>
                <w:sz w:val="13"/>
                <w:szCs w:val="13"/>
                <w:color w:val="auto"/>
              </w:rPr>
              <w:t>Michigan</w:t>
            </w: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15"/>
        </w:trPr>
        <w:tc>
          <w:tcPr>
            <w:tcW w:w="6360" w:type="dxa"/>
            <w:vAlign w:val="bottom"/>
          </w:tcPr>
          <w:p>
            <w:pPr>
              <w:spacing w:after="0"/>
              <w:rPr>
                <w:sz w:val="10"/>
                <w:szCs w:val="10"/>
                <w:color w:val="auto"/>
              </w:rPr>
            </w:pPr>
          </w:p>
        </w:tc>
        <w:tc>
          <w:tcPr>
            <w:tcW w:w="5100" w:type="dxa"/>
            <w:vAlign w:val="bottom"/>
          </w:tcPr>
          <w:p>
            <w:pPr>
              <w:ind w:left="2600"/>
              <w:spacing w:after="0"/>
              <w:rPr>
                <w:sz w:val="20"/>
                <w:szCs w:val="20"/>
                <w:color w:val="auto"/>
              </w:rPr>
            </w:pPr>
            <w:r>
              <w:rPr>
                <w:rFonts w:ascii="Arial" w:cs="Arial" w:eastAsia="Arial" w:hAnsi="Arial"/>
                <w:sz w:val="10"/>
                <w:szCs w:val="10"/>
                <w:b w:val="1"/>
                <w:bCs w:val="1"/>
                <w:i w:val="1"/>
                <w:iCs w:val="1"/>
                <w:color w:val="auto"/>
              </w:rPr>
              <w:t>Jurisdiction</w:t>
            </w:r>
          </w:p>
        </w:tc>
      </w:tr>
      <w:tr>
        <w:trPr>
          <w:trHeight w:val="112"/>
        </w:trPr>
        <w:tc>
          <w:tcPr>
            <w:tcW w:w="6360" w:type="dxa"/>
            <w:vAlign w:val="bottom"/>
          </w:tcPr>
          <w:p>
            <w:pPr>
              <w:spacing w:after="0" w:line="113" w:lineRule="exact"/>
              <w:rPr>
                <w:sz w:val="20"/>
                <w:szCs w:val="20"/>
                <w:color w:val="auto"/>
              </w:rPr>
            </w:pPr>
            <w:r>
              <w:rPr>
                <w:rFonts w:ascii="Arial" w:cs="Arial" w:eastAsia="Arial" w:hAnsi="Arial"/>
                <w:sz w:val="10"/>
                <w:szCs w:val="10"/>
                <w:b w:val="1"/>
                <w:bCs w:val="1"/>
                <w:i w:val="1"/>
                <w:iCs w:val="1"/>
                <w:color w:val="auto"/>
              </w:rPr>
              <w:t>Name of Entity</w:t>
            </w:r>
          </w:p>
        </w:tc>
        <w:tc>
          <w:tcPr>
            <w:tcW w:w="5100" w:type="dxa"/>
            <w:vAlign w:val="bottom"/>
          </w:tcPr>
          <w:p>
            <w:pPr>
              <w:ind w:left="2600"/>
              <w:spacing w:after="0" w:line="113" w:lineRule="exact"/>
              <w:rPr>
                <w:sz w:val="20"/>
                <w:szCs w:val="20"/>
                <w:color w:val="auto"/>
              </w:rPr>
            </w:pPr>
            <w:r>
              <w:rPr>
                <w:rFonts w:ascii="Arial" w:cs="Arial" w:eastAsia="Arial" w:hAnsi="Arial"/>
                <w:sz w:val="10"/>
                <w:szCs w:val="10"/>
                <w:b w:val="1"/>
                <w:bCs w:val="1"/>
                <w:i w:val="1"/>
                <w:iCs w:val="1"/>
                <w:color w:val="auto"/>
              </w:rPr>
              <w:t>Incorporation/Formation</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Minnesota, Inc.</w:t>
            </w:r>
          </w:p>
        </w:tc>
        <w:tc>
          <w:tcPr>
            <w:tcW w:w="5100" w:type="dxa"/>
            <w:vAlign w:val="bottom"/>
          </w:tcPr>
          <w:p>
            <w:pPr>
              <w:ind w:left="2600"/>
              <w:spacing w:after="0"/>
              <w:rPr>
                <w:sz w:val="20"/>
                <w:szCs w:val="20"/>
                <w:color w:val="auto"/>
              </w:rPr>
            </w:pPr>
            <w:r>
              <w:rPr>
                <w:rFonts w:ascii="Arial" w:cs="Arial" w:eastAsia="Arial" w:hAnsi="Arial"/>
                <w:sz w:val="13"/>
                <w:szCs w:val="13"/>
                <w:color w:val="auto"/>
              </w:rPr>
              <w:t>Minnesota</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Mississippi, Inc.</w:t>
            </w:r>
          </w:p>
        </w:tc>
        <w:tc>
          <w:tcPr>
            <w:tcW w:w="5100" w:type="dxa"/>
            <w:vAlign w:val="bottom"/>
          </w:tcPr>
          <w:p>
            <w:pPr>
              <w:ind w:left="2600"/>
              <w:spacing w:after="0"/>
              <w:rPr>
                <w:sz w:val="20"/>
                <w:szCs w:val="20"/>
                <w:color w:val="auto"/>
              </w:rPr>
            </w:pPr>
            <w:r>
              <w:rPr>
                <w:rFonts w:ascii="Arial" w:cs="Arial" w:eastAsia="Arial" w:hAnsi="Arial"/>
                <w:sz w:val="13"/>
                <w:szCs w:val="13"/>
                <w:color w:val="auto"/>
              </w:rPr>
              <w:t>Mississippi</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Missouri,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Montana,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Nebraska,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Nevada, Inc.</w:t>
            </w:r>
          </w:p>
        </w:tc>
        <w:tc>
          <w:tcPr>
            <w:tcW w:w="5100" w:type="dxa"/>
            <w:vAlign w:val="bottom"/>
          </w:tcPr>
          <w:p>
            <w:pPr>
              <w:ind w:left="2600"/>
              <w:spacing w:after="0"/>
              <w:rPr>
                <w:sz w:val="20"/>
                <w:szCs w:val="20"/>
                <w:color w:val="auto"/>
              </w:rPr>
            </w:pPr>
            <w:r>
              <w:rPr>
                <w:rFonts w:ascii="Arial" w:cs="Arial" w:eastAsia="Arial" w:hAnsi="Arial"/>
                <w:sz w:val="13"/>
                <w:szCs w:val="13"/>
                <w:color w:val="auto"/>
              </w:rPr>
              <w:t>Nevada</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New Hampshire, Inc.</w:t>
            </w:r>
          </w:p>
        </w:tc>
        <w:tc>
          <w:tcPr>
            <w:tcW w:w="5100" w:type="dxa"/>
            <w:vAlign w:val="bottom"/>
          </w:tcPr>
          <w:p>
            <w:pPr>
              <w:ind w:left="2600"/>
              <w:spacing w:after="0"/>
              <w:rPr>
                <w:sz w:val="20"/>
                <w:szCs w:val="20"/>
                <w:color w:val="auto"/>
              </w:rPr>
            </w:pPr>
            <w:r>
              <w:rPr>
                <w:rFonts w:ascii="Arial" w:cs="Arial" w:eastAsia="Arial" w:hAnsi="Arial"/>
                <w:sz w:val="13"/>
                <w:szCs w:val="13"/>
                <w:color w:val="auto"/>
              </w:rPr>
              <w:t>Connecticut</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New Jersey,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New Mexico, Inc.</w:t>
            </w:r>
          </w:p>
        </w:tc>
        <w:tc>
          <w:tcPr>
            <w:tcW w:w="5100" w:type="dxa"/>
            <w:vAlign w:val="bottom"/>
          </w:tcPr>
          <w:p>
            <w:pPr>
              <w:ind w:left="2600"/>
              <w:spacing w:after="0"/>
              <w:rPr>
                <w:sz w:val="20"/>
                <w:szCs w:val="20"/>
                <w:color w:val="auto"/>
              </w:rPr>
            </w:pPr>
            <w:r>
              <w:rPr>
                <w:rFonts w:ascii="Arial" w:cs="Arial" w:eastAsia="Arial" w:hAnsi="Arial"/>
                <w:sz w:val="13"/>
                <w:szCs w:val="13"/>
                <w:color w:val="auto"/>
              </w:rPr>
              <w:t>New Mexico</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New York, L.L.C.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North Dakota,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Ohio, Inc.</w:t>
            </w:r>
          </w:p>
        </w:tc>
        <w:tc>
          <w:tcPr>
            <w:tcW w:w="5100" w:type="dxa"/>
            <w:vAlign w:val="bottom"/>
          </w:tcPr>
          <w:p>
            <w:pPr>
              <w:ind w:left="2600"/>
              <w:spacing w:after="0"/>
              <w:rPr>
                <w:sz w:val="20"/>
                <w:szCs w:val="20"/>
                <w:color w:val="auto"/>
              </w:rPr>
            </w:pPr>
            <w:r>
              <w:rPr>
                <w:rFonts w:ascii="Arial" w:cs="Arial" w:eastAsia="Arial" w:hAnsi="Arial"/>
                <w:sz w:val="13"/>
                <w:szCs w:val="13"/>
                <w:color w:val="auto"/>
              </w:rPr>
              <w:t>Ohio</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Oklahoma, Inc.</w:t>
            </w:r>
          </w:p>
        </w:tc>
        <w:tc>
          <w:tcPr>
            <w:tcW w:w="5100" w:type="dxa"/>
            <w:vAlign w:val="bottom"/>
          </w:tcPr>
          <w:p>
            <w:pPr>
              <w:ind w:left="2600"/>
              <w:spacing w:after="0"/>
              <w:rPr>
                <w:sz w:val="20"/>
                <w:szCs w:val="20"/>
                <w:color w:val="auto"/>
              </w:rPr>
            </w:pPr>
            <w:r>
              <w:rPr>
                <w:rFonts w:ascii="Arial" w:cs="Arial" w:eastAsia="Arial" w:hAnsi="Arial"/>
                <w:sz w:val="13"/>
                <w:szCs w:val="13"/>
                <w:color w:val="auto"/>
              </w:rPr>
              <w:t>Oklahoma</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Oregon, Inc.</w:t>
            </w:r>
          </w:p>
        </w:tc>
        <w:tc>
          <w:tcPr>
            <w:tcW w:w="5100" w:type="dxa"/>
            <w:vAlign w:val="bottom"/>
          </w:tcPr>
          <w:p>
            <w:pPr>
              <w:ind w:left="2600"/>
              <w:spacing w:after="0"/>
              <w:rPr>
                <w:sz w:val="20"/>
                <w:szCs w:val="20"/>
                <w:color w:val="auto"/>
              </w:rPr>
            </w:pPr>
            <w:r>
              <w:rPr>
                <w:rFonts w:ascii="Arial" w:cs="Arial" w:eastAsia="Arial" w:hAnsi="Arial"/>
                <w:sz w:val="13"/>
                <w:szCs w:val="13"/>
                <w:color w:val="auto"/>
              </w:rPr>
              <w:t>Oregon</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Pennsylvania Gas Recovery, L.L.C.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Pennsylvania, Inc.</w:t>
            </w:r>
          </w:p>
        </w:tc>
        <w:tc>
          <w:tcPr>
            <w:tcW w:w="5100" w:type="dxa"/>
            <w:vAlign w:val="bottom"/>
          </w:tcPr>
          <w:p>
            <w:pPr>
              <w:ind w:left="2600"/>
              <w:spacing w:after="0"/>
              <w:rPr>
                <w:sz w:val="20"/>
                <w:szCs w:val="20"/>
                <w:color w:val="auto"/>
              </w:rPr>
            </w:pPr>
            <w:r>
              <w:rPr>
                <w:rFonts w:ascii="Arial" w:cs="Arial" w:eastAsia="Arial" w:hAnsi="Arial"/>
                <w:sz w:val="13"/>
                <w:szCs w:val="13"/>
                <w:color w:val="auto"/>
              </w:rPr>
              <w:t>Pennsylvania</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Plainfield, L.L.C.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Rhode Island,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South Carolina, Inc.</w:t>
            </w:r>
          </w:p>
        </w:tc>
        <w:tc>
          <w:tcPr>
            <w:tcW w:w="5100" w:type="dxa"/>
            <w:vAlign w:val="bottom"/>
          </w:tcPr>
          <w:p>
            <w:pPr>
              <w:ind w:left="2600"/>
              <w:spacing w:after="0"/>
              <w:rPr>
                <w:sz w:val="20"/>
                <w:szCs w:val="20"/>
                <w:color w:val="auto"/>
              </w:rPr>
            </w:pPr>
            <w:r>
              <w:rPr>
                <w:rFonts w:ascii="Arial" w:cs="Arial" w:eastAsia="Arial" w:hAnsi="Arial"/>
                <w:sz w:val="13"/>
                <w:szCs w:val="13"/>
                <w:color w:val="auto"/>
              </w:rPr>
              <w:t>South Carolina</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South Dakota, Inc.</w:t>
            </w:r>
          </w:p>
        </w:tc>
        <w:tc>
          <w:tcPr>
            <w:tcW w:w="5100" w:type="dxa"/>
            <w:vAlign w:val="bottom"/>
          </w:tcPr>
          <w:p>
            <w:pPr>
              <w:ind w:left="2600"/>
              <w:spacing w:after="0"/>
              <w:rPr>
                <w:sz w:val="20"/>
                <w:szCs w:val="20"/>
                <w:color w:val="auto"/>
              </w:rPr>
            </w:pPr>
            <w:r>
              <w:rPr>
                <w:rFonts w:ascii="Arial" w:cs="Arial" w:eastAsia="Arial" w:hAnsi="Arial"/>
                <w:sz w:val="13"/>
                <w:szCs w:val="13"/>
                <w:color w:val="auto"/>
              </w:rPr>
              <w:t>South Dakota</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Texas Holdings,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Texas, Inc.</w:t>
            </w:r>
          </w:p>
        </w:tc>
        <w:tc>
          <w:tcPr>
            <w:tcW w:w="5100" w:type="dxa"/>
            <w:vAlign w:val="bottom"/>
          </w:tcPr>
          <w:p>
            <w:pPr>
              <w:ind w:left="2600"/>
              <w:spacing w:after="0"/>
              <w:rPr>
                <w:sz w:val="20"/>
                <w:szCs w:val="20"/>
                <w:color w:val="auto"/>
              </w:rPr>
            </w:pPr>
            <w:r>
              <w:rPr>
                <w:rFonts w:ascii="Arial" w:cs="Arial" w:eastAsia="Arial" w:hAnsi="Arial"/>
                <w:sz w:val="13"/>
                <w:szCs w:val="13"/>
                <w:color w:val="auto"/>
              </w:rPr>
              <w:t>Texas</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Tunica Landfill, Inc.</w:t>
            </w:r>
          </w:p>
        </w:tc>
        <w:tc>
          <w:tcPr>
            <w:tcW w:w="5100" w:type="dxa"/>
            <w:vAlign w:val="bottom"/>
          </w:tcPr>
          <w:p>
            <w:pPr>
              <w:ind w:left="2600"/>
              <w:spacing w:after="0"/>
              <w:rPr>
                <w:sz w:val="20"/>
                <w:szCs w:val="20"/>
                <w:color w:val="auto"/>
              </w:rPr>
            </w:pPr>
            <w:r>
              <w:rPr>
                <w:rFonts w:ascii="Arial" w:cs="Arial" w:eastAsia="Arial" w:hAnsi="Arial"/>
                <w:sz w:val="13"/>
                <w:szCs w:val="13"/>
                <w:color w:val="auto"/>
              </w:rPr>
              <w:t>Mississippi</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Utah, Inc.</w:t>
            </w:r>
          </w:p>
        </w:tc>
        <w:tc>
          <w:tcPr>
            <w:tcW w:w="5100" w:type="dxa"/>
            <w:vAlign w:val="bottom"/>
          </w:tcPr>
          <w:p>
            <w:pPr>
              <w:ind w:left="2600"/>
              <w:spacing w:after="0"/>
              <w:rPr>
                <w:sz w:val="20"/>
                <w:szCs w:val="20"/>
                <w:color w:val="auto"/>
              </w:rPr>
            </w:pPr>
            <w:r>
              <w:rPr>
                <w:rFonts w:ascii="Arial" w:cs="Arial" w:eastAsia="Arial" w:hAnsi="Arial"/>
                <w:sz w:val="13"/>
                <w:szCs w:val="13"/>
                <w:color w:val="auto"/>
              </w:rPr>
              <w:t>Utah</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Virginia, Inc.</w:t>
            </w:r>
          </w:p>
        </w:tc>
        <w:tc>
          <w:tcPr>
            <w:tcW w:w="5100" w:type="dxa"/>
            <w:vAlign w:val="bottom"/>
          </w:tcPr>
          <w:p>
            <w:pPr>
              <w:ind w:left="2600"/>
              <w:spacing w:after="0"/>
              <w:rPr>
                <w:sz w:val="20"/>
                <w:szCs w:val="20"/>
                <w:color w:val="auto"/>
              </w:rPr>
            </w:pPr>
            <w:r>
              <w:rPr>
                <w:rFonts w:ascii="Arial" w:cs="Arial" w:eastAsia="Arial" w:hAnsi="Arial"/>
                <w:sz w:val="13"/>
                <w:szCs w:val="13"/>
                <w:color w:val="auto"/>
              </w:rPr>
              <w:t>Virginia</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Washington,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West Virginia,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Wisconsin, Inc.</w:t>
            </w:r>
          </w:p>
        </w:tc>
        <w:tc>
          <w:tcPr>
            <w:tcW w:w="5100" w:type="dxa"/>
            <w:vAlign w:val="bottom"/>
          </w:tcPr>
          <w:p>
            <w:pPr>
              <w:ind w:left="2600"/>
              <w:spacing w:after="0"/>
              <w:rPr>
                <w:sz w:val="20"/>
                <w:szCs w:val="20"/>
                <w:color w:val="auto"/>
              </w:rPr>
            </w:pPr>
            <w:r>
              <w:rPr>
                <w:rFonts w:ascii="Arial" w:cs="Arial" w:eastAsia="Arial" w:hAnsi="Arial"/>
                <w:sz w:val="13"/>
                <w:szCs w:val="13"/>
                <w:color w:val="auto"/>
              </w:rPr>
              <w:t>Wisconsin</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of Wyoming,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Partners,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Recycling and Disposal Services of California, Inc.</w:t>
            </w:r>
          </w:p>
        </w:tc>
        <w:tc>
          <w:tcPr>
            <w:tcW w:w="5100" w:type="dxa"/>
            <w:vAlign w:val="bottom"/>
          </w:tcPr>
          <w:p>
            <w:pPr>
              <w:ind w:left="2600"/>
              <w:spacing w:after="0"/>
              <w:rPr>
                <w:sz w:val="20"/>
                <w:szCs w:val="20"/>
                <w:color w:val="auto"/>
              </w:rPr>
            </w:pPr>
            <w:r>
              <w:rPr>
                <w:rFonts w:ascii="Arial" w:cs="Arial" w:eastAsia="Arial" w:hAnsi="Arial"/>
                <w:sz w:val="13"/>
                <w:szCs w:val="13"/>
                <w:color w:val="auto"/>
              </w:rPr>
              <w:t>California</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Recycling of New Jersey, L.L.C.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Service Center,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Management, Inc. of Tennessee</w:t>
            </w:r>
          </w:p>
        </w:tc>
        <w:tc>
          <w:tcPr>
            <w:tcW w:w="5100" w:type="dxa"/>
            <w:vAlign w:val="bottom"/>
          </w:tcPr>
          <w:p>
            <w:pPr>
              <w:ind w:left="2600"/>
              <w:spacing w:after="0"/>
              <w:rPr>
                <w:sz w:val="20"/>
                <w:szCs w:val="20"/>
                <w:color w:val="auto"/>
              </w:rPr>
            </w:pPr>
            <w:r>
              <w:rPr>
                <w:rFonts w:ascii="Arial" w:cs="Arial" w:eastAsia="Arial" w:hAnsi="Arial"/>
                <w:sz w:val="13"/>
                <w:szCs w:val="13"/>
                <w:color w:val="auto"/>
              </w:rPr>
              <w:t>Tennessee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Resources of Tennessee, Inc.</w:t>
            </w:r>
          </w:p>
        </w:tc>
        <w:tc>
          <w:tcPr>
            <w:tcW w:w="5100" w:type="dxa"/>
            <w:vAlign w:val="bottom"/>
          </w:tcPr>
          <w:p>
            <w:pPr>
              <w:ind w:left="2600"/>
              <w:spacing w:after="0"/>
              <w:rPr>
                <w:sz w:val="20"/>
                <w:szCs w:val="20"/>
                <w:color w:val="auto"/>
              </w:rPr>
            </w:pPr>
            <w:r>
              <w:rPr>
                <w:rFonts w:ascii="Arial" w:cs="Arial" w:eastAsia="Arial" w:hAnsi="Arial"/>
                <w:sz w:val="13"/>
                <w:szCs w:val="13"/>
                <w:color w:val="auto"/>
              </w:rPr>
              <w:t>Tennessee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Services of Kentucky, L.L.C.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 to Energy Holdings,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Wastech Inc.</w:t>
            </w:r>
          </w:p>
        </w:tc>
        <w:tc>
          <w:tcPr>
            <w:tcW w:w="5100" w:type="dxa"/>
            <w:vAlign w:val="bottom"/>
          </w:tcPr>
          <w:p>
            <w:pPr>
              <w:ind w:left="2600"/>
              <w:spacing w:after="0"/>
              <w:rPr>
                <w:sz w:val="20"/>
                <w:szCs w:val="20"/>
                <w:color w:val="auto"/>
              </w:rPr>
            </w:pPr>
            <w:r>
              <w:rPr>
                <w:rFonts w:ascii="Arial" w:cs="Arial" w:eastAsia="Arial" w:hAnsi="Arial"/>
                <w:sz w:val="13"/>
                <w:szCs w:val="13"/>
                <w:color w:val="auto"/>
              </w:rPr>
              <w:t>Nevada</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WESI Baltimore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WESI Capital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WESI Peekskill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WESI Westchester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Westchester Resco Associates, L.P.</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Western One Land Corporation</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Western Waste Industries</w:t>
            </w:r>
          </w:p>
        </w:tc>
        <w:tc>
          <w:tcPr>
            <w:tcW w:w="5100" w:type="dxa"/>
            <w:vAlign w:val="bottom"/>
          </w:tcPr>
          <w:p>
            <w:pPr>
              <w:ind w:left="2600"/>
              <w:spacing w:after="0"/>
              <w:rPr>
                <w:sz w:val="20"/>
                <w:szCs w:val="20"/>
                <w:color w:val="auto"/>
              </w:rPr>
            </w:pPr>
            <w:r>
              <w:rPr>
                <w:rFonts w:ascii="Arial" w:cs="Arial" w:eastAsia="Arial" w:hAnsi="Arial"/>
                <w:sz w:val="13"/>
                <w:szCs w:val="13"/>
                <w:color w:val="auto"/>
              </w:rPr>
              <w:t>California</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Western Waste of Texas, L.L.C.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Wheelabrator Baltimore L.L.C.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Wheelabrator Baltimore, L.P.</w:t>
            </w:r>
          </w:p>
        </w:tc>
        <w:tc>
          <w:tcPr>
            <w:tcW w:w="5100" w:type="dxa"/>
            <w:vAlign w:val="bottom"/>
          </w:tcPr>
          <w:p>
            <w:pPr>
              <w:ind w:left="2600"/>
              <w:spacing w:after="0"/>
              <w:rPr>
                <w:sz w:val="20"/>
                <w:szCs w:val="20"/>
                <w:color w:val="auto"/>
              </w:rPr>
            </w:pPr>
            <w:r>
              <w:rPr>
                <w:rFonts w:ascii="Arial" w:cs="Arial" w:eastAsia="Arial" w:hAnsi="Arial"/>
                <w:sz w:val="13"/>
                <w:szCs w:val="13"/>
                <w:color w:val="auto"/>
              </w:rPr>
              <w:t>Maryland</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Wheelabrator Bridgeport, L.P.</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Wheelabrator Cedar Creek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Wheelabrator Chambers Inc.</w:t>
            </w:r>
          </w:p>
        </w:tc>
        <w:tc>
          <w:tcPr>
            <w:tcW w:w="510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65"/>
        </w:trPr>
        <w:tc>
          <w:tcPr>
            <w:tcW w:w="6360" w:type="dxa"/>
            <w:vAlign w:val="bottom"/>
          </w:tcPr>
          <w:p>
            <w:pPr>
              <w:spacing w:after="0"/>
              <w:rPr>
                <w:sz w:val="20"/>
                <w:szCs w:val="20"/>
                <w:color w:val="auto"/>
              </w:rPr>
            </w:pPr>
            <w:r>
              <w:rPr>
                <w:rFonts w:ascii="Arial" w:cs="Arial" w:eastAsia="Arial" w:hAnsi="Arial"/>
                <w:sz w:val="13"/>
                <w:szCs w:val="13"/>
                <w:color w:val="auto"/>
              </w:rPr>
              <w:t>Wheelabrator China Holdings, Limited</w:t>
            </w:r>
          </w:p>
        </w:tc>
        <w:tc>
          <w:tcPr>
            <w:tcW w:w="5100" w:type="dxa"/>
            <w:vAlign w:val="bottom"/>
          </w:tcPr>
          <w:p>
            <w:pPr>
              <w:ind w:left="2600"/>
              <w:spacing w:after="0"/>
              <w:rPr>
                <w:sz w:val="20"/>
                <w:szCs w:val="20"/>
                <w:color w:val="auto"/>
              </w:rPr>
            </w:pPr>
            <w:r>
              <w:rPr>
                <w:rFonts w:ascii="Arial" w:cs="Arial" w:eastAsia="Arial" w:hAnsi="Arial"/>
                <w:sz w:val="13"/>
                <w:szCs w:val="13"/>
                <w:color w:val="auto"/>
              </w:rPr>
              <w:t>Hong Kong</w:t>
            </w:r>
          </w:p>
        </w:tc>
      </w:tr>
      <w:tr>
        <w:trPr>
          <w:trHeight w:val="458"/>
        </w:trPr>
        <w:tc>
          <w:tcPr>
            <w:tcW w:w="636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15"/>
        </w:trPr>
        <w:tc>
          <w:tcPr>
            <w:tcW w:w="6460" w:type="dxa"/>
            <w:vAlign w:val="bottom"/>
          </w:tcPr>
          <w:p>
            <w:pPr>
              <w:spacing w:after="0"/>
              <w:rPr>
                <w:sz w:val="10"/>
                <w:szCs w:val="10"/>
                <w:color w:val="auto"/>
              </w:rPr>
            </w:pPr>
          </w:p>
        </w:tc>
        <w:tc>
          <w:tcPr>
            <w:tcW w:w="5000" w:type="dxa"/>
            <w:vAlign w:val="bottom"/>
          </w:tcPr>
          <w:p>
            <w:pPr>
              <w:ind w:left="2500"/>
              <w:spacing w:after="0"/>
              <w:rPr>
                <w:sz w:val="20"/>
                <w:szCs w:val="20"/>
                <w:color w:val="auto"/>
              </w:rPr>
            </w:pPr>
            <w:r>
              <w:rPr>
                <w:rFonts w:ascii="Arial" w:cs="Arial" w:eastAsia="Arial" w:hAnsi="Arial"/>
                <w:sz w:val="10"/>
                <w:szCs w:val="10"/>
                <w:b w:val="1"/>
                <w:bCs w:val="1"/>
                <w:i w:val="1"/>
                <w:iCs w:val="1"/>
                <w:color w:val="auto"/>
              </w:rPr>
              <w:t>Jurisdiction</w:t>
            </w:r>
          </w:p>
        </w:tc>
      </w:tr>
      <w:tr>
        <w:trPr>
          <w:trHeight w:val="112"/>
        </w:trPr>
        <w:tc>
          <w:tcPr>
            <w:tcW w:w="6460" w:type="dxa"/>
            <w:vAlign w:val="bottom"/>
          </w:tcPr>
          <w:p>
            <w:pPr>
              <w:spacing w:after="0" w:line="113" w:lineRule="exact"/>
              <w:rPr>
                <w:sz w:val="20"/>
                <w:szCs w:val="20"/>
                <w:color w:val="auto"/>
              </w:rPr>
            </w:pPr>
            <w:r>
              <w:rPr>
                <w:rFonts w:ascii="Arial" w:cs="Arial" w:eastAsia="Arial" w:hAnsi="Arial"/>
                <w:sz w:val="10"/>
                <w:szCs w:val="10"/>
                <w:b w:val="1"/>
                <w:bCs w:val="1"/>
                <w:i w:val="1"/>
                <w:iCs w:val="1"/>
                <w:color w:val="auto"/>
              </w:rPr>
              <w:t>Name of Entity</w:t>
            </w:r>
          </w:p>
        </w:tc>
        <w:tc>
          <w:tcPr>
            <w:tcW w:w="5000" w:type="dxa"/>
            <w:vAlign w:val="bottom"/>
          </w:tcPr>
          <w:p>
            <w:pPr>
              <w:ind w:left="2500"/>
              <w:spacing w:after="0" w:line="113" w:lineRule="exact"/>
              <w:rPr>
                <w:sz w:val="20"/>
                <w:szCs w:val="20"/>
                <w:color w:val="auto"/>
              </w:rPr>
            </w:pPr>
            <w:r>
              <w:rPr>
                <w:rFonts w:ascii="Arial" w:cs="Arial" w:eastAsia="Arial" w:hAnsi="Arial"/>
                <w:sz w:val="10"/>
                <w:szCs w:val="10"/>
                <w:b w:val="1"/>
                <w:bCs w:val="1"/>
                <w:i w:val="1"/>
                <w:iCs w:val="1"/>
                <w:color w:val="auto"/>
              </w:rPr>
              <w:t>Incorporation/Formation</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Claremont Company, L.P.</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Claremont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Concord Company, L.P.</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Concord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Connecticut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Culm Services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Environmental Systems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Environmental Technologies Consulting (Shanghai) Co., Ltd.</w:t>
            </w:r>
          </w:p>
        </w:tc>
        <w:tc>
          <w:tcPr>
            <w:tcW w:w="5000" w:type="dxa"/>
            <w:vAlign w:val="bottom"/>
          </w:tcPr>
          <w:p>
            <w:pPr>
              <w:ind w:left="2500"/>
              <w:spacing w:after="0"/>
              <w:rPr>
                <w:sz w:val="20"/>
                <w:szCs w:val="20"/>
                <w:color w:val="auto"/>
              </w:rPr>
            </w:pPr>
            <w:r>
              <w:rPr>
                <w:rFonts w:ascii="Arial" w:cs="Arial" w:eastAsia="Arial" w:hAnsi="Arial"/>
                <w:sz w:val="13"/>
                <w:szCs w:val="13"/>
                <w:color w:val="auto"/>
              </w:rPr>
              <w:t>People’s Republic Of China</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Falls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Frackville Energy Company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Frackville Properties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Frederick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Fuel Services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Gloucester Company, L.P.</w:t>
            </w:r>
          </w:p>
        </w:tc>
        <w:tc>
          <w:tcPr>
            <w:tcW w:w="5000" w:type="dxa"/>
            <w:vAlign w:val="bottom"/>
          </w:tcPr>
          <w:p>
            <w:pPr>
              <w:ind w:left="2500"/>
              <w:spacing w:after="0"/>
              <w:rPr>
                <w:sz w:val="20"/>
                <w:szCs w:val="20"/>
                <w:color w:val="auto"/>
              </w:rPr>
            </w:pPr>
            <w:r>
              <w:rPr>
                <w:rFonts w:ascii="Arial" w:cs="Arial" w:eastAsia="Arial" w:hAnsi="Arial"/>
                <w:sz w:val="13"/>
                <w:szCs w:val="13"/>
                <w:color w:val="auto"/>
              </w:rPr>
              <w:t>New Jersey</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Gloucester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Guam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Hudson Falls L.L.C.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Lassen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Lisbon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McKay Bay Inc.</w:t>
            </w:r>
          </w:p>
        </w:tc>
        <w:tc>
          <w:tcPr>
            <w:tcW w:w="5000" w:type="dxa"/>
            <w:vAlign w:val="bottom"/>
          </w:tcPr>
          <w:p>
            <w:pPr>
              <w:ind w:left="2500"/>
              <w:spacing w:after="0"/>
              <w:rPr>
                <w:sz w:val="20"/>
                <w:szCs w:val="20"/>
                <w:color w:val="auto"/>
              </w:rPr>
            </w:pPr>
            <w:r>
              <w:rPr>
                <w:rFonts w:ascii="Arial" w:cs="Arial" w:eastAsia="Arial" w:hAnsi="Arial"/>
                <w:sz w:val="13"/>
                <w:szCs w:val="13"/>
                <w:color w:val="auto"/>
              </w:rPr>
              <w:t>Florida</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Millbury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New Hampshire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New Jersey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NHC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North Andover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North Broward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Norwalk Energy Company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Penacook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Pinellas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Portsmouth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Putnam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Ridge Energy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Saugus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Shasta Energy Company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Sherman Energy Company, G.P.</w:t>
            </w:r>
          </w:p>
        </w:tc>
        <w:tc>
          <w:tcPr>
            <w:tcW w:w="5000" w:type="dxa"/>
            <w:vAlign w:val="bottom"/>
          </w:tcPr>
          <w:p>
            <w:pPr>
              <w:ind w:left="2500"/>
              <w:spacing w:after="0"/>
              <w:rPr>
                <w:sz w:val="20"/>
                <w:szCs w:val="20"/>
                <w:color w:val="auto"/>
              </w:rPr>
            </w:pPr>
            <w:r>
              <w:rPr>
                <w:rFonts w:ascii="Arial" w:cs="Arial" w:eastAsia="Arial" w:hAnsi="Arial"/>
                <w:sz w:val="13"/>
                <w:szCs w:val="13"/>
                <w:color w:val="auto"/>
              </w:rPr>
              <w:t>Maine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Sherman Station L.L.C.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Sherman Station One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South Broward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Spokane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Technologies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Technologies International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Wheelabrator Westchester, L.P.</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White Lake Landfill, Inc.</w:t>
            </w:r>
          </w:p>
        </w:tc>
        <w:tc>
          <w:tcPr>
            <w:tcW w:w="5000" w:type="dxa"/>
            <w:vAlign w:val="bottom"/>
          </w:tcPr>
          <w:p>
            <w:pPr>
              <w:ind w:left="2500"/>
              <w:spacing w:after="0"/>
              <w:rPr>
                <w:sz w:val="20"/>
                <w:szCs w:val="20"/>
                <w:color w:val="auto"/>
              </w:rPr>
            </w:pPr>
            <w:r>
              <w:rPr>
                <w:rFonts w:ascii="Arial" w:cs="Arial" w:eastAsia="Arial" w:hAnsi="Arial"/>
                <w:sz w:val="13"/>
                <w:szCs w:val="13"/>
                <w:color w:val="auto"/>
              </w:rPr>
              <w:t>Michigan</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Williams Landfill, L.L.C.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Willow Oak Landfill, LLC</w:t>
            </w:r>
          </w:p>
        </w:tc>
        <w:tc>
          <w:tcPr>
            <w:tcW w:w="5000" w:type="dxa"/>
            <w:vAlign w:val="bottom"/>
          </w:tcPr>
          <w:p>
            <w:pPr>
              <w:ind w:left="2500"/>
              <w:spacing w:after="0"/>
              <w:rPr>
                <w:sz w:val="20"/>
                <w:szCs w:val="20"/>
                <w:color w:val="auto"/>
              </w:rPr>
            </w:pPr>
            <w:r>
              <w:rPr>
                <w:rFonts w:ascii="Arial" w:cs="Arial" w:eastAsia="Arial" w:hAnsi="Arial"/>
                <w:sz w:val="13"/>
                <w:szCs w:val="13"/>
                <w:color w:val="auto"/>
              </w:rPr>
              <w:t>Georgia</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WM Arizona Operations, L.L.C.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WM Asphalt Products, LLC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WM Bagco, LLC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WM Conversion Energy, LLC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WM Conversion Fund, LLC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57"/>
        </w:trPr>
        <w:tc>
          <w:tcPr>
            <w:tcW w:w="6460" w:type="dxa"/>
            <w:vAlign w:val="bottom"/>
          </w:tcPr>
          <w:p>
            <w:pPr>
              <w:spacing w:after="0"/>
              <w:rPr>
                <w:sz w:val="20"/>
                <w:szCs w:val="20"/>
                <w:color w:val="auto"/>
              </w:rPr>
            </w:pPr>
            <w:r>
              <w:rPr>
                <w:rFonts w:ascii="Arial" w:cs="Arial" w:eastAsia="Arial" w:hAnsi="Arial"/>
                <w:sz w:val="13"/>
                <w:szCs w:val="13"/>
                <w:color w:val="auto"/>
              </w:rPr>
              <w:t>WM Corporate Services, Inc.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65"/>
        </w:trPr>
        <w:tc>
          <w:tcPr>
            <w:tcW w:w="6460" w:type="dxa"/>
            <w:vAlign w:val="bottom"/>
          </w:tcPr>
          <w:p>
            <w:pPr>
              <w:spacing w:after="0"/>
              <w:rPr>
                <w:sz w:val="20"/>
                <w:szCs w:val="20"/>
                <w:color w:val="auto"/>
              </w:rPr>
            </w:pPr>
            <w:r>
              <w:rPr>
                <w:rFonts w:ascii="Arial" w:cs="Arial" w:eastAsia="Arial" w:hAnsi="Arial"/>
                <w:sz w:val="13"/>
                <w:szCs w:val="13"/>
                <w:color w:val="auto"/>
              </w:rPr>
              <w:t>WM Curbside, LLC</w:t>
            </w:r>
          </w:p>
        </w:tc>
        <w:tc>
          <w:tcPr>
            <w:tcW w:w="500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458"/>
        </w:trPr>
        <w:tc>
          <w:tcPr>
            <w:tcW w:w="646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15"/>
        </w:trPr>
        <w:tc>
          <w:tcPr>
            <w:tcW w:w="5880" w:type="dxa"/>
            <w:vAlign w:val="bottom"/>
          </w:tcPr>
          <w:p>
            <w:pPr>
              <w:spacing w:after="0"/>
              <w:rPr>
                <w:sz w:val="10"/>
                <w:szCs w:val="10"/>
                <w:color w:val="auto"/>
              </w:rPr>
            </w:pPr>
          </w:p>
        </w:tc>
        <w:tc>
          <w:tcPr>
            <w:tcW w:w="5580" w:type="dxa"/>
            <w:vAlign w:val="bottom"/>
          </w:tcPr>
          <w:p>
            <w:pPr>
              <w:ind w:left="3080"/>
              <w:spacing w:after="0"/>
              <w:rPr>
                <w:sz w:val="20"/>
                <w:szCs w:val="20"/>
                <w:color w:val="auto"/>
              </w:rPr>
            </w:pPr>
            <w:r>
              <w:rPr>
                <w:rFonts w:ascii="Arial" w:cs="Arial" w:eastAsia="Arial" w:hAnsi="Arial"/>
                <w:sz w:val="10"/>
                <w:szCs w:val="10"/>
                <w:b w:val="1"/>
                <w:bCs w:val="1"/>
                <w:i w:val="1"/>
                <w:iCs w:val="1"/>
                <w:color w:val="auto"/>
              </w:rPr>
              <w:t>Jurisdiction</w:t>
            </w:r>
          </w:p>
        </w:tc>
      </w:tr>
      <w:tr>
        <w:trPr>
          <w:trHeight w:val="112"/>
        </w:trPr>
        <w:tc>
          <w:tcPr>
            <w:tcW w:w="5880" w:type="dxa"/>
            <w:vAlign w:val="bottom"/>
          </w:tcPr>
          <w:p>
            <w:pPr>
              <w:spacing w:after="0" w:line="113" w:lineRule="exact"/>
              <w:rPr>
                <w:sz w:val="20"/>
                <w:szCs w:val="20"/>
                <w:color w:val="auto"/>
              </w:rPr>
            </w:pPr>
            <w:r>
              <w:rPr>
                <w:rFonts w:ascii="Arial" w:cs="Arial" w:eastAsia="Arial" w:hAnsi="Arial"/>
                <w:sz w:val="10"/>
                <w:szCs w:val="10"/>
                <w:b w:val="1"/>
                <w:bCs w:val="1"/>
                <w:i w:val="1"/>
                <w:iCs w:val="1"/>
                <w:color w:val="auto"/>
              </w:rPr>
              <w:t>Name of Entity</w:t>
            </w:r>
          </w:p>
        </w:tc>
        <w:tc>
          <w:tcPr>
            <w:tcW w:w="5580" w:type="dxa"/>
            <w:vAlign w:val="bottom"/>
          </w:tcPr>
          <w:p>
            <w:pPr>
              <w:ind w:left="3080"/>
              <w:spacing w:after="0" w:line="113" w:lineRule="exact"/>
              <w:rPr>
                <w:sz w:val="20"/>
                <w:szCs w:val="20"/>
                <w:color w:val="auto"/>
              </w:rPr>
            </w:pPr>
            <w:r>
              <w:rPr>
                <w:rFonts w:ascii="Arial" w:cs="Arial" w:eastAsia="Arial" w:hAnsi="Arial"/>
                <w:sz w:val="10"/>
                <w:szCs w:val="10"/>
                <w:b w:val="1"/>
                <w:bCs w:val="1"/>
                <w:i w:val="1"/>
                <w:iCs w:val="1"/>
                <w:color w:val="auto"/>
              </w:rPr>
              <w:t>Incorporation/Formation</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Emergency Employee Support Fund,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Energy Resources,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Energy Solutions,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Green Squad,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GreenOps,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GTL,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GTL,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Healthcare Solutions,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Illinois Renewable Energy,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International Holdings,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International Services (UK) Limited</w:t>
            </w:r>
          </w:p>
        </w:tc>
        <w:tc>
          <w:tcPr>
            <w:tcW w:w="5580" w:type="dxa"/>
            <w:vAlign w:val="bottom"/>
          </w:tcPr>
          <w:p>
            <w:pPr>
              <w:ind w:left="3080"/>
              <w:spacing w:after="0"/>
              <w:rPr>
                <w:sz w:val="20"/>
                <w:szCs w:val="20"/>
                <w:color w:val="auto"/>
              </w:rPr>
            </w:pPr>
            <w:r>
              <w:rPr>
                <w:rFonts w:ascii="Arial" w:cs="Arial" w:eastAsia="Arial" w:hAnsi="Arial"/>
                <w:sz w:val="13"/>
                <w:szCs w:val="13"/>
                <w:color w:val="auto"/>
              </w:rPr>
              <w:t>England</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LampTracker,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Landfills of Ohio,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Landfills of Tennessee,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Leasing of Arizona,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Leasing of Texas, L.P.</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LNG,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Mercury Waste,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Middle Tennessee Environmental Center,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Mobile Bay Environmental Center,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Nevada Renewable Energy,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of Texas,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Organic Growth,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PA Holdings,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Pack-Rat of California,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Pack-Rat of Illinois,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Pack-Rat of Kentucky,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Pack-Rat of Maryland,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Pack-Rat of Massachusetts,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Pack-Rat of Michigan,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Pack-Rat of Nevada,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Pack-Rat of Ohio,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Pack-Rat of Rhode Island,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Pack-Rat,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Partnership Holdings,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Phoenix Energy Resources,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Quebec Inc.</w:t>
            </w:r>
          </w:p>
        </w:tc>
        <w:tc>
          <w:tcPr>
            <w:tcW w:w="5580" w:type="dxa"/>
            <w:vAlign w:val="bottom"/>
          </w:tcPr>
          <w:p>
            <w:pPr>
              <w:ind w:left="3080"/>
              <w:spacing w:after="0"/>
              <w:rPr>
                <w:sz w:val="20"/>
                <w:szCs w:val="20"/>
                <w:color w:val="auto"/>
              </w:rPr>
            </w:pPr>
            <w:r>
              <w:rPr>
                <w:rFonts w:ascii="Arial" w:cs="Arial" w:eastAsia="Arial" w:hAnsi="Arial"/>
                <w:sz w:val="13"/>
                <w:szCs w:val="13"/>
                <w:color w:val="auto"/>
              </w:rPr>
              <w:t>Canada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RA Canada Inc.</w:t>
            </w:r>
          </w:p>
        </w:tc>
        <w:tc>
          <w:tcPr>
            <w:tcW w:w="5580" w:type="dxa"/>
            <w:vAlign w:val="bottom"/>
          </w:tcPr>
          <w:p>
            <w:pPr>
              <w:ind w:left="3080"/>
              <w:spacing w:after="0"/>
              <w:rPr>
                <w:sz w:val="20"/>
                <w:szCs w:val="20"/>
                <w:color w:val="auto"/>
              </w:rPr>
            </w:pPr>
            <w:r>
              <w:rPr>
                <w:rFonts w:ascii="Arial" w:cs="Arial" w:eastAsia="Arial" w:hAnsi="Arial"/>
                <w:sz w:val="13"/>
                <w:szCs w:val="13"/>
                <w:color w:val="auto"/>
              </w:rPr>
              <w:t>Ontario</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Recycle America,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Recycle Europe,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Refined Coal,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Renewable Energy,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Resource Recovery &amp; Recycling Center,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Resources,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Pennsylvania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Safety Services,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Security Services,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Services SA</w:t>
            </w:r>
          </w:p>
        </w:tc>
        <w:tc>
          <w:tcPr>
            <w:tcW w:w="5580" w:type="dxa"/>
            <w:vAlign w:val="bottom"/>
          </w:tcPr>
          <w:p>
            <w:pPr>
              <w:ind w:left="3080"/>
              <w:spacing w:after="0"/>
              <w:rPr>
                <w:sz w:val="20"/>
                <w:szCs w:val="20"/>
                <w:color w:val="auto"/>
              </w:rPr>
            </w:pPr>
            <w:r>
              <w:rPr>
                <w:rFonts w:ascii="Arial" w:cs="Arial" w:eastAsia="Arial" w:hAnsi="Arial"/>
                <w:sz w:val="13"/>
                <w:szCs w:val="13"/>
                <w:color w:val="auto"/>
              </w:rPr>
              <w:t>Argentina</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Storage II,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Storage, Inc.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Texas Pack Rat,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WM Trash Monitor Plus,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165"/>
        </w:trPr>
        <w:tc>
          <w:tcPr>
            <w:tcW w:w="5880" w:type="dxa"/>
            <w:vAlign w:val="bottom"/>
          </w:tcPr>
          <w:p>
            <w:pPr>
              <w:spacing w:after="0"/>
              <w:rPr>
                <w:sz w:val="20"/>
                <w:szCs w:val="20"/>
                <w:color w:val="auto"/>
              </w:rPr>
            </w:pPr>
            <w:r>
              <w:rPr>
                <w:rFonts w:ascii="Arial" w:cs="Arial" w:eastAsia="Arial" w:hAnsi="Arial"/>
                <w:sz w:val="13"/>
                <w:szCs w:val="13"/>
                <w:color w:val="auto"/>
              </w:rPr>
              <w:t>WM TX Energy Resources, LLC</w:t>
            </w:r>
          </w:p>
        </w:tc>
        <w:tc>
          <w:tcPr>
            <w:tcW w:w="5580" w:type="dxa"/>
            <w:vAlign w:val="bottom"/>
          </w:tcPr>
          <w:p>
            <w:pPr>
              <w:ind w:left="3080"/>
              <w:spacing w:after="0"/>
              <w:rPr>
                <w:sz w:val="20"/>
                <w:szCs w:val="20"/>
                <w:color w:val="auto"/>
              </w:rPr>
            </w:pPr>
            <w:r>
              <w:rPr>
                <w:rFonts w:ascii="Arial" w:cs="Arial" w:eastAsia="Arial" w:hAnsi="Arial"/>
                <w:sz w:val="13"/>
                <w:szCs w:val="13"/>
                <w:color w:val="auto"/>
              </w:rPr>
              <w:t>Delaware</w:t>
            </w:r>
          </w:p>
        </w:tc>
      </w:tr>
      <w:tr>
        <w:trPr>
          <w:trHeight w:val="458"/>
        </w:trPr>
        <w:tc>
          <w:tcPr>
            <w:tcW w:w="588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52" w:name="page153"/>
    <w:bookmarkEnd w:id="152"/>
    <w:p>
      <w:pPr>
        <w:spacing w:after="0" w:line="108" w:lineRule="exact"/>
        <w:rPr>
          <w:sz w:val="20"/>
          <w:szCs w:val="20"/>
          <w:color w:val="auto"/>
        </w:rPr>
      </w:pPr>
    </w:p>
    <w:p>
      <w:pPr>
        <w:spacing w:after="0"/>
        <w:rPr>
          <w:sz w:val="20"/>
          <w:szCs w:val="20"/>
          <w:color w:val="auto"/>
        </w:rPr>
      </w:pPr>
      <w:r>
        <w:rPr>
          <w:rFonts w:ascii="Arial" w:cs="Arial" w:eastAsia="Arial" w:hAnsi="Arial"/>
          <w:sz w:val="9"/>
          <w:szCs w:val="9"/>
          <w:b w:val="1"/>
          <w:bCs w:val="1"/>
          <w:i w:val="1"/>
          <w:iCs w:val="1"/>
          <w:color w:val="auto"/>
        </w:rPr>
        <w:t>Name of Entity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i w:val="1"/>
          <w:iCs w:val="1"/>
          <w:color w:val="auto"/>
        </w:rPr>
        <w:t>Jurisdiction</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b w:val="1"/>
          <w:bCs w:val="1"/>
          <w:i w:val="1"/>
          <w:iCs w:val="1"/>
          <w:color w:val="auto"/>
        </w:rPr>
        <w:t>Incorporation/Formation</w:t>
      </w:r>
    </w:p>
    <w:p>
      <w:pPr>
        <w:spacing w:after="0" w:line="16" w:lineRule="exact"/>
        <w:rPr>
          <w:sz w:val="20"/>
          <w:szCs w:val="20"/>
          <w:color w:val="auto"/>
        </w:rPr>
      </w:pPr>
    </w:p>
    <w:p>
      <w:pPr>
        <w:sectPr>
          <w:pgSz w:w="11900" w:h="16838" w:orient="portrait"/>
          <w:cols w:equalWidth="0" w:num="2">
            <w:col w:w="8240" w:space="720"/>
            <w:col w:w="1279"/>
          </w:cols>
          <w:pgMar w:left="220" w:top="874" w:right="1440" w:bottom="1440" w:gutter="0" w:footer="0" w:header="0"/>
        </w:sectPr>
      </w:pPr>
    </w:p>
    <w:p>
      <w:pPr>
        <w:spacing w:after="0"/>
        <w:rPr>
          <w:sz w:val="20"/>
          <w:szCs w:val="20"/>
          <w:color w:val="auto"/>
        </w:rPr>
      </w:pPr>
      <w:r>
        <w:rPr>
          <w:rFonts w:ascii="Arial" w:cs="Arial" w:eastAsia="Arial" w:hAnsi="Arial"/>
          <w:sz w:val="13"/>
          <w:szCs w:val="13"/>
          <w:color w:val="auto"/>
        </w:rPr>
        <w:t>WM WY Energy Resources II, LLC</w:t>
      </w:r>
    </w:p>
    <w:p>
      <w:pPr>
        <w:spacing w:after="0"/>
        <w:rPr>
          <w:sz w:val="20"/>
          <w:szCs w:val="20"/>
          <w:color w:val="auto"/>
        </w:rPr>
      </w:pPr>
      <w:r>
        <w:rPr>
          <w:rFonts w:ascii="Arial" w:cs="Arial" w:eastAsia="Arial" w:hAnsi="Arial"/>
          <w:sz w:val="13"/>
          <w:szCs w:val="13"/>
          <w:color w:val="auto"/>
        </w:rPr>
        <w:t>WM WY Energy Resources III,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WM WY Energy Resources, LLC</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WMI Medical Services of Indiana, Inc.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WMI Mexico Holdings,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WMNA Container Recycling,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WMRE of Kentucky,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WMRE of Michigan,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WMRE of Ohio,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WMRE of Ohio-American,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WMSALSA,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WMST Illinois,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WTI Air Pollution Control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WTI Financial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WTI International Holdings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WTI Rust Holdings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WTI UK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Delaware</w:t>
      </w:r>
    </w:p>
    <w:p>
      <w:pPr>
        <w:spacing w:after="0"/>
        <w:rPr>
          <w:sz w:val="20"/>
          <w:szCs w:val="20"/>
          <w:color w:val="auto"/>
        </w:rPr>
      </w:pPr>
      <w:r>
        <w:rPr>
          <w:rFonts w:ascii="Arial" w:cs="Arial" w:eastAsia="Arial" w:hAnsi="Arial"/>
          <w:sz w:val="13"/>
          <w:szCs w:val="13"/>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Indiana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Texas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Texas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Illinois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United Kingdom</w:t>
      </w:r>
    </w:p>
    <w:p>
      <w:pPr>
        <w:sectPr>
          <w:pgSz w:w="11900" w:h="16838" w:orient="portrait"/>
          <w:cols w:equalWidth="0" w:num="2">
            <w:col w:w="8240" w:space="720"/>
            <w:col w:w="1279"/>
          </w:cols>
          <w:pgMar w:left="220" w:top="874" w:right="1440"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We consent to the incorporation by reference in the following Registration Statements:</w:t>
      </w:r>
    </w:p>
    <w:p>
      <w:pPr>
        <w:spacing w:after="0" w:line="86" w:lineRule="exact"/>
        <w:rPr>
          <w:sz w:val="20"/>
          <w:szCs w:val="20"/>
          <w:color w:val="auto"/>
        </w:rPr>
      </w:pPr>
    </w:p>
    <w:p>
      <w:pPr>
        <w:ind w:left="420" w:hanging="192"/>
        <w:spacing w:after="0"/>
        <w:tabs>
          <w:tab w:leader="none" w:pos="42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Registration Statement (Form S-8 No. 333-159475) of Waste Management, Inc. pertaining to the issuance of shares of common stock pursuant to the Waste Management, Inc. Employee Stock Purchase Plan,</w:t>
      </w:r>
    </w:p>
    <w:p>
      <w:pPr>
        <w:spacing w:after="0" w:line="109" w:lineRule="exact"/>
        <w:rPr>
          <w:rFonts w:ascii="Arial" w:cs="Arial" w:eastAsia="Arial" w:hAnsi="Arial"/>
          <w:sz w:val="11"/>
          <w:szCs w:val="11"/>
          <w:color w:val="auto"/>
        </w:rPr>
      </w:pPr>
    </w:p>
    <w:p>
      <w:pPr>
        <w:ind w:left="420" w:hanging="192"/>
        <w:spacing w:after="0"/>
        <w:tabs>
          <w:tab w:leader="none" w:pos="4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Registration Statement (Form S-8 No. 333-159476) of Waste Management, Inc. pertaining to the issuance of shares of common stock pursuant to the 2009 Stock Incentive Plan,</w:t>
      </w:r>
    </w:p>
    <w:p>
      <w:pPr>
        <w:spacing w:after="0" w:line="86" w:lineRule="exact"/>
        <w:rPr>
          <w:rFonts w:ascii="Arial" w:cs="Arial" w:eastAsia="Arial" w:hAnsi="Arial"/>
          <w:sz w:val="13"/>
          <w:szCs w:val="13"/>
          <w:color w:val="auto"/>
        </w:rPr>
      </w:pPr>
    </w:p>
    <w:p>
      <w:pPr>
        <w:ind w:left="220" w:right="80" w:firstLine="8"/>
        <w:spacing w:after="0" w:line="276" w:lineRule="auto"/>
        <w:tabs>
          <w:tab w:leader="none" w:pos="405" w:val="left"/>
        </w:tabs>
        <w:numPr>
          <w:ilvl w:val="0"/>
          <w:numId w:val="110"/>
        </w:numPr>
        <w:rPr>
          <w:rFonts w:ascii="Arial" w:cs="Arial" w:eastAsia="Arial" w:hAnsi="Arial"/>
          <w:sz w:val="13"/>
          <w:szCs w:val="13"/>
          <w:color w:val="auto"/>
        </w:rPr>
      </w:pPr>
      <w:r>
        <w:rPr>
          <w:rFonts w:ascii="Arial" w:cs="Arial" w:eastAsia="Arial" w:hAnsi="Arial"/>
          <w:sz w:val="13"/>
          <w:szCs w:val="13"/>
          <w:color w:val="auto"/>
        </w:rPr>
        <w:t>Registration Statement (Form S-8 No. 333-153363) of Waste Management, Inc. pertaining to the issuance of shares of common stock pursuant to the Waste Management Retirement Savings Plan and the Waste Management Retirement Savings Plan for Bargaining Unit Employees,</w:t>
      </w:r>
    </w:p>
    <w:p>
      <w:pPr>
        <w:spacing w:after="0" w:line="49" w:lineRule="exact"/>
        <w:rPr>
          <w:rFonts w:ascii="Arial" w:cs="Arial" w:eastAsia="Arial" w:hAnsi="Arial"/>
          <w:sz w:val="13"/>
          <w:szCs w:val="13"/>
          <w:color w:val="auto"/>
        </w:rPr>
      </w:pPr>
    </w:p>
    <w:p>
      <w:pPr>
        <w:ind w:left="420" w:hanging="192"/>
        <w:spacing w:after="0"/>
        <w:tabs>
          <w:tab w:leader="none" w:pos="4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Registration Statement (Form S-3 Automatic Shelf Registration No. 333-162059) of Waste Management, Inc.,</w:t>
      </w:r>
    </w:p>
    <w:p>
      <w:pPr>
        <w:spacing w:after="0" w:line="86" w:lineRule="exact"/>
        <w:rPr>
          <w:rFonts w:ascii="Arial" w:cs="Arial" w:eastAsia="Arial" w:hAnsi="Arial"/>
          <w:sz w:val="13"/>
          <w:szCs w:val="13"/>
          <w:color w:val="auto"/>
        </w:rPr>
      </w:pPr>
    </w:p>
    <w:p>
      <w:pPr>
        <w:ind w:left="420" w:hanging="192"/>
        <w:spacing w:after="0"/>
        <w:tabs>
          <w:tab w:leader="none" w:pos="4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Registration Statement (Form S-4 No. 333-32805 and Post-Effective Amendment No. 1 thereto) of Waste Management, Inc.,</w:t>
      </w:r>
    </w:p>
    <w:p>
      <w:pPr>
        <w:spacing w:after="0" w:line="86" w:lineRule="exact"/>
        <w:rPr>
          <w:rFonts w:ascii="Arial" w:cs="Arial" w:eastAsia="Arial" w:hAnsi="Arial"/>
          <w:sz w:val="13"/>
          <w:szCs w:val="13"/>
          <w:color w:val="auto"/>
        </w:rPr>
      </w:pPr>
    </w:p>
    <w:p>
      <w:pPr>
        <w:ind w:left="420" w:hanging="192"/>
        <w:spacing w:after="0"/>
        <w:tabs>
          <w:tab w:leader="none" w:pos="4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Registration Statement (Form S-8 No. 333-115932) of Waste Management, Inc. pertaining to issuance of shares of common stock pursuant to the 2004 Stock Incentive Plan,</w:t>
      </w:r>
    </w:p>
    <w:p>
      <w:pPr>
        <w:spacing w:after="0" w:line="86" w:lineRule="exact"/>
        <w:rPr>
          <w:rFonts w:ascii="Arial" w:cs="Arial" w:eastAsia="Arial" w:hAnsi="Arial"/>
          <w:sz w:val="13"/>
          <w:szCs w:val="13"/>
          <w:color w:val="auto"/>
        </w:rPr>
      </w:pPr>
    </w:p>
    <w:p>
      <w:pPr>
        <w:ind w:left="220" w:right="100" w:firstLine="8"/>
        <w:spacing w:after="0" w:line="276" w:lineRule="auto"/>
        <w:tabs>
          <w:tab w:leader="none" w:pos="405" w:val="left"/>
        </w:tabs>
        <w:numPr>
          <w:ilvl w:val="0"/>
          <w:numId w:val="110"/>
        </w:numPr>
        <w:rPr>
          <w:rFonts w:ascii="Arial" w:cs="Arial" w:eastAsia="Arial" w:hAnsi="Arial"/>
          <w:sz w:val="13"/>
          <w:szCs w:val="13"/>
          <w:color w:val="auto"/>
        </w:rPr>
      </w:pPr>
      <w:r>
        <w:rPr>
          <w:rFonts w:ascii="Arial" w:cs="Arial" w:eastAsia="Arial" w:hAnsi="Arial"/>
          <w:sz w:val="13"/>
          <w:szCs w:val="13"/>
          <w:color w:val="auto"/>
        </w:rPr>
        <w:t>Registration Statement (Form S-8 No. 333-45066) of Waste Management, Inc. pertaining to issuance of shares of common stock pursuant to the 2000 Stock Incentive Plan and 1996 Stock Option Plan for Non-Employee Directors, and</w:t>
      </w:r>
    </w:p>
    <w:p>
      <w:pPr>
        <w:spacing w:after="0" w:line="49" w:lineRule="exact"/>
        <w:rPr>
          <w:rFonts w:ascii="Arial" w:cs="Arial" w:eastAsia="Arial" w:hAnsi="Arial"/>
          <w:sz w:val="13"/>
          <w:szCs w:val="13"/>
          <w:color w:val="auto"/>
        </w:rPr>
      </w:pPr>
    </w:p>
    <w:p>
      <w:pPr>
        <w:ind w:left="420" w:hanging="192"/>
        <w:spacing w:after="0"/>
        <w:tabs>
          <w:tab w:leader="none" w:pos="4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Registration Statement (Form S-8 No. 333-14613) of Waste Management, Inc. pertaining to issuance of shares of common stock pursuant to the 1993 Stock Incentive Plan</w:t>
      </w:r>
    </w:p>
    <w:p>
      <w:pPr>
        <w:spacing w:after="0" w:line="86" w:lineRule="exact"/>
        <w:rPr>
          <w:sz w:val="20"/>
          <w:szCs w:val="20"/>
          <w:color w:val="auto"/>
        </w:rPr>
      </w:pPr>
    </w:p>
    <w:p>
      <w:pPr>
        <w:ind w:right="580"/>
        <w:spacing w:after="0" w:line="276" w:lineRule="auto"/>
        <w:rPr>
          <w:sz w:val="20"/>
          <w:szCs w:val="20"/>
          <w:color w:val="auto"/>
        </w:rPr>
      </w:pPr>
      <w:r>
        <w:rPr>
          <w:rFonts w:ascii="Arial" w:cs="Arial" w:eastAsia="Arial" w:hAnsi="Arial"/>
          <w:sz w:val="13"/>
          <w:szCs w:val="13"/>
          <w:color w:val="auto"/>
        </w:rPr>
        <w:t>of our reports dated February 17, 2011, with respect to the consolidated financial statements and schedule of Waste Management, Inc. and the effectiveness of internal control over financial reporting of Waste Management, Inc. included in this Annual Report (Form 10-K) for the year ended December 31, 2010.</w:t>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ERNST &amp; YOUNG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February 17, 2011</w:t>
      </w:r>
    </w:p>
    <w:p>
      <w:pPr>
        <w:sectPr>
          <w:pgSz w:w="11900" w:h="16838" w:orient="portrait"/>
          <w:cols w:equalWidth="0" w:num="1">
            <w:col w:w="11460"/>
          </w:cols>
          <w:pgMar w:left="220" w:top="127" w:right="219" w:bottom="1440" w:gutter="0" w:footer="0" w:header="0"/>
        </w:sectPr>
      </w:pPr>
    </w:p>
    <w:bookmarkStart w:id="154" w:name="page155"/>
    <w:bookmarkEnd w:id="154"/>
    <w:p>
      <w:pPr>
        <w:jc w:val="right"/>
        <w:ind w:right="880"/>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19"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8"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96" w:lineRule="exact"/>
        <w:rPr>
          <w:sz w:val="20"/>
          <w:szCs w:val="20"/>
          <w:color w:val="auto"/>
        </w:rPr>
      </w:pPr>
    </w:p>
    <w:p>
      <w:pPr>
        <w:ind w:left="540" w:hanging="134"/>
        <w:spacing w:after="0"/>
        <w:tabs>
          <w:tab w:leader="none" w:pos="5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 have reviewed this report on Form 10-K of Waste Management, Inc.;</w:t>
      </w:r>
    </w:p>
    <w:p>
      <w:pPr>
        <w:spacing w:after="0" w:line="96" w:lineRule="exact"/>
        <w:rPr>
          <w:rFonts w:ascii="Arial" w:cs="Arial" w:eastAsia="Arial" w:hAnsi="Arial"/>
          <w:sz w:val="13"/>
          <w:szCs w:val="13"/>
          <w:color w:val="auto"/>
        </w:rPr>
      </w:pPr>
    </w:p>
    <w:p>
      <w:pPr>
        <w:ind w:right="1020" w:firstLine="406"/>
        <w:spacing w:after="0" w:line="276" w:lineRule="auto"/>
        <w:tabs>
          <w:tab w:leader="none" w:pos="53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1100" w:firstLine="406"/>
        <w:spacing w:after="0" w:line="276" w:lineRule="auto"/>
        <w:tabs>
          <w:tab w:leader="none" w:pos="53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900" w:firstLine="406"/>
        <w:spacing w:after="0" w:line="320" w:lineRule="auto"/>
        <w:tabs>
          <w:tab w:leader="none" w:pos="528"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35" w:lineRule="exact"/>
        <w:rPr>
          <w:rFonts w:ascii="Arial" w:cs="Arial" w:eastAsia="Arial" w:hAnsi="Arial"/>
          <w:sz w:val="12"/>
          <w:szCs w:val="12"/>
          <w:color w:val="auto"/>
        </w:rPr>
      </w:pPr>
    </w:p>
    <w:p>
      <w:pPr>
        <w:ind w:left="920" w:hanging="131"/>
        <w:spacing w:after="0"/>
        <w:tabs>
          <w:tab w:leader="none" w:pos="92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w:t>
      </w:r>
    </w:p>
    <w:p>
      <w:pPr>
        <w:spacing w:after="0" w:line="15" w:lineRule="exact"/>
        <w:rPr>
          <w:rFonts w:ascii="Arial" w:cs="Arial" w:eastAsia="Arial" w:hAnsi="Arial"/>
          <w:sz w:val="13"/>
          <w:szCs w:val="13"/>
          <w:color w:val="auto"/>
        </w:rPr>
      </w:pPr>
    </w:p>
    <w:p>
      <w:pPr>
        <w:ind w:left="400" w:right="960"/>
        <w:spacing w:after="0" w:line="264" w:lineRule="auto"/>
        <w:rPr>
          <w:rFonts w:ascii="Arial" w:cs="Arial" w:eastAsia="Arial" w:hAnsi="Arial"/>
          <w:sz w:val="13"/>
          <w:szCs w:val="13"/>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400" w:right="900" w:firstLine="389"/>
        <w:spacing w:after="0" w:line="371" w:lineRule="auto"/>
        <w:tabs>
          <w:tab w:leader="none" w:pos="914" w:val="left"/>
        </w:tabs>
        <w:numPr>
          <w:ilvl w:val="1"/>
          <w:numId w:val="11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1280" w:firstLine="389"/>
        <w:spacing w:after="0" w:line="276" w:lineRule="auto"/>
        <w:tabs>
          <w:tab w:leader="none" w:pos="907" w:val="left"/>
        </w:tabs>
        <w:numPr>
          <w:ilvl w:val="1"/>
          <w:numId w:val="11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940" w:firstLine="389"/>
        <w:spacing w:after="0" w:line="371" w:lineRule="auto"/>
        <w:tabs>
          <w:tab w:leader="none" w:pos="914" w:val="left"/>
        </w:tabs>
        <w:numPr>
          <w:ilvl w:val="1"/>
          <w:numId w:val="111"/>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1000" w:firstLine="406"/>
        <w:spacing w:after="0" w:line="276" w:lineRule="auto"/>
        <w:tabs>
          <w:tab w:leader="none" w:pos="528"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right="880" w:firstLine="389"/>
        <w:spacing w:after="0" w:line="276" w:lineRule="auto"/>
        <w:tabs>
          <w:tab w:leader="none" w:pos="90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1" w:lineRule="exact"/>
        <w:rPr>
          <w:sz w:val="20"/>
          <w:szCs w:val="20"/>
          <w:color w:val="auto"/>
        </w:rPr>
      </w:pPr>
    </w:p>
    <w:tbl>
      <w:tblPr>
        <w:tblLayout w:type="fixed"/>
        <w:tblInd w:w="490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DAVID P. STEINER</w:t>
            </w:r>
          </w:p>
        </w:tc>
      </w:tr>
      <w:tr>
        <w:trPr>
          <w:trHeight w:val="139"/>
        </w:trPr>
        <w:tc>
          <w:tcPr>
            <w:tcW w:w="400" w:type="dxa"/>
            <w:vAlign w:val="bottom"/>
          </w:tcPr>
          <w:p>
            <w:pPr>
              <w:spacing w:after="0"/>
              <w:rPr>
                <w:sz w:val="12"/>
                <w:szCs w:val="12"/>
                <w:color w:val="auto"/>
              </w:rPr>
            </w:pPr>
          </w:p>
        </w:tc>
        <w:tc>
          <w:tcPr>
            <w:tcW w:w="5560" w:type="dxa"/>
            <w:vAlign w:val="bottom"/>
          </w:tcPr>
          <w:p>
            <w:pPr>
              <w:jc w:val="center"/>
              <w:ind w:right="814"/>
              <w:spacing w:after="0" w:line="139" w:lineRule="exact"/>
              <w:rPr>
                <w:sz w:val="20"/>
                <w:szCs w:val="20"/>
                <w:color w:val="auto"/>
              </w:rPr>
            </w:pPr>
            <w:r>
              <w:rPr>
                <w:rFonts w:ascii="Arial" w:cs="Arial" w:eastAsia="Arial" w:hAnsi="Arial"/>
                <w:sz w:val="13"/>
                <w:szCs w:val="13"/>
                <w:color w:val="auto"/>
                <w:w w:val="89"/>
              </w:rPr>
              <w:t>David P. Steiner</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2"/>
              </w:rPr>
              <w:t>President and Chief Executive Officer</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17, 2011</w:t>
      </w:r>
    </w:p>
    <w:p>
      <w:pPr>
        <w:sectPr>
          <w:pgSz w:w="11900" w:h="16838" w:orient="portrait"/>
          <w:cols w:equalWidth="0" w:num="1">
            <w:col w:w="10860"/>
          </w:cols>
          <w:pgMar w:left="900" w:top="127" w:right="139" w:bottom="1440" w:gutter="0" w:footer="0" w:header="0"/>
        </w:sectPr>
      </w:pPr>
    </w:p>
    <w:bookmarkStart w:id="155" w:name="page156"/>
    <w:bookmarkEnd w:id="155"/>
    <w:p>
      <w:pPr>
        <w:jc w:val="right"/>
        <w:ind w:right="880"/>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19"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8"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96" w:lineRule="exact"/>
        <w:rPr>
          <w:sz w:val="20"/>
          <w:szCs w:val="20"/>
          <w:color w:val="auto"/>
        </w:rPr>
      </w:pPr>
    </w:p>
    <w:p>
      <w:pPr>
        <w:ind w:left="540" w:hanging="134"/>
        <w:spacing w:after="0"/>
        <w:tabs>
          <w:tab w:leader="none" w:pos="5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I have reviewed this report on Form 10-K of Waste Management, Inc.;</w:t>
      </w:r>
    </w:p>
    <w:p>
      <w:pPr>
        <w:spacing w:after="0" w:line="96" w:lineRule="exact"/>
        <w:rPr>
          <w:rFonts w:ascii="Arial" w:cs="Arial" w:eastAsia="Arial" w:hAnsi="Arial"/>
          <w:sz w:val="13"/>
          <w:szCs w:val="13"/>
          <w:color w:val="auto"/>
        </w:rPr>
      </w:pPr>
    </w:p>
    <w:p>
      <w:pPr>
        <w:ind w:right="1020" w:firstLine="406"/>
        <w:spacing w:after="0" w:line="276" w:lineRule="auto"/>
        <w:tabs>
          <w:tab w:leader="none" w:pos="53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1100" w:firstLine="406"/>
        <w:spacing w:after="0" w:line="276" w:lineRule="auto"/>
        <w:tabs>
          <w:tab w:leader="none" w:pos="53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900" w:firstLine="406"/>
        <w:spacing w:after="0" w:line="320" w:lineRule="auto"/>
        <w:tabs>
          <w:tab w:leader="none" w:pos="528"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35" w:lineRule="exact"/>
        <w:rPr>
          <w:rFonts w:ascii="Arial" w:cs="Arial" w:eastAsia="Arial" w:hAnsi="Arial"/>
          <w:sz w:val="12"/>
          <w:szCs w:val="12"/>
          <w:color w:val="auto"/>
        </w:rPr>
      </w:pPr>
    </w:p>
    <w:p>
      <w:pPr>
        <w:ind w:left="920" w:hanging="131"/>
        <w:spacing w:after="0"/>
        <w:tabs>
          <w:tab w:leader="none" w:pos="92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w:t>
      </w:r>
    </w:p>
    <w:p>
      <w:pPr>
        <w:spacing w:after="0" w:line="15" w:lineRule="exact"/>
        <w:rPr>
          <w:rFonts w:ascii="Arial" w:cs="Arial" w:eastAsia="Arial" w:hAnsi="Arial"/>
          <w:sz w:val="13"/>
          <w:szCs w:val="13"/>
          <w:color w:val="auto"/>
        </w:rPr>
      </w:pPr>
    </w:p>
    <w:p>
      <w:pPr>
        <w:ind w:left="400" w:right="960"/>
        <w:spacing w:after="0" w:line="264" w:lineRule="auto"/>
        <w:rPr>
          <w:rFonts w:ascii="Arial" w:cs="Arial" w:eastAsia="Arial" w:hAnsi="Arial"/>
          <w:sz w:val="13"/>
          <w:szCs w:val="13"/>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400" w:right="900" w:firstLine="389"/>
        <w:spacing w:after="0" w:line="371" w:lineRule="auto"/>
        <w:tabs>
          <w:tab w:leader="none" w:pos="914" w:val="left"/>
        </w:tabs>
        <w:numPr>
          <w:ilvl w:val="1"/>
          <w:numId w:val="112"/>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1280" w:firstLine="389"/>
        <w:spacing w:after="0" w:line="276" w:lineRule="auto"/>
        <w:tabs>
          <w:tab w:leader="none" w:pos="907" w:val="left"/>
        </w:tabs>
        <w:numPr>
          <w:ilvl w:val="1"/>
          <w:numId w:val="11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940" w:firstLine="389"/>
        <w:spacing w:after="0" w:line="371" w:lineRule="auto"/>
        <w:tabs>
          <w:tab w:leader="none" w:pos="914" w:val="left"/>
        </w:tabs>
        <w:numPr>
          <w:ilvl w:val="1"/>
          <w:numId w:val="112"/>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1000" w:firstLine="406"/>
        <w:spacing w:after="0" w:line="276" w:lineRule="auto"/>
        <w:tabs>
          <w:tab w:leader="none" w:pos="528"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right="880" w:firstLine="389"/>
        <w:spacing w:after="0" w:line="276" w:lineRule="auto"/>
        <w:tabs>
          <w:tab w:leader="none" w:pos="90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1" w:lineRule="exact"/>
        <w:rPr>
          <w:sz w:val="20"/>
          <w:szCs w:val="20"/>
          <w:color w:val="auto"/>
        </w:rPr>
      </w:pPr>
    </w:p>
    <w:tbl>
      <w:tblPr>
        <w:tblLayout w:type="fixed"/>
        <w:tblInd w:w="490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34"/>
              <w:spacing w:after="0"/>
              <w:rPr>
                <w:sz w:val="20"/>
                <w:szCs w:val="20"/>
                <w:color w:val="auto"/>
              </w:rPr>
            </w:pPr>
            <w:r>
              <w:rPr>
                <w:rFonts w:ascii="Arial" w:cs="Arial" w:eastAsia="Arial" w:hAnsi="Arial"/>
                <w:sz w:val="13"/>
                <w:szCs w:val="13"/>
                <w:color w:val="auto"/>
                <w:w w:val="95"/>
              </w:rPr>
              <w:t>/s/ ROBERT G. SIMPSON</w:t>
            </w:r>
          </w:p>
        </w:tc>
      </w:tr>
      <w:tr>
        <w:trPr>
          <w:trHeight w:val="139"/>
        </w:trPr>
        <w:tc>
          <w:tcPr>
            <w:tcW w:w="400" w:type="dxa"/>
            <w:vAlign w:val="bottom"/>
          </w:tcPr>
          <w:p>
            <w:pPr>
              <w:spacing w:after="0"/>
              <w:rPr>
                <w:sz w:val="12"/>
                <w:szCs w:val="12"/>
                <w:color w:val="auto"/>
              </w:rPr>
            </w:pPr>
          </w:p>
        </w:tc>
        <w:tc>
          <w:tcPr>
            <w:tcW w:w="5560" w:type="dxa"/>
            <w:vAlign w:val="bottom"/>
          </w:tcPr>
          <w:p>
            <w:pPr>
              <w:jc w:val="center"/>
              <w:ind w:right="814"/>
              <w:spacing w:after="0" w:line="139" w:lineRule="exact"/>
              <w:rPr>
                <w:sz w:val="20"/>
                <w:szCs w:val="20"/>
                <w:color w:val="auto"/>
              </w:rPr>
            </w:pPr>
            <w:r>
              <w:rPr>
                <w:rFonts w:ascii="Arial" w:cs="Arial" w:eastAsia="Arial" w:hAnsi="Arial"/>
                <w:sz w:val="13"/>
                <w:szCs w:val="13"/>
                <w:color w:val="auto"/>
                <w:w w:val="90"/>
              </w:rPr>
              <w:t>Robert G. Simpson</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794"/>
              <w:spacing w:after="0"/>
              <w:rPr>
                <w:sz w:val="20"/>
                <w:szCs w:val="20"/>
                <w:color w:val="auto"/>
              </w:rPr>
            </w:pPr>
            <w:r>
              <w:rPr>
                <w:rFonts w:ascii="Arial" w:cs="Arial" w:eastAsia="Arial" w:hAnsi="Arial"/>
                <w:sz w:val="13"/>
                <w:szCs w:val="13"/>
                <w:i w:val="1"/>
                <w:iCs w:val="1"/>
                <w:color w:val="auto"/>
                <w:w w:val="92"/>
              </w:rPr>
              <w:t>Senior Vice President and Chief Financial Officer</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17, 2011</w:t>
      </w:r>
    </w:p>
    <w:p>
      <w:pPr>
        <w:sectPr>
          <w:pgSz w:w="11900" w:h="16838" w:orient="portrait"/>
          <w:cols w:equalWidth="0" w:num="1">
            <w:col w:w="10860"/>
          </w:cols>
          <w:pgMar w:left="900" w:top="127" w:right="139" w:bottom="1440" w:gutter="0" w:footer="0" w:header="0"/>
        </w:sectPr>
      </w:pPr>
    </w:p>
    <w:bookmarkStart w:id="156" w:name="page157"/>
    <w:bookmarkEnd w:id="156"/>
    <w:p>
      <w:pPr>
        <w:jc w:val="right"/>
        <w:ind w:right="880"/>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ind w:right="920" w:firstLine="399"/>
        <w:spacing w:after="0" w:line="264" w:lineRule="auto"/>
        <w:rPr>
          <w:sz w:val="20"/>
          <w:szCs w:val="20"/>
          <w:color w:val="auto"/>
        </w:rPr>
      </w:pPr>
      <w:r>
        <w:rPr>
          <w:rFonts w:ascii="Arial" w:cs="Arial" w:eastAsia="Arial" w:hAnsi="Arial"/>
          <w:sz w:val="13"/>
          <w:szCs w:val="13"/>
          <w:color w:val="auto"/>
        </w:rPr>
        <w:t>In connection with the Annual Report of Waste Management, Inc. (the “Company”) on Form 10-K for the period ended December 31, 2010 as filed with the Securities and Exchange Commission on the date hereof (the “Report”), I, David P. Steiner, Chief Executive Officer of the Company, certify, pursuant to 18 U.S.C. § 1350, as adopted pursuant to § 906 of the Sarbanes-Oxley Act of 2002, that:</w:t>
      </w:r>
    </w:p>
    <w:p>
      <w:pPr>
        <w:spacing w:after="0" w:line="67" w:lineRule="exact"/>
        <w:rPr>
          <w:sz w:val="20"/>
          <w:szCs w:val="20"/>
          <w:color w:val="auto"/>
        </w:rPr>
      </w:pPr>
    </w:p>
    <w:p>
      <w:pPr>
        <w:ind w:left="980" w:hanging="191"/>
        <w:spacing w:after="0"/>
        <w:tabs>
          <w:tab w:leader="none" w:pos="9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80" w:hanging="191"/>
        <w:spacing w:after="0"/>
        <w:tabs>
          <w:tab w:leader="none" w:pos="9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tbl>
      <w:tblPr>
        <w:tblLayout w:type="fixed"/>
        <w:tblInd w:w="490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DAVID P. STEINER</w:t>
            </w:r>
          </w:p>
        </w:tc>
      </w:tr>
      <w:tr>
        <w:trPr>
          <w:trHeight w:val="139"/>
        </w:trPr>
        <w:tc>
          <w:tcPr>
            <w:tcW w:w="400" w:type="dxa"/>
            <w:vAlign w:val="bottom"/>
          </w:tcPr>
          <w:p>
            <w:pPr>
              <w:spacing w:after="0"/>
              <w:rPr>
                <w:sz w:val="12"/>
                <w:szCs w:val="12"/>
                <w:color w:val="auto"/>
              </w:rPr>
            </w:pPr>
          </w:p>
        </w:tc>
        <w:tc>
          <w:tcPr>
            <w:tcW w:w="5560" w:type="dxa"/>
            <w:vAlign w:val="bottom"/>
          </w:tcPr>
          <w:p>
            <w:pPr>
              <w:jc w:val="center"/>
              <w:ind w:right="814"/>
              <w:spacing w:after="0" w:line="139" w:lineRule="exact"/>
              <w:rPr>
                <w:sz w:val="20"/>
                <w:szCs w:val="20"/>
                <w:color w:val="auto"/>
              </w:rPr>
            </w:pPr>
            <w:r>
              <w:rPr>
                <w:rFonts w:ascii="Arial" w:cs="Arial" w:eastAsia="Arial" w:hAnsi="Arial"/>
                <w:sz w:val="13"/>
                <w:szCs w:val="13"/>
                <w:color w:val="auto"/>
                <w:w w:val="89"/>
              </w:rPr>
              <w:t>David P. Steiner</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2"/>
              </w:rPr>
              <w:t>President and Chief Executive Officer</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February 17, 2011</w:t>
      </w:r>
    </w:p>
    <w:p>
      <w:pPr>
        <w:sectPr>
          <w:pgSz w:w="11900" w:h="16838" w:orient="portrait"/>
          <w:cols w:equalWidth="0" w:num="1">
            <w:col w:w="10860"/>
          </w:cols>
          <w:pgMar w:left="900" w:top="127" w:right="1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In connection with the Annual Report of Waste Management, Inc. (the “Company”) on Form 10-K for the period ended December 31, 2010 as filed with the Securities and Exchange Commission on the date hereof (the “Report”), I, Robert G. Simpson, Chief Financial Officer of the Company, certify, pursuant to 18 U.S.C. § 1350, as adopted pursuant to § 906 of the Sarbanes-Oxley Act of 2002, that:</w:t>
      </w:r>
    </w:p>
    <w:p>
      <w:pPr>
        <w:spacing w:after="0" w:line="67" w:lineRule="exact"/>
        <w:rPr>
          <w:sz w:val="20"/>
          <w:szCs w:val="20"/>
          <w:color w:val="auto"/>
        </w:rPr>
      </w:pPr>
    </w:p>
    <w:p>
      <w:pPr>
        <w:ind w:left="980" w:hanging="191"/>
        <w:spacing w:after="0"/>
        <w:tabs>
          <w:tab w:leader="none" w:pos="98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80" w:hanging="191"/>
        <w:spacing w:after="0"/>
        <w:tabs>
          <w:tab w:leader="none" w:pos="98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353377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February 17, 2011</w:t>
      </w:r>
    </w:p>
    <w:sectPr>
      <w:pgSz w:w="11900" w:h="16838" w:orient="portrait"/>
      <w:cols w:equalWidth="0" w:num="1">
        <w:col w:w="9980"/>
      </w:cols>
      <w:pgMar w:left="900" w:top="12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o"/>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1)"/>
      <w:numFmt w:val="lowerLetter"/>
      <w:start w:val="1"/>
    </w:lvl>
  </w:abstractNum>
  <w:abstractNum w:abstractNumId="5">
    <w:nsid w:val="741226BB"/>
    <w:multiLevelType w:val="hybridMultilevel"/>
    <w:lvl w:ilvl="0">
      <w:lvlJc w:val="left"/>
      <w:lvlText w:val="(%1)"/>
      <w:numFmt w:val="lowerLetter"/>
      <w:start w:val="7"/>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1)"/>
      <w:numFmt w:val="lowerLetter"/>
      <w:start w:val="1"/>
    </w:lvl>
  </w:abstractNum>
  <w:abstractNum w:abstractNumId="14">
    <w:nsid w:val="5FF87E05"/>
    <w:multiLevelType w:val="hybridMultilevel"/>
    <w:lvl w:ilvl="0">
      <w:lvlJc w:val="left"/>
      <w:lvlText w:val="(%1)"/>
      <w:numFmt w:val="lowerLetter"/>
      <w:start w:val="1"/>
    </w:lvl>
  </w:abstractNum>
  <w:abstractNum w:abstractNumId="15">
    <w:nsid w:val="2F305DEF"/>
    <w:multiLevelType w:val="hybridMultilevel"/>
    <w:lvl w:ilvl="0">
      <w:lvlJc w:val="left"/>
      <w:lvlText w:val="(%1)"/>
      <w:numFmt w:val="lowerLetter"/>
      <w:start w:val="1"/>
    </w:lvl>
  </w:abstractNum>
  <w:abstractNum w:abstractNumId="16">
    <w:nsid w:val="25A70BF7"/>
    <w:multiLevelType w:val="hybridMultilevel"/>
    <w:lvl w:ilvl="0">
      <w:lvlJc w:val="left"/>
      <w:lvlText w:val="•"/>
      <w:numFmt w:val="bullet"/>
      <w:start w:val="1"/>
    </w:lvl>
    <w:lvl w:ilvl="1">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1)"/>
      <w:numFmt w:val="lowerRoman"/>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1)"/>
      <w:numFmt w:val="lowerLetter"/>
      <w:start w:val="1"/>
    </w:lvl>
  </w:abstractNum>
  <w:abstractNum w:abstractNumId="24">
    <w:nsid w:val="15014ACB"/>
    <w:multiLevelType w:val="hybridMultilevel"/>
    <w:lvl w:ilvl="0">
      <w:lvlJc w:val="left"/>
      <w:lvlText w:val="(%1)"/>
      <w:numFmt w:val="lowerRoman"/>
      <w:start w:val="1"/>
    </w:lvl>
  </w:abstractNum>
  <w:abstractNum w:abstractNumId="25">
    <w:nsid w:val="5F5E7FD0"/>
    <w:multiLevelType w:val="hybridMultilevel"/>
    <w:lvl w:ilvl="0">
      <w:lvlJc w:val="left"/>
      <w:lvlText w:val="(%1)"/>
      <w:numFmt w:val="lowerRoman"/>
      <w:start w:val="2"/>
    </w:lvl>
  </w:abstractNum>
  <w:abstractNum w:abstractNumId="26">
    <w:nsid w:val="98A3148"/>
    <w:multiLevelType w:val="hybridMultilevel"/>
    <w:lvl w:ilvl="0">
      <w:lvlJc w:val="left"/>
      <w:lvlText w:val="(%1)"/>
      <w:numFmt w:val="lowerRoman"/>
      <w:start w:val="1"/>
    </w:lvl>
  </w:abstractNum>
  <w:abstractNum w:abstractNumId="27">
    <w:nsid w:val="799D0247"/>
    <w:multiLevelType w:val="hybridMultilevel"/>
    <w:lvl w:ilvl="0">
      <w:lvlJc w:val="left"/>
      <w:lvlText w:val="(%1)"/>
      <w:numFmt w:val="lowerRoman"/>
      <w:start w:val="7"/>
    </w:lvl>
  </w:abstractNum>
  <w:abstractNum w:abstractNumId="28">
    <w:nsid w:val="6B94764"/>
    <w:multiLevelType w:val="hybridMultilevel"/>
    <w:lvl w:ilvl="0">
      <w:lvlJc w:val="left"/>
      <w:lvlText w:val="(%1)"/>
      <w:numFmt w:val="lowerRoman"/>
      <w:start w:val="4"/>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1)"/>
      <w:numFmt w:val="lowerRoman"/>
      <w:start w:val="2"/>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1)"/>
      <w:numFmt w:val="lowerRoman"/>
      <w:start w:val="3"/>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1)"/>
      <w:numFmt w:val="lowerLetter"/>
      <w:start w:val="1"/>
    </w:lvl>
  </w:abstractNum>
  <w:abstractNum w:abstractNumId="36">
    <w:nsid w:val="51D9C564"/>
    <w:multiLevelType w:val="hybridMultilevel"/>
    <w:lvl w:ilvl="0">
      <w:lvlJc w:val="left"/>
      <w:lvlText w:val="(%1)"/>
      <w:numFmt w:val="lowerRoman"/>
      <w:start w:val="4"/>
    </w:lvl>
    <w:lvl w:ilvl="1">
      <w:lvlJc w:val="left"/>
      <w:lvlText w:val="•"/>
      <w:numFmt w:val="bullet"/>
      <w:start w:val="1"/>
    </w:lvl>
  </w:abstractNum>
  <w:abstractNum w:abstractNumId="37">
    <w:nsid w:val="613EFDC5"/>
    <w:multiLevelType w:val="hybridMultilevel"/>
    <w:lvl w:ilvl="0">
      <w:lvlJc w:val="left"/>
      <w:lvlText w:val="(%1)"/>
      <w:numFmt w:val="lowerLetter"/>
      <w:start w:val="1"/>
    </w:lvl>
  </w:abstractNum>
  <w:abstractNum w:abstractNumId="38">
    <w:nsid w:val="BF72B14"/>
    <w:multiLevelType w:val="hybridMultilevel"/>
    <w:lvl w:ilvl="0">
      <w:lvlJc w:val="left"/>
      <w:lvlText w:val="(%1)"/>
      <w:numFmt w:val="lowerLetter"/>
      <w:start w:val="1"/>
    </w:lvl>
  </w:abstractNum>
  <w:abstractNum w:abstractNumId="39">
    <w:nsid w:val="11447B73"/>
    <w:multiLevelType w:val="hybridMultilevel"/>
    <w:lvl w:ilvl="0">
      <w:lvlJc w:val="left"/>
      <w:lvlText w:val="(%1)"/>
      <w:numFmt w:val="lowerLetter"/>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1)"/>
      <w:numFmt w:val="lowerRoman"/>
      <w:start w:val="3"/>
    </w:lvl>
  </w:abstractNum>
  <w:abstractNum w:abstractNumId="42">
    <w:nsid w:val="8F2B15E"/>
    <w:multiLevelType w:val="hybridMultilevel"/>
    <w:lvl w:ilvl="0">
      <w:lvlJc w:val="left"/>
      <w:lvlText w:val="(%1)"/>
      <w:numFmt w:val="lowerLetter"/>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1)"/>
      <w:numFmt w:val="lowerLetter"/>
      <w:start w:val="1"/>
    </w:lvl>
  </w:abstractNum>
  <w:abstractNum w:abstractNumId="51">
    <w:nsid w:val="1A27709E"/>
    <w:multiLevelType w:val="hybridMultilevel"/>
    <w:lvl w:ilvl="0">
      <w:lvlJc w:val="left"/>
      <w:lvlText w:val="(%1)"/>
      <w:numFmt w:val="lowerLetter"/>
      <w:start w:val="6"/>
    </w:lvl>
  </w:abstractNum>
  <w:abstractNum w:abstractNumId="52">
    <w:nsid w:val="71EA1109"/>
    <w:multiLevelType w:val="hybridMultilevel"/>
    <w:lvl w:ilvl="0">
      <w:lvlJc w:val="left"/>
      <w:lvlText w:val="%1."/>
      <w:numFmt w:val="decimal"/>
      <w:start w:val="1"/>
    </w:lvl>
  </w:abstractNum>
  <w:abstractNum w:abstractNumId="53">
    <w:nsid w:val="100F59DC"/>
    <w:multiLevelType w:val="hybridMultilevel"/>
    <w:lvl w:ilvl="0">
      <w:lvlJc w:val="left"/>
      <w:lvlText w:val="%1."/>
      <w:numFmt w:val="decimal"/>
      <w:start w:val="2"/>
    </w:lvl>
  </w:abstractNum>
  <w:abstractNum w:abstractNumId="54">
    <w:nsid w:val="7FB7E0AA"/>
    <w:multiLevelType w:val="hybridMultilevel"/>
    <w:lvl w:ilvl="0">
      <w:lvlJc w:val="left"/>
      <w:lvlText w:val="%1."/>
      <w:numFmt w:val="decimal"/>
      <w:start w:val="3"/>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1)"/>
      <w:numFmt w:val="lowerLetter"/>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1."/>
      <w:numFmt w:val="decimal"/>
      <w:start w:val="4"/>
    </w:lvl>
  </w:abstractNum>
  <w:abstractNum w:abstractNumId="62">
    <w:nsid w:val="14E17E33"/>
    <w:multiLevelType w:val="hybridMultilevel"/>
    <w:lvl w:ilvl="0">
      <w:lvlJc w:val="left"/>
      <w:lvlText w:val="(%1)"/>
      <w:numFmt w:val="lowerLetter"/>
      <w:start w:val="1"/>
    </w:lvl>
  </w:abstractNum>
  <w:abstractNum w:abstractNumId="63">
    <w:nsid w:val="3222E7CD"/>
    <w:multiLevelType w:val="hybridMultilevel"/>
    <w:lvl w:ilvl="0">
      <w:lvlJc w:val="left"/>
      <w:lvlText w:val="%1."/>
      <w:numFmt w:val="decimal"/>
      <w:start w:val="6"/>
    </w:lvl>
  </w:abstractNum>
  <w:abstractNum w:abstractNumId="64">
    <w:nsid w:val="74DE0EE3"/>
    <w:multiLevelType w:val="hybridMultilevel"/>
    <w:lvl w:ilvl="0">
      <w:lvlJc w:val="left"/>
      <w:lvlText w:val="%1."/>
      <w:numFmt w:val="decimal"/>
      <w:start w:val="7"/>
    </w:lvl>
  </w:abstractNum>
  <w:abstractNum w:abstractNumId="65">
    <w:nsid w:val="68EBC550"/>
    <w:multiLevelType w:val="hybridMultilevel"/>
    <w:lvl w:ilvl="0">
      <w:lvlJc w:val="left"/>
      <w:lvlText w:val="%1."/>
      <w:numFmt w:val="decimal"/>
      <w:start w:val="8"/>
    </w:lvl>
  </w:abstractNum>
  <w:abstractNum w:abstractNumId="66">
    <w:nsid w:val="2DF6D648"/>
    <w:multiLevelType w:val="hybridMultilevel"/>
    <w:lvl w:ilvl="0">
      <w:lvlJc w:val="left"/>
      <w:lvlText w:val="(%1)"/>
      <w:numFmt w:val="lowerLetter"/>
      <w:start w:val="1"/>
    </w:lvl>
  </w:abstractNum>
  <w:abstractNum w:abstractNumId="67">
    <w:nsid w:val="46B7D447"/>
    <w:multiLevelType w:val="hybridMultilevel"/>
    <w:lvl w:ilvl="0">
      <w:lvlJc w:val="left"/>
      <w:lvlText w:val="%1."/>
      <w:numFmt w:val="decimal"/>
      <w:start w:val="10"/>
    </w:lvl>
  </w:abstractNum>
  <w:abstractNum w:abstractNumId="68">
    <w:nsid w:val="4A2AC315"/>
    <w:multiLevelType w:val="hybridMultilevel"/>
    <w:lvl w:ilvl="0">
      <w:lvlJc w:val="left"/>
      <w:lvlText w:val="%1."/>
      <w:numFmt w:val="decimal"/>
      <w:start w:val="11"/>
    </w:lvl>
  </w:abstractNum>
  <w:abstractNum w:abstractNumId="69">
    <w:nsid w:val="39EE015C"/>
    <w:multiLevelType w:val="hybridMultilevel"/>
    <w:lvl w:ilvl="0">
      <w:lvlJc w:val="left"/>
      <w:lvlText w:val="(%1)"/>
      <w:numFmt w:val="lowerLetter"/>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1."/>
      <w:numFmt w:val="decimal"/>
      <w:start w:val="12"/>
    </w:lvl>
  </w:abstractNum>
  <w:abstractNum w:abstractNumId="74">
    <w:nsid w:val="26F324BA"/>
    <w:multiLevelType w:val="hybridMultilevel"/>
    <w:lvl w:ilvl="0">
      <w:lvlJc w:val="left"/>
      <w:lvlText w:val="%1."/>
      <w:numFmt w:val="decimal"/>
      <w:start w:val="13"/>
    </w:lvl>
  </w:abstractNum>
  <w:abstractNum w:abstractNumId="75">
    <w:nsid w:val="7F01579B"/>
    <w:multiLevelType w:val="hybridMultilevel"/>
    <w:lvl w:ilvl="0">
      <w:lvlJc w:val="left"/>
      <w:lvlText w:val="%1."/>
      <w:numFmt w:val="decimal"/>
      <w:start w:val="14"/>
    </w:lvl>
  </w:abstractNum>
  <w:abstractNum w:abstractNumId="76">
    <w:nsid w:val="49DA307D"/>
    <w:multiLevelType w:val="hybridMultilevel"/>
    <w:lvl w:ilvl="0">
      <w:lvlJc w:val="left"/>
      <w:lvlText w:val="%1."/>
      <w:numFmt w:val="decimal"/>
      <w:start w:val="15"/>
    </w:lvl>
  </w:abstractNum>
  <w:abstractNum w:abstractNumId="77">
    <w:nsid w:val="7055A5F5"/>
    <w:multiLevelType w:val="hybridMultilevel"/>
    <w:lvl w:ilvl="0">
      <w:lvlJc w:val="left"/>
      <w:lvlText w:val="%1."/>
      <w:numFmt w:val="decimal"/>
      <w:start w:val="16"/>
    </w:lvl>
  </w:abstractNum>
  <w:abstractNum w:abstractNumId="78">
    <w:nsid w:val="5FB8370B"/>
    <w:multiLevelType w:val="hybridMultilevel"/>
    <w:lvl w:ilvl="0">
      <w:lvlJc w:val="left"/>
      <w:lvlText w:val="(%1)"/>
      <w:numFmt w:val="lowerLetter"/>
      <w:start w:val="1"/>
    </w:lvl>
  </w:abstractNum>
  <w:abstractNum w:abstractNumId="79">
    <w:nsid w:val="50801EE1"/>
    <w:multiLevelType w:val="hybridMultilevel"/>
    <w:lvl w:ilvl="0">
      <w:lvlJc w:val="left"/>
      <w:lvlText w:val="(%1)"/>
      <w:numFmt w:val="lowerLetter"/>
      <w:start w:val="1"/>
    </w:lvl>
  </w:abstractNum>
  <w:abstractNum w:abstractNumId="80">
    <w:nsid w:val="488AC1A"/>
    <w:multiLevelType w:val="hybridMultilevel"/>
    <w:lvl w:ilvl="0">
      <w:lvlJc w:val="left"/>
      <w:lvlText w:val="(%1)"/>
      <w:numFmt w:val="lowerLetter"/>
      <w:start w:val="1"/>
    </w:lvl>
  </w:abstractNum>
  <w:abstractNum w:abstractNumId="81">
    <w:nsid w:val="5FB8011C"/>
    <w:multiLevelType w:val="hybridMultilevel"/>
    <w:lvl w:ilvl="0">
      <w:lvlJc w:val="left"/>
      <w:lvlText w:val="%1."/>
      <w:numFmt w:val="decimal"/>
      <w:start w:val="19"/>
    </w:lvl>
  </w:abstractNum>
  <w:abstractNum w:abstractNumId="82">
    <w:nsid w:val="6AA78F7F"/>
    <w:multiLevelType w:val="hybridMultilevel"/>
    <w:lvl w:ilvl="0">
      <w:lvlJc w:val="left"/>
      <w:lvlText w:val="%1."/>
      <w:numFmt w:val="decimal"/>
      <w:start w:val="20"/>
    </w:lvl>
  </w:abstractNum>
  <w:abstractNum w:abstractNumId="83">
    <w:nsid w:val="7672BD23"/>
    <w:multiLevelType w:val="hybridMultilevel"/>
    <w:lvl w:ilvl="0">
      <w:lvlJc w:val="left"/>
      <w:lvlText w:val="(%1)"/>
      <w:numFmt w:val="lowerRoman"/>
      <w:start w:val="2"/>
    </w:lvl>
  </w:abstractNum>
  <w:abstractNum w:abstractNumId="84">
    <w:nsid w:val="6FC75AF8"/>
    <w:multiLevelType w:val="hybridMultilevel"/>
    <w:lvl w:ilvl="0">
      <w:lvlJc w:val="left"/>
      <w:lvlText w:val="%1."/>
      <w:numFmt w:val="decimal"/>
      <w:start w:val="21"/>
    </w:lvl>
  </w:abstractNum>
  <w:abstractNum w:abstractNumId="85">
    <w:nsid w:val="6A5F7029"/>
    <w:multiLevelType w:val="hybridMultilevel"/>
    <w:lvl w:ilvl="0">
      <w:lvlJc w:val="left"/>
      <w:lvlText w:val="(%1)"/>
      <w:numFmt w:val="lowerLetter"/>
      <w:start w:val="1"/>
    </w:lvl>
  </w:abstractNum>
  <w:abstractNum w:abstractNumId="86">
    <w:nsid w:val="7D5E18F8"/>
    <w:multiLevelType w:val="hybridMultilevel"/>
    <w:lvl w:ilvl="0">
      <w:lvlJc w:val="left"/>
      <w:lvlText w:val="(%1)"/>
      <w:numFmt w:val="lowerLetter"/>
      <w:start w:val="2"/>
    </w:lvl>
  </w:abstractNum>
  <w:abstractNum w:abstractNumId="87">
    <w:nsid w:val="5F3534A4"/>
    <w:multiLevelType w:val="hybridMultilevel"/>
    <w:lvl w:ilvl="0">
      <w:lvlJc w:val="left"/>
      <w:lvlText w:val="(%1)"/>
      <w:numFmt w:val="lowerLetter"/>
      <w:start w:val="8"/>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decimal"/>
      <w:start w:val="22"/>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
      <w:numFmt w:val="bullet"/>
      <w:start w:val="1"/>
    </w:lvl>
  </w:abstractNum>
  <w:abstractNum w:abstractNumId="94">
    <w:nsid w:val="71C91298"/>
    <w:multiLevelType w:val="hybridMultilevel"/>
    <w:lvl w:ilvl="0">
      <w:lvlJc w:val="left"/>
      <w:lvlText w:val="•"/>
      <w:numFmt w:val="bullet"/>
      <w:start w:val="1"/>
    </w:lvl>
  </w:abstractNum>
  <w:abstractNum w:abstractNumId="95">
    <w:nsid w:val="9DAF632"/>
    <w:multiLevelType w:val="hybridMultilevel"/>
    <w:lvl w:ilvl="0">
      <w:lvlJc w:val="left"/>
      <w:lvlText w:val="•"/>
      <w:numFmt w:val="bullet"/>
      <w:start w:val="1"/>
    </w:lvl>
  </w:abstractNum>
  <w:abstractNum w:abstractNumId="96">
    <w:nsid w:val="53299938"/>
    <w:multiLevelType w:val="hybridMultilevel"/>
    <w:lvl w:ilvl="0">
      <w:lvlJc w:val="left"/>
      <w:lvlText w:val="•"/>
      <w:numFmt w:val="bullet"/>
      <w:start w:val="1"/>
    </w:lvl>
  </w:abstractNum>
  <w:abstractNum w:abstractNumId="97">
    <w:nsid w:val="1FBFE8E0"/>
    <w:multiLevelType w:val="hybridMultilevel"/>
    <w:lvl w:ilvl="0">
      <w:lvlJc w:val="left"/>
      <w:lvlText w:val="•"/>
      <w:numFmt w:val="bullet"/>
      <w:start w:val="1"/>
    </w:lvl>
  </w:abstractNum>
  <w:abstractNum w:abstractNumId="98">
    <w:nsid w:val="5092CA79"/>
    <w:multiLevelType w:val="hybridMultilevel"/>
    <w:lvl w:ilvl="0">
      <w:lvlJc w:val="left"/>
      <w:lvlText w:val="•"/>
      <w:numFmt w:val="bullet"/>
      <w:start w:val="1"/>
    </w:lvl>
  </w:abstractNum>
  <w:abstractNum w:abstractNumId="99">
    <w:nsid w:val="1D545C4D"/>
    <w:multiLevelType w:val="hybridMultilevel"/>
    <w:lvl w:ilvl="0">
      <w:lvlJc w:val="left"/>
      <w:lvlText w:val="•"/>
      <w:numFmt w:val="bullet"/>
      <w:start w:val="1"/>
    </w:lvl>
  </w:abstractNum>
  <w:abstractNum w:abstractNumId="100">
    <w:nsid w:val="59ADEA3D"/>
    <w:multiLevelType w:val="hybridMultilevel"/>
    <w:lvl w:ilvl="0">
      <w:lvlJc w:val="left"/>
      <w:lvlText w:val="%1."/>
      <w:numFmt w:val="decimal"/>
      <w:start w:val="22"/>
    </w:lvl>
    <w:lvl w:ilvl="1">
      <w:lvlJc w:val="left"/>
      <w:lvlText w:val="•"/>
      <w:numFmt w:val="bullet"/>
      <w:start w:val="1"/>
    </w:lvl>
  </w:abstractNum>
  <w:abstractNum w:abstractNumId="101">
    <w:nsid w:val="288F1A34"/>
    <w:multiLevelType w:val="hybridMultilevel"/>
    <w:lvl w:ilvl="0">
      <w:lvlJc w:val="left"/>
      <w:lvlText w:val="%1."/>
      <w:numFmt w:val="decimal"/>
      <w:start w:val="24"/>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1"/>
    </w:lvl>
  </w:abstractNum>
  <w:abstractNum w:abstractNumId="104">
    <w:nsid w:val="97E1B4E"/>
    <w:multiLevelType w:val="hybridMultilevel"/>
    <w:lvl w:ilvl="0">
      <w:lvlJc w:val="left"/>
      <w:lvlText w:val="(%1)"/>
      <w:numFmt w:val="lowerLetter"/>
      <w:start w:val="2"/>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
      <w:numFmt w:val="bullet"/>
      <w:start w:val="1"/>
    </w:lvl>
  </w:abstractNum>
  <w:abstractNum w:abstractNumId="107">
    <w:nsid w:val="53584BCB"/>
    <w:multiLevelType w:val="hybridMultilevel"/>
    <w:lvl w:ilvl="0">
      <w:lvlJc w:val="left"/>
      <w:lvlText w:val="**"/>
      <w:numFmt w:val="bullet"/>
      <w:start w:val="1"/>
    </w:lvl>
  </w:abstractNum>
  <w:abstractNum w:abstractNumId="108">
    <w:nsid w:val="415E286C"/>
    <w:multiLevelType w:val="hybridMultilevel"/>
    <w:lvl w:ilvl="0">
      <w:lvlJc w:val="left"/>
      <w:lvlText w:val="(%1)"/>
      <w:numFmt w:val="lowerLetter"/>
      <w:start w:val="1"/>
    </w:lvl>
  </w:abstractNum>
  <w:abstractNum w:abstractNumId="109">
    <w:nsid w:val="7C58FD05"/>
    <w:multiLevelType w:val="hybridMultilevel"/>
    <w:lvl w:ilvl="0">
      <w:lvlJc w:val="left"/>
      <w:lvlText w:val="(%1)"/>
      <w:numFmt w:val="decimal"/>
      <w:start w:val="1"/>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2019-12-10T08:30:46Z</dcterms:created>
  <dcterms:modified xsi:type="dcterms:W3CDTF">2019-12-10T08:30:46Z</dcterms:modified>
</cp:coreProperties>
</file>