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Arial" w:cs="Arial" w:eastAsia="Arial" w:hAnsi="Arial"/>
          <w:sz w:val="36"/>
          <w:szCs w:val="36"/>
          <w:b w:val="1"/>
          <w:bCs w:val="1"/>
          <w:color w:val="auto"/>
        </w:rPr>
        <w:t>WASTE MANAGEMENT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4980" w:type="dxa"/>
            <w:vAlign w:val="bottom"/>
            <w:gridSpan w:val="4"/>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2006 and 2005</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98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2006</w:t>
              </w:r>
            </w:hyperlink>
          </w:p>
        </w:tc>
        <w:tc>
          <w:tcPr>
            <w:tcW w:w="2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920" w:type="dxa"/>
            <w:vAlign w:val="bottom"/>
          </w:tcPr>
          <w:p>
            <w:pPr>
              <w:spacing w:after="0"/>
              <w:rPr>
                <w:sz w:val="17"/>
                <w:szCs w:val="17"/>
                <w:color w:val="auto"/>
              </w:rPr>
            </w:pPr>
          </w:p>
        </w:tc>
        <w:tc>
          <w:tcPr>
            <w:tcW w:w="2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920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Supplemental Schedule</w:t>
              </w:r>
            </w:hyperlink>
          </w:p>
        </w:tc>
        <w:tc>
          <w:tcPr>
            <w:tcW w:w="222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Schedule H, Line 4(i) – Schedule of Assets (Held At End of Year)</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652"/>
        </w:trPr>
        <w:tc>
          <w:tcPr>
            <w:tcW w:w="220" w:type="dxa"/>
            <w:vAlign w:val="bottom"/>
            <w:tcBorders>
              <w:bottom w:val="single" w:sz="8" w:color="808080"/>
            </w:tcBorders>
          </w:tcPr>
          <w:p>
            <w:pPr>
              <w:spacing w:after="0"/>
              <w:rPr>
                <w:sz w:val="24"/>
                <w:szCs w:val="24"/>
                <w:color w:val="auto"/>
              </w:rPr>
            </w:pPr>
          </w:p>
        </w:tc>
        <w:tc>
          <w:tcPr>
            <w:tcW w:w="1480" w:type="dxa"/>
            <w:vAlign w:val="bottom"/>
            <w:tcBorders>
              <w:top w:val="single" w:sz="8" w:color="0000EE"/>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1860" w:type="dxa"/>
            <w:vAlign w:val="bottom"/>
            <w:tcBorders>
              <w:top w:val="single" w:sz="8" w:color="0000EE"/>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2006 and 2005, and the related statement of changes in net assets available for benefits for the year ended December 31, 2006.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2006 and 2005, and the changes in its net assets available for benefits for the year ended December 31, 2006, in conformity with U.S. generally accepted accounting principles.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2006,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85"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$ 1,311,397,465</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$ 1,146,799,984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Participant loans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56,849,075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55,646,569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1,368,246,540</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1,202,446,553</w:t>
            </w: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1,537,703</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977,119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2,514,822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1,370,761,362</w:t>
            </w:r>
          </w:p>
        </w:tc>
        <w:tc>
          <w:tcPr>
            <w:tcW w:w="6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1,205,550,385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Employee contributions pending transfer to affiliated plan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1,370,733,992</w:t>
            </w:r>
          </w:p>
        </w:tc>
        <w:tc>
          <w:tcPr>
            <w:tcW w:w="6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1,205,550,385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2,533,056</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2,455,027</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1,373,267,048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1,208,005,412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40" w:type="dxa"/>
            <w:vAlign w:val="bottom"/>
          </w:tcPr>
          <w:p>
            <w:pPr>
              <w:jc w:val="center"/>
              <w:ind w:left="117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89"/>
              </w:rPr>
              <w:t>Year Ended December 31, 2006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80,164,957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45,269,788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129,649,625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145,129,064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278,654,311</w:t>
            </w: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113,381,926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Plan transfers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113,392,675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165,261,636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1,208,005,412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1,373,267,048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LLC (“CitiStreet”), an affiliate of State Street, serves as record keeper.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1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w:t>
      </w:r>
    </w:p>
    <w:p>
      <w:pPr>
        <w:ind w:firstLine="8"/>
        <w:spacing w:after="0" w:line="273"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nonresident aliens who have no earned income from sources within the United States of America and (f) individuals who are participants in certain other pension, retirement, profit-sharing, stock bonus, thrift or savings plans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2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 Contributions</w:t>
      </w:r>
    </w:p>
    <w:p>
      <w:pPr>
        <w:ind w:right="140"/>
        <w:spacing w:after="0" w:line="273" w:lineRule="auto"/>
        <w:rPr>
          <w:sz w:val="20"/>
          <w:szCs w:val="20"/>
          <w:color w:val="auto"/>
        </w:rPr>
      </w:pPr>
      <w:r>
        <w:rPr>
          <w:rFonts w:ascii="Arial" w:cs="Arial" w:eastAsia="Arial" w:hAnsi="Arial"/>
          <w:sz w:val="17"/>
          <w:szCs w:val="17"/>
          <w:color w:val="auto"/>
        </w:rPr>
        <w:t>Participants may contribute from one percent to 25 percent of their pre-tax compensation, as defined by the Plan, not to exceed certain limits as described in the Plan document (“Employee Contribution”). In addition, participants that are age 50 or older were eligible to make catch-up contributions of up to $5,000 of pre-tax compensation in 2006. After-tax contributions are not permitted by the Plan. Participants may also contribute amounts representing distributions from other qualified plans (“Rollover Contribution”). The Company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five target retirement-date funds, which are also common collective trust funds. Prior to May 22, 2006, the Plan offered participants three asset allocation models, which were balanced among the six common collective trust funds, in place of the five target retirement-date funds currently offered. Several restrictions apply, and a minimum balance is required to participate in the self-managed account. The Plan utilizes cash equivalents to temporarily hold monies pending settlement for transactions initiated by participants.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0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Plan (continued) Participant Accounts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Master Trust.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year period ending on the date before a new loan is made or modified, or (b) the outstanding balance of loans on the date a new loan is made or modified. Not more than one loan shall be outstanding at any time, except for multiple loans which (a) existed prior to January 1, 1999, (b) result from a merger of another plan into this Plan or (c)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(i) repayments be made no less frequently that quarterly; (ii) loans be repaid over a period not to exceed 54 months; and (iii) repayments be applied to principal using a level amortization over the repayment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electing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2006, the Company elected to pay certain audit and legal fees of the Plan.</w:t>
      </w:r>
    </w:p>
    <w:p>
      <w:pPr>
        <w:spacing w:after="0" w:line="169" w:lineRule="exact"/>
        <w:rPr>
          <w:sz w:val="20"/>
          <w:szCs w:val="20"/>
          <w:color w:val="auto"/>
        </w:rPr>
      </w:pPr>
    </w:p>
    <w:p>
      <w:pPr>
        <w:ind w:right="868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0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 Benefits are recorded when paid.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On December 29, 2005, the Financial Accounting Standards Board issued Financial Accounting Standards Board (“FASB”) Staff Position AAG INV-1 and SOP 94-4-1, </w:t>
      </w:r>
      <w:r>
        <w:rPr>
          <w:rFonts w:ascii="Arial" w:cs="Arial" w:eastAsia="Arial" w:hAnsi="Arial"/>
          <w:sz w:val="17"/>
          <w:szCs w:val="17"/>
          <w:i w:val="1"/>
          <w:iCs w:val="1"/>
          <w:color w:val="auto"/>
        </w:rPr>
        <w:t>Reporting of Fully Benefit-Responsive Investment Contracts Held by Certain Investment Companies Subject to the AICPA Investment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Audit Guide and Defined-Contribution Health and Welfare and Pension Plans </w:t>
      </w:r>
      <w:r>
        <w:rPr>
          <w:rFonts w:ascii="Arial" w:cs="Arial" w:eastAsia="Arial" w:hAnsi="Arial"/>
          <w:sz w:val="17"/>
          <w:szCs w:val="17"/>
          <w:color w:val="auto"/>
        </w:rPr>
        <w:t>(the “FSP”). The FSP defines the circumstances in which an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is considered fully benefit-responsive and provides certain reporting and disclosure requirements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fully benefit-responsive investment contracts. The FSP requires fully benefit-responsive investment contracts held by defined-contribution plans to be reported at fair value. The FASB continues to recognize that contract value is a relevant measurement attribute for fully benefit-responsive investment contracts because contract values are representative of the amount that participants would receive if they were to initiate permitted transactions under the terms of the Plan. Accordingly, the FSP requires that the Statements of Net Assets Available for Benefits present both the fair value of fully benefit-responsive investment contracts and a reconciling adjustment from fair value to contract value of fully benefit-responsive investment contracts to arrive at Net Assets Available for Benefits.</w:t>
      </w:r>
    </w:p>
    <w:p>
      <w:pPr>
        <w:spacing w:after="0" w:line="8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Plan has adopted the FSP as of December 31, 2006. The requirements of the FSP have been applied retroactively to the accompanying Statement of Net Assets Available for Benefits as of December 31, 2005 as a result of the adoption of the FSP. The FSP did not impact the Statement of Changes in Net Assets Available for Benefits, which continues to be presented on a contract value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which cannot be calculated with a high degree of precision from available data or simply cannot be readily calculated based on generally accepted methodologies. In some cases, management must exercise significant judgment.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purpose of the Master Trust is the collective investment of the assets of participating employee benefit plans of the Company and its subsidiaries.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and mutual funds held by the Master Trust are stated at fair value based on quoted market prices as of the financial statement date. The fair values of the common collective trust funds held by the Master Trust are generally based on net asset values established by State Street (the issuer of the common collective trust funds) based on fair values of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underlying assets. The common collective trust funds held by the Master Trust include a Stable Value Fund that invests in guaranteed investment contracts (“GICs”) and synthetic investment contracts (“Synthetic GICs”). The fair value measurement of these investments is discussed further in Note 3. Short-term investments and loans to participants are stated at cost, which approximates fair value. The Master Trust records purchases and sales of securities on a trade-date basis and dividends on the ex-dividend date.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common collective trust funds held by the Master Trust include a Stable Value Fund that invests in fully benefit-responsive GICs and Synthetic GICs. The Plan’s adoption of the FSP discussed in Note 2 resulted in a change in the required presentation and disclosures associated with GICs and Synthetic GICs. The following disclosures provide information about the nature of these investments and how fair values of these investments are measured. For information related to the changes in presentation required as a result of the adoption of the FSP, refer to Note 2.</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Guaranteed Investment Contracts </w:t>
      </w:r>
      <w:r>
        <w:rPr>
          <w:rFonts w:ascii="Arial" w:cs="Arial" w:eastAsia="Arial" w:hAnsi="Arial"/>
          <w:sz w:val="18"/>
          <w:szCs w:val="18"/>
          <w:color w:val="auto"/>
        </w:rPr>
        <w:t>- GICs are contracts that provide a specified rate of return for a specific period of time. The fair values of the GICs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Plan’s Stable Value Fund are measured by State Street using a discounted cash flow methodology. Under this approach, the cash flows of each individual contract are discounted at the prevailing interpolated swap rate as of the appropriate measurement date.</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(i) individual assets or investments placed in a trust and (ii)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State Street measures the fair value of the Synthetic GICs included in the Plan’s Stable Value Fund as follows:</w:t>
      </w:r>
    </w:p>
    <w:p>
      <w:pPr>
        <w:spacing w:after="0" w:line="117" w:lineRule="exact"/>
        <w:rPr>
          <w:sz w:val="20"/>
          <w:szCs w:val="20"/>
          <w:color w:val="auto"/>
        </w:rPr>
      </w:pPr>
    </w:p>
    <w:p>
      <w:pPr>
        <w:ind w:left="460" w:hanging="452"/>
        <w:spacing w:after="0" w:line="276" w:lineRule="auto"/>
        <w:tabs>
          <w:tab w:leader="none" w:pos="46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460" w:right="20" w:hanging="452"/>
        <w:spacing w:after="0" w:line="286" w:lineRule="auto"/>
        <w:tabs>
          <w:tab w:leader="none" w:pos="46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2006 and 2005, the Plan’s beneficial interest in the net assets of the Master Trust was 99.72% and 99.75%, respectively.</w:t>
      </w:r>
    </w:p>
    <w:p>
      <w:pPr>
        <w:spacing w:after="0" w:line="1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020" w:type="dxa"/>
            <w:vAlign w:val="bottom"/>
            <w:gridSpan w:val="4"/>
          </w:tcPr>
          <w:p>
            <w:pPr>
              <w:ind w:left="10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2006</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collective trust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$ 1,171,802,378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$ 1,029,307,424</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2,798,959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2,060,205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stocks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9,968,353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8,856,730</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Waste Management, Inc. common stock</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117,083,348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97,263,653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Mutual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13,384,021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11,526,233</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106,425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366,109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investments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1,315,143,484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1,149,380,354</w:t>
            </w:r>
          </w:p>
        </w:tc>
        <w:tc>
          <w:tcPr>
            <w:tcW w:w="0" w:type="dxa"/>
            <w:vAlign w:val="bottom"/>
          </w:tcPr>
          <w:p>
            <w:pPr>
              <w:spacing w:after="0"/>
              <w:rPr>
                <w:sz w:val="1"/>
                <w:szCs w:val="1"/>
                <w:color w:val="auto"/>
              </w:rPr>
            </w:pPr>
          </w:p>
        </w:tc>
      </w:tr>
      <w:tr>
        <w:trPr>
          <w:trHeight w:val="432"/>
        </w:trPr>
        <w:tc>
          <w:tcPr>
            <w:tcW w:w="8400" w:type="dxa"/>
            <w:vAlign w:val="bottom"/>
          </w:tcPr>
          <w:p>
            <w:pPr>
              <w:ind w:left="220"/>
              <w:spacing w:after="0"/>
              <w:rPr>
                <w:sz w:val="20"/>
                <w:szCs w:val="20"/>
                <w:color w:val="auto"/>
              </w:rPr>
            </w:pPr>
            <w:r>
              <w:rPr>
                <w:rFonts w:ascii="Arial" w:cs="Arial" w:eastAsia="Arial" w:hAnsi="Arial"/>
                <w:sz w:val="18"/>
                <w:szCs w:val="18"/>
                <w:color w:val="auto"/>
              </w:rPr>
              <w:t>Securities sold receivable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296,094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1,009,442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1,100,499</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Cash, non-interest bearing</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18,066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1,316,170,992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1,150,802,135</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Liabilities-</w:t>
            </w:r>
          </w:p>
        </w:tc>
        <w:tc>
          <w:tcPr>
            <w:tcW w:w="11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Administative fees payable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953,256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1,119,106</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Securities purchased payable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86,586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1,039,842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1,119,106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tcPr>
          <w:p>
            <w:pPr>
              <w:ind w:left="620"/>
              <w:spacing w:after="0"/>
              <w:rPr>
                <w:sz w:val="20"/>
                <w:szCs w:val="20"/>
                <w:color w:val="auto"/>
              </w:rPr>
            </w:pPr>
            <w:r>
              <w:rPr>
                <w:rFonts w:ascii="Arial" w:cs="Arial" w:eastAsia="Arial" w:hAnsi="Arial"/>
                <w:sz w:val="18"/>
                <w:szCs w:val="18"/>
                <w:color w:val="auto"/>
              </w:rPr>
              <w:t>Total net assets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1,315,131,150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1,149,683,029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contracts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2,535,060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2,457,204</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1,317,666,210</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1,152,140,233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2006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1,311,397,465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1,146,799,984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3,733,685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1,315,131,150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1,149,683,029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contracts: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2,533,056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2,455,027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Union 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2,535,060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contracts at contract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1,313,930,521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1,149,255,011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3,735,689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1,317,666,210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1,152,140,233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0"/>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00" w:type="dxa"/>
            <w:vAlign w:val="bottom"/>
          </w:tcPr>
          <w:p>
            <w:pPr>
              <w:ind w:left="4080"/>
              <w:spacing w:after="0"/>
              <w:rPr>
                <w:sz w:val="20"/>
                <w:szCs w:val="20"/>
                <w:color w:val="auto"/>
              </w:rPr>
            </w:pPr>
            <w:r>
              <w:rPr>
                <w:rFonts w:ascii="Arial" w:cs="Arial" w:eastAsia="Arial" w:hAnsi="Arial"/>
                <w:sz w:val="18"/>
                <w:szCs w:val="18"/>
                <w:color w:val="auto"/>
              </w:rPr>
              <w:t>Waste Management Retirement Savings Plan</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200" w:type="dxa"/>
            <w:vAlign w:val="bottom"/>
          </w:tcPr>
          <w:p>
            <w:pPr>
              <w:ind w:left="4180"/>
              <w:spacing w:after="0"/>
              <w:rPr>
                <w:sz w:val="20"/>
                <w:szCs w:val="20"/>
                <w:color w:val="auto"/>
              </w:rPr>
            </w:pPr>
            <w:r>
              <w:rPr>
                <w:rFonts w:ascii="Arial" w:cs="Arial" w:eastAsia="Arial" w:hAnsi="Arial"/>
                <w:sz w:val="18"/>
                <w:szCs w:val="18"/>
                <w:color w:val="auto"/>
              </w:rPr>
              <w:t>Notes to Financial Statements (continued)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4. Plan Interest in the Master Trust (continued)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2006, was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12,089,321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Dividends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Other income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appreciation/(depreciation) in fair value of-</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Common collective trust funds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114,550,367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Waste Management, Inc. common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20,674,046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134,111,932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tcPr>
          <w:p>
            <w:pPr>
              <w:ind w:left="600"/>
              <w:spacing w:after="0"/>
              <w:rPr>
                <w:sz w:val="20"/>
                <w:szCs w:val="20"/>
                <w:color w:val="auto"/>
              </w:rPr>
            </w:pPr>
            <w:r>
              <w:rPr>
                <w:rFonts w:ascii="Arial" w:cs="Arial" w:eastAsia="Arial" w:hAnsi="Arial"/>
                <w:sz w:val="18"/>
                <w:szCs w:val="18"/>
                <w:color w:val="auto"/>
              </w:rPr>
              <w:t>Total investment gain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149,867,264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0" w:type="dxa"/>
            <w:vAlign w:val="bottom"/>
          </w:tcPr>
          <w:p>
            <w:pPr>
              <w:ind w:left="600"/>
              <w:spacing w:after="0"/>
              <w:rPr>
                <w:sz w:val="20"/>
                <w:szCs w:val="20"/>
                <w:color w:val="auto"/>
              </w:rPr>
            </w:pPr>
            <w:r>
              <w:rPr>
                <w:rFonts w:ascii="Arial" w:cs="Arial" w:eastAsia="Arial" w:hAnsi="Arial"/>
                <w:sz w:val="18"/>
                <w:szCs w:val="18"/>
                <w:color w:val="auto"/>
              </w:rPr>
              <w:t>Net gain</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145,549,161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145,129,064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420,097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2006 and 2005: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$ 1,373,267,048</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$ 1,208,005,412</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Less- Amounts pending distribution to participants</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(906,280)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(784,276)</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(2,533,056)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1,369,827,712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1,207,221,136</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2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$ 165,261,636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Add — Amounts pending distribution to participants at December 31, 2005</w:t>
            </w:r>
          </w:p>
        </w:tc>
        <w:tc>
          <w:tcPr>
            <w:tcW w:w="2460" w:type="dxa"/>
            <w:vAlign w:val="bottom"/>
            <w:gridSpan w:val="3"/>
          </w:tcPr>
          <w:p>
            <w:pPr>
              <w:jc w:val="right"/>
              <w:ind w:right="100"/>
              <w:spacing w:after="0"/>
              <w:rPr>
                <w:sz w:val="20"/>
                <w:szCs w:val="20"/>
                <w:color w:val="auto"/>
              </w:rPr>
            </w:pPr>
            <w:r>
              <w:rPr>
                <w:rFonts w:ascii="Arial" w:cs="Arial" w:eastAsia="Arial" w:hAnsi="Arial"/>
                <w:sz w:val="18"/>
                <w:szCs w:val="18"/>
                <w:color w:val="auto"/>
              </w:rPr>
              <w:t>784,276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 Amounts pending distribution to participants at December 31, 2006</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Less — Adjustment from fair value to contract value for fully benefit- responsive investment contracts</w:t>
            </w:r>
          </w:p>
        </w:tc>
        <w:tc>
          <w:tcPr>
            <w:tcW w:w="1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(2,533,056)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Form 5500</w:t>
            </w:r>
          </w:p>
        </w:tc>
        <w:tc>
          <w:tcPr>
            <w:tcW w:w="2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162,606,576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 The 2005 Form 5500 presented this fully benefit-responsive investment contract at contract value and will not be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April 2002, a lawsuit was filed against the Plan (as successor to the savings plan sponsored by Waste Management Holdings), Waste Management Holdings, and certain fiduciaries of the savings plan sponsored by Waste Management Holdings and of the Plan (“Plan Defendants”) in the United States District Court for the District of Columbia (the “D.C. Case”). After first asserting broader claims as to the Plan, the plaintiffs in the D.C. Case now purport to file their complaint against Plan Defendants on behalf of those Plan participants for whose account the Plan’s fiduciaries acquired Waste Management Holdings common stock between January 1990 and February 24, 1998, the date of the restatement of previously issued financial statements by Waste Management Holdings. The plaintiffs in the D.C. Case allege that the prices at which the Plan purchased the stock were artificially inflated by omissions of a material nature about Waste Management Holdings’ financial condition and that the stock of Waste Management Holdings should not have been an investment option. The plaintiffs in the D.C. Case also allege that certain of the defendants breached a variety of ERISA requirements by, among other things, electing to participate in the Illinois securities class action settlement related to a time frame ending February 24, 1998, rather than opting out of the settlements to assert distinct ERISA claims that did not apply to other members of the settlement class.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Illinois securities class action arose from Waste Management Holdings’ February 1998 restatement of prior period earnings and charge to fourth quarter 1997 earnings. The parties to the Illinois securities class action agreed to a settlement that became final in 1999 (the “Illinois Settlement”). The Plan participated in the settlement class and, in 2000, a share of the settlement proceeds was placed into the trust of the Plan and allocated to the appropriate participants’ account balances.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defendants in the D.C. Case assert that most, if not all, of the plaintiffs’ causes of action have been released as a result of the Illinois Settlement or are time-barred. The defendants have filed a motion to dismiss the plaintiffs’ amended complaint. The outcome of this lawsuit cannot be predicted with certainty, and these matters could impact the Plan’s net assets available for benefits. The Plan and the other defendants intend to defend themselves vigorously in this litigation.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investments of the Plan are managed by State Street. State Street is the trustee of the Plan and,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New Accounting Pronouncement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2006, the FASB issued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a framework for measuring fair value and expands disclosures about fair value measurements. SFAS No. 157 is effective for the Plan beginning January 1, 2008. Management is currently evaluating the impact, if any, the adoption of SFAS No. 157 will have on the financial statements of the Plan.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5"/>
          <w:szCs w:val="15"/>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431800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1"/>
              </w:rPr>
              <w:t>Identity of Issue</w:t>
            </w:r>
          </w:p>
        </w:tc>
        <w:tc>
          <w:tcPr>
            <w:tcW w:w="462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w w:val="93"/>
              </w:rPr>
              <w:t>Description of Investment</w:t>
            </w:r>
          </w:p>
        </w:tc>
        <w:tc>
          <w:tcPr>
            <w:tcW w:w="29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Current Value</w:t>
            </w:r>
          </w:p>
        </w:tc>
      </w:tr>
      <w:tr>
        <w:trPr>
          <w:trHeight w:val="209"/>
        </w:trPr>
        <w:tc>
          <w:tcPr>
            <w:tcW w:w="280" w:type="dxa"/>
            <w:vAlign w:val="bottom"/>
          </w:tcPr>
          <w:p>
            <w:pPr>
              <w:spacing w:after="0"/>
              <w:rPr>
                <w:sz w:val="18"/>
                <w:szCs w:val="18"/>
                <w:color w:val="auto"/>
              </w:rPr>
            </w:pPr>
          </w:p>
        </w:tc>
        <w:tc>
          <w:tcPr>
            <w:tcW w:w="358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*Participant Loans</w:t>
            </w:r>
          </w:p>
        </w:tc>
        <w:tc>
          <w:tcPr>
            <w:tcW w:w="4620" w:type="dxa"/>
            <w:vAlign w:val="bottom"/>
          </w:tcPr>
          <w:p>
            <w:pPr>
              <w:jc w:val="center"/>
              <w:ind w:left="134"/>
              <w:spacing w:after="0"/>
              <w:rPr>
                <w:sz w:val="20"/>
                <w:szCs w:val="20"/>
                <w:color w:val="auto"/>
              </w:rPr>
            </w:pPr>
            <w:r>
              <w:rPr>
                <w:rFonts w:ascii="Arial" w:cs="Arial" w:eastAsia="Arial" w:hAnsi="Arial"/>
                <w:sz w:val="18"/>
                <w:szCs w:val="18"/>
                <w:color w:val="auto"/>
                <w:w w:val="92"/>
              </w:rPr>
              <w:t>Various maturity dates with</w:t>
            </w:r>
          </w:p>
        </w:tc>
        <w:tc>
          <w:tcPr>
            <w:tcW w:w="2940" w:type="dxa"/>
            <w:vAlign w:val="bottom"/>
          </w:tcPr>
          <w:p>
            <w:pPr>
              <w:jc w:val="right"/>
              <w:ind w:right="759"/>
              <w:spacing w:after="0"/>
              <w:rPr>
                <w:sz w:val="20"/>
                <w:szCs w:val="20"/>
                <w:color w:val="auto"/>
              </w:rPr>
            </w:pPr>
            <w:r>
              <w:rPr>
                <w:rFonts w:ascii="Arial" w:cs="Arial" w:eastAsia="Arial" w:hAnsi="Arial"/>
                <w:sz w:val="18"/>
                <w:szCs w:val="18"/>
                <w:color w:val="auto"/>
              </w:rPr>
              <w:t>$56,849,075</w:t>
            </w:r>
          </w:p>
        </w:tc>
      </w:tr>
      <w:tr>
        <w:trPr>
          <w:trHeight w:val="216"/>
        </w:trPr>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20" w:type="dxa"/>
            <w:vAlign w:val="bottom"/>
          </w:tcPr>
          <w:p>
            <w:pPr>
              <w:jc w:val="center"/>
              <w:ind w:left="134"/>
              <w:spacing w:after="0"/>
              <w:rPr>
                <w:sz w:val="20"/>
                <w:szCs w:val="20"/>
                <w:color w:val="auto"/>
              </w:rPr>
            </w:pPr>
            <w:r>
              <w:rPr>
                <w:rFonts w:ascii="Arial" w:cs="Arial" w:eastAsia="Arial" w:hAnsi="Arial"/>
                <w:sz w:val="18"/>
                <w:szCs w:val="18"/>
                <w:color w:val="auto"/>
                <w:w w:val="91"/>
              </w:rPr>
              <w:t>interest rates ranging from</w:t>
            </w:r>
          </w:p>
        </w:tc>
        <w:tc>
          <w:tcPr>
            <w:tcW w:w="29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20" w:type="dxa"/>
            <w:vAlign w:val="bottom"/>
          </w:tcPr>
          <w:p>
            <w:pPr>
              <w:jc w:val="center"/>
              <w:ind w:left="134"/>
              <w:spacing w:after="0"/>
              <w:rPr>
                <w:sz w:val="20"/>
                <w:szCs w:val="20"/>
                <w:color w:val="auto"/>
              </w:rPr>
            </w:pPr>
            <w:r>
              <w:rPr>
                <w:rFonts w:ascii="Arial" w:cs="Arial" w:eastAsia="Arial" w:hAnsi="Arial"/>
                <w:sz w:val="18"/>
                <w:szCs w:val="18"/>
                <w:color w:val="auto"/>
                <w:w w:val="92"/>
              </w:rPr>
              <w:t>5.0% to 11.0%</w:t>
            </w:r>
          </w:p>
        </w:tc>
        <w:tc>
          <w:tcPr>
            <w:tcW w:w="2940" w:type="dxa"/>
            <w:vAlign w:val="bottom"/>
          </w:tcPr>
          <w:p>
            <w:pPr>
              <w:spacing w:after="0"/>
              <w:rPr>
                <w:sz w:val="20"/>
                <w:szCs w:val="20"/>
                <w:color w:val="auto"/>
              </w:rPr>
            </w:pPr>
          </w:p>
        </w:tc>
      </w:tr>
      <w:tr>
        <w:trPr>
          <w:trHeight w:val="297"/>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77"/>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46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20" w:type="dxa"/>
            <w:vAlign w:val="bottom"/>
          </w:tcPr>
          <w:p>
            <w:pPr>
              <w:jc w:val="right"/>
              <w:ind w:right="2594"/>
              <w:spacing w:after="0"/>
              <w:rPr>
                <w:sz w:val="20"/>
                <w:szCs w:val="20"/>
                <w:color w:val="auto"/>
              </w:rPr>
            </w:pPr>
            <w:r>
              <w:rPr>
                <w:rFonts w:ascii="Arial" w:cs="Arial" w:eastAsia="Arial" w:hAnsi="Arial"/>
                <w:sz w:val="18"/>
                <w:szCs w:val="18"/>
                <w:color w:val="auto"/>
              </w:rPr>
              <w:t>17</w:t>
            </w:r>
          </w:p>
        </w:tc>
        <w:tc>
          <w:tcPr>
            <w:tcW w:w="294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WASTE MANAGEMENT RETIREMENT SAVINGS</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 June 28, 2007</w:t>
      </w:r>
      <w:r>
        <w:rPr>
          <w:sz w:val="20"/>
          <w:szCs w:val="20"/>
          <w:color w:val="auto"/>
        </w:rPr>
        <w:tab/>
      </w:r>
      <w:r>
        <w:rPr>
          <w:rFonts w:ascii="Arial" w:cs="Arial" w:eastAsia="Arial" w:hAnsi="Arial"/>
          <w:sz w:val="17"/>
          <w:szCs w:val="17"/>
          <w:color w:val="auto"/>
        </w:rPr>
        <w:t>By:  /s/ 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25126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Krista DelSota</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Vice President, Compensation and Benefits</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Member, Administrative Committee of the</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Waste Management Employee Benefit Plans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333-45062) pertaining to the Waste Management Retirement Savings Plan of our report dated June 27, 2007, with respect to the financial statements and schedule of the Waste Management Retirement Savings Plan included in this Annual Report (Form 11-K) for the year ended December 31, 2006.</w:t>
      </w:r>
    </w:p>
    <w:p>
      <w:pPr>
        <w:spacing w:after="0" w:line="7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2019-12-20T04:07:38Z</dcterms:created>
  <dcterms:modified xsi:type="dcterms:W3CDTF">2019-12-20T04:07:38Z</dcterms:modified>
</cp:coreProperties>
</file>