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At the Annual Meeting of Waste Management, Inc. (the “Company”) held on May 12, 2015, a total of 387,761,216 shares of the Company’s common stock, out of a total of 457,589,819 shares of common stock outstanding and entitled to vote, were present in person or represented by proxies. The proposals set forth below were voted on by the Company’s stockholders at the Annual Meeting. Each of the director nominees listed under proposal 1 were elected, and the Company’s stockholders approved each of proposals 2, 3 and 4. The Company’s stockholders did not approve stockholder proposals 5 and 6.</w:t>
      </w:r>
    </w:p>
    <w:p>
      <w:pPr>
        <w:spacing w:after="0" w:line="6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to the Company’s Board of Directors of the following nine director nominees: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180" w:type="dxa"/>
            <w:vAlign w:val="bottom"/>
            <w:vMerge w:val="restart"/>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Abstentions</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5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2"/>
              </w:rPr>
              <w:t>Affirmative Votes</w:t>
            </w:r>
          </w:p>
        </w:tc>
        <w:tc>
          <w:tcPr>
            <w:tcW w:w="13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7"/>
              </w:rPr>
              <w:t>Negative Votes</w:t>
            </w:r>
          </w:p>
        </w:tc>
        <w:tc>
          <w:tcPr>
            <w:tcW w:w="1180" w:type="dxa"/>
            <w:vAlign w:val="bottom"/>
            <w:gridSpan w:val="2"/>
            <w:vMerge w:val="continue"/>
          </w:tcPr>
          <w:p>
            <w:pPr>
              <w:spacing w:after="0"/>
              <w:rPr>
                <w:sz w:val="15"/>
                <w:szCs w:val="15"/>
                <w:color w:val="auto"/>
              </w:rPr>
            </w:pPr>
          </w:p>
        </w:tc>
        <w:tc>
          <w:tcPr>
            <w:tcW w:w="96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5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Bradbury H. Anderson</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323,683,863</w:t>
            </w:r>
          </w:p>
        </w:tc>
        <w:tc>
          <w:tcPr>
            <w:tcW w:w="4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1,569,852</w:t>
            </w: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1,112,103</w:t>
            </w:r>
          </w:p>
        </w:tc>
        <w:tc>
          <w:tcPr>
            <w:tcW w:w="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61,395,398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321,385,318</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4,092,487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888,013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61,395,398</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323,326,150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2,138,297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901,371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61,395,398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294,439,225</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31,022,305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904,288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61,395,398</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323,991,516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1,498,488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875,814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61,395,398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John C. Pope</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321,393,129</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4,080,158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892,531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61,395,398</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Robert Reum</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322,855,574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2,610,201</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900,043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61,395,398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David P. Steiner</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319,877,505</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5,590,380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897,933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61,395,398</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323,777,287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1,691,335</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897,196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61,395,398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2015:</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4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7"/>
              </w:rPr>
              <w:t>For</w:t>
            </w:r>
          </w:p>
        </w:tc>
        <w:tc>
          <w:tcPr>
            <w:tcW w:w="1700" w:type="dxa"/>
            <w:vAlign w:val="bottom"/>
          </w:tcPr>
          <w:p>
            <w:pPr>
              <w:spacing w:after="0"/>
              <w:rPr>
                <w:sz w:val="14"/>
                <w:szCs w:val="14"/>
                <w:color w:val="auto"/>
              </w:rPr>
            </w:pPr>
          </w:p>
        </w:tc>
        <w:tc>
          <w:tcPr>
            <w:tcW w:w="218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3"/>
              </w:rPr>
              <w:t>Against</w:t>
            </w:r>
          </w:p>
        </w:tc>
        <w:tc>
          <w:tcPr>
            <w:tcW w:w="2320" w:type="dxa"/>
            <w:vAlign w:val="bottom"/>
            <w:gridSpan w:val="3"/>
          </w:tcPr>
          <w:p>
            <w:pPr>
              <w:jc w:val="center"/>
              <w:ind w:left="1479"/>
              <w:spacing w:after="0"/>
              <w:rPr>
                <w:sz w:val="20"/>
                <w:szCs w:val="20"/>
                <w:color w:val="auto"/>
              </w:rPr>
            </w:pPr>
            <w:r>
              <w:rPr>
                <w:rFonts w:ascii="Arial" w:cs="Arial" w:eastAsia="Arial" w:hAnsi="Arial"/>
                <w:sz w:val="14"/>
                <w:szCs w:val="14"/>
                <w:b w:val="1"/>
                <w:bCs w:val="1"/>
                <w:color w:val="auto"/>
                <w:w w:val="88"/>
              </w:rPr>
              <w:t>Abstentions</w:t>
            </w: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480" w:type="dxa"/>
            <w:vAlign w:val="bottom"/>
            <w:gridSpan w:val="3"/>
            <w:shd w:val="clear" w:color="auto" w:fill="CCEEFF"/>
          </w:tcPr>
          <w:p>
            <w:pPr>
              <w:jc w:val="right"/>
              <w:ind w:right="1580"/>
              <w:spacing w:after="0"/>
              <w:rPr>
                <w:sz w:val="20"/>
                <w:szCs w:val="20"/>
                <w:color w:val="auto"/>
              </w:rPr>
            </w:pPr>
            <w:r>
              <w:rPr>
                <w:rFonts w:ascii="Arial" w:cs="Arial" w:eastAsia="Arial" w:hAnsi="Arial"/>
                <w:sz w:val="18"/>
                <w:szCs w:val="18"/>
                <w:color w:val="auto"/>
                <w:w w:val="87"/>
              </w:rPr>
              <w:t>383,941,385</w:t>
            </w:r>
          </w:p>
        </w:tc>
        <w:tc>
          <w:tcPr>
            <w:tcW w:w="3880" w:type="dxa"/>
            <w:vAlign w:val="bottom"/>
            <w:gridSpan w:val="3"/>
            <w:shd w:val="clear" w:color="auto" w:fill="CCEEFF"/>
          </w:tcPr>
          <w:p>
            <w:pPr>
              <w:jc w:val="right"/>
              <w:ind w:right="1580"/>
              <w:spacing w:after="0"/>
              <w:rPr>
                <w:sz w:val="20"/>
                <w:szCs w:val="20"/>
                <w:color w:val="auto"/>
              </w:rPr>
            </w:pPr>
            <w:r>
              <w:rPr>
                <w:rFonts w:ascii="Arial" w:cs="Arial" w:eastAsia="Arial" w:hAnsi="Arial"/>
                <w:sz w:val="18"/>
                <w:szCs w:val="18"/>
                <w:color w:val="auto"/>
              </w:rPr>
              <w:t>3,089,159</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730,672</w:t>
            </w:r>
          </w:p>
        </w:tc>
        <w:tc>
          <w:tcPr>
            <w:tcW w:w="2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non-binding vote, of the Company’s executive compensation as described in the Company’s 2015 proxy statement: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1340" w:type="dxa"/>
            <w:vAlign w:val="bottom"/>
          </w:tcPr>
          <w:p>
            <w:pPr>
              <w:spacing w:after="0"/>
              <w:rPr>
                <w:sz w:val="14"/>
                <w:szCs w:val="14"/>
                <w:color w:val="auto"/>
              </w:rPr>
            </w:pPr>
          </w:p>
        </w:tc>
        <w:tc>
          <w:tcPr>
            <w:tcW w:w="37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3"/>
              </w:rPr>
              <w:t>Against</w:t>
            </w:r>
          </w:p>
        </w:tc>
        <w:tc>
          <w:tcPr>
            <w:tcW w:w="720" w:type="dxa"/>
            <w:vAlign w:val="bottom"/>
          </w:tcPr>
          <w:p>
            <w:pPr>
              <w:spacing w:after="0"/>
              <w:rPr>
                <w:sz w:val="20"/>
                <w:szCs w:val="20"/>
                <w:color w:val="auto"/>
              </w:rPr>
            </w:pPr>
            <w:r>
              <w:rPr>
                <w:rFonts w:ascii="Arial" w:cs="Arial" w:eastAsia="Arial" w:hAnsi="Arial"/>
                <w:sz w:val="14"/>
                <w:szCs w:val="14"/>
                <w:b w:val="1"/>
                <w:bCs w:val="1"/>
                <w:color w:val="auto"/>
                <w:w w:val="86"/>
              </w:rPr>
              <w:t>Abstentions</w:t>
            </w:r>
          </w:p>
        </w:tc>
        <w:tc>
          <w:tcPr>
            <w:tcW w:w="20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10"/>
        </w:trPr>
        <w:tc>
          <w:tcPr>
            <w:tcW w:w="19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w w:val="87"/>
              </w:rPr>
              <w:t>317,079,842</w:t>
            </w:r>
          </w:p>
        </w:tc>
        <w:tc>
          <w:tcPr>
            <w:tcW w:w="3780" w:type="dxa"/>
            <w:vAlign w:val="bottom"/>
            <w:gridSpan w:val="3"/>
            <w:shd w:val="clear" w:color="auto" w:fill="CCEEFF"/>
          </w:tcPr>
          <w:p>
            <w:pPr>
              <w:jc w:val="right"/>
              <w:ind w:right="2040"/>
              <w:spacing w:after="0"/>
              <w:rPr>
                <w:sz w:val="20"/>
                <w:szCs w:val="20"/>
                <w:color w:val="auto"/>
              </w:rPr>
            </w:pPr>
            <w:r>
              <w:rPr>
                <w:rFonts w:ascii="Arial" w:cs="Arial" w:eastAsia="Arial" w:hAnsi="Arial"/>
                <w:sz w:val="18"/>
                <w:szCs w:val="18"/>
                <w:color w:val="auto"/>
              </w:rPr>
              <w:t>7,857,629</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1,428,347</w:t>
            </w:r>
          </w:p>
        </w:tc>
        <w:tc>
          <w:tcPr>
            <w:tcW w:w="3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61,395,398</w:t>
            </w:r>
          </w:p>
        </w:tc>
      </w:tr>
    </w:tbl>
    <w:p>
      <w:pPr>
        <w:spacing w:after="0" w:line="10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to amend the Company’s Employee Stock Purchase Plan to authorize additional shares for issuance: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1340" w:type="dxa"/>
            <w:vAlign w:val="bottom"/>
          </w:tcPr>
          <w:p>
            <w:pPr>
              <w:spacing w:after="0"/>
              <w:rPr>
                <w:sz w:val="14"/>
                <w:szCs w:val="14"/>
                <w:color w:val="auto"/>
              </w:rPr>
            </w:pPr>
          </w:p>
        </w:tc>
        <w:tc>
          <w:tcPr>
            <w:tcW w:w="37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3"/>
              </w:rPr>
              <w:t>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Abstentions</w:t>
            </w:r>
          </w:p>
        </w:tc>
        <w:tc>
          <w:tcPr>
            <w:tcW w:w="20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10"/>
        </w:trPr>
        <w:tc>
          <w:tcPr>
            <w:tcW w:w="19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w w:val="87"/>
              </w:rPr>
              <w:t>323,093,841</w:t>
            </w:r>
          </w:p>
        </w:tc>
        <w:tc>
          <w:tcPr>
            <w:tcW w:w="3780" w:type="dxa"/>
            <w:vAlign w:val="bottom"/>
            <w:gridSpan w:val="3"/>
            <w:shd w:val="clear" w:color="auto" w:fill="CCEEFF"/>
          </w:tcPr>
          <w:p>
            <w:pPr>
              <w:jc w:val="right"/>
              <w:ind w:right="2040"/>
              <w:spacing w:after="0"/>
              <w:rPr>
                <w:sz w:val="20"/>
                <w:szCs w:val="20"/>
                <w:color w:val="auto"/>
              </w:rPr>
            </w:pPr>
            <w:r>
              <w:rPr>
                <w:rFonts w:ascii="Arial" w:cs="Arial" w:eastAsia="Arial" w:hAnsi="Arial"/>
                <w:sz w:val="18"/>
                <w:szCs w:val="18"/>
                <w:color w:val="auto"/>
              </w:rPr>
              <w:t>2,469,739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802,238</w:t>
            </w:r>
          </w:p>
        </w:tc>
        <w:tc>
          <w:tcPr>
            <w:tcW w:w="3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61,395,398</w:t>
            </w:r>
          </w:p>
        </w:tc>
      </w:tr>
    </w:tbl>
    <w:p>
      <w:pPr>
        <w:spacing w:after="0" w:line="10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 proposal regarding disclosure of political contributions: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88"/>
              </w:rPr>
              <w:t>Abstentions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10"/>
        </w:trPr>
        <w:tc>
          <w:tcPr>
            <w:tcW w:w="18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w w:val="87"/>
              </w:rPr>
              <w:t>135,879,784</w:t>
            </w:r>
          </w:p>
        </w:tc>
        <w:tc>
          <w:tcPr>
            <w:tcW w:w="2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154,929,159</w:t>
            </w:r>
          </w:p>
        </w:tc>
        <w:tc>
          <w:tcPr>
            <w:tcW w:w="4200" w:type="dxa"/>
            <w:vAlign w:val="bottom"/>
            <w:gridSpan w:val="3"/>
            <w:shd w:val="clear" w:color="auto" w:fill="CCEEFF"/>
          </w:tcPr>
          <w:p>
            <w:pPr>
              <w:jc w:val="right"/>
              <w:ind w:right="1940"/>
              <w:spacing w:after="0"/>
              <w:rPr>
                <w:sz w:val="20"/>
                <w:szCs w:val="20"/>
                <w:color w:val="auto"/>
              </w:rPr>
            </w:pPr>
            <w:r>
              <w:rPr>
                <w:rFonts w:ascii="Arial" w:cs="Arial" w:eastAsia="Arial" w:hAnsi="Arial"/>
                <w:sz w:val="18"/>
                <w:szCs w:val="18"/>
                <w:color w:val="auto"/>
              </w:rPr>
              <w:t>35,556,875</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61,395,398</w:t>
            </w:r>
          </w:p>
        </w:tc>
      </w:tr>
      <w:tr>
        <w:trPr>
          <w:trHeight w:val="365"/>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jc w:val="right"/>
              <w:ind w:right="81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proposal regarding a policy on acceleration of vesting of equity awards in the event of a change in control.</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60" w:type="dxa"/>
            <w:vAlign w:val="bottom"/>
            <w:gridSpan w:val="2"/>
          </w:tcPr>
          <w:p>
            <w:pPr>
              <w:jc w:val="right"/>
              <w:ind w:right="2200"/>
              <w:spacing w:after="0"/>
              <w:rPr>
                <w:sz w:val="20"/>
                <w:szCs w:val="20"/>
                <w:color w:val="auto"/>
              </w:rPr>
            </w:pPr>
            <w:r>
              <w:rPr>
                <w:rFonts w:ascii="Arial" w:cs="Arial" w:eastAsia="Arial" w:hAnsi="Arial"/>
                <w:sz w:val="14"/>
                <w:szCs w:val="14"/>
                <w:b w:val="1"/>
                <w:bCs w:val="1"/>
                <w:color w:val="auto"/>
                <w:w w:val="85"/>
              </w:rPr>
              <w:t>Against</w:t>
            </w:r>
          </w:p>
        </w:tc>
        <w:tc>
          <w:tcPr>
            <w:tcW w:w="2700" w:type="dxa"/>
            <w:vAlign w:val="bottom"/>
            <w:gridSpan w:val="2"/>
          </w:tcPr>
          <w:p>
            <w:pPr>
              <w:jc w:val="right"/>
              <w:ind w:right="1960"/>
              <w:spacing w:after="0"/>
              <w:rPr>
                <w:sz w:val="20"/>
                <w:szCs w:val="20"/>
                <w:color w:val="auto"/>
              </w:rPr>
            </w:pPr>
            <w:r>
              <w:rPr>
                <w:rFonts w:ascii="Arial" w:cs="Arial" w:eastAsia="Arial" w:hAnsi="Arial"/>
                <w:sz w:val="14"/>
                <w:szCs w:val="14"/>
                <w:b w:val="1"/>
                <w:bCs w:val="1"/>
                <w:color w:val="auto"/>
                <w:w w:val="88"/>
              </w:rPr>
              <w:t>Abstentions</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Broker Non-Votes</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w w:val="87"/>
              </w:rPr>
              <w:t>102,562,232</w:t>
            </w:r>
          </w:p>
        </w:tc>
        <w:tc>
          <w:tcPr>
            <w:tcW w:w="3800" w:type="dxa"/>
            <w:vAlign w:val="bottom"/>
            <w:gridSpan w:val="3"/>
            <w:shd w:val="clear" w:color="auto" w:fill="CCEEFF"/>
          </w:tcPr>
          <w:p>
            <w:pPr>
              <w:jc w:val="right"/>
              <w:ind w:right="1960"/>
              <w:spacing w:after="0"/>
              <w:rPr>
                <w:sz w:val="20"/>
                <w:szCs w:val="20"/>
                <w:color w:val="auto"/>
              </w:rPr>
            </w:pPr>
            <w:r>
              <w:rPr>
                <w:rFonts w:ascii="Arial" w:cs="Arial" w:eastAsia="Arial" w:hAnsi="Arial"/>
                <w:sz w:val="18"/>
                <w:szCs w:val="18"/>
                <w:color w:val="auto"/>
              </w:rPr>
              <w:t>222,367,326</w:t>
            </w:r>
          </w:p>
        </w:tc>
        <w:tc>
          <w:tcPr>
            <w:tcW w:w="2700" w:type="dxa"/>
            <w:vAlign w:val="bottom"/>
            <w:gridSpan w:val="2"/>
            <w:shd w:val="clear" w:color="auto" w:fill="CCEEFF"/>
          </w:tcPr>
          <w:p>
            <w:pPr>
              <w:jc w:val="right"/>
              <w:ind w:right="1940"/>
              <w:spacing w:after="0"/>
              <w:rPr>
                <w:sz w:val="20"/>
                <w:szCs w:val="20"/>
                <w:color w:val="auto"/>
              </w:rPr>
            </w:pPr>
            <w:r>
              <w:rPr>
                <w:rFonts w:ascii="Arial" w:cs="Arial" w:eastAsia="Arial" w:hAnsi="Arial"/>
                <w:sz w:val="18"/>
                <w:szCs w:val="18"/>
                <w:color w:val="auto"/>
                <w:w w:val="92"/>
              </w:rPr>
              <w:t>1,436,260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61,395,398</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Item 9.01</w:t>
            </w: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w w:val="98"/>
              </w:rPr>
              <w:t>Financial Statements and Exhibits.</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(d)</w:t>
            </w:r>
          </w:p>
        </w:tc>
        <w:tc>
          <w:tcPr>
            <w:tcW w:w="840" w:type="dxa"/>
            <w:vAlign w:val="bottom"/>
          </w:tcPr>
          <w:p>
            <w:pPr>
              <w:ind w:left="180"/>
              <w:spacing w:after="0"/>
              <w:rPr>
                <w:sz w:val="20"/>
                <w:szCs w:val="20"/>
                <w:color w:val="auto"/>
              </w:rPr>
            </w:pPr>
            <w:r>
              <w:rPr>
                <w:rFonts w:ascii="Arial" w:cs="Arial" w:eastAsia="Arial" w:hAnsi="Arial"/>
                <w:sz w:val="18"/>
                <w:szCs w:val="18"/>
                <w:color w:val="auto"/>
                <w:w w:val="94"/>
              </w:rPr>
              <w:t>Exhibits.</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420" w:type="dxa"/>
            <w:vAlign w:val="bottom"/>
            <w:gridSpan w:val="3"/>
          </w:tcPr>
          <w:p>
            <w:pPr>
              <w:ind w:left="340"/>
              <w:spacing w:after="0"/>
              <w:rPr>
                <w:sz w:val="20"/>
                <w:szCs w:val="20"/>
                <w:color w:val="auto"/>
              </w:rPr>
            </w:pPr>
            <w:r>
              <w:rPr>
                <w:rFonts w:ascii="Arial" w:cs="Arial" w:eastAsia="Arial" w:hAnsi="Arial"/>
                <w:sz w:val="18"/>
                <w:szCs w:val="18"/>
                <w:color w:val="auto"/>
                <w:w w:val="88"/>
              </w:rPr>
              <w:t>Waste Management, Inc. Employee Stock Purchase Plan</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240" w:top="274" w:right="1159" w:bottom="1440" w:gutter="0" w:footer="0" w:header="0"/>
        </w:sectPr>
      </w:pPr>
    </w:p>
    <w:bookmarkStart w:id="3" w:name="page4"/>
    <w:bookmarkEnd w:id="3"/>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15, 2015</w:t>
      </w:r>
      <w:r>
        <w:rPr>
          <w:sz w:val="20"/>
          <w:szCs w:val="20"/>
          <w:color w:val="auto"/>
        </w:rPr>
        <w:tab/>
      </w:r>
      <w:r>
        <w:rPr>
          <w:rFonts w:ascii="Arial" w:cs="Arial" w:eastAsia="Arial" w:hAnsi="Arial"/>
          <w:sz w:val="17"/>
          <w:szCs w:val="17"/>
          <w:color w:val="auto"/>
        </w:rPr>
        <w:t>By:  /s/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Corporate Affairs &amp; Chief Legal Officer</w:t>
      </w:r>
    </w:p>
    <w:p>
      <w:pPr>
        <w:spacing w:after="0" w:line="166"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240" w:top="270" w:right="79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40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 of Exhibit</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05"/>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88"/>
              </w:rPr>
              <w:t>Waste Management, Inc. Employee Stock Purchase Plan</w:t>
            </w:r>
          </w:p>
        </w:tc>
      </w:tr>
    </w:tbl>
    <w:p>
      <w:pPr>
        <w:spacing w:after="0" w:line="1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ANAGEMENT</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Amended and Restated Effective May 12, 2015)</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Waste Management, Inc. Employee Stock Purchase Plan (the “Plan”) has been established for the benefit of its eligible employees. The terms of the Plan are set forth below.</w:t>
      </w:r>
    </w:p>
    <w:p>
      <w:pPr>
        <w:spacing w:after="0" w:line="383" w:lineRule="exact"/>
        <w:rPr>
          <w:sz w:val="20"/>
          <w:szCs w:val="20"/>
          <w:color w:val="auto"/>
        </w:rPr>
      </w:pPr>
    </w:p>
    <w:p>
      <w:pPr>
        <w:ind w:left="5360" w:hanging="178"/>
        <w:spacing w:after="0"/>
        <w:tabs>
          <w:tab w:leader="none" w:pos="5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17" w:lineRule="exact"/>
        <w:rPr>
          <w:sz w:val="20"/>
          <w:szCs w:val="20"/>
          <w:color w:val="auto"/>
        </w:rPr>
      </w:pPr>
    </w:p>
    <w:p>
      <w:pPr>
        <w:ind w:left="1140" w:hanging="237"/>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and the regulations issued thereunder.</w:t>
      </w:r>
    </w:p>
    <w:p>
      <w:pPr>
        <w:spacing w:after="0" w:line="117" w:lineRule="exact"/>
        <w:rPr>
          <w:rFonts w:ascii="Arial" w:cs="Arial" w:eastAsia="Arial" w:hAnsi="Arial"/>
          <w:sz w:val="18"/>
          <w:szCs w:val="18"/>
          <w:color w:val="auto"/>
        </w:rPr>
      </w:pPr>
    </w:p>
    <w:p>
      <w:pPr>
        <w:ind w:left="460" w:right="120" w:firstLine="443"/>
        <w:spacing w:after="0" w:line="277" w:lineRule="auto"/>
        <w:tabs>
          <w:tab w:leader="none" w:pos="114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the Administrative Committee of the Waste Management Employee Benefit Plans appointed by the Board to administer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as described in Section 4 below.</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common stock, $0.01 par value, of the Company.</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Waste Management, Inc., a Delaware corporation, or any successor corporation by merger, reorganization, 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otherwise.</w:t>
      </w:r>
    </w:p>
    <w:p>
      <w:pPr>
        <w:spacing w:after="0" w:line="62" w:lineRule="exact"/>
        <w:rPr>
          <w:rFonts w:ascii="Arial" w:cs="Arial" w:eastAsia="Arial" w:hAnsi="Arial"/>
          <w:sz w:val="18"/>
          <w:szCs w:val="18"/>
          <w:color w:val="auto"/>
        </w:rPr>
      </w:pPr>
    </w:p>
    <w:p>
      <w:pPr>
        <w:ind w:left="460" w:right="180" w:firstLine="443"/>
        <w:spacing w:after="0" w:line="259" w:lineRule="auto"/>
        <w:tabs>
          <w:tab w:leader="none" w:pos="112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Employment” </w:t>
      </w:r>
      <w:r>
        <w:rPr>
          <w:rFonts w:ascii="Arial" w:cs="Arial" w:eastAsia="Arial" w:hAnsi="Arial"/>
          <w:sz w:val="18"/>
          <w:szCs w:val="18"/>
          <w:color w:val="auto"/>
        </w:rPr>
        <w:t>means the absence of any interruption or termination of service as an Eligible Employee with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78" w:lineRule="exact"/>
        <w:rPr>
          <w:rFonts w:ascii="Arial" w:cs="Arial" w:eastAsia="Arial" w:hAnsi="Arial"/>
          <w:sz w:val="18"/>
          <w:szCs w:val="18"/>
          <w:color w:val="auto"/>
        </w:rPr>
      </w:pPr>
    </w:p>
    <w:p>
      <w:pPr>
        <w:ind w:left="460" w:right="100" w:firstLine="443"/>
        <w:spacing w:after="0" w:line="257" w:lineRule="auto"/>
        <w:tabs>
          <w:tab w:leader="none" w:pos="115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“Eligible Compensation” </w:t>
      </w:r>
      <w:r>
        <w:rPr>
          <w:rFonts w:ascii="Arial" w:cs="Arial" w:eastAsia="Arial" w:hAnsi="Arial"/>
          <w:sz w:val="18"/>
          <w:szCs w:val="18"/>
          <w:color w:val="auto"/>
        </w:rPr>
        <w:t>means, with respect to each Participant for each pay period, the regular base earnings, commissions, overtime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80" w:lineRule="exact"/>
        <w:rPr>
          <w:rFonts w:ascii="Arial" w:cs="Arial" w:eastAsia="Arial" w:hAnsi="Arial"/>
          <w:sz w:val="18"/>
          <w:szCs w:val="18"/>
          <w:color w:val="auto"/>
        </w:rPr>
      </w:pPr>
    </w:p>
    <w:p>
      <w:pPr>
        <w:ind w:left="460" w:right="60" w:firstLine="443"/>
        <w:spacing w:after="0" w:line="279" w:lineRule="auto"/>
        <w:tabs>
          <w:tab w:leader="none" w:pos="1153"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“Eligible Employee” </w:t>
      </w:r>
      <w:r>
        <w:rPr>
          <w:rFonts w:ascii="Arial" w:cs="Arial" w:eastAsia="Arial" w:hAnsi="Arial"/>
          <w:sz w:val="17"/>
          <w:szCs w:val="17"/>
          <w:color w:val="auto"/>
        </w:rPr>
        <w:t>means an employee of the Company or one of its Participating Subsidiaries who is customarily employed for at least 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63" w:lineRule="exact"/>
        <w:rPr>
          <w:rFonts w:ascii="Arial" w:cs="Arial" w:eastAsia="Arial" w:hAnsi="Arial"/>
          <w:sz w:val="17"/>
          <w:szCs w:val="17"/>
          <w:color w:val="auto"/>
        </w:rPr>
      </w:pPr>
    </w:p>
    <w:p>
      <w:pPr>
        <w:ind w:left="1120" w:hanging="21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“Enrollment Date” </w:t>
      </w:r>
      <w:r>
        <w:rPr>
          <w:rFonts w:ascii="Arial" w:cs="Arial" w:eastAsia="Arial" w:hAnsi="Arial"/>
          <w:sz w:val="18"/>
          <w:szCs w:val="18"/>
          <w:color w:val="auto"/>
        </w:rPr>
        <w:t>means the first business day of each Offering Period.</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Date” </w:t>
      </w:r>
      <w:r>
        <w:rPr>
          <w:rFonts w:ascii="Arial" w:cs="Arial" w:eastAsia="Arial" w:hAnsi="Arial"/>
          <w:sz w:val="18"/>
          <w:szCs w:val="18"/>
          <w:color w:val="auto"/>
        </w:rPr>
        <w:t>means the last business day of each Offering Period.</w:t>
      </w:r>
    </w:p>
    <w:p>
      <w:pPr>
        <w:spacing w:after="0" w:line="117" w:lineRule="exact"/>
        <w:rPr>
          <w:rFonts w:ascii="Arial" w:cs="Arial" w:eastAsia="Arial" w:hAnsi="Arial"/>
          <w:sz w:val="18"/>
          <w:szCs w:val="18"/>
          <w:color w:val="auto"/>
        </w:rPr>
      </w:pPr>
    </w:p>
    <w:p>
      <w:pPr>
        <w:jc w:val="both"/>
        <w:ind w:left="460" w:right="140" w:firstLine="443"/>
        <w:spacing w:after="0" w:line="264" w:lineRule="auto"/>
        <w:tabs>
          <w:tab w:leader="none" w:pos="115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Price” </w:t>
      </w:r>
      <w:r>
        <w:rPr>
          <w:rFonts w:ascii="Arial" w:cs="Arial" w:eastAsia="Arial" w:hAnsi="Arial"/>
          <w:sz w:val="18"/>
          <w:szCs w:val="18"/>
          <w:color w:val="auto"/>
        </w:rPr>
        <w:t>means the price per share of Common Stock offered in a given Offering Period, which shall be the lower of: (i) 85%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Market Value of a share of the Common Stock on the Enrollment Date of such Offering Period, or (ii) 85% of the Fair Market Value of a share of the Common Stock on the Exercise Date of such Offering Period.</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11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means, with respect to a share of Common Stock as of any Enrollment Date or Exercise Date, the closing price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New York Stock Exchange on such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 w:name="page7"/>
    <w:bookmarkEnd w:id="6"/>
    <w:p>
      <w:pPr>
        <w:ind w:left="4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39" w:lineRule="exact"/>
        <w:rPr>
          <w:sz w:val="20"/>
          <w:szCs w:val="20"/>
          <w:color w:val="auto"/>
        </w:rPr>
      </w:pPr>
    </w:p>
    <w:p>
      <w:pPr>
        <w:ind w:left="460" w:right="100" w:firstLine="443"/>
        <w:spacing w:after="0" w:line="264" w:lineRule="auto"/>
        <w:tabs>
          <w:tab w:leader="none" w:pos="120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“Involuntary Military Leave of Absence” </w:t>
      </w:r>
      <w:r>
        <w:rPr>
          <w:rFonts w:ascii="Arial" w:cs="Arial" w:eastAsia="Arial" w:hAnsi="Arial"/>
          <w:sz w:val="18"/>
          <w:szCs w:val="18"/>
          <w:color w:val="auto"/>
        </w:rPr>
        <w:t>means an employee’s leave from employment pursuant to the Company’s Paid Leave of Absence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to perform military service obligations in the United States Air Force, Army, Navy, Marines, Coast Guard, Public Health Service Corps or National Guard, and the employee is either drafted or a member of the Reserves called to active duty.</w:t>
      </w:r>
    </w:p>
    <w:p>
      <w:pPr>
        <w:spacing w:after="0" w:line="73" w:lineRule="exact"/>
        <w:rPr>
          <w:rFonts w:ascii="Arial" w:cs="Arial" w:eastAsia="Arial" w:hAnsi="Arial"/>
          <w:sz w:val="18"/>
          <w:szCs w:val="18"/>
          <w:color w:val="auto"/>
        </w:rPr>
      </w:pPr>
    </w:p>
    <w:p>
      <w:pPr>
        <w:ind w:left="460" w:right="20" w:firstLine="443"/>
        <w:spacing w:after="0" w:line="279" w:lineRule="auto"/>
        <w:tabs>
          <w:tab w:leader="none" w:pos="1153"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“Offering Period” </w:t>
      </w:r>
      <w:r>
        <w:rPr>
          <w:rFonts w:ascii="Arial" w:cs="Arial" w:eastAsia="Arial" w:hAnsi="Arial"/>
          <w:sz w:val="17"/>
          <w:szCs w:val="17"/>
          <w:color w:val="auto"/>
        </w:rPr>
        <w:t>means each six-month period that begins and ends on the business days that coincide with January 1 through June 30,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63" w:lineRule="exact"/>
        <w:rPr>
          <w:rFonts w:ascii="Arial" w:cs="Arial" w:eastAsia="Arial" w:hAnsi="Arial"/>
          <w:sz w:val="17"/>
          <w:szCs w:val="17"/>
          <w:color w:val="auto"/>
        </w:rPr>
      </w:pPr>
    </w:p>
    <w:p>
      <w:pPr>
        <w:ind w:left="460" w:right="60" w:firstLine="443"/>
        <w:spacing w:after="0" w:line="277" w:lineRule="auto"/>
        <w:tabs>
          <w:tab w:leader="none" w:pos="115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an Eligible Employee who has elected to participate in the Plan by filing an enrollment agreement with the Company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below in Section 6.</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“Participating Subsidiary” </w:t>
      </w:r>
      <w:r>
        <w:rPr>
          <w:rFonts w:ascii="Arial" w:cs="Arial" w:eastAsia="Arial" w:hAnsi="Arial"/>
          <w:sz w:val="17"/>
          <w:szCs w:val="17"/>
          <w:color w:val="auto"/>
        </w:rPr>
        <w:t>means any Subsidiary not excluded from participation in the Plan by the Committee, in its sole discretion.</w:t>
      </w:r>
    </w:p>
    <w:p>
      <w:pPr>
        <w:spacing w:after="0" w:line="128" w:lineRule="exact"/>
        <w:rPr>
          <w:rFonts w:ascii="Arial" w:cs="Arial" w:eastAsia="Arial" w:hAnsi="Arial"/>
          <w:sz w:val="17"/>
          <w:szCs w:val="17"/>
          <w:color w:val="auto"/>
        </w:rPr>
      </w:pPr>
    </w:p>
    <w:p>
      <w:pPr>
        <w:ind w:left="460" w:right="100" w:firstLine="443"/>
        <w:spacing w:after="0" w:line="264" w:lineRule="auto"/>
        <w:tabs>
          <w:tab w:leader="none" w:pos="115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any domestic or foreign corporation of which the Company owns, directly or indirectly, 50% or more of the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voting power of all classes of stock or other equity interests and that otherwise qualifies as a “subsidiary corporation” within the meaning of Section 424(f) of the Code or any successor thereto.</w:t>
      </w:r>
    </w:p>
    <w:p>
      <w:pPr>
        <w:spacing w:after="0" w:line="393" w:lineRule="exact"/>
        <w:rPr>
          <w:sz w:val="20"/>
          <w:szCs w:val="20"/>
          <w:color w:val="auto"/>
        </w:rPr>
      </w:pPr>
    </w:p>
    <w:p>
      <w:pPr>
        <w:ind w:left="5020" w:hanging="171"/>
        <w:spacing w:after="0"/>
        <w:tabs>
          <w:tab w:leader="none" w:pos="50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399" w:lineRule="exact"/>
        <w:rPr>
          <w:sz w:val="20"/>
          <w:szCs w:val="20"/>
          <w:color w:val="auto"/>
        </w:rPr>
      </w:pPr>
    </w:p>
    <w:p>
      <w:pPr>
        <w:ind w:left="4660" w:hanging="172"/>
        <w:spacing w:after="0"/>
        <w:tabs>
          <w:tab w:leader="none" w:pos="4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Reserved for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shall reserve for issuance and purchase by Participants under the Plan an aggregate of 15,750,000 shares of Common Stock,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400" w:lineRule="exact"/>
        <w:rPr>
          <w:sz w:val="20"/>
          <w:szCs w:val="20"/>
          <w:color w:val="auto"/>
        </w:rPr>
      </w:pPr>
    </w:p>
    <w:p>
      <w:pPr>
        <w:ind w:left="4760" w:hanging="186"/>
        <w:spacing w:after="0"/>
        <w:tabs>
          <w:tab w:leader="none" w:pos="47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right="80" w:firstLine="443"/>
        <w:spacing w:after="0" w:line="264" w:lineRule="auto"/>
        <w:tabs>
          <w:tab w:leader="none" w:pos="11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Committee appointed by the Board shall administer the Plan. The Committee shall have the authority to interpret the Plan, to prescribe, amend and rescind rules and regulations relating to the Plan, to correct any defect or rectify any omission in the Plan, or to reconcile any inconsistency in this Plan and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ind w:left="46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57" w:lineRule="exact"/>
        <w:rPr>
          <w:sz w:val="20"/>
          <w:szCs w:val="20"/>
          <w:color w:val="auto"/>
        </w:rPr>
      </w:pPr>
    </w:p>
    <w:p>
      <w:pPr>
        <w:jc w:val="both"/>
        <w:ind w:left="460" w:right="100" w:firstLine="443"/>
        <w:spacing w:after="0" w:line="264" w:lineRule="auto"/>
        <w:tabs>
          <w:tab w:leader="none" w:pos="11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393" w:lineRule="exact"/>
        <w:rPr>
          <w:sz w:val="20"/>
          <w:szCs w:val="20"/>
          <w:color w:val="auto"/>
        </w:rPr>
      </w:pPr>
    </w:p>
    <w:p>
      <w:pPr>
        <w:ind w:left="4420" w:hanging="181"/>
        <w:spacing w:after="0"/>
        <w:tabs>
          <w:tab w:leader="none" w:pos="4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to Participate in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359" w:lineRule="exact"/>
        <w:rPr>
          <w:sz w:val="20"/>
          <w:szCs w:val="20"/>
          <w:color w:val="auto"/>
        </w:rPr>
      </w:pPr>
    </w:p>
    <w:p>
      <w:pPr>
        <w:ind w:left="4480" w:hanging="176"/>
        <w:spacing w:after="0"/>
        <w:tabs>
          <w:tab w:leader="none" w:pos="4480" w:val="left"/>
        </w:tabs>
        <w:numPr>
          <w:ilvl w:val="2"/>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Election to Participate in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right="20" w:firstLine="443"/>
        <w:spacing w:after="0" w:line="264" w:lineRule="auto"/>
        <w:tabs>
          <w:tab w:leader="none" w:pos="1143"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73" w:lineRule="exact"/>
        <w:rPr>
          <w:rFonts w:ascii="Arial" w:cs="Arial" w:eastAsia="Arial" w:hAnsi="Arial"/>
          <w:sz w:val="18"/>
          <w:szCs w:val="18"/>
          <w:color w:val="auto"/>
        </w:rPr>
      </w:pPr>
    </w:p>
    <w:p>
      <w:pPr>
        <w:jc w:val="both"/>
        <w:ind w:left="460" w:right="80" w:firstLine="443"/>
        <w:spacing w:after="0" w:line="288" w:lineRule="auto"/>
        <w:tabs>
          <w:tab w:leader="none" w:pos="1153" w:val="left"/>
        </w:tabs>
        <w:numPr>
          <w:ilvl w:val="1"/>
          <w:numId w:val="18"/>
        </w:numPr>
        <w:rPr>
          <w:rFonts w:ascii="Arial" w:cs="Arial" w:eastAsia="Arial" w:hAnsi="Arial"/>
          <w:sz w:val="16"/>
          <w:szCs w:val="16"/>
          <w:color w:val="auto"/>
        </w:rPr>
      </w:pPr>
      <w:r>
        <w:rPr>
          <w:rFonts w:ascii="Arial" w:cs="Arial" w:eastAsia="Arial" w:hAnsi="Arial"/>
          <w:sz w:val="16"/>
          <w:szCs w:val="16"/>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w:t>
      </w:r>
    </w:p>
    <w:p>
      <w:pPr>
        <w:ind w:left="460" w:right="880" w:firstLine="4"/>
        <w:spacing w:after="0" w:line="261" w:lineRule="auto"/>
        <w:tabs>
          <w:tab w:leader="none" w:pos="7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authorized the same payroll deduction percentage for such immediately succeeding Offering Period as was in effect for such Participant immediately prior to such succeeding Offering Period.</w:t>
      </w:r>
    </w:p>
    <w:p>
      <w:pPr>
        <w:spacing w:after="0" w:line="395" w:lineRule="exact"/>
        <w:rPr>
          <w:rFonts w:ascii="Arial" w:cs="Arial" w:eastAsia="Arial" w:hAnsi="Arial"/>
          <w:sz w:val="18"/>
          <w:szCs w:val="18"/>
          <w:color w:val="auto"/>
        </w:rPr>
      </w:pPr>
    </w:p>
    <w:p>
      <w:pPr>
        <w:ind w:left="5060" w:hanging="189"/>
        <w:spacing w:after="0"/>
        <w:tabs>
          <w:tab w:leader="none" w:pos="5060" w:val="left"/>
        </w:tabs>
        <w:numPr>
          <w:ilvl w:val="3"/>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firstLine="443"/>
        <w:spacing w:after="0" w:line="276" w:lineRule="auto"/>
        <w:tabs>
          <w:tab w:leader="none" w:pos="1133"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64" w:lineRule="exact"/>
        <w:rPr>
          <w:rFonts w:ascii="Arial" w:cs="Arial" w:eastAsia="Arial" w:hAnsi="Arial"/>
          <w:sz w:val="17"/>
          <w:szCs w:val="17"/>
          <w:color w:val="auto"/>
        </w:rPr>
      </w:pPr>
    </w:p>
    <w:p>
      <w:pPr>
        <w:ind w:left="460" w:right="80" w:firstLine="443"/>
        <w:spacing w:after="0" w:line="302" w:lineRule="auto"/>
        <w:tabs>
          <w:tab w:leader="none" w:pos="114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46" w:lineRule="exact"/>
        <w:rPr>
          <w:rFonts w:ascii="Arial" w:cs="Arial" w:eastAsia="Arial" w:hAnsi="Arial"/>
          <w:sz w:val="16"/>
          <w:szCs w:val="16"/>
          <w:color w:val="auto"/>
        </w:rPr>
      </w:pPr>
    </w:p>
    <w:p>
      <w:pPr>
        <w:ind w:left="1140" w:hanging="23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Except as provided in Section 10, a Participant may not change his contribution election during an Offering Period.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 w:name="page9"/>
    <w:bookmarkEnd w:id="8"/>
    <w:p>
      <w:pPr>
        <w:ind w:left="460" w:right="20" w:firstLine="443"/>
        <w:spacing w:after="0" w:line="277"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7, no Participant may make payroll deductions during any calendar year in excess of $21,250, or such other limit as may be established by the Committee, in its discretion.</w:t>
      </w:r>
    </w:p>
    <w:p>
      <w:pPr>
        <w:spacing w:after="0" w:line="383" w:lineRule="exact"/>
        <w:rPr>
          <w:sz w:val="20"/>
          <w:szCs w:val="20"/>
          <w:color w:val="auto"/>
        </w:rPr>
      </w:pPr>
    </w:p>
    <w:p>
      <w:pPr>
        <w:ind w:left="5120" w:hanging="179"/>
        <w:spacing w:after="0"/>
        <w:tabs>
          <w:tab w:leader="none" w:pos="5120" w:val="left"/>
        </w:tabs>
        <w:numPr>
          <w:ilvl w:val="2"/>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Options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right="340" w:firstLine="443"/>
        <w:spacing w:after="0" w:line="259" w:lineRule="auto"/>
        <w:tabs>
          <w:tab w:leader="none" w:pos="11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the Enrollment Date of each Offering Period, subject to the limitations set forth in Sections 3 and 8(b) hereof, each Eligible Employee shall be granted an option to purchase on the Exercise Date for such Offering Period a number of whole and fractional shares of the Company’s Common Stock determined by dividing such Eligible Employee’s payroll deductions accumulated during the Offering Period by the Exercise Price established for such Offering Period.</w:t>
      </w:r>
    </w:p>
    <w:p>
      <w:pPr>
        <w:spacing w:after="0" w:line="78" w:lineRule="exact"/>
        <w:rPr>
          <w:rFonts w:ascii="Arial" w:cs="Arial" w:eastAsia="Arial" w:hAnsi="Arial"/>
          <w:sz w:val="18"/>
          <w:szCs w:val="18"/>
          <w:color w:val="auto"/>
        </w:rPr>
      </w:pPr>
    </w:p>
    <w:p>
      <w:pPr>
        <w:ind w:left="460" w:firstLine="443"/>
        <w:spacing w:after="0" w:line="293" w:lineRule="auto"/>
        <w:tabs>
          <w:tab w:leader="none" w:pos="1153"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376" w:lineRule="exact"/>
        <w:rPr>
          <w:rFonts w:ascii="Arial" w:cs="Arial" w:eastAsia="Arial" w:hAnsi="Arial"/>
          <w:sz w:val="16"/>
          <w:szCs w:val="16"/>
          <w:color w:val="auto"/>
        </w:rPr>
      </w:pPr>
    </w:p>
    <w:p>
      <w:pPr>
        <w:ind w:left="5000" w:hanging="179"/>
        <w:spacing w:after="0"/>
        <w:tabs>
          <w:tab w:leader="none" w:pos="500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Automatic Purchase</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fractional shares subject to the option will be purchased for the Participant at the Exercise Price established for that Offering Period, as provided above in Section 8.</w:t>
      </w:r>
    </w:p>
    <w:p>
      <w:pPr>
        <w:spacing w:after="0" w:line="359" w:lineRule="exact"/>
        <w:rPr>
          <w:sz w:val="20"/>
          <w:szCs w:val="20"/>
          <w:color w:val="auto"/>
        </w:rPr>
      </w:pPr>
    </w:p>
    <w:p>
      <w:pPr>
        <w:ind w:left="4220" w:hanging="271"/>
        <w:spacing w:after="0"/>
        <w:tabs>
          <w:tab w:leader="none" w:pos="422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Withdrawal; Termination of Employment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firstLine="443"/>
        <w:spacing w:after="0" w:line="272" w:lineRule="auto"/>
        <w:tabs>
          <w:tab w:leader="none" w:pos="1133"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69" w:lineRule="exact"/>
        <w:rPr>
          <w:rFonts w:ascii="Arial" w:cs="Arial" w:eastAsia="Arial" w:hAnsi="Arial"/>
          <w:sz w:val="17"/>
          <w:szCs w:val="17"/>
          <w:color w:val="auto"/>
        </w:rPr>
      </w:pPr>
    </w:p>
    <w:p>
      <w:pPr>
        <w:ind w:left="460" w:right="340" w:firstLine="443"/>
        <w:spacing w:after="0" w:line="286" w:lineRule="auto"/>
        <w:tabs>
          <w:tab w:leader="none" w:pos="11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57" w:lineRule="exact"/>
        <w:rPr>
          <w:rFonts w:ascii="Arial" w:cs="Arial" w:eastAsia="Arial" w:hAnsi="Arial"/>
          <w:sz w:val="17"/>
          <w:szCs w:val="17"/>
          <w:color w:val="auto"/>
        </w:rPr>
      </w:pPr>
    </w:p>
    <w:p>
      <w:pPr>
        <w:ind w:left="460" w:right="40" w:firstLine="443"/>
        <w:spacing w:after="0" w:line="286" w:lineRule="auto"/>
        <w:tabs>
          <w:tab w:leader="none" w:pos="114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 w:name="page10"/>
    <w:bookmarkEnd w:id="9"/>
    <w:p>
      <w:pPr>
        <w:ind w:left="5240" w:hanging="257"/>
        <w:spacing w:after="0"/>
        <w:tabs>
          <w:tab w:leader="none" w:pos="52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Options to purchase Common Stock granted under the Plan are not transferable, in any manner, by a Participant and are exercisable only by the Participant.</w:t>
      </w:r>
    </w:p>
    <w:p>
      <w:pPr>
        <w:spacing w:after="0" w:line="383" w:lineRule="exact"/>
        <w:rPr>
          <w:sz w:val="20"/>
          <w:szCs w:val="20"/>
          <w:color w:val="auto"/>
        </w:rPr>
      </w:pPr>
    </w:p>
    <w:p>
      <w:pPr>
        <w:ind w:left="5520" w:hanging="268"/>
        <w:spacing w:after="0"/>
        <w:tabs>
          <w:tab w:leader="none" w:pos="5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Individual accounts will be maintained for each Participant in the Plan. Following each Exercise Date, statements of account will be given to Participants who have purchased shares under Section 9. Such statements will set forth the amounts of payroll deductions, the per share purchase price, the number of shares purchased and the remaining cash balance, if any.</w:t>
      </w:r>
    </w:p>
    <w:p>
      <w:pPr>
        <w:spacing w:after="0" w:line="393" w:lineRule="exact"/>
        <w:rPr>
          <w:sz w:val="20"/>
          <w:szCs w:val="20"/>
          <w:color w:val="auto"/>
        </w:rPr>
      </w:pPr>
    </w:p>
    <w:p>
      <w:pPr>
        <w:ind w:left="4080" w:hanging="264"/>
        <w:spacing w:after="0"/>
        <w:tabs>
          <w:tab w:leader="none" w:pos="408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Upon Changes in Capitalization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460" w:right="60" w:firstLine="443"/>
        <w:spacing w:after="0" w:line="302" w:lineRule="auto"/>
        <w:tabs>
          <w:tab w:leader="none" w:pos="11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46" w:lineRule="exact"/>
        <w:rPr>
          <w:rFonts w:ascii="Arial" w:cs="Arial" w:eastAsia="Arial" w:hAnsi="Arial"/>
          <w:sz w:val="16"/>
          <w:szCs w:val="16"/>
          <w:color w:val="auto"/>
        </w:rPr>
      </w:pPr>
    </w:p>
    <w:p>
      <w:pPr>
        <w:ind w:left="460" w:right="20" w:firstLine="443"/>
        <w:spacing w:after="0" w:line="253"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89"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393" w:lineRule="exact"/>
        <w:rPr>
          <w:sz w:val="20"/>
          <w:szCs w:val="20"/>
          <w:color w:val="auto"/>
        </w:rPr>
      </w:pPr>
    </w:p>
    <w:p>
      <w:pPr>
        <w:ind w:left="4920" w:hanging="276"/>
        <w:spacing w:after="0"/>
        <w:tabs>
          <w:tab w:leader="none" w:pos="49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of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393" w:lineRule="exact"/>
        <w:rPr>
          <w:sz w:val="20"/>
          <w:szCs w:val="20"/>
          <w:color w:val="auto"/>
        </w:rPr>
      </w:pPr>
    </w:p>
    <w:p>
      <w:pPr>
        <w:ind w:left="4920" w:hanging="278"/>
        <w:spacing w:after="0"/>
        <w:tabs>
          <w:tab w:leader="none" w:pos="49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the Plan</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rights of Eligible Employees hereunder shall terminate:</w:t>
      </w:r>
    </w:p>
    <w:p>
      <w:pPr>
        <w:spacing w:after="0" w:line="117" w:lineRule="exact"/>
        <w:rPr>
          <w:sz w:val="20"/>
          <w:szCs w:val="20"/>
          <w:color w:val="auto"/>
        </w:rPr>
      </w:pPr>
    </w:p>
    <w:p>
      <w:pPr>
        <w:ind w:left="460" w:right="220" w:firstLine="443"/>
        <w:spacing w:after="0" w:line="277" w:lineRule="auto"/>
        <w:tabs>
          <w:tab w:leader="none" w:pos="11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the Exercise Date that Participants become entitled to purchase a number of shares greater than the number of reserved shares remaining available for purchase under the Plan;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any time, at the discretion of the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0" w:name="page11"/>
    <w:bookmarkEnd w:id="10"/>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Plan terminates under circumstances described in Section 15(a) above, reserved shares remaining as of the termination date shall be sold to Participants on a pro rata basis.</w:t>
      </w:r>
    </w:p>
    <w:p>
      <w:pPr>
        <w:spacing w:after="0" w:line="383" w:lineRule="exact"/>
        <w:rPr>
          <w:sz w:val="20"/>
          <w:szCs w:val="20"/>
          <w:color w:val="auto"/>
        </w:rPr>
      </w:pPr>
    </w:p>
    <w:p>
      <w:pPr>
        <w:ind w:left="5540" w:hanging="263"/>
        <w:spacing w:after="0"/>
        <w:tabs>
          <w:tab w:leader="none" w:pos="5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9"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359" w:lineRule="exact"/>
        <w:rPr>
          <w:sz w:val="20"/>
          <w:szCs w:val="20"/>
          <w:color w:val="auto"/>
        </w:rPr>
      </w:pPr>
    </w:p>
    <w:p>
      <w:pPr>
        <w:ind w:left="4960" w:hanging="263"/>
        <w:spacing w:after="0"/>
        <w:tabs>
          <w:tab w:leader="none" w:pos="4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Approval</w:t>
      </w:r>
      <w:r>
        <w:rPr>
          <w:rFonts w:ascii="Arial" w:cs="Arial" w:eastAsia="Arial" w:hAnsi="Arial"/>
          <w:sz w:val="18"/>
          <w:szCs w:val="18"/>
          <w:b w:val="1"/>
          <w:bCs w:val="1"/>
          <w:color w:val="auto"/>
        </w:rPr>
        <w:t>.</w:t>
      </w:r>
    </w:p>
    <w:p>
      <w:pPr>
        <w:spacing w:after="0" w:line="22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all payroll deductions credited to their accounts on such Exercise Date pursuant to Section 10.</w:t>
      </w:r>
    </w:p>
    <w:p>
      <w:pPr>
        <w:spacing w:after="0" w:line="378" w:lineRule="exact"/>
        <w:rPr>
          <w:sz w:val="20"/>
          <w:szCs w:val="20"/>
          <w:color w:val="auto"/>
        </w:rPr>
      </w:pPr>
    </w:p>
    <w:p>
      <w:pPr>
        <w:ind w:left="4440" w:hanging="267"/>
        <w:spacing w:after="0"/>
        <w:tabs>
          <w:tab w:leader="none" w:pos="4440"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Upon Issuance of Shares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right="20" w:firstLine="443"/>
        <w:spacing w:after="0" w:line="255"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85" w:lineRule="exact"/>
        <w:rPr>
          <w:rFonts w:ascii="Arial" w:cs="Arial" w:eastAsia="Arial" w:hAnsi="Arial"/>
          <w:sz w:val="18"/>
          <w:szCs w:val="18"/>
          <w:color w:val="auto"/>
        </w:rPr>
      </w:pPr>
    </w:p>
    <w:p>
      <w:pPr>
        <w:ind w:left="460" w:firstLine="443"/>
        <w:spacing w:after="0" w:line="259" w:lineRule="auto"/>
        <w:tabs>
          <w:tab w:leader="none" w:pos="11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1."/>
      <w:numFmt w:val="decimal"/>
      <w:start w:val="5"/>
    </w:lvl>
  </w:abstractNum>
  <w:abstractNum w:abstractNumId="6">
    <w:nsid w:val="628C895D"/>
    <w:multiLevelType w:val="hybridMultilevel"/>
    <w:lvl w:ilvl="0">
      <w:lvlJc w:val="left"/>
      <w:lvlText w:val="%1."/>
      <w:numFmt w:val="decimal"/>
      <w:start w:val="6"/>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3"/>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3"/>
    </w:lvl>
  </w:abstractNum>
  <w:abstractNum w:abstractNumId="12">
    <w:nsid w:val="75A2A8D4"/>
    <w:multiLevelType w:val="hybridMultilevel"/>
    <w:lvl w:ilvl="0">
      <w:lvlJc w:val="left"/>
      <w:lvlText w:val="%1"/>
      <w:numFmt w:val="lowerLetter"/>
      <w:start w:val="1"/>
    </w:lvl>
    <w:lvl w:ilvl="1">
      <w:lvlJc w:val="left"/>
      <w:lvlText w:val="%2."/>
      <w:numFmt w:val="decimal"/>
      <w:start w:val="4"/>
    </w:lvl>
  </w:abstractNum>
  <w:abstractNum w:abstractNumId="13">
    <w:nsid w:val="8EDBDAB"/>
    <w:multiLevelType w:val="hybridMultilevel"/>
    <w:lvl w:ilvl="0">
      <w:lvlJc w:val="left"/>
      <w:lvlText w:val="(%1)"/>
      <w:numFmt w:val="lowerLetter"/>
      <w:start w:val="1"/>
    </w:lvl>
    <w:lvl w:ilvl="1">
      <w:lvlJc w:val="left"/>
      <w:lvlText w:val="%2"/>
      <w:numFmt w:val="decimal"/>
      <w:start w:val="1"/>
    </w:lvl>
  </w:abstractNum>
  <w:abstractNum w:abstractNumId="14">
    <w:nsid w:val="79838CB2"/>
    <w:multiLevelType w:val="hybridMultilevel"/>
    <w:lvl w:ilvl="0">
      <w:lvlJc w:val="left"/>
      <w:lvlText w:val="(%1)"/>
      <w:numFmt w:val="lowerLetter"/>
      <w:start w:val="2"/>
    </w:lvl>
  </w:abstractNum>
  <w:abstractNum w:abstractNumId="15">
    <w:nsid w:val="4353D0CD"/>
    <w:multiLevelType w:val="hybridMultilevel"/>
    <w:lvl w:ilvl="0">
      <w:lvlJc w:val="left"/>
      <w:lvlText w:val="%1."/>
      <w:numFmt w:val="decimal"/>
      <w:start w:val="5"/>
    </w:lvl>
  </w:abstractNum>
  <w:abstractNum w:abstractNumId="16">
    <w:nsid w:val="B03E0C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6"/>
    </w:lvl>
    <w:lvl w:ilvl="3">
      <w:lvlJc w:val="left"/>
      <w:lvlText w:val="%4"/>
      <w:numFmt w:val="decimal"/>
      <w:start w:val="1"/>
    </w:lvl>
  </w:abstractNum>
  <w:abstractNum w:abstractNumId="17">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18">
    <w:nsid w:val="54E49EB4"/>
    <w:multiLevelType w:val="hybridMultilevel"/>
    <w:lvl w:ilvl="0">
      <w:lvlJc w:val="left"/>
      <w:lvlText w:val="(%1)"/>
      <w:numFmt w:val="lowerLetter"/>
      <w:start w:val="35"/>
    </w:lvl>
    <w:lvl w:ilvl="1">
      <w:lvlJc w:val="left"/>
      <w:lvlText w:val="(%2)"/>
      <w:numFmt w:val="lowerLetter"/>
    </w:lvl>
    <w:lvl w:ilvl="2">
      <w:lvlJc w:val="left"/>
      <w:lvlText w:val="%3"/>
      <w:numFmt w:val="decimal"/>
      <w:start w:val="1"/>
    </w:lvl>
    <w:lvl w:ilvl="3">
      <w:lvlJc w:val="left"/>
      <w:lvlText w:val="%4."/>
      <w:numFmt w:val="decimal"/>
      <w:start w:val="7"/>
    </w:lvl>
  </w:abstractNum>
  <w:abstractNum w:abstractNumId="19">
    <w:nsid w:val="71F32454"/>
    <w:multiLevelType w:val="hybridMultilevel"/>
    <w:lvl w:ilvl="0">
      <w:lvlJc w:val="left"/>
      <w:lvlText w:val="(%1)"/>
      <w:numFmt w:val="lowerLetter"/>
      <w:start w:val="4"/>
    </w:lvl>
  </w:abstractNum>
  <w:abstractNum w:abstractNumId="20">
    <w:nsid w:val="2CA88611"/>
    <w:multiLevelType w:val="hybridMultilevel"/>
    <w:lvl w:ilvl="0">
      <w:lvlJc w:val="left"/>
      <w:lvlText w:val="%1"/>
      <w:numFmt w:val="lowerLetter"/>
      <w:start w:val="1"/>
    </w:lvl>
    <w:lvl w:ilvl="1">
      <w:lvlJc w:val="left"/>
      <w:lvlText w:val="%2"/>
      <w:numFmt w:val="decimal"/>
      <w:start w:val="1"/>
    </w:lvl>
    <w:lvl w:ilvl="2">
      <w:lvlJc w:val="left"/>
      <w:lvlText w:val="%3."/>
      <w:numFmt w:val="decimal"/>
      <w:start w:val="8"/>
    </w:lvl>
  </w:abstractNum>
  <w:abstractNum w:abstractNumId="21">
    <w:nsid w:val="836C40E"/>
    <w:multiLevelType w:val="hybridMultilevel"/>
    <w:lvl w:ilvl="0">
      <w:lvlJc w:val="left"/>
      <w:lvlText w:val="(%1)"/>
      <w:numFmt w:val="lowerLetter"/>
      <w:start w:val="1"/>
    </w:lvl>
    <w:lvl w:ilvl="1">
      <w:lvlJc w:val="left"/>
      <w:lvlText w:val="%2."/>
      <w:numFmt w:val="decimal"/>
      <w:start w:val="9"/>
    </w:lvl>
    <w:lvl w:ilvl="2">
      <w:lvlJc w:val="left"/>
      <w:lvlText w:val="%3"/>
      <w:numFmt w:val="decimal"/>
      <w:start w:val="1"/>
    </w:lvl>
  </w:abstractNum>
  <w:abstractNum w:abstractNumId="22">
    <w:nsid w:val="2901D82"/>
    <w:multiLevelType w:val="hybridMultilevel"/>
    <w:lvl w:ilvl="0">
      <w:lvlJc w:val="left"/>
      <w:lvlText w:val="%1"/>
      <w:numFmt w:val="lowerLetter"/>
      <w:start w:val="1"/>
    </w:lvl>
    <w:lvl w:ilvl="1">
      <w:lvlJc w:val="left"/>
      <w:lvlText w:val="%2."/>
      <w:numFmt w:val="decimal"/>
      <w:start w:val="10"/>
    </w:lvl>
  </w:abstractNum>
  <w:abstractNum w:abstractNumId="23">
    <w:nsid w:val="3A95F874"/>
    <w:multiLevelType w:val="hybridMultilevel"/>
    <w:lvl w:ilvl="0">
      <w:lvlJc w:val="left"/>
      <w:lvlText w:val="(%1)"/>
      <w:numFmt w:val="lowerLetter"/>
      <w:start w:val="1"/>
    </w:lvl>
    <w:lvl w:ilvl="1">
      <w:lvlJc w:val="left"/>
      <w:lvlText w:val="%2"/>
      <w:numFmt w:val="decimal"/>
      <w:start w:val="1"/>
    </w:lvl>
  </w:abstractNum>
  <w:abstractNum w:abstractNumId="24">
    <w:nsid w:val="8138641"/>
    <w:multiLevelType w:val="hybridMultilevel"/>
    <w:lvl w:ilvl="0">
      <w:lvlJc w:val="left"/>
      <w:lvlText w:val="%1."/>
      <w:numFmt w:val="decimal"/>
      <w:start w:val="11"/>
    </w:lvl>
  </w:abstractNum>
  <w:abstractNum w:abstractNumId="25">
    <w:nsid w:val="1E7FF521"/>
    <w:multiLevelType w:val="hybridMultilevel"/>
    <w:lvl w:ilvl="0">
      <w:lvlJc w:val="left"/>
      <w:lvlText w:val="%1."/>
      <w:numFmt w:val="decimal"/>
      <w:start w:val="12"/>
    </w:lvl>
  </w:abstractNum>
  <w:abstractNum w:abstractNumId="26">
    <w:nsid w:val="7C3DBD3D"/>
    <w:multiLevelType w:val="hybridMultilevel"/>
    <w:lvl w:ilvl="0">
      <w:lvlJc w:val="left"/>
      <w:lvlText w:val="%1"/>
      <w:numFmt w:val="lowerLetter"/>
      <w:start w:val="1"/>
    </w:lvl>
    <w:lvl w:ilvl="1">
      <w:lvlJc w:val="left"/>
      <w:lvlText w:val="%2."/>
      <w:numFmt w:val="decimal"/>
      <w:start w:val="13"/>
    </w:lvl>
  </w:abstractNum>
  <w:abstractNum w:abstractNumId="27">
    <w:nsid w:val="737B8DDC"/>
    <w:multiLevelType w:val="hybridMultilevel"/>
    <w:lvl w:ilvl="0">
      <w:lvlJc w:val="left"/>
      <w:lvlText w:val="(%1)"/>
      <w:numFmt w:val="lowerLetter"/>
      <w:start w:val="1"/>
    </w:lvl>
    <w:lvl w:ilvl="1">
      <w:lvlJc w:val="left"/>
      <w:lvlText w:val="%2"/>
      <w:numFmt w:val="decimal"/>
      <w:start w:val="1"/>
    </w:lvl>
  </w:abstractNum>
  <w:abstractNum w:abstractNumId="28">
    <w:nsid w:val="6CEAF087"/>
    <w:multiLevelType w:val="hybridMultilevel"/>
    <w:lvl w:ilvl="0">
      <w:lvlJc w:val="left"/>
      <w:lvlText w:val="%1."/>
      <w:numFmt w:val="decimal"/>
      <w:start w:val="14"/>
    </w:lvl>
  </w:abstractNum>
  <w:abstractNum w:abstractNumId="29">
    <w:nsid w:val="22221A70"/>
    <w:multiLevelType w:val="hybridMultilevel"/>
    <w:lvl w:ilvl="0">
      <w:lvlJc w:val="left"/>
      <w:lvlText w:val="%1."/>
      <w:numFmt w:val="decimal"/>
      <w:start w:val="15"/>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6"/>
    </w:lvl>
  </w:abstractNum>
  <w:abstractNum w:abstractNumId="32">
    <w:nsid w:val="614FD4A1"/>
    <w:multiLevelType w:val="hybridMultilevel"/>
    <w:lvl w:ilvl="0">
      <w:lvlJc w:val="left"/>
      <w:lvlText w:val="%1."/>
      <w:numFmt w:val="decimal"/>
      <w:start w:val="17"/>
    </w:lvl>
  </w:abstractNum>
  <w:abstractNum w:abstractNumId="33">
    <w:nsid w:val="419AC241"/>
    <w:multiLevelType w:val="hybridMultilevel"/>
    <w:lvl w:ilvl="0">
      <w:lvlJc w:val="left"/>
      <w:lvlText w:val="%1"/>
      <w:numFmt w:val="lowerLetter"/>
      <w:start w:val="1"/>
    </w:lvl>
    <w:lvl w:ilvl="1">
      <w:lvlJc w:val="left"/>
      <w:lvlText w:val="%2."/>
      <w:numFmt w:val="decimal"/>
      <w:start w:val="18"/>
    </w:lvl>
  </w:abstractNum>
  <w:abstractNum w:abstractNumId="34">
    <w:nsid w:val="5577F8E1"/>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2019-12-06T02:16:12Z</dcterms:created>
  <dcterms:modified xsi:type="dcterms:W3CDTF">2019-12-06T02:16:12Z</dcterms:modified>
</cp:coreProperties>
</file>