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96" w:lineRule="exact"/>
        <w:rPr>
          <w:sz w:val="24"/>
          <w:szCs w:val="24"/>
          <w:color w:val="auto"/>
        </w:rPr>
      </w:pPr>
    </w:p>
    <w:p>
      <w:pPr>
        <w:ind w:left="520" w:right="940" w:hanging="373"/>
        <w:spacing w:after="0" w:line="358" w:lineRule="auto"/>
        <w:tabs>
          <w:tab w:leader="none" w:pos="526"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AND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0"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AND EXCHANGE ACT OF 1934</w:t>
      </w:r>
    </w:p>
    <w:p>
      <w:pPr>
        <w:sectPr>
          <w:pgSz w:w="11900" w:h="16838" w:orient="portrait"/>
          <w:cols w:equalWidth="0" w:num="1">
            <w:col w:w="10240"/>
          </w:cols>
          <w:pgMar w:left="820" w:top="665" w:right="839" w:bottom="1440" w:gutter="0" w:footer="0" w:header="0"/>
        </w:sectPr>
      </w:pPr>
    </w:p>
    <w:p>
      <w:pPr>
        <w:spacing w:after="0" w:line="103"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47" w:lineRule="exact"/>
        <w:rPr>
          <w:sz w:val="24"/>
          <w:szCs w:val="24"/>
          <w:color w:val="auto"/>
        </w:rPr>
      </w:pPr>
    </w:p>
    <w:p>
      <w:pPr>
        <w:sectPr>
          <w:pgSz w:w="11900" w:h="16838" w:orient="portrait"/>
          <w:cols w:equalWidth="0" w:num="2">
            <w:col w:w="2860" w:space="540"/>
            <w:col w:w="6840"/>
          </w:cols>
          <w:pgMar w:left="820" w:top="665" w:right="8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0240"/>
          </w:cols>
          <w:pgMar w:left="820" w:top="665" w:right="839" w:bottom="1440" w:gutter="0" w:footer="0" w:header="0"/>
          <w:type w:val="continuous"/>
        </w:sectPr>
      </w:pP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53"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40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4"/>
              </w:rPr>
              <w:t>Delaware</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20" w:type="dxa"/>
            <w:vAlign w:val="bottom"/>
          </w:tcPr>
          <w:p>
            <w:pPr>
              <w:jc w:val="right"/>
              <w:ind w:right="1828"/>
              <w:spacing w:after="0"/>
              <w:rPr>
                <w:sz w:val="20"/>
                <w:szCs w:val="20"/>
                <w:color w:val="auto"/>
              </w:rPr>
            </w:pPr>
            <w:r>
              <w:rPr>
                <w:rFonts w:ascii="Arial" w:cs="Arial" w:eastAsia="Arial" w:hAnsi="Arial"/>
                <w:sz w:val="14"/>
                <w:szCs w:val="14"/>
                <w:b w:val="1"/>
                <w:bCs w:val="1"/>
                <w:color w:val="auto"/>
              </w:rPr>
              <w:t>73-1309529</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388"/>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jc w:val="center"/>
              <w:ind w:right="162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400" w:type="dxa"/>
            <w:vAlign w:val="bottom"/>
            <w:gridSpan w:val="2"/>
          </w:tcPr>
          <w:p>
            <w:pPr>
              <w:jc w:val="center"/>
              <w:ind w:left="388"/>
              <w:spacing w:after="0"/>
              <w:rPr>
                <w:sz w:val="20"/>
                <w:szCs w:val="20"/>
                <w:color w:val="auto"/>
              </w:rPr>
            </w:pPr>
            <w:r>
              <w:rPr>
                <w:rFonts w:ascii="Arial" w:cs="Arial" w:eastAsia="Arial" w:hAnsi="Arial"/>
                <w:sz w:val="14"/>
                <w:szCs w:val="14"/>
                <w:i w:val="1"/>
                <w:iCs w:val="1"/>
                <w:color w:val="auto"/>
                <w:w w:val="97"/>
              </w:rPr>
              <w:t>incorporation or organization)</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20" w:type="dxa"/>
            <w:vAlign w:val="bottom"/>
          </w:tcPr>
          <w:p>
            <w:pPr>
              <w:jc w:val="center"/>
              <w:ind w:right="160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240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2"/>
              </w:rPr>
              <w:t>800 Capitol Street</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Suite 3000</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restart"/>
          </w:tcPr>
          <w:p>
            <w:pPr>
              <w:jc w:val="right"/>
              <w:ind w:right="2008"/>
              <w:spacing w:after="0"/>
              <w:rPr>
                <w:sz w:val="20"/>
                <w:szCs w:val="20"/>
                <w:color w:val="auto"/>
              </w:rPr>
            </w:pPr>
            <w:r>
              <w:rPr>
                <w:rFonts w:ascii="Arial" w:cs="Arial" w:eastAsia="Arial" w:hAnsi="Arial"/>
                <w:sz w:val="14"/>
                <w:szCs w:val="14"/>
                <w:b w:val="1"/>
                <w:bCs w:val="1"/>
                <w:color w:val="auto"/>
              </w:rPr>
              <w:t>77002</w:t>
            </w:r>
          </w:p>
        </w:tc>
        <w:tc>
          <w:tcPr>
            <w:tcW w:w="0" w:type="dxa"/>
            <w:vAlign w:val="bottom"/>
          </w:tcPr>
          <w:p>
            <w:pPr>
              <w:spacing w:after="0"/>
              <w:rPr>
                <w:sz w:val="1"/>
                <w:szCs w:val="1"/>
                <w:color w:val="auto"/>
              </w:rPr>
            </w:pPr>
          </w:p>
        </w:tc>
      </w:tr>
      <w:tr>
        <w:trPr>
          <w:trHeight w:val="153"/>
        </w:trPr>
        <w:tc>
          <w:tcPr>
            <w:tcW w:w="880" w:type="dxa"/>
            <w:vAlign w:val="bottom"/>
          </w:tcPr>
          <w:p>
            <w:pPr>
              <w:spacing w:after="0"/>
              <w:rPr>
                <w:sz w:val="13"/>
                <w:szCs w:val="13"/>
                <w:color w:val="auto"/>
              </w:rPr>
            </w:pPr>
          </w:p>
        </w:tc>
        <w:tc>
          <w:tcPr>
            <w:tcW w:w="2400" w:type="dxa"/>
            <w:vAlign w:val="bottom"/>
            <w:gridSpan w:val="2"/>
          </w:tcPr>
          <w:p>
            <w:pPr>
              <w:jc w:val="center"/>
              <w:ind w:left="38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980" w:type="dxa"/>
            <w:vAlign w:val="bottom"/>
            <w:gridSpan w:val="5"/>
          </w:tcPr>
          <w:p>
            <w:pPr>
              <w:jc w:val="center"/>
              <w:ind w:right="312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820" w:type="dxa"/>
            <w:vAlign w:val="bottom"/>
          </w:tcPr>
          <w:p>
            <w:pPr>
              <w:jc w:val="center"/>
              <w:ind w:right="1628"/>
              <w:spacing w:after="0"/>
              <w:rPr>
                <w:sz w:val="20"/>
                <w:szCs w:val="20"/>
                <w:color w:val="auto"/>
              </w:rPr>
            </w:pPr>
            <w:r>
              <w:rPr>
                <w:rFonts w:ascii="Arial" w:cs="Arial" w:eastAsia="Arial" w:hAnsi="Arial"/>
                <w:sz w:val="14"/>
                <w:szCs w:val="14"/>
                <w:i w:val="1"/>
                <w:iCs w:val="1"/>
                <w:color w:val="auto"/>
                <w:w w:val="95"/>
              </w:rPr>
              <w:t>(Zip code)</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80" w:type="dxa"/>
            <w:vAlign w:val="bottom"/>
            <w:gridSpan w:val="3"/>
          </w:tcPr>
          <w:p>
            <w:pPr>
              <w:jc w:val="center"/>
              <w:ind w:right="42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80" w:type="dxa"/>
            <w:vAlign w:val="bottom"/>
            <w:gridSpan w:val="2"/>
          </w:tcPr>
          <w:p>
            <w:pPr>
              <w:jc w:val="center"/>
              <w:ind w:left="1028"/>
              <w:spacing w:after="0"/>
              <w:rPr>
                <w:sz w:val="20"/>
                <w:szCs w:val="20"/>
                <w:color w:val="auto"/>
              </w:rPr>
            </w:pPr>
            <w:r>
              <w:rPr>
                <w:rFonts w:ascii="Arial" w:cs="Arial" w:eastAsia="Arial" w:hAnsi="Arial"/>
                <w:sz w:val="14"/>
                <w:szCs w:val="14"/>
                <w:b w:val="1"/>
                <w:bCs w:val="1"/>
                <w:color w:val="auto"/>
                <w:w w:val="93"/>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20" w:type="dxa"/>
            <w:vAlign w:val="bottom"/>
            <w:gridSpan w:val="4"/>
          </w:tcPr>
          <w:p>
            <w:pPr>
              <w:jc w:val="center"/>
              <w:ind w:left="7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50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2040" w:type="dxa"/>
            <w:vAlign w:val="bottom"/>
            <w:gridSpan w:val="2"/>
          </w:tcPr>
          <w:p>
            <w:pPr>
              <w:ind w:left="520"/>
              <w:spacing w:after="0"/>
              <w:rPr>
                <w:sz w:val="20"/>
                <w:szCs w:val="20"/>
                <w:color w:val="auto"/>
              </w:rPr>
            </w:pPr>
            <w:r>
              <w:rPr>
                <w:rFonts w:ascii="Arial" w:cs="Arial" w:eastAsia="Arial" w:hAnsi="Arial"/>
                <w:sz w:val="14"/>
                <w:szCs w:val="14"/>
                <w:color w:val="auto"/>
                <w:w w:val="92"/>
              </w:rPr>
              <w:t>Common Stock, $0.01 par</w:t>
            </w:r>
          </w:p>
        </w:tc>
        <w:tc>
          <w:tcPr>
            <w:tcW w:w="1240" w:type="dxa"/>
            <w:vAlign w:val="bottom"/>
          </w:tcPr>
          <w:p>
            <w:pPr>
              <w:ind w:left="40"/>
              <w:spacing w:after="0"/>
              <w:rPr>
                <w:sz w:val="20"/>
                <w:szCs w:val="20"/>
                <w:color w:val="auto"/>
              </w:rPr>
            </w:pPr>
            <w:r>
              <w:rPr>
                <w:rFonts w:ascii="Arial" w:cs="Arial" w:eastAsia="Arial" w:hAnsi="Arial"/>
                <w:sz w:val="14"/>
                <w:szCs w:val="14"/>
                <w:color w:val="auto"/>
              </w:rPr>
              <w:t>value</w:t>
            </w:r>
          </w:p>
        </w:tc>
        <w:tc>
          <w:tcPr>
            <w:tcW w:w="108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Arial" w:cs="Arial" w:eastAsia="Arial" w:hAnsi="Arial"/>
                <w:sz w:val="14"/>
                <w:szCs w:val="14"/>
                <w:color w:val="auto"/>
              </w:rPr>
              <w:t>WM</w:t>
            </w: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40"/>
        </w:trPr>
        <w:tc>
          <w:tcPr>
            <w:tcW w:w="686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260"/>
        <w:spacing w:after="0" w:line="161" w:lineRule="exact"/>
        <w:tabs>
          <w:tab w:leader="none" w:pos="77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jc w:val="both"/>
        <w:ind w:left="20" w:firstLine="2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5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5"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Regulations S-T (§</w:t>
      </w:r>
    </w:p>
    <w:p>
      <w:pPr>
        <w:spacing w:after="0" w:line="19" w:lineRule="exact"/>
        <w:rPr>
          <w:sz w:val="24"/>
          <w:szCs w:val="24"/>
          <w:color w:val="auto"/>
        </w:rPr>
      </w:pPr>
    </w:p>
    <w:p>
      <w:pPr>
        <w:ind w:left="20"/>
        <w:spacing w:after="0" w:line="150" w:lineRule="exact"/>
        <w:tabs>
          <w:tab w:leader="none" w:pos="8960" w:val="left"/>
        </w:tabs>
        <w:rPr>
          <w:sz w:val="20"/>
          <w:szCs w:val="20"/>
          <w:color w:val="auto"/>
        </w:rPr>
      </w:pPr>
      <w:r>
        <w:rPr>
          <w:rFonts w:ascii="Arial" w:cs="Arial" w:eastAsia="Arial" w:hAnsi="Arial"/>
          <w:sz w:val="13"/>
          <w:szCs w:val="13"/>
          <w:color w:val="auto"/>
        </w:rPr>
        <w:t xml:space="preserve">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87" w:lineRule="exact"/>
        <w:rPr>
          <w:sz w:val="24"/>
          <w:szCs w:val="24"/>
          <w:color w:val="auto"/>
        </w:rPr>
      </w:pPr>
    </w:p>
    <w:p>
      <w:pPr>
        <w:ind w:left="20" w:right="20" w:firstLine="259"/>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type w:val="continuous"/>
        </w:sectPr>
      </w:pPr>
    </w:p>
    <w:p>
      <w:pPr>
        <w:spacing w:after="0" w:line="84"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2">
            <w:col w:w="7760" w:space="720"/>
            <w:col w:w="1760"/>
          </w:cols>
          <w:pgMar w:left="820" w:top="665" w:right="839" w:bottom="1440" w:gutter="0" w:footer="0" w:header="0"/>
          <w:type w:val="continuous"/>
        </w:sectPr>
      </w:pPr>
    </w:p>
    <w:p>
      <w:pPr>
        <w:spacing w:after="0" w:line="17" w:lineRule="exact"/>
        <w:rPr>
          <w:sz w:val="24"/>
          <w:szCs w:val="24"/>
          <w:color w:val="auto"/>
        </w:rPr>
      </w:pPr>
    </w:p>
    <w:p>
      <w:pPr>
        <w:jc w:val="both"/>
        <w:ind w:left="20"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20" w:firstLine="259"/>
        <w:spacing w:after="0" w:line="23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2021 was approximately $58.9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3"/>
          <w:szCs w:val="13"/>
          <w:color w:val="auto"/>
        </w:rPr>
        <w:t>The number of shares of Common Stock, $0.01 par value, of the registrant outstanding as of February 9, 2022 was 414,586,718 (excluding treasury shares of 215,695,743).</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20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93"/>
              </w:rPr>
              <w:t>Document</w:t>
            </w:r>
          </w:p>
        </w:tc>
        <w:tc>
          <w:tcPr>
            <w:tcW w:w="4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Incorporated as to</w:t>
            </w:r>
          </w:p>
        </w:tc>
      </w:tr>
      <w:tr>
        <w:trPr>
          <w:trHeight w:val="123"/>
        </w:trPr>
        <w:tc>
          <w:tcPr>
            <w:tcW w:w="2200" w:type="dxa"/>
            <w:vAlign w:val="bottom"/>
          </w:tcPr>
          <w:p>
            <w:pPr>
              <w:ind w:left="1840"/>
              <w:spacing w:after="0" w:line="123" w:lineRule="exact"/>
              <w:rPr>
                <w:sz w:val="20"/>
                <w:szCs w:val="20"/>
                <w:color w:val="auto"/>
              </w:rPr>
            </w:pPr>
            <w:r>
              <w:rPr>
                <w:rFonts w:ascii="Arial" w:cs="Arial" w:eastAsia="Arial" w:hAnsi="Arial"/>
                <w:sz w:val="14"/>
                <w:szCs w:val="14"/>
                <w:color w:val="auto"/>
                <w:w w:val="94"/>
              </w:rPr>
              <w:t>Proxy</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7"/>
              </w:rPr>
              <w:t>Statement</w:t>
            </w:r>
          </w:p>
        </w:tc>
        <w:tc>
          <w:tcPr>
            <w:tcW w:w="2560" w:type="dxa"/>
            <w:vAlign w:val="bottom"/>
          </w:tcPr>
          <w:p>
            <w:pPr>
              <w:spacing w:after="0" w:line="123" w:lineRule="exact"/>
              <w:rPr>
                <w:sz w:val="20"/>
                <w:szCs w:val="20"/>
                <w:color w:val="auto"/>
              </w:rPr>
            </w:pPr>
            <w:r>
              <w:rPr>
                <w:rFonts w:ascii="Arial" w:cs="Arial" w:eastAsia="Arial" w:hAnsi="Arial"/>
                <w:sz w:val="14"/>
                <w:szCs w:val="14"/>
                <w:color w:val="auto"/>
              </w:rPr>
              <w:t>for the</w:t>
            </w:r>
          </w:p>
        </w:tc>
        <w:tc>
          <w:tcPr>
            <w:tcW w:w="17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Part III</w:t>
            </w:r>
          </w:p>
        </w:tc>
        <w:tc>
          <w:tcPr>
            <w:tcW w:w="1940" w:type="dxa"/>
            <w:vAlign w:val="bottom"/>
          </w:tcPr>
          <w:p>
            <w:pPr>
              <w:spacing w:after="0"/>
              <w:rPr>
                <w:sz w:val="10"/>
                <w:szCs w:val="10"/>
                <w:color w:val="auto"/>
              </w:rPr>
            </w:pPr>
          </w:p>
        </w:tc>
      </w:tr>
      <w:tr>
        <w:trPr>
          <w:trHeight w:val="182"/>
        </w:trPr>
        <w:tc>
          <w:tcPr>
            <w:tcW w:w="5400" w:type="dxa"/>
            <w:vAlign w:val="bottom"/>
            <w:gridSpan w:val="3"/>
          </w:tcPr>
          <w:p>
            <w:pPr>
              <w:jc w:val="center"/>
              <w:ind w:right="288"/>
              <w:spacing w:after="0"/>
              <w:rPr>
                <w:sz w:val="20"/>
                <w:szCs w:val="20"/>
                <w:color w:val="auto"/>
              </w:rPr>
            </w:pPr>
            <w:r>
              <w:rPr>
                <w:rFonts w:ascii="Arial" w:cs="Arial" w:eastAsia="Arial" w:hAnsi="Arial"/>
                <w:sz w:val="14"/>
                <w:szCs w:val="14"/>
                <w:color w:val="auto"/>
                <w:w w:val="94"/>
              </w:rPr>
              <w:t>2022 Annual Meeting of Stockholders</w:t>
            </w: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79"/>
        </w:trPr>
        <w:tc>
          <w:tcPr>
            <w:tcW w:w="2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641"/>
        </w:trPr>
        <w:tc>
          <w:tcPr>
            <w:tcW w:w="2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gridSpan w:val="18"/>
          </w:tcPr>
          <w:p>
            <w:pPr>
              <w:ind w:left="5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520" w:type="dxa"/>
            <w:vAlign w:val="bottom"/>
            <w:gridSpan w:val="10"/>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520" w:type="dxa"/>
            <w:vAlign w:val="bottom"/>
            <w:gridSpan w:val="10"/>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740" w:type="dxa"/>
            <w:vAlign w:val="bottom"/>
            <w:gridSpan w:val="29"/>
          </w:tcPr>
          <w:p>
            <w:pPr>
              <w:ind w:left="1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17">
              <w:r>
                <w:rPr>
                  <w:rFonts w:ascii="Arial" w:cs="Arial" w:eastAsia="Arial" w:hAnsi="Arial"/>
                  <w:sz w:val="18"/>
                  <w:szCs w:val="18"/>
                  <w:color w:val="0000EE"/>
                  <w:w w:val="80"/>
                </w:rPr>
                <w:t>Item 1A.</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31">
              <w:r>
                <w:rPr>
                  <w:rFonts w:ascii="Arial" w:cs="Arial" w:eastAsia="Arial" w:hAnsi="Arial"/>
                  <w:sz w:val="18"/>
                  <w:szCs w:val="18"/>
                  <w:color w:val="0000EE"/>
                  <w:w w:val="80"/>
                </w:rPr>
                <w:t>Item 1B.</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Item 2.</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7740" w:type="dxa"/>
            <w:vAlign w:val="bottom"/>
            <w:gridSpan w:val="29"/>
          </w:tcPr>
          <w:p>
            <w:pPr>
              <w:ind w:left="1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7740" w:type="dxa"/>
            <w:vAlign w:val="bottom"/>
            <w:gridSpan w:val="29"/>
          </w:tcPr>
          <w:p>
            <w:pPr>
              <w:ind w:left="1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3"/>
          </w:tcPr>
          <w:p>
            <w:pPr>
              <w:jc w:val="center"/>
              <w:ind w:right="3500"/>
              <w:spacing w:after="0" w:line="196" w:lineRule="exact"/>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7740" w:type="dxa"/>
            <w:vAlign w:val="bottom"/>
            <w:gridSpan w:val="29"/>
          </w:tcPr>
          <w:p>
            <w:pPr>
              <w:ind w:left="120"/>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Market for Registrant’s Common Equity, Related Stockholder Matters and Issuer Purchases of Equity</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Securities</w:t>
              </w:r>
            </w:hyperlink>
          </w:p>
        </w:tc>
        <w:tc>
          <w:tcPr>
            <w:tcW w:w="6420" w:type="dxa"/>
            <w:vAlign w:val="bottom"/>
            <w:tcBorders>
              <w:top w:val="single" w:sz="8" w:color="0000EE"/>
            </w:tcBorders>
            <w:gridSpan w:val="2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7740" w:type="dxa"/>
            <w:vAlign w:val="bottom"/>
            <w:gridSpan w:val="29"/>
          </w:tcPr>
          <w:p>
            <w:pPr>
              <w:ind w:left="1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[Reserved]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7.</w:t>
              </w:r>
            </w:hyperlink>
          </w:p>
        </w:tc>
        <w:tc>
          <w:tcPr>
            <w:tcW w:w="7740" w:type="dxa"/>
            <w:vAlign w:val="bottom"/>
            <w:gridSpan w:val="29"/>
          </w:tcPr>
          <w:p>
            <w:pPr>
              <w:ind w:left="1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66">
              <w:r>
                <w:rPr>
                  <w:rFonts w:ascii="Arial" w:cs="Arial" w:eastAsia="Arial" w:hAnsi="Arial"/>
                  <w:sz w:val="18"/>
                  <w:szCs w:val="18"/>
                  <w:color w:val="0000EE"/>
                  <w:w w:val="80"/>
                </w:rPr>
                <w:t>Item 7A.</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Item 8.</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9.</w:t>
              </w:r>
            </w:hyperlink>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Changes in and Disagreements with Accountants on Accounting and Financial 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127">
              <w:r>
                <w:rPr>
                  <w:rFonts w:ascii="Arial" w:cs="Arial" w:eastAsia="Arial" w:hAnsi="Arial"/>
                  <w:sz w:val="18"/>
                  <w:szCs w:val="18"/>
                  <w:color w:val="0000EE"/>
                  <w:w w:val="80"/>
                </w:rPr>
                <w:t>Item 9A.</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0"/>
              </w:rPr>
            </w:pPr>
            <w:hyperlink w:anchor="page128">
              <w:r>
                <w:rPr>
                  <w:rFonts w:ascii="Arial" w:cs="Arial" w:eastAsia="Arial" w:hAnsi="Arial"/>
                  <w:sz w:val="18"/>
                  <w:szCs w:val="18"/>
                  <w:color w:val="0000EE"/>
                  <w:w w:val="80"/>
                </w:rPr>
                <w:t>Item 9B.</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PART III</w:t>
              </w:r>
            </w:hyperlink>
          </w:p>
        </w:tc>
        <w:tc>
          <w:tcPr>
            <w:tcW w:w="34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8">
              <w:r>
                <w:rPr>
                  <w:rFonts w:ascii="Arial" w:cs="Arial" w:eastAsia="Arial" w:hAnsi="Arial"/>
                  <w:sz w:val="18"/>
                  <w:szCs w:val="18"/>
                  <w:color w:val="0000EE"/>
                  <w:w w:val="82"/>
                </w:rPr>
                <w:t>Item 10.</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8">
              <w:r>
                <w:rPr>
                  <w:rFonts w:ascii="Arial" w:cs="Arial" w:eastAsia="Arial" w:hAnsi="Arial"/>
                  <w:sz w:val="18"/>
                  <w:szCs w:val="18"/>
                  <w:color w:val="0000EE"/>
                  <w:w w:val="82"/>
                </w:rPr>
                <w:t>Item 11.</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Executive Compensation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8">
              <w:r>
                <w:rPr>
                  <w:rFonts w:ascii="Arial" w:cs="Arial" w:eastAsia="Arial" w:hAnsi="Arial"/>
                  <w:sz w:val="18"/>
                  <w:szCs w:val="18"/>
                  <w:color w:val="0000EE"/>
                  <w:w w:val="82"/>
                </w:rPr>
                <w:t>Item 12.</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8">
              <w:r>
                <w:rPr>
                  <w:rFonts w:ascii="Arial" w:cs="Arial" w:eastAsia="Arial" w:hAnsi="Arial"/>
                  <w:sz w:val="18"/>
                  <w:szCs w:val="18"/>
                  <w:color w:val="0000EE"/>
                  <w:w w:val="82"/>
                </w:rPr>
                <w:t>Item 13.</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Certain Relationships and Related Transactions, and Director Independence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8">
              <w:r>
                <w:rPr>
                  <w:rFonts w:ascii="Arial" w:cs="Arial" w:eastAsia="Arial" w:hAnsi="Arial"/>
                  <w:sz w:val="18"/>
                  <w:szCs w:val="18"/>
                  <w:color w:val="0000EE"/>
                  <w:w w:val="82"/>
                </w:rPr>
                <w:t>Item 14.</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Principal Accounting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6"/>
          </w:tcPr>
          <w:p>
            <w:pPr>
              <w:jc w:val="center"/>
              <w:spacing w:after="0" w:line="196" w:lineRule="exact"/>
              <w:rPr>
                <w:rFonts w:ascii="Arial" w:cs="Arial" w:eastAsia="Arial" w:hAnsi="Arial"/>
                <w:sz w:val="18"/>
                <w:szCs w:val="18"/>
                <w:b w:val="1"/>
                <w:bCs w:val="1"/>
                <w:color w:val="0000EE"/>
                <w:w w:val="98"/>
              </w:rPr>
            </w:pPr>
            <w:hyperlink w:anchor="page129">
              <w:r>
                <w:rPr>
                  <w:rFonts w:ascii="Arial" w:cs="Arial" w:eastAsia="Arial" w:hAnsi="Arial"/>
                  <w:sz w:val="18"/>
                  <w:szCs w:val="18"/>
                  <w:b w:val="1"/>
                  <w:bCs w:val="1"/>
                  <w:color w:val="0000EE"/>
                  <w:w w:val="98"/>
                </w:rPr>
                <w:t>PART IV</w:t>
              </w:r>
            </w:hyperlink>
          </w:p>
        </w:tc>
        <w:tc>
          <w:tcPr>
            <w:tcW w:w="346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29">
              <w:r>
                <w:rPr>
                  <w:rFonts w:ascii="Arial" w:cs="Arial" w:eastAsia="Arial" w:hAnsi="Arial"/>
                  <w:sz w:val="18"/>
                  <w:szCs w:val="18"/>
                  <w:color w:val="0000EE"/>
                  <w:w w:val="82"/>
                </w:rPr>
                <w:t>Item 15.</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Exhibits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80" w:type="dxa"/>
            <w:vAlign w:val="bottom"/>
            <w:gridSpan w:val="2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131">
              <w:r>
                <w:rPr>
                  <w:rFonts w:ascii="Arial" w:cs="Arial" w:eastAsia="Arial" w:hAnsi="Arial"/>
                  <w:sz w:val="18"/>
                  <w:szCs w:val="18"/>
                  <w:color w:val="0000EE"/>
                  <w:w w:val="82"/>
                </w:rPr>
                <w:t>Item 16.</w:t>
              </w:r>
            </w:hyperlink>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Form 10-K Summary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5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 During 2021, our largest customer represented less than 5% of annual revenues. We employed approximately 48,500 people as of December 31, 2021.</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own or operate 260 landfill sites, which is the largest network of landfills throughout the U.S. and Canada. In order to make disposal more practical for larger urban markets, where the distance to landfills is typically farther, we manage 340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Company’s goals are targeted at putting our people first, positioning them to serve and care for our customers, the environment, the communities in which we work and our stockholders.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8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As North America’s</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leading provider of comprehensive waste management environmental services, sustainability and environmental stewardship is embedded in all that we do. We have enabled a people-first, technology-led focus to drive our mission, that we are always working for a sustainable tomorrow. Our strategy leverages and sustains the strongest asset network in the industry to drive best in 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enhancements to our digital platform, process improvement and operational efficiency will deliver on the Company’s strategy of continuous improvement and yield an attractive total cost structure and enhanced service quality. While we continue to improve existing diversion technologies, such as through investments in our recycling operations, we are also evaluating and pursuing emerging diversion technologies that may generate additional value.</w:t>
      </w:r>
    </w:p>
    <w:p>
      <w:pPr>
        <w:spacing w:after="0" w:line="16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that execution of our strategy will deliver shareholder value and leadership in a dynamic industry and challenging economic environment. In addition, we intend to continue to return value to our stockholders through dividend payments and our common stock repurchase program. In December 2021, we announced that our Board of Directors expects to increase the quarterly dividend from $0.575 to $0.65 per share for dividends declared in 2022, which is a 13.0% increase from the quarterly dividends we declared in 2021. This is an indication of our ability to generate strong and consistent cash flows and marks the 19th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61" w:lineRule="exact"/>
        <w:rPr>
          <w:sz w:val="20"/>
          <w:szCs w:val="20"/>
          <w:color w:val="auto"/>
        </w:rPr>
      </w:pPr>
    </w:p>
    <w:p>
      <w:pPr>
        <w:jc w:val="center"/>
        <w:ind w:right="8039"/>
        <w:spacing w:after="0"/>
        <w:rPr>
          <w:sz w:val="20"/>
          <w:szCs w:val="20"/>
          <w:color w:val="auto"/>
        </w:rPr>
      </w:pPr>
      <w:r>
        <w:rPr>
          <w:rFonts w:ascii="Arial" w:cs="Arial" w:eastAsia="Arial" w:hAnsi="Arial"/>
          <w:sz w:val="16"/>
          <w:szCs w:val="16"/>
          <w:b w:val="1"/>
          <w:bCs w:val="1"/>
          <w:color w:val="auto"/>
        </w:rPr>
        <w:t>Operations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On October 30, 2020, we acquired Advanced Disposal Services, Inc. (“Advanced Disposal”), the operations of which are presented in this report within our existing Solid Waste tiers. Additional information related to our acquisition of Advanced Disposal and segments is included in Notes 17 and 19 to the Consolidated Financial Statements, respectively. We also provide expanded service offerings and solutions that are not managed through our Solid Waste business, as described below. These operations are presented in this report as “Other.” The services we provide are described below.</w:t>
      </w:r>
    </w:p>
    <w:p>
      <w:pPr>
        <w:spacing w:after="0" w:line="16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Collection. </w:t>
      </w:r>
      <w:r>
        <w:rPr>
          <w:rFonts w:ascii="Arial" w:cs="Arial" w:eastAsia="Arial" w:hAnsi="Arial"/>
          <w:sz w:val="16"/>
          <w:szCs w:val="16"/>
          <w:color w:val="auto"/>
        </w:rPr>
        <w:t>Our commitment to customers begins with a vast waste collection network. Collection involves picking up</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transporting waste and recyclable materials from where it was generated to a transfer station, material recovery facility (“MRF”) or disposal site. We generally provide collection services under one of two types of arrangements:</w:t>
      </w:r>
    </w:p>
    <w:p>
      <w:pPr>
        <w:spacing w:after="0" w:line="149" w:lineRule="exact"/>
        <w:rPr>
          <w:sz w:val="20"/>
          <w:szCs w:val="20"/>
          <w:color w:val="auto"/>
        </w:rPr>
      </w:pPr>
    </w:p>
    <w:p>
      <w:pPr>
        <w:jc w:val="both"/>
        <w:ind w:left="720" w:right="79" w:hanging="319"/>
        <w:spacing w:after="0" w:line="271"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90"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16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As of December 31, 2021, we owned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255 solid waste landfills and five secure hazardous waste landfills, which represents the largest network of landfills throughout the U.S. and Canada.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9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6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As of December 31, 2021, we owned or operated 340 transfer stations in the U.S. and Canada. We deposit</w:t>
      </w:r>
      <w:r>
        <w:rPr>
          <w:rFonts w:ascii="Arial" w:cs="Arial" w:eastAsia="Arial" w:hAnsi="Arial"/>
          <w:sz w:val="17"/>
          <w:szCs w:val="17"/>
          <w:i w:val="1"/>
          <w:iCs w:val="1"/>
          <w:color w:val="auto"/>
        </w:rPr>
        <w:t xml:space="preserve"> </w:t>
      </w:r>
      <w:r>
        <w:rPr>
          <w:rFonts w:ascii="Arial" w:cs="Arial" w:eastAsia="Arial" w:hAnsi="Arial"/>
          <w:sz w:val="17"/>
          <w:szCs w:val="17"/>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ectPr>
          <w:pgSz w:w="11900" w:h="16838" w:orient="portrait"/>
          <w:cols w:equalWidth="0" w:num="1">
            <w:col w:w="9019"/>
          </w:cols>
          <w:pgMar w:left="1440" w:top="611"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8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Our recycling operations provide communities and businesses with an alternative to traditional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the recycling volumes. Single-stream recycling is possible through the use of various mechanized screens and optical sorting technologies. In 2021, we made significant investments in technology to automate our equipment, which benefits our labor productivity, produce higher quality commodities for our customers, and increase our capacity in geographies where we currently have a MRF, as well as expanding our footprint into new geographies. In addition to advancing our single stream recycling programs for commercial applications, we will continue to invest in recycling technologies designed to offer services and solutions to support and grow our current operations. Recycling involves the separation of reusable materials from the waste stream for processing and resale or other disposition. Our recycling operations include the following:</w:t>
      </w:r>
    </w:p>
    <w:p>
      <w:pPr>
        <w:spacing w:after="0" w:line="172" w:lineRule="exact"/>
        <w:rPr>
          <w:sz w:val="20"/>
          <w:szCs w:val="20"/>
          <w:color w:val="auto"/>
        </w:rPr>
      </w:pPr>
    </w:p>
    <w:p>
      <w:pPr>
        <w:jc w:val="both"/>
        <w:ind w:left="380" w:right="59" w:firstLine="324"/>
        <w:spacing w:after="0" w:line="257" w:lineRule="auto"/>
        <w:rPr>
          <w:sz w:val="20"/>
          <w:szCs w:val="20"/>
          <w:color w:val="auto"/>
        </w:rPr>
      </w:pPr>
      <w:r>
        <w:rPr>
          <w:rFonts w:ascii="Arial" w:cs="Arial" w:eastAsia="Arial" w:hAnsi="Arial"/>
          <w:sz w:val="18"/>
          <w:szCs w:val="18"/>
          <w:i w:val="1"/>
          <w:iCs w:val="1"/>
          <w:color w:val="auto"/>
        </w:rPr>
        <w:t xml:space="preserve">Materials processing — </w:t>
      </w:r>
      <w:r>
        <w:rPr>
          <w:rFonts w:ascii="Arial" w:cs="Arial" w:eastAsia="Arial" w:hAnsi="Arial"/>
          <w:sz w:val="18"/>
          <w:szCs w:val="18"/>
          <w:color w:val="auto"/>
        </w:rPr>
        <w:t>Through our collection operations and third-party customer base, we collect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from residential, commercial and industrial customers and direct these materials to one of our MRFs for processing. As of December 31, 2021, we operated 96 MRFs, of which 49 are single stream, where cardboard, paper, glass, metals, plastics, construction and demolition materials and other recycling commodities are recovered for resale or redirected for other purposes.</w:t>
      </w:r>
    </w:p>
    <w:p>
      <w:pPr>
        <w:spacing w:after="0" w:line="188" w:lineRule="exact"/>
        <w:rPr>
          <w:sz w:val="20"/>
          <w:szCs w:val="20"/>
          <w:color w:val="auto"/>
        </w:rPr>
      </w:pPr>
    </w:p>
    <w:p>
      <w:pPr>
        <w:jc w:val="both"/>
        <w:ind w:left="380" w:right="59" w:firstLine="324"/>
        <w:spacing w:after="0" w:line="263" w:lineRule="auto"/>
        <w:rPr>
          <w:sz w:val="20"/>
          <w:szCs w:val="20"/>
          <w:color w:val="auto"/>
        </w:rPr>
      </w:pPr>
      <w:r>
        <w:rPr>
          <w:rFonts w:ascii="Arial" w:cs="Arial" w:eastAsia="Arial" w:hAnsi="Arial"/>
          <w:sz w:val="18"/>
          <w:szCs w:val="18"/>
          <w:i w:val="1"/>
          <w:iCs w:val="1"/>
          <w:color w:val="auto"/>
        </w:rPr>
        <w:t xml:space="preserve">Recycling commodities — </w:t>
      </w:r>
      <w:r>
        <w:rPr>
          <w:rFonts w:ascii="Arial" w:cs="Arial" w:eastAsia="Arial" w:hAnsi="Arial"/>
          <w:sz w:val="18"/>
          <w:szCs w:val="18"/>
          <w:color w:val="auto"/>
        </w:rPr>
        <w:t>We market and resell recycling commodities globally. We manage the 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that are processed in our facilities by maintaining comprehensive service centers that continuously analyze market prices, logistics, market demands and product quality.</w:t>
      </w:r>
    </w:p>
    <w:p>
      <w:pPr>
        <w:spacing w:after="0" w:line="184" w:lineRule="exact"/>
        <w:rPr>
          <w:sz w:val="20"/>
          <w:szCs w:val="20"/>
          <w:color w:val="auto"/>
        </w:rPr>
      </w:pPr>
    </w:p>
    <w:p>
      <w:pPr>
        <w:jc w:val="both"/>
        <w:ind w:left="380" w:right="59" w:firstLine="324"/>
        <w:spacing w:after="0" w:line="275" w:lineRule="auto"/>
        <w:rPr>
          <w:sz w:val="20"/>
          <w:szCs w:val="20"/>
          <w:color w:val="auto"/>
        </w:rPr>
      </w:pPr>
      <w:r>
        <w:rPr>
          <w:rFonts w:ascii="Arial" w:cs="Arial" w:eastAsia="Arial" w:hAnsi="Arial"/>
          <w:sz w:val="17"/>
          <w:szCs w:val="17"/>
          <w:i w:val="1"/>
          <w:iCs w:val="1"/>
          <w:color w:val="auto"/>
        </w:rPr>
        <w:t xml:space="preserve">Recycling brokerage services </w:t>
      </w:r>
      <w:r>
        <w:rPr>
          <w:rFonts w:ascii="Arial" w:cs="Arial" w:eastAsia="Arial" w:hAnsi="Arial"/>
          <w:sz w:val="17"/>
          <w:szCs w:val="17"/>
          <w:color w:val="auto"/>
        </w:rPr>
        <w:t>— We also provide recycling brokerage services, which involve managing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 recyclable materials for third parties. The experience of our recycling operations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recyclable materials processed in our MRFs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Business Solutions (“WMSBS”) business works with customers whose locations span the U.S. and Canada. Our strategic accounts</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program provides centralized customer service, billing and management of accounts to streamline the administration of customers’ waste management needs across multiple locations.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Energy and Environmental Services (“EES”) business offers our customers a variety of services in collaboration with our Area and strategic accounts programs, including (i) construction and remediation services; (ii) services associated with the disposal of fly ash, which is residue generated from the combustion of coal, and other fuel stocks; (iii) in-plant services, where our employees work full-time inside our customers’ facilities to provide full-service waste management solutions and consulting services (this service is managed through our EES business but reflected principally in our collection line of business) and (iv) specialized disposal services for oil and gas exploration and production operations (revenues for this service are also reflected principally in our collection line of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develop, operate and promote projects for the beneficial use of landfill gas through our WM Renewable Energy business.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2021, we had 144 landfill gas beneficial use projects producing commercial quantities of methane gas at owned or operated landfills. For 102 of these projects, the processed gas is used to fuel electricity generators. The electricity is then sold to public utilities, municipal utilities or power cooperatives. For 16 of these projects, the landfill gas is processed to pipeline-quality natural gas and then sold to natural gas suppliers. For 26 of these projects, the gas is used at the landfill or delivered by pipeline to industrial customers as a direct substitute for fossil fuels in industrial processes.</w:t>
      </w:r>
    </w:p>
    <w:p>
      <w:pPr>
        <w:spacing w:after="0" w:line="18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WM Renewable Energy also produces renewable natural gas (“RNG”) from landfill gas and generates renewable identification numbers (“RINs”) under the Renewable Fuel Standard (“RFS”) program and other credits under a variety of state programs associated with the use of RNG in our compressed natural gas fleet. The RINs and credits are sold to counterparties who are obligated under the regulatory programs and have a responsibility to procure RINs and credits proportionate to their fossil fuel production and imports. RINs prices generally respond to regulations enacted by the EPA or other regulatory bodies, as well as fluctuations in supply and demand. WM Renewable Energy currently has four owned facilities producing 3.2 million MMBtu of RNG annually and most of the revenue from these facilities is generated through the sale of RINs. We expect to grow the number of plants from four to 21 by 2026 and project that we will generate approximately 24 million MMBtu of RNG annually with the expanded asset base. While developing these facilities and expanding our renewable energy generation, we intend to evaluate various offtake arrangements, including the sale of RINs and the direct sale of RNG to large industrial users such as utilities and colleges and universities.</w:t>
      </w:r>
    </w:p>
    <w:p>
      <w:pPr>
        <w:spacing w:after="0" w:line="172" w:lineRule="exact"/>
        <w:rPr>
          <w:sz w:val="20"/>
          <w:szCs w:val="20"/>
          <w:color w:val="auto"/>
        </w:rPr>
      </w:pPr>
    </w:p>
    <w:p>
      <w:pPr>
        <w:jc w:val="both"/>
        <w:ind w:left="60" w:right="79" w:firstLine="324"/>
        <w:spacing w:after="0" w:line="340" w:lineRule="auto"/>
        <w:rPr>
          <w:sz w:val="20"/>
          <w:szCs w:val="20"/>
          <w:color w:val="auto"/>
        </w:rPr>
      </w:pPr>
      <w:r>
        <w:rPr>
          <w:rFonts w:ascii="Arial" w:cs="Arial" w:eastAsia="Arial" w:hAnsi="Arial"/>
          <w:sz w:val="16"/>
          <w:szCs w:val="16"/>
          <w:color w:val="auto"/>
        </w:rPr>
        <w:t>We provide expanded service offerings and solutions that are not managed through our Solid Waste business including the collection of project waste, including construction debris and household or yard waste, through our Bagster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business.</w:t>
      </w:r>
    </w:p>
    <w:p>
      <w:pPr>
        <w:spacing w:after="0" w:line="13" w:lineRule="exact"/>
        <w:rPr>
          <w:sz w:val="20"/>
          <w:szCs w:val="20"/>
          <w:color w:val="auto"/>
        </w:rPr>
      </w:pPr>
    </w:p>
    <w:p>
      <w:pPr>
        <w:jc w:val="both"/>
        <w:ind w:left="60" w:right="79" w:firstLine="324"/>
        <w:spacing w:after="0" w:line="287" w:lineRule="auto"/>
        <w:rPr>
          <w:sz w:val="20"/>
          <w:szCs w:val="20"/>
          <w:color w:val="auto"/>
        </w:rPr>
      </w:pPr>
      <w:r>
        <w:rPr>
          <w:rFonts w:ascii="Arial" w:cs="Arial" w:eastAsia="Arial" w:hAnsi="Arial"/>
          <w:sz w:val="16"/>
          <w:szCs w:val="16"/>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2" w:lineRule="exact"/>
        <w:rPr>
          <w:sz w:val="20"/>
          <w:szCs w:val="20"/>
          <w:color w:val="auto"/>
        </w:rPr>
      </w:pPr>
    </w:p>
    <w:p>
      <w:pPr>
        <w:jc w:val="both"/>
        <w:ind w:left="60" w:right="59" w:hanging="10"/>
        <w:spacing w:after="0" w:line="273" w:lineRule="auto"/>
        <w:tabs>
          <w:tab w:leader="none" w:pos="279" w:val="left"/>
        </w:tabs>
        <w:numPr>
          <w:ilvl w:val="0"/>
          <w:numId w:val="5"/>
        </w:numPr>
        <w:rPr>
          <w:rFonts w:ascii="Arial" w:cs="Arial" w:eastAsia="Arial" w:hAnsi="Arial"/>
          <w:sz w:val="17"/>
          <w:szCs w:val="17"/>
          <w:color w:val="auto"/>
        </w:rPr>
      </w:pPr>
      <w:r>
        <w:rPr>
          <w:rFonts w:ascii="Arial" w:cs="Arial" w:eastAsia="Arial" w:hAnsi="Arial"/>
          <w:sz w:val="17"/>
          <w:szCs w:val="17"/>
          <w:color w:val="auto"/>
        </w:rPr>
        <w:t>waste collection, processing, and recycling; (ii) the development, operation and marketing of waste processing facilities and technologies; (iii) operation of renewable natural gas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of December 31, 2021, we had approximately 48,500 full-time employees across the U.S., Canada and India. Approximately 45,400 employees were located within the U.S. and 3,100 employees were located outside of the U.S. Approximately 9,200 employees were employed in administrative and sales positions with the remainder in operations. Approximately 8,500 of our employees are covered by collective bargaining agreements. Additional information about our workforce can be found in our 2021 Sustainability Report at https://sustainability.wm.com. Our 2021 Sustainability Report does not constitute a part of, and is not incorporated by reference into, this report or any other report we file with (or furnish to) the SEC, whether made before or after the date of this Annual Report on Form 10-K.</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People First Commitment</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Company is committed to People First,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improving diversity, equity, and inclusion at all levels of our Company, managing employee turnover and increasing</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retention and supporting ongoing cultural integration and knowledge transfer. We regularly focus on these objectives when managing our business.</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display that we are (i) investing in our teams by providing comprehensive benefits; (ii) committed to the growth of our team by providing state-of-the-art trainings and our new education benefit, Your Tomorrow, as further discussed under </w:t>
      </w:r>
      <w:r>
        <w:rPr>
          <w:rFonts w:ascii="Arial" w:cs="Arial" w:eastAsia="Arial" w:hAnsi="Arial"/>
          <w:sz w:val="16"/>
          <w:szCs w:val="16"/>
          <w:i w:val="1"/>
          <w:iCs w:val="1"/>
          <w:color w:val="auto"/>
        </w:rPr>
        <w:t>Compensation and Benefits</w:t>
      </w:r>
      <w:r>
        <w:rPr>
          <w:rFonts w:ascii="Arial" w:cs="Arial" w:eastAsia="Arial" w:hAnsi="Arial"/>
          <w:sz w:val="16"/>
          <w:szCs w:val="16"/>
          <w:color w:val="auto"/>
        </w:rPr>
        <w:t>; (iii) 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opportunities, we help employees maximize their effectiveness and grow in their careers.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Safety as a Core Value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through our Mission to Zero (“M2Z”) program. The “Zero” in M2Z represents zero tolerance for unsafe behaviors. Employees learn safety best practices through new-hire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Learning and Development</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offer expansive learning and development solutions to meet the development needs of our people and supporting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Inclusion, Equity and Diversity</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embrace and cultivate respect, trust, open communications and diversity of thought and people. We are committed to equality for all, and foster an environment where all teammates feel welcomed, valued and seen. We are laser-focused on strengthening our current business strategy to see that inclusion, equity and diversity (“IE&amp;D”) are not an initiative, but core in everything that we do. Our commitment to IE&amp;D starts at the top with our senior leadership team being comprised of 30% ethnic minorities and 30% women as of December 31, 2021; and with our overall workforce in the U.S. being comprised of approximately 45% ethnic minorities and approximately 19% women as of the same date. We are proud of what we have been able to achieve. To enable us to achieve our goals, we have established a cross-functional IE&amp;D Council aimed at evaluating policies, practices and procedures, recruitment and partnerships to ensure that our IE&amp;D efforts are sustainable and are tied to our business strategy.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objective of our compensation and benefit programs is to attract, engage, reward and incentivize valuable employees who will support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legal services, flexible spending accounts, dependent care assistance, adoption assistance, employee discounts and student loan refinancing services. We also recognize the value of learning beyond the workplace. In 2021, we announced a new education benefit, Your Tomorrow. Your Tomorrow was created in partnership with Guild Education</w:t>
      </w:r>
    </w:p>
    <w:p>
      <w:pPr>
        <w:sectPr>
          <w:pgSz w:w="11900" w:h="16838" w:orient="portrait"/>
          <w:cols w:equalWidth="0" w:num="1">
            <w:col w:w="9019"/>
          </w:cols>
          <w:pgMar w:left="1440" w:top="611"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 pay 100% of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refer to Note 9 to the Consolidated Financial Statements for additional information on our employee benefit plans.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jc w:val="both"/>
        <w:ind w:left="60" w:right="59" w:hanging="10"/>
        <w:spacing w:after="0" w:line="253" w:lineRule="auto"/>
        <w:tabs>
          <w:tab w:leader="none" w:pos="399"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9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We use a wholly-owned insurance captive to insure the deductibles for our general liability, automobile liability and workers’ compensation claims programs. As of December 31, 2021, both our commercial general liability insurance policy and our workers’ compensation insurance program carried self-insurance exposures of up to $5 million per incident. As of December 31, 2021, our automobile liability insurance program included a per-incident deductible of up to $10 million. We do not expect the impact of any known casualty, property, environmental or other contingency to have a material impact on our financial condition, results of operations or cash flows. Our estimated insurance liabilities as of December 31, 2021 are summarized in Note 10 to the Consolidated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EPA, Environment Canada,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cases of violations.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Because the primary mission of our business is to collect, process and manage solid waste and recyclables in an environmentally sound manner, a significant amount of our capital expenditures are related, either directly or indirectly, to environmental protection measures, including compliance with federal, state, provincial and local rules. There are costs associated with siting, design, permitting, construction, operations, monitoring, site maintenance, corrective actions, financial assurance, and facility closure and post-closure obligations. With acquisition, development or expansion of a waste management or disposal facility, materials recovery facility, compost facility or transfer station, we must often spend considerable time, effort and money to obtain or maintain required permits and approvals. There are no assurances that we</w:t>
      </w:r>
    </w:p>
    <w:p>
      <w:pPr>
        <w:sectPr>
          <w:pgSz w:w="11900" w:h="16838" w:orient="portrait"/>
          <w:cols w:equalWidth="0" w:num="1">
            <w:col w:w="9019"/>
          </w:cols>
          <w:pgMar w:left="1440" w:top="611"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will be able to obtain or maintain required governmental approvals. Once obtained, permits are subject to renewal, modification, suspension or revocation by the issuing authority.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regulatory environment in which we operate is influenced by changes in leadership at the federal, state, provincial and local levels. The current U.S. administration, for example, has been taking steps towards reinstating, and in some cases enhancing, policies and regulations rolled back by the previous administration. While increasing regulation may have a negative impact on our operating costs, extensive environmental regulation applicable to the waste sector is also a barrier to rapid entry that benefits our Company. Moreover, the risk reduction provided by stringent regulation is valuable to our customers and the communities we serve.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Federal Regulation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primary U.S. federal statutes affecting our business are summarized below:</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58" w:lineRule="exact"/>
        <w:rPr>
          <w:sz w:val="20"/>
          <w:szCs w:val="20"/>
          <w:color w:val="auto"/>
        </w:rPr>
      </w:pPr>
    </w:p>
    <w:p>
      <w:pPr>
        <w:jc w:val="both"/>
        <w:ind w:left="700" w:right="59"/>
        <w:spacing w:after="0" w:line="272" w:lineRule="auto"/>
        <w:rPr>
          <w:sz w:val="20"/>
          <w:szCs w:val="20"/>
          <w:color w:val="auto"/>
        </w:rPr>
      </w:pPr>
      <w:r>
        <w:rPr>
          <w:rFonts w:ascii="Arial" w:cs="Arial" w:eastAsia="Arial" w:hAnsi="Arial"/>
          <w:sz w:val="17"/>
          <w:szCs w:val="17"/>
          <w:color w:val="auto"/>
        </w:rPr>
        <w:t>We continue to monitor certain developments under RCRA, including relief from increased user fees accompanying the system that the EPA uses to track hazardous waste shipments electronically, potential changes to the rules governing the disposal and beneficial use of coal combustion residuals, and clarity on the U.S. Department of Energy’s progress in establishing a government facility and corresponding fee structure for the long-term storage and disposal of elemental mercury. We cannot predict what costs we will incur in connection with these regulations, but we do not anticipate a material impact to our operations. We also are working closely with both agencies to minimize risks to our industry on these regulatory matters.</w:t>
      </w:r>
    </w:p>
    <w:p>
      <w:pPr>
        <w:spacing w:after="0" w:line="69" w:lineRule="exact"/>
        <w:rPr>
          <w:sz w:val="20"/>
          <w:szCs w:val="20"/>
          <w:color w:val="auto"/>
        </w:rPr>
      </w:pPr>
    </w:p>
    <w:p>
      <w:pPr>
        <w:jc w:val="both"/>
        <w:ind w:left="720" w:right="79" w:hanging="319"/>
        <w:spacing w:after="0" w:line="285"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65" w:lineRule="exact"/>
        <w:rPr>
          <w:rFonts w:ascii="Arial" w:cs="Arial" w:eastAsia="Arial" w:hAnsi="Arial"/>
          <w:sz w:val="16"/>
          <w:szCs w:val="16"/>
          <w:color w:val="auto"/>
        </w:rPr>
      </w:pPr>
    </w:p>
    <w:p>
      <w:pPr>
        <w:jc w:val="both"/>
        <w:ind w:left="720" w:right="79" w:hanging="319"/>
        <w:spacing w:after="0" w:line="296"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55" w:lineRule="auto"/>
        <w:rPr>
          <w:sz w:val="20"/>
          <w:szCs w:val="20"/>
          <w:color w:val="auto"/>
        </w:rPr>
      </w:pPr>
      <w:r>
        <w:rPr>
          <w:rFonts w:ascii="Arial" w:cs="Arial" w:eastAsia="Arial" w:hAnsi="Arial"/>
          <w:sz w:val="18"/>
          <w:szCs w:val="18"/>
          <w:color w:val="auto"/>
        </w:rPr>
        <w:t>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84" w:lineRule="exact"/>
        <w:rPr>
          <w:sz w:val="20"/>
          <w:szCs w:val="20"/>
          <w:color w:val="auto"/>
        </w:rPr>
      </w:pPr>
    </w:p>
    <w:p>
      <w:pPr>
        <w:jc w:val="both"/>
        <w:ind w:left="720" w:right="79" w:hanging="319"/>
        <w:spacing w:after="0" w:line="29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federal, state and local regulation of the emission of air pollutants. Many of our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w:t>
      </w:r>
    </w:p>
    <w:p>
      <w:pPr>
        <w:spacing w:after="0" w:line="58"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The EPA finalized a rule in May 2021 implementing landfill gas control and monitoring requirements for older landfills; however, the regulatory changes contemplated therein are not expected to have a material adverse impact on our business as a whole. We also are closely monitoring the evolving capabilities of ground, aerial, and satellite-based methane detection and monitoring systems, and investing in pilot programs to further explore these innovations. As these technologies are expected to advance rapidly in the coming years, we are continuing to engage with the EPA on the implications of the changing landscape for the waste industry and potential future regulation.</w:t>
      </w:r>
    </w:p>
    <w:p>
      <w:pPr>
        <w:spacing w:after="0" w:line="87" w:lineRule="exact"/>
        <w:rPr>
          <w:sz w:val="20"/>
          <w:szCs w:val="20"/>
          <w:color w:val="auto"/>
        </w:rPr>
      </w:pPr>
    </w:p>
    <w:p>
      <w:pPr>
        <w:jc w:val="both"/>
        <w:ind w:left="720" w:right="79" w:hanging="319"/>
        <w:spacing w:after="0" w:line="289"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Occupational Safety and Health Act of 1970 (“OSHA”),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66" w:lineRule="exact"/>
        <w:rPr>
          <w:sz w:val="20"/>
          <w:szCs w:val="20"/>
          <w:color w:val="auto"/>
        </w:rPr>
      </w:pPr>
    </w:p>
    <w:p>
      <w:pPr>
        <w:jc w:val="both"/>
        <w:ind w:left="700" w:right="59"/>
        <w:spacing w:after="0" w:line="311" w:lineRule="auto"/>
        <w:rPr>
          <w:sz w:val="20"/>
          <w:szCs w:val="20"/>
          <w:color w:val="auto"/>
        </w:rPr>
      </w:pPr>
      <w:r>
        <w:rPr>
          <w:rFonts w:ascii="Arial" w:cs="Arial" w:eastAsia="Arial" w:hAnsi="Arial"/>
          <w:sz w:val="16"/>
          <w:szCs w:val="16"/>
          <w:color w:val="auto"/>
        </w:rPr>
        <w:t>OSHA has recently indicated that it will pursue COVID-19 vaccine and testing requirements through a traditional rulemaking process, and additional vaccine mandates may be announced in jurisdictions in which our businesses operate. We cannot currently predict the impact of any such vaccine requirements on our workforce.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and laws governing where recyclable materials can be sold. Some counties, municipalities and other local governments have adopted similar laws and regulations. Our facilities and operations are likely to be subject to these types of requirements.</w:t>
      </w:r>
    </w:p>
    <w:p>
      <w:pPr>
        <w:spacing w:after="0" w:line="16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 The number of state and local governments with recycling and diversion requirements and disposal bans continues to grow, while the logistics and economics of recycling or processing many of these items remain challenging.</w:t>
      </w:r>
    </w:p>
    <w:p>
      <w:pPr>
        <w:spacing w:after="0" w:line="161"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U.S.</w:t>
      </w:r>
    </w:p>
    <w:p>
      <w:pPr>
        <w:sectPr>
          <w:pgSz w:w="11900" w:h="16838" w:orient="portrait"/>
          <w:cols w:equalWidth="0" w:num="1">
            <w:col w:w="9019"/>
          </w:cols>
          <w:pgMar w:left="1440" w:top="611"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take, and in some cases have taken, steps to implement EPR regulations for packaging, including traditional recyclables such as cardboard, bottles and cans. If wide-ranging EPR regulations were adopted, they could have a fundamental impact on the waste, recycling and other streams we manage and how we operate our business, including contract terms and pricing.</w:t>
      </w:r>
    </w:p>
    <w:p>
      <w:pPr>
        <w:spacing w:after="0" w:line="18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Emerging Trends in Policy and Regulation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Climate and Sustainability</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Jurisdictions are increasingly taking action to reduce greenhouse gas (“GHG”) emissions through a broad range of climate policies. As landfills are emerging as one of the focal points for advancing climate-related goals, we are actively working with policymakers to ensure they recognize the significant reductions in GHG emissions that the waste sector already has achieved and the work being done to further reduce emissions, the challenges associated with quantifying landfill emissions precisely, and the role of our sector in providing an essential, and highly regulated, public service.</w:t>
      </w:r>
    </w:p>
    <w:p>
      <w:pPr>
        <w:spacing w:after="0" w:line="16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light of regulatory and business developments related to concerns about climate change, we have identified strategic business opportunities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composting, and conversion of landfill gas and discarded materials into electricity and fuel. We use carbon life 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continue to assess the physical risks to our Company’s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Consistent with our Company’s long-standing commitment to sustainability and environmental stewardship, we have published our 2021 Sustainability Report, which details the GHG emissions reductions we have facilitated to date and our determination to expand these reductions in the future, as well as our commitment to help make the communities in which we live and work safe, resilient and sustainable. Our 2021 Sustainability Report can be found at https://sustainability.wm.com, but it does not constitute a part of, and is not incorporated by reference into, this Annual Report on Form 10-K. The Company actively participates in a number of sustainability reporting programs and frameworks, including being listed on the 2021 Dow Jones Sustainability Index World and North America Indices.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PFAS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Efforts to address sites contaminated with per- and polyfluoroalkyl substances (“PFAS”) have drawn increased attention by the federal government and in the states.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 In October 2021, the EPA released its PFAS Strategic Roadmap, providing a high-level overview of activities that the agency intends to take through 2024 to address PFAS contamination. These actions include establishing drinking water standards, expanded authority for PFAS remediation, research and data collection on landfill discharges of PFAS in leachate, new risk assessments and test procedures, and updated guidance on PFAS disposal and destruction options. Meanwhile, an increasing number of states have enacted new drinking water, surface water and/or groundwater limits for various PFAS, which has led to a patchwork of PFAS standards across the U.S. Compliance with new and proposed PFAS standards is anticipated to result in additional expense to the Company, but such standards are also anticipated to present potential business opportunities in the area of PFAS management, treatment and disposal.</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Recycling; Foreign Import and Export Regulations and Material Restrictions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Enforcement or implementation of foreign and domestic regulations can affect our ability to export recyclables. Attention on waste in the environment has led to new international laws restricting the flow of certain recyclables. As an example, on January 1, 2021, new restrictions on the international trade of most plastics went into effect as part of the Basel Convention on the Control of Transboundary Movements of Hazardous Wastes and Their Disposal. At this time, the U.S. is not a party to the Basel Convention, but most countries to which we export commodities are, which may limit our ability to export certain plastics.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recent years, changes in regulations affecting the international flow of recyclables have led to a reduction in export activity for recyclables, higher quality requirements, and higher processing costs. COVID-19 placed additional financial stress on recyclers and municipalities, resulting in some recycling programs being paused or eliminated. These changes have led to a number of states considering EPR regulations.</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Prices and demand for recyclables fluctuate. Recycling revenue increased $537 million and $75 million in 2021 and 2020, respectively, as compared with the prior year periods primarily from higher market prices for recycling commodities. To support recent increases in both quality requirements and demand for commodities, we have increased our investment in recycling infrastructure and the size of our recycling operations. This, in turn, increases our exposure to commodity price fluctuations. Additionally, future regulation, tariffs, international trade policies or other initiatives may impact supply and demand of material, or increase operating costs, which could impact the profitability of our recycling operations.</w:t>
      </w:r>
    </w:p>
    <w:p>
      <w:pPr>
        <w:spacing w:after="0" w:line="16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For the past several years, we have been working with stakeholders to educate the public on the need to recycle properly. We continue to invest time and effort in working closely with customers to improve the quality of materials received at our facilities. We have continued our focus on developing a sustainable recycling business model that meets</w:t>
      </w:r>
    </w:p>
    <w:p>
      <w:pPr>
        <w:sectPr>
          <w:pgSz w:w="11900" w:h="16838" w:orient="portrait"/>
          <w:cols w:equalWidth="0" w:num="1">
            <w:col w:w="9019"/>
          </w:cols>
          <w:pgMar w:left="1440" w:top="611"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customers’ environmental needs by passing through the increasing cost of processing and higher contamination rates, and these efforts continued to have a positive impact on the operating results for our recycling business in 2021.</w:t>
      </w:r>
    </w:p>
    <w:p>
      <w:pPr>
        <w:spacing w:after="0" w:line="14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With a heightened awareness of the global problems caused by plastic waste in the environment, an increasing number of cities and states across the country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with no viable end markets for many of these materials, we and other recyclers are working to educate and remind customers of the need for end market demand and economic viability to support sustainable recycling programs. With increased focus on responsible management of plastics, our procurement team has taken a proactive approach to ensure environmental sustainability goals are prioritized in managing the products we buy.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Regulation of Oil and Gas Exploration, Production and Disposal</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EES business provides specialized environmental management and disposal services for fluids used and wastes generated by customers engaged in oil and gas exploration and production, and these disposal services include use of underground injection wells. There is heightened federal regulatory focus on emissions of methane that occur during drilling and transportation of natural gas,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Additionally, any new regulations regarding the treatment and disposal of wastes associated with exploration and production operations, including through use of injection wells, could increase our costs to provide oilfield services and reduce our margins and revenue from such services. Conversely, any loosening of regulations regarding how such wastes are handled or disposed of could adversely affect our business, as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Investment in Natural Gas Vehicles and Infrastructure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Concerns have been raised about the potential for emissions from the fueling stations and infrastructure that serve natural gas-fueled vehicles.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w:t>
      </w:r>
    </w:p>
    <w:p>
      <w:pPr>
        <w:spacing w:after="0" w:line="19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There is increasing pressure to reduce the use of fossil fuel in the heavy-duty truck industry, and some cities and states are beginning to discuss requirements for using more advanced engine technology, such as electric powered vehicles, rather than natural gas or diesel vehicles. This is resulting in a reduction in tax incentives and grants for natural gas trucks. Although current options for heavy-duty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Renewable Fuel Production</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We have invested, and continue to invest, in facilities to capture methane produced from the Company’s landfills and convert it into RNG. RNG produced from our landfills, as well as dairy biogas, constitute a significant source of fuel for our natural gas collection vehicles. The Energy Policy Act of 2005 and Energy Independence and Security Act of 2007 authorized the RFS program that promotes the production and use of renewable transportation fuels. Many of our facilities are the EPA-registered producers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RINs, from renewable fuel producers. Market uncertainty related to the EPA’s implementation of the RFS program led to volatility and declines in the price of RINs between 2017 and 2020. RIN prices rebounded in 2020 in response to a court ruling limiting the number of small refinery exemptions that the EPA could grant to renewable fuel obligations, and later following the November 2020 federal elections on the belief that the newly elected presidential administration would result in stronger enforcement of mandates for RNG and other advanced and conventional biofuels. The market’s expectations were realized in December 2021, when the EPA proposed robust volumetric standards under the RFS program while proposing to deny all pending applications for small refinery exemptions. The EPA is expected to propose a rule later in 2022 setting forth the direction of the RFS program for 2023 and years after, which rule is expected to afford additional opportunities for the biogas sector to participate in the RFS program. We will continue to advocate for the current administration to implement policies that ensure long term stability for renewable transportation fuels, as changes in the RFS market or the structure of the RFS program can and has impacted the financial performance of the facilities constructed to capture and treat the gas.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Environmental Justice</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Federal, state, and local governments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Our Company supports policies seeking to advance high standards of environmental performance and the fair treatment of people of all races, cultures, and incomes. Nevertheless, we are actively monitoring recent regulatory developments in this area as additional conditions imposed on permitting decisions could increase the time and cost involved to pursue and maintain necessary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are often identified by the words, “will,” “may,” “should,” “continue,” “anticipate,” “believe,” “expect,” “plan,” “forecast,” “project,” “estimate,” “intend” and words of a similar nature and generally include statements regarding:</w:t>
      </w:r>
    </w:p>
    <w:p>
      <w:pPr>
        <w:spacing w:after="0" w:line="79"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results of operations, including revenues, earnings or cash flows;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projections, estimates or assumptions relating to our operational or financial performance; or</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opinions, views or beliefs about the effects of current or future events, circumstances or performance.</w:t>
      </w:r>
    </w:p>
    <w:p>
      <w:pPr>
        <w:spacing w:after="0" w:line="23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The following discussion should be read together with the Consolidated Financial Statements and the notes thereto. Outlined below are some of the risks that we believe could affect our business and financial statements for 2022 and beyond and could cause actual results to be materially different from those set forth in forward-looking statements made by the Company. In addition to the following risks, there may be additional risks and uncertainties that adversely affect our business, performance, or financial condition in the future that are not presently known or are not currently believed to be material. The Company continues to be optimistic about volume recovery and overall economic recovery from the impacts of the COVID-19 pandemic. However, uncertainty remains with respect to various factors that influence the pace of economic recovery, including the risks discussed below and the potential for future resurgence in transmission of COVID-19 and related business closures due to virus variants or otherwise. Such conditions could have an unanticipated adverse impact on our business. We assume no obligation to update any forward-looking statement, whether as a result of future events, circumstances or developments or otherwise.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Strategy and Operational Risks</w:t>
      </w:r>
    </w:p>
    <w:p>
      <w:pPr>
        <w:spacing w:after="0" w:line="229"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more information on our business strategy.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17"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w:t>
      </w:r>
    </w:p>
    <w:p>
      <w:pPr>
        <w:spacing w:after="0" w:line="90"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76"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29"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3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optimization efforts, due to inflationary cost pressure or otherwise.</w:t>
      </w:r>
    </w:p>
    <w:p>
      <w:pPr>
        <w:sectPr>
          <w:pgSz w:w="11900" w:h="16838" w:orient="portrait"/>
          <w:cols w:equalWidth="0" w:num="1">
            <w:col w:w="9019"/>
          </w:cols>
          <w:pgMar w:left="1440" w:top="611"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Strategic decisions with respect to our asset portfolio may result in impairments to our assets.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w:t>
      </w:r>
      <w:r>
        <w:rPr>
          <w:rFonts w:ascii="Arial" w:cs="Arial" w:eastAsia="Arial" w:hAnsi="Arial"/>
          <w:sz w:val="17"/>
          <w:szCs w:val="17"/>
          <w:i w:val="1"/>
          <w:iCs w:val="1"/>
          <w:color w:val="auto"/>
        </w:rPr>
        <w:t xml:space="preserve"> We may record material charges against our earnings due to impairments to our assets</w:t>
      </w:r>
      <w:r>
        <w:rPr>
          <w:rFonts w:ascii="Arial" w:cs="Arial" w:eastAsia="Arial" w:hAnsi="Arial"/>
          <w:sz w:val="17"/>
          <w:szCs w:val="17"/>
          <w:color w:val="auto"/>
        </w:rPr>
        <w:t>.</w:t>
      </w:r>
    </w:p>
    <w:p>
      <w:pPr>
        <w:spacing w:after="0" w:line="11" w:lineRule="exact"/>
        <w:rPr>
          <w:rFonts w:ascii="Arial" w:cs="Arial" w:eastAsia="Arial" w:hAnsi="Arial"/>
          <w:sz w:val="17"/>
          <w:szCs w:val="17"/>
          <w:color w:val="auto"/>
        </w:rPr>
      </w:pPr>
    </w:p>
    <w:p>
      <w:pPr>
        <w:jc w:val="both"/>
        <w:ind w:left="720" w:right="79" w:hanging="319"/>
        <w:spacing w:after="0" w:line="286"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16"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38"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3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w:t>
      </w:r>
    </w:p>
    <w:p>
      <w:pPr>
        <w:spacing w:after="0" w:line="21" w:lineRule="exact"/>
        <w:rPr>
          <w:rFonts w:ascii="Arial" w:cs="Arial" w:eastAsia="Arial" w:hAnsi="Arial"/>
          <w:sz w:val="18"/>
          <w:szCs w:val="18"/>
          <w:color w:val="auto"/>
        </w:rPr>
      </w:pPr>
    </w:p>
    <w:p>
      <w:pPr>
        <w:ind w:left="720" w:right="79" w:hanging="319"/>
        <w:spacing w:after="0" w:line="325"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1"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we complete the integration of our prior acquisition of Advanced Disposal Services, Inc. (“Advanced Disposal”), we may not continue to realize the strategic benefits and cost synergies anticipated.</w:t>
      </w:r>
    </w:p>
    <w:p>
      <w:pPr>
        <w:spacing w:after="0" w:line="35" w:lineRule="exact"/>
        <w:rPr>
          <w:rFonts w:ascii="Arial" w:cs="Arial" w:eastAsia="Arial" w:hAnsi="Arial"/>
          <w:sz w:val="18"/>
          <w:szCs w:val="18"/>
          <w:color w:val="auto"/>
        </w:rPr>
      </w:pPr>
    </w:p>
    <w:p>
      <w:pPr>
        <w:jc w:val="both"/>
        <w:ind w:left="720" w:right="79" w:hanging="319"/>
        <w:spacing w:after="0" w:line="311"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to the risks set forth above, implementation of our business strategy could also be affected by other factors beyond our control, such as increased competition, legal developments, government regulation, general economic conditions,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95" w:lineRule="exact"/>
        <w:rPr>
          <w:sz w:val="20"/>
          <w:szCs w:val="20"/>
          <w:color w:val="auto"/>
        </w:rPr>
      </w:pPr>
    </w:p>
    <w:p>
      <w:pPr>
        <w:jc w:val="both"/>
        <w:ind w:left="180" w:right="79"/>
        <w:spacing w:after="0" w:line="263" w:lineRule="auto"/>
        <w:rPr>
          <w:sz w:val="20"/>
          <w:szCs w:val="20"/>
          <w:color w:val="auto"/>
        </w:rPr>
      </w:pPr>
      <w:r>
        <w:rPr>
          <w:rFonts w:ascii="Arial" w:cs="Arial" w:eastAsia="Arial" w:hAnsi="Arial"/>
          <w:sz w:val="18"/>
          <w:szCs w:val="18"/>
          <w:b w:val="1"/>
          <w:bCs w:val="1"/>
          <w:i w:val="1"/>
          <w:iCs w:val="1"/>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Stringent government regulations at the federal, state, provincial and local level in the U.S. and Canada have a substantial impact on our operations,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68" w:lineRule="exact"/>
        <w:rPr>
          <w:sz w:val="20"/>
          <w:szCs w:val="20"/>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limitations or restrictions on the recycling, processing or transformation of waste, recycling and other streams.</w:t>
      </w:r>
    </w:p>
    <w:p>
      <w:pPr>
        <w:spacing w:after="0" w:line="237"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Regulations affecting the siting, design and closure of landfills require us, at times, to undertake investigatory or remedial activities, curtail operations or close landfills temporarily or permanently. We have significant financial</w:t>
      </w:r>
    </w:p>
    <w:p>
      <w:pPr>
        <w:sectPr>
          <w:pgSz w:w="11900" w:h="16838" w:orient="portrait"/>
          <w:cols w:equalWidth="0" w:num="1">
            <w:col w:w="9019"/>
          </w:cols>
          <w:pgMar w:left="1440" w:top="611"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obligations relating to final capping, closure, post-closure and environmental remediation at our existing landfills and we establish accruals for these estimated costs. Expenditures could be accelerated or materially exceed our accruals due to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PFAS or other emerging contaminates, and other reasons.</w:t>
      </w:r>
    </w:p>
    <w:p>
      <w:pPr>
        <w:spacing w:after="0" w:line="16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and in some cases have, taken steps to implement EPR regulations for packaging, including traditional recyclables such as cardboard, bottles and cans.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business is subject to operational and safety risks, including the risk of personal injury to employees and others.</w:t>
      </w:r>
    </w:p>
    <w:p>
      <w:pPr>
        <w:spacing w:after="0" w:line="26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Providing environmental and waste management services, including constructing and operating landfills, transfer stations, MRFs and other disposal facilities, involves risks such as truck accidents, equipment defects, malfunctions and failures.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9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expand existing permitted capacity of our landfills, which could decrease our revenue and increase our costs.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Federal, state and local governments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In addition, failure to receive regulatory and zoning approval may prohibit us from establishing new facilities or</w:t>
      </w:r>
    </w:p>
    <w:p>
      <w:pPr>
        <w:sectPr>
          <w:pgSz w:w="11900" w:h="16838" w:orient="portrait"/>
          <w:cols w:equalWidth="0" w:num="1">
            <w:col w:w="9019"/>
          </w:cols>
          <w:pgMar w:left="1440" w:top="611"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expanding existing facilities. Our failure to obtain the required permits to operate our landfills could have a material adverse impact on our financial condition, results of operations and cash flows.</w:t>
      </w:r>
    </w:p>
    <w:p>
      <w:pPr>
        <w:spacing w:after="0" w:line="170" w:lineRule="exact"/>
        <w:rPr>
          <w:sz w:val="20"/>
          <w:szCs w:val="20"/>
          <w:color w:val="auto"/>
        </w:rPr>
      </w:pPr>
    </w:p>
    <w:p>
      <w:pPr>
        <w:jc w:val="both"/>
        <w:ind w:left="180" w:right="59"/>
        <w:spacing w:after="0" w:line="311" w:lineRule="auto"/>
        <w:rPr>
          <w:sz w:val="20"/>
          <w:szCs w:val="20"/>
          <w:color w:val="auto"/>
        </w:rPr>
      </w:pPr>
      <w:r>
        <w:rPr>
          <w:rFonts w:ascii="Arial" w:cs="Arial" w:eastAsia="Arial" w:hAnsi="Arial"/>
          <w:sz w:val="16"/>
          <w:szCs w:val="16"/>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14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w:t>
      </w:r>
      <w:r>
        <w:rPr>
          <w:rFonts w:ascii="Arial" w:cs="Arial" w:eastAsia="Arial" w:hAnsi="Arial"/>
          <w:sz w:val="17"/>
          <w:szCs w:val="17"/>
          <w:i w:val="1"/>
          <w:iCs w:val="1"/>
          <w:color w:val="auto"/>
        </w:rPr>
        <w:t>Risk Factors — Market disruption, including labor</w:t>
      </w:r>
      <w:r>
        <w:rPr>
          <w:rFonts w:ascii="Arial" w:cs="Arial" w:eastAsia="Arial" w:hAnsi="Arial"/>
          <w:sz w:val="17"/>
          <w:szCs w:val="17"/>
          <w:color w:val="auto"/>
        </w:rPr>
        <w:t xml:space="preserve"> </w:t>
      </w:r>
      <w:r>
        <w:rPr>
          <w:rFonts w:ascii="Arial" w:cs="Arial" w:eastAsia="Arial" w:hAnsi="Arial"/>
          <w:sz w:val="17"/>
          <w:szCs w:val="17"/>
          <w:i w:val="1"/>
          <w:iCs w:val="1"/>
          <w:color w:val="auto"/>
        </w:rPr>
        <w:t>shortages and supply chain constraints, and macroeconomic pressures, including the heightened pace of inflation, have adversely impacted our business and results of operations</w:t>
      </w:r>
      <w:r>
        <w:rPr>
          <w:rFonts w:ascii="Arial" w:cs="Arial" w:eastAsia="Arial" w:hAnsi="Arial"/>
          <w:sz w:val="17"/>
          <w:szCs w:val="17"/>
          <w:color w:val="auto"/>
        </w:rPr>
        <w:t>.) Additionally, the market for employees that serve on our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team is highly competitive. As we have accelerated our investments in our digital platform, it is increasingly important that we are able to attract and retain employees with the skills and expertise necessary to implement and manage our technology-led strategy.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Damage to our reputation could reduce demand for our services and potentially have an adverse effect on our financial condition, liquidity and results of operations, as well as require additional resources to rebuild our reputation and restore the value of our brand.</w:t>
      </w:r>
    </w:p>
    <w:p>
      <w:pPr>
        <w:spacing w:after="0" w:line="192" w:lineRule="exact"/>
        <w:rPr>
          <w:sz w:val="20"/>
          <w:szCs w:val="20"/>
          <w:color w:val="auto"/>
        </w:rPr>
      </w:pPr>
    </w:p>
    <w:p>
      <w:pPr>
        <w:jc w:val="both"/>
        <w:ind w:left="180" w:right="59"/>
        <w:spacing w:after="0" w:line="286" w:lineRule="auto"/>
        <w:rPr>
          <w:sz w:val="20"/>
          <w:szCs w:val="20"/>
          <w:color w:val="auto"/>
        </w:rPr>
      </w:pPr>
      <w:r>
        <w:rPr>
          <w:rFonts w:ascii="Arial" w:cs="Arial" w:eastAsia="Arial" w:hAnsi="Arial"/>
          <w:sz w:val="17"/>
          <w:szCs w:val="17"/>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16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16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There is increasing pressure to reduce the use of fossil fuel in the heavy-duty truck industry, and some cities and states are beginning to discuss requirements for using more advanced engine technology, such as electric powered vehicles, rather than natural gas or diesel vehicles. This is resulting in a reduction in tax incentives and grants for natural gas trucks. Although current options for heavy-duty electric vehicles lack sufficient range and proven experience for our operations,</w:t>
      </w:r>
    </w:p>
    <w:p>
      <w:pPr>
        <w:sectPr>
          <w:pgSz w:w="11900" w:h="16838" w:orient="portrait"/>
          <w:cols w:equalWidth="0" w:num="1">
            <w:col w:w="9019"/>
          </w:cols>
          <w:pgMar w:left="1440" w:top="61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proactively engaging in pilots of electric powered heavy-duty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pacing w:after="0" w:line="161"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192" w:lineRule="exact"/>
        <w:rPr>
          <w:sz w:val="20"/>
          <w:szCs w:val="20"/>
          <w:color w:val="auto"/>
        </w:rPr>
      </w:pPr>
    </w:p>
    <w:p>
      <w:pPr>
        <w:ind w:left="180" w:right="79"/>
        <w:spacing w:after="0" w:line="342" w:lineRule="auto"/>
        <w:rPr>
          <w:sz w:val="20"/>
          <w:szCs w:val="20"/>
          <w:color w:val="auto"/>
        </w:rPr>
      </w:pPr>
      <w:r>
        <w:rPr>
          <w:rFonts w:ascii="Arial" w:cs="Arial" w:eastAsia="Arial" w:hAnsi="Arial"/>
          <w:sz w:val="16"/>
          <w:szCs w:val="16"/>
          <w:b w:val="1"/>
          <w:bCs w:val="1"/>
          <w:i w:val="1"/>
          <w:iCs w:val="1"/>
          <w:color w:val="auto"/>
        </w:rPr>
        <w:t>The seasonal nature of our business, severe weather events resulting from climate change and event driven special projects cause our results to fluctuate, and prior performance may not be indicative of our future results.</w:t>
      </w:r>
    </w:p>
    <w:p>
      <w:pPr>
        <w:spacing w:after="0" w:line="12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these and other reasons, operating results in any period may not be indicative of operating results for any other period. Our stock price may be negatively impacted by interim variations in our results.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External Economic and Industry Risks</w:t>
      </w:r>
    </w:p>
    <w:p>
      <w:pPr>
        <w:spacing w:after="0" w:line="229" w:lineRule="exact"/>
        <w:rPr>
          <w:sz w:val="20"/>
          <w:szCs w:val="20"/>
          <w:color w:val="auto"/>
        </w:rPr>
      </w:pPr>
    </w:p>
    <w:p>
      <w:pPr>
        <w:jc w:val="both"/>
        <w:ind w:left="180" w:right="79"/>
        <w:spacing w:after="0" w:line="311" w:lineRule="auto"/>
        <w:rPr>
          <w:sz w:val="20"/>
          <w:szCs w:val="20"/>
          <w:color w:val="auto"/>
        </w:rPr>
      </w:pPr>
      <w:r>
        <w:rPr>
          <w:rFonts w:ascii="Arial" w:cs="Arial" w:eastAsia="Arial" w:hAnsi="Arial"/>
          <w:sz w:val="16"/>
          <w:szCs w:val="16"/>
          <w:b w:val="1"/>
          <w:bCs w:val="1"/>
          <w:i w:val="1"/>
          <w:iCs w:val="1"/>
          <w:color w:val="auto"/>
        </w:rPr>
        <w:t>The COVID-19 global pandemic has caused a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2020 and continuing into 2021, federal, state and local governments throughout North America imposed varying degrees of restriction on social and commercial activity to promote social distancing in an effort to slow the spread of COVID-19. The pandemic and related measures have had a significant adverse impact on many sectors of the economy, including environmental services. The initial business closures and negative impact on general economic conditions resulted in volume declines and reductions in customers’ waste service needs, which negatively impacted our results of operations and cash flows. In particular, COVID-19 caused decreases in volumes in higher margin businesses, impacting key financial metrics.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Throughout 2021, our volumes recovered from the sharp decline experienced in April 2020, with minimal impact from the resurgence in transmission of COVID-19 associated with recent virus variants, as communities and businesses remained open. However, uncertainty remains with respect to various factors that influence the pace of economic recovery, including factors discussed in the two risk factors immediately below. The potential for future resurgence in transmission of COVID-19 and related business closures, due to COVID-19 variants or other pandemic conditions, could adversely impact our volumes and costs in the future. If such conditions were to deepen and extend the broad-based economic slow-down, it may have a material adverse impact on our financial condition, results of operations and cash flows and hinder our ability to grow our business and execute our business strategy. Additionally, if a large portion of our employee base were to become ill, it could impact our ability to provide timely and reliable service.</w:t>
      </w:r>
    </w:p>
    <w:p>
      <w:pPr>
        <w:spacing w:after="0" w:line="166" w:lineRule="exact"/>
        <w:rPr>
          <w:sz w:val="20"/>
          <w:szCs w:val="20"/>
          <w:color w:val="auto"/>
        </w:rPr>
      </w:pPr>
    </w:p>
    <w:p>
      <w:pPr>
        <w:ind w:left="220" w:right="79"/>
        <w:spacing w:after="0" w:line="308" w:lineRule="auto"/>
        <w:rPr>
          <w:sz w:val="20"/>
          <w:szCs w:val="20"/>
          <w:color w:val="auto"/>
        </w:rPr>
      </w:pPr>
      <w:r>
        <w:rPr>
          <w:rFonts w:ascii="Arial" w:cs="Arial" w:eastAsia="Arial" w:hAnsi="Arial"/>
          <w:sz w:val="17"/>
          <w:szCs w:val="17"/>
          <w:b w:val="1"/>
          <w:bCs w:val="1"/>
          <w:i w:val="1"/>
          <w:iCs w:val="1"/>
          <w:color w:val="auto"/>
        </w:rPr>
        <w:t>Governmental regulations requiring mandatory COVID-19 vaccination of employees could adversely impact our ability to perform or compete for certain contracts and negatively affect our results of operations.</w:t>
      </w:r>
    </w:p>
    <w:p>
      <w:pPr>
        <w:spacing w:after="0" w:line="14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September 2021, President Biden issued an executive order requiring all employers with U.S. government contracts to ensure that their U.S.-based employees, contractors and subcontractors that work on or in support of U.S. government contracts, with some exceptions, to be fully vaccinated against COVID-19. We are currently party to certain service agreements with the U.S. government. The vaccine mandate is facing legal challenges and currently is enjoined nationwide. In November 2021, OSHA announced an Emergency Temporary Standard (“ETS”) mandating either full vaccination against COVID-19 or weekly testing of employees for employers with 100 or more employees; however, the agency withdrew the ETS in January 2022 following an unfavorable decision by the U.S. Supreme Court. OSHA has indicated that it will continue to pursue the vaccine and testing requirements of the ETS through the traditional rulemaking process, and additional vaccine mandates may be announced in jurisdictions in which our businesses operate. We cannot currently predict the impact of any such vaccine requirements on our workforce, although implementation may result in our inability to perform or compete for certain contracts, as well as significant cost, operational disruption, attrition and difficulty securing future labor needs in the already-constrained labor market.</w:t>
      </w:r>
    </w:p>
    <w:p>
      <w:pPr>
        <w:spacing w:after="0" w:line="179" w:lineRule="exact"/>
        <w:rPr>
          <w:sz w:val="20"/>
          <w:szCs w:val="20"/>
          <w:color w:val="auto"/>
        </w:rPr>
      </w:pPr>
    </w:p>
    <w:p>
      <w:pPr>
        <w:ind w:left="220" w:right="79"/>
        <w:spacing w:after="0" w:line="308" w:lineRule="auto"/>
        <w:rPr>
          <w:sz w:val="20"/>
          <w:szCs w:val="20"/>
          <w:color w:val="auto"/>
        </w:rPr>
      </w:pPr>
      <w:r>
        <w:rPr>
          <w:rFonts w:ascii="Arial" w:cs="Arial" w:eastAsia="Arial" w:hAnsi="Arial"/>
          <w:sz w:val="17"/>
          <w:szCs w:val="17"/>
          <w:b w:val="1"/>
          <w:bCs w:val="1"/>
          <w:i w:val="1"/>
          <w:iCs w:val="1"/>
          <w:color w:val="auto"/>
        </w:rPr>
        <w:t>Market disruption, including labor shortages and supply chain constraints, and macroeconomic pressures, including the heightened pace of inflation, have adversely impacted our business and results of operations.</w:t>
      </w:r>
    </w:p>
    <w:p>
      <w:pPr>
        <w:spacing w:after="0" w:line="14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Certain macroeconomic pressures and market disruption, driven in part by the COVID-19 pandemic, intensified during the second half of 2021 and are continuing. The constrained labor market has resulted in increased costs for wage adjustments, overtime hours and training new hires to address operational challenges servicing customers. The COVID-19 pandemic and the constrained labor market have also contributed to significant global supply chain disruption and inflationary pressure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we are currently experiencing margin pressures from commodity-driven business impacts, particularly from recycling brokerage rebates and higher fuel prices. The extent and duration of the impact of these labor market, supply chain and transportation challenges are subject to numerous factors, including the continuing impact of the COVID-19 pandemic; size, location and qualifications of the labor pool; behavioral changes; wage and price structures; adoption of new or revised regulations; and broader macroeconomic conditions. If we are not able to overcome limitations on labor availability, it could materially impact our ability to service our customers and our financial results.</w:t>
      </w:r>
    </w:p>
    <w:p>
      <w:pPr>
        <w:spacing w:after="0" w:line="17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Accelerated and pronounced economic pressures, such as the recent inflationary cost pressures on labor and the goods and services we rely upon to deliver service to our customers, have had and continue to have a significant impact on our cost structure and capital expenditures. Significant components of our operating expenses vary directly as we experience changes in revenue due to volume and a heightened pace of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this period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w:t>
      </w:r>
    </w:p>
    <w:p>
      <w:pPr>
        <w:sectPr>
          <w:pgSz w:w="11900" w:h="16838" w:orient="portrait"/>
          <w:cols w:equalWidth="0" w:num="1">
            <w:col w:w="9019"/>
          </w:cols>
          <w:pgMar w:left="1440" w:top="611"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costs and inflationary pressures, or otherwise mitigate the impact of these macroeconomic conditions and market disruptions on our business, will increase our costs of doing business and reduce our margins. If such impacts are prolonged and substantial, they could have a material negative effect on our results of operations.</w:t>
      </w:r>
    </w:p>
    <w:p>
      <w:pPr>
        <w:spacing w:after="0" w:line="18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84"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Enforcement or implementation of foreign and domestic regulations can affect our ability to export products. Attention on waste in the environment has led to new international laws restricting the flow of certain recyclables. As an example, on January 1, 2021, new restrictions on the international trade of most plastics went into effect as part of the Basel Convention on the Control of Transboundary Movements of Hazardous Wastes and Their Disposal. At this time, the U.S. is not a party to the Basel Convention, but most countries to which we export commodities are, which may limit our ability to export certain plastics.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recent years, changes in regulations affecting the international flow of recyclables, have led to a reduction in export activity for recyclables, higher quality requirements and higher processing costs. COVID-19 placed additional financial stress on recyclers and municipalities, resulting in some recycling programs being paused or eliminated. These changes have led to a number of states considering EPR regulations.</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Prices and demand for recyclables fluctuate. Recycling revenue increased $537 million and $75 million in 2021 and 2020, respectively, as compared with the prior year periods primarily from higher market prices for recycling commodities. To support recent increases in both quality requirements and demand for commodities, we have increased our investment in recycling infrastructure and the size of our recycling operations. This, in turn, increases our exposure to commodity price fluctuations. Additionally, future regulation, tariffs, international trade policies or other initiatives may impact supply and demand of material, or increase operating costs, which could impact the profitability of our recycling operations.</w:t>
      </w:r>
    </w:p>
    <w:p>
      <w:pPr>
        <w:spacing w:after="0" w:line="16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Fluctuation in energy prices also affects our business, including recycling of plastics manufactured from petroleum products. Significant variations in the price of biogas,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EES business. Demand for these services decreases when drilling activity slows due to depressed oil and gas prices, such as the low prices throughout the last few years. Any of the commodity prices to which we are subject may fluctuate substantially and without notice in the future.</w:t>
      </w:r>
    </w:p>
    <w:p>
      <w:pPr>
        <w:sectPr>
          <w:pgSz w:w="11900" w:h="16838" w:orient="portrait"/>
          <w:cols w:equalWidth="0" w:num="1">
            <w:col w:w="9019"/>
          </w:cols>
          <w:pgMar w:left="1440" w:top="611"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the landfill, some large customers such as grocery stores and restaurants are choosing to divert their organic waste from landfills. Zero-waste goals (sending no waste to the landfill) have been set by many of the U.S. and Canada’s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7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With a heightened awareness of the global problems caused by plastic waste in the environment, an increasing number of cities and states across the country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viable end markets for recycling many of these materials, and inclusion of such materials in our recycling stream increases contamination and operating costs that can negatively affect the results of our recycling operations.</w:t>
      </w:r>
    </w:p>
    <w:p>
      <w:pPr>
        <w:spacing w:after="0" w:line="166"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General economic conditions can directly and adversely affect revenues for environmental services and our income from operations margins.</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 and variety of services requested by customers. Additionally, a weak market for consumer goods can significantly decrease demand by paper mills for recycled corrugated cardboard used in packaging; such decrease in demand can negatively impact commodity prices and our operating income and cash flows.</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which is difficult to quickly adjust to match shifting volume levels and vendor costs, and may not correlate with the Consumer Price Index or the waste industry.</w:t>
      </w:r>
    </w:p>
    <w:p>
      <w:pPr>
        <w:spacing w:after="0" w:line="19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Weakness in the economy may expose us to credit risk of governmental entities and municipalities and other major customers, which could negatively impact our financial results.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2021, we had $645 million of tax-exempt bonds with term interest rate periods that expire within the next 12 months and $54 million of variable-rate tax-exempt bonds with interest rates reset on a weekly basis. If market dynamics resulted in repricing of our tax-exempt bonds at significantly higher interest rates, we would incur increased interest expenses that may negatively affect our operating results and cash flows.</w:t>
      </w:r>
    </w:p>
    <w:p>
      <w:pPr>
        <w:spacing w:after="0" w:line="192"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The Company’s effective tax rate and tax liability could materially change as a result of the adoption of new tax legislation and other factors.</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Predominantly all of the Company’s revenues are generated in the U.S., and changes in U.S. tax laws could materially impact our effective tax rate, financial condition and results of operations. The U.S. Tax Cuts and Jobs Act, enacted on December 22, 2017 (the “Tax Act”), had a significant impact on our effective tax rate, cash tax expenses and net deferred tax liabilities. The Tax Act reduced the U.S. corporate statutory tax rate and eliminated or limited the deduction of several expenses that were previously deductible, among other things. However, future changes in tax laws could reverse the impacts of the Tax Act, and the current presidential administration has previously indicated support for increasing the U.S. corporate statutory tax rate. If ultimately enacted into law, such an increase could materially impact our tax provision, cash tax liability, effective tax rate and net deferred tax liabilities.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Significant shortages in diesel fuel supply or increases in diesel fuel prices will increase our operating expenses.</w:t>
      </w:r>
    </w:p>
    <w:p>
      <w:pPr>
        <w:spacing w:after="0" w:line="24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Fuel supply shortages and price increases could substantially increase our operating expenses.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Technology and Information Security Risks</w:t>
      </w:r>
    </w:p>
    <w:p>
      <w:pPr>
        <w:spacing w:after="0" w:line="229" w:lineRule="exact"/>
        <w:rPr>
          <w:sz w:val="20"/>
          <w:szCs w:val="20"/>
          <w:color w:val="auto"/>
        </w:rPr>
      </w:pPr>
    </w:p>
    <w:p>
      <w:pPr>
        <w:ind w:left="180" w:right="79"/>
        <w:spacing w:after="0" w:line="381" w:lineRule="auto"/>
        <w:rPr>
          <w:sz w:val="20"/>
          <w:szCs w:val="20"/>
          <w:color w:val="auto"/>
        </w:rPr>
      </w:pPr>
      <w:r>
        <w:rPr>
          <w:rFonts w:ascii="Arial" w:cs="Arial" w:eastAsia="Arial" w:hAnsi="Arial"/>
          <w:sz w:val="15"/>
          <w:szCs w:val="15"/>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0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16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170"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Our existing and proposed service offerings to customers require that we invest in, develop or license, and protect new technologies. Our Company and others are increasingly focusing on new technologies that innovate our operations,</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improve the customer experience and provide alternatives to traditional disposal and maximize the resource value of waste. We are continuing our multi-year commitment to strategic investments in technology, including accelerated investments in customer service digitalization.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which may negatively impact our operating results and prevent us from recouping or realizing a return on these investments. Further, protecting our intellectual property rights and combating unlicensed copying and use of intellectual property is difficult, and inability to obtain or protect new technologies could impact our services to customers and development of new revenue sources.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7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cost savings or other benefits. Significant system failures could impede our ability to timely collect and report financial results in accordance with applicable laws and regulations. Employee work-from-home arrangements prompted by the COVID-19 pandemic increase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181"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We are implementing a new enterprise resource planning and human capital management system, and challenges with the implementation of the system may impact our business and operations.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in the process of a complex, multi-year implementation of a new enterprise resource planning and human capital management (“ERP/HCM”) system. The ERP/HCM system implementation requires the integration of the new system with multiple new and existing information systems and business processes and is designed to accurately maintain our books and records and provide information to our management team important to the operation of the business. Such an implementation is a major undertaking from a financial, management, and personnel perspective, and we have made interim adjustments to our implementation timeline to accommodate aspects that have proven more difficult, or time consuming than initially predicted. Any material disruptions, delays, deficiencies or cost increases associated with the design and implementation of our new ERP/HCM system could adversely affect our ability to produce timely and accurate financial statements or comply with applicable regulations, resulting in negative impacts on our business and operations and subject us to potential liability. Additionally, our implementation of the ERP/HCM system involves greater utilization of third-party “cloud” computing services in connection with our business operations. Problems faced by us or our third-party providers, including technological or business-related disruptions, as well as cybersecurity threats, could adversely impact our business, results of operations and financial condition for future periods.</w:t>
      </w:r>
    </w:p>
    <w:p>
      <w:pPr>
        <w:spacing w:after="0" w:line="17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Significant cybersecurity incidents negatively impact our business and our relationships with customers, vendors and employees and expose us to increased liability.</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Substantially all aspects of our business operations rely on digital technology. We use computers, mobile devices, social networking and other online platforms to connect with our employees, customers, and vendors. These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w:t>
      </w:r>
    </w:p>
    <w:p>
      <w:pPr>
        <w:sectPr>
          <w:pgSz w:w="11900" w:h="16838" w:orient="portrait"/>
          <w:cols w:equalWidth="0" w:num="1">
            <w:col w:w="9019"/>
          </w:cols>
          <w:pgMar w:left="1440" w:top="611"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We are regularly the target of attempted cyber intrusions, and we must commit substantial resources to continuously monitor and further develop our networks and infrastructure to prevent, detect, and address the risk of unauthorized access, misuse, computer viruses and other events. Our security programs and measures do not prevent all intrusions. Cyber intrusions require a significant amount of time and effort to assess and remedy, and our incident response efforts may not be effective in all cases. The Company experienced a cyber intrusion in the first quarter of 2021 that was promptly detected, and the third-party software vulnerability was quickly remediated. There was no impact to the Company’s operations, services or financial statements. A subsidiary of WMI provided notice to potentially affected individuals, U.S. state and federal regulators, and Canadian regulators. As a result of the cyber intrusion, regulatory investigations may result in costs, fines, penalties, or other obligations. Additionally, a subsidiary of WMI is party to a class action case related to this incident. The Company intends to vigorously defend itself against any such proceedings and does not expect that the outcome of any proceedings related to the 2021 incident will have a material adverse effect on the Company’s business, financial condition, results of operations or cash flows; however, assessing and responding to this intrusion required a significant amount of time and management attention. An incident that results in a material theft, destruction, loss, misappropriation, or release of sensitive and/or confidential information or intellectual property, or material interference with our information technology systems or the technology systems of third parties on which we rely, could result in business disruption, direct financial loss, negative publicity, brand damage, alleged violation of privacy laws, loss of customers, potential regulatory enforcement or private litigation liability and competitive disadvantage. While we do maintain insurance for cyber incidents, due to policy terms, limits and exclusions, it may not apply in all cases, and it may not be adequate to cover all liabilities incurred.</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Certain new technologies, such as use of autonomous vehicles, remote-controlled equipment and virtual reality,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Increased regulation by state and federal governments related to cybersecurity protections and disclosures may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157"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certain personally identifiable information and other sensitive information as integral parts of our business and in connection with providing services to our customers. We are subject to a variety of laws and regulations that govern the collection and use of such information obtained from individuals and businesses. These laws and regulations are inconsistent across jurisdictions and are subject to evolving interpretations. Government officials, regulators, privacy advocates and class action attorneys are increasingly scrutinizing how companies collect, process, use, store, share and transmit personal data. We must continually monitor the development and adoption of new and emerging laws and regulations and commit substantial time and resources towards compliance with new laws and regulations. These laws provide disclosure obligations for businesses that collect personal information, individual rights relating to personal information, collection and storage requirements, automated decision-making transparency, and potential liability expansion. Any inability, or perceived inability, to adequately address privacy and data protection concerns, even if unfounded, or comply with applicable laws, regulations, policies, industry standards, contractual obligations, or other legal obligations, including at newly acquired companies, could subject us to regulatory enforcement, private litigation, public criticism, disrupt our operations, cause us to lose customers, result in additional costs and legal liability, damage our reputation, and otherwise harm our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29"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17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6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87"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Changes to federal and state renewable fuel policies could affect our financial performance in that sector as a renewable fuel producer and impact our projected future investments.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primary drivers of renewable fuel development at our landfills are federal and state incentive programs, such as the federal RFS program and the California Low Carbon Fuel Standard. At the federal level, oil refiners and importers are required through the RFS program to blend specified volumes of renewable transportation fuels with gasoline or buy credits, referred to as RINs, from renewable fuel producers. The Company has invested, and continues to invest, in facilities that capture and convert landfill and dairy digester gas into renewable natural gas so that we can participate in the program, and the Company has stated its intention to grow its asset base to notably increase its RNG production by 2026. RINs prices generally respond to regulations enacted by the EPA or other regulatory bodies, as well as fluctuations in supply and demand. The value of the RINs associated with renewable natural gas is set through a market established by the program. Each year, the EPA is required to finalize a rule establishing refiners’ obligations to purchase renewable natural gas and other cellulosic biofuels under the RFS program. Market uncertainty stemming from these annual rulemakings, as well as the EPA’s administration of other aspects of the RFS program, led to a rapid decline in RIN values in 2019 and much of 2020 before rebounding in November 2020. We will continue to advocate for the current administration to implement policies that ensure long-term stability for renewable transportation fuels. Changes in the RFS market, the structure of the RFS program or RINs prices and demand can and has impacted the financial performance of the facilities constructed to capture and treat the gas and could impact or alter our projected future investments.</w:t>
      </w:r>
    </w:p>
    <w:p>
      <w:pPr>
        <w:spacing w:after="0" w:line="167"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The impact of climate change, and the adoption of climate change legislation or regulations restricting emissions of greenhouse gases, could increase our costs to operate.</w:t>
      </w:r>
    </w:p>
    <w:p>
      <w:pPr>
        <w:spacing w:after="0" w:line="170"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We continue to assess the physical risks to our operations from the effects of climate change. Although we have made investments to mitigate risk associated with severe storm events, damage to our facilities or disruption of service caused</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the rolling power blackouts implemented in California in 2019 due to wildfire risks, can result in service disruptions and increase our costs to operate.</w:t>
      </w:r>
    </w:p>
    <w:p>
      <w:pPr>
        <w:spacing w:after="0" w:line="17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landfill operations emit methane, identified as a GHG. There are a number of legislative and regulatory efforts at the state, provincial, regional and federal levels to cap and/or curtail the emission of GHGs to ameliorate the effect of climate change. We continue to monitor these efforts and the potential impacts to our operations. Should comprehensive federal climate change legislation be enacted, we expect it could impose costs on our operations that might not be offset by the revenue increases associated with our lower-carbon service options, the materiality of which we cannot predict.</w:t>
      </w:r>
    </w:p>
    <w:p>
      <w:pPr>
        <w:spacing w:after="0" w:line="161"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192"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a large company with operations across the U.S. and Canada,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49"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90"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76"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29"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w:t>
      </w:r>
    </w:p>
    <w:p>
      <w:pPr>
        <w:sectPr>
          <w:pgSz w:w="11900" w:h="16838" w:orient="portrait"/>
          <w:cols w:equalWidth="0" w:num="1">
            <w:col w:w="9019"/>
          </w:cols>
          <w:pgMar w:left="1440" w:top="611"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Additionally, we have $2.5 billion of debt as of December 31, 2021 that is exposed to changes in market interest rates within the next 12 months because of the impact of our commercial paper borrowings and tax-exempt bonds. If interest rates increase, our interest expense would also increase, lowering our net income and decreasing our cash flow.</w:t>
      </w:r>
    </w:p>
    <w:p>
      <w:pPr>
        <w:spacing w:after="0" w:line="14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may use our $3.5 billion revolving credit facility to meet our cash needs, to the extent available, until maturity in November 2024. As of December 31, 2021, we had no outstanding borrowings under this facility. We had $167 million of letters of credit issued and $1.8 billion of outstanding borrowings (net of related discount on issuance) under our commercial paper program, both supported by this facility, leaving unused and available credit capacity of $1.5 billion as of December 31, 2021.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96"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18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accordance with U.S. Generally Accepted Accounting Principles (“GAAP”), we capitalize certain expenditures and advances relating to disposal site development, expansion projects, acquisitions, software development costs and other projects. Events that have in the past and may in the future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w:t>
      </w:r>
    </w:p>
    <w:p>
      <w:pPr>
        <w:sectPr>
          <w:pgSz w:w="11900" w:h="16838" w:orient="portrait"/>
          <w:cols w:equalWidth="0" w:num="1">
            <w:col w:w="9019"/>
          </w:cols>
          <w:pgMar w:left="1440" w:top="611"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principal executive offices are in Houston, Texas where we lease approximately 297,000 square feet under a lease expiring in 2035. We also have administrative offices in Arizona, Connecticut, Illinois and India. We own or lease real property in most locations where we have operations or administrative functions. We have operations in all 50 states except Montana, the District of Columbia and throughout Canada.</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For more information, 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within this report.</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various operations as of December 31: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Landfills owned or operated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Transfer stations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67" w:lineRule="exact"/>
        <w:rPr>
          <w:sz w:val="20"/>
          <w:szCs w:val="20"/>
          <w:color w:val="auto"/>
        </w:rPr>
      </w:pPr>
    </w:p>
    <w:p>
      <w:pPr>
        <w:jc w:val="both"/>
        <w:ind w:left="380" w:right="79" w:hanging="330"/>
        <w:spacing w:after="0" w:line="271"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As of December 31, 2021 and 2020, our landfills owned or operated consisted of total acreage of 173,071 and 172,217; permitted acreage of 45,897 and 45,642; and expansion acreage of 674 and 716, respectively. Total acreage includes permitted acreage, expansion acreage, other acreage available for future disposal that has not been permitted, buffer land and other land. Permitted acreage consists of all acreage at the landfill encompassed by an active permit to dispose of waste. 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Critical Accounting Estimates and Assumptions </w:t>
      </w:r>
      <w:r>
        <w:rPr>
          <w:rFonts w:ascii="Arial" w:cs="Arial" w:eastAsia="Arial" w:hAnsi="Arial"/>
          <w:sz w:val="17"/>
          <w:szCs w:val="17"/>
          <w:color w:val="auto"/>
        </w:rPr>
        <w:t>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10 to the Consolidated Financial Statements included within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80" w:right="59" w:hanging="12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number of holders of record of our common stock on February 9, 2022 was 8,099.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5537835" cy="3480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37835"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8"/>
              </w:rPr>
              <w:t>12/31/17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12/31/21</w:t>
            </w: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Waste &amp; Disposal Services Index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bl>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During 2021, we allocated an aggregate of $1.35 billion in cash under our accelerated share repurchase (“ASR”) agreements. As of December 31, 2021, we had received 8.7 million shares with a weighted average price per share of $146.61. In January 2022, we completed our ASR agreement executed in December 2021, at which time we received an additional 0.4 million shares. See Note 13 to the Consolidated Financial Statements for additional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common stock repurchases made during the fourth quarter of 2021 (shares in millions):</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Dollar Value of Shares that</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Price Paid</w:t>
            </w:r>
          </w:p>
        </w:tc>
        <w:tc>
          <w:tcPr>
            <w:tcW w:w="2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280" w:type="dxa"/>
            <w:vAlign w:val="bottom"/>
          </w:tcPr>
          <w:p>
            <w:pPr>
              <w:spacing w:after="0"/>
              <w:rPr>
                <w:sz w:val="16"/>
                <w:szCs w:val="16"/>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282"/>
        </w:trPr>
        <w:tc>
          <w:tcPr>
            <w:tcW w:w="33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2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350 million</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November 1 — 30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80"/>
              <w:spacing w:after="0"/>
              <w:rPr>
                <w:sz w:val="20"/>
                <w:szCs w:val="20"/>
                <w:color w:val="auto"/>
              </w:rPr>
            </w:pPr>
            <w:r>
              <w:rPr>
                <w:rFonts w:ascii="Arial" w:cs="Arial" w:eastAsia="Arial" w:hAnsi="Arial"/>
                <w:sz w:val="18"/>
                <w:szCs w:val="18"/>
                <w:color w:val="auto"/>
              </w:rPr>
              <w:t>350 million</w:t>
            </w: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159.32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7"/>
              </w:rPr>
              <w:t>1.5 billion (b)</w:t>
            </w:r>
          </w:p>
        </w:tc>
        <w:tc>
          <w:tcPr>
            <w:tcW w:w="0" w:type="dxa"/>
            <w:vAlign w:val="bottom"/>
          </w:tcPr>
          <w:p>
            <w:pPr>
              <w:spacing w:after="0"/>
              <w:rPr>
                <w:sz w:val="1"/>
                <w:szCs w:val="1"/>
                <w:color w:val="auto"/>
              </w:rPr>
            </w:pPr>
          </w:p>
        </w:tc>
      </w:tr>
      <w:tr>
        <w:trPr>
          <w:trHeight w:val="209"/>
        </w:trPr>
        <w:tc>
          <w:tcPr>
            <w:tcW w:w="330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159.32</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August 2021, we entered into an ASR agreement to repurchase $500 million of our common stock. At the beginning of the repurchase period, we delivered $500 million in cash and received 2.7 million shares based on a stock price of $147.27. The ASR agreement completed in the fourth quarter of 2021, at which time we received 0.5 million additional shares based on a final weighted average price of $154.72.</w:t>
      </w:r>
    </w:p>
    <w:p>
      <w:pPr>
        <w:spacing w:after="0" w:line="78" w:lineRule="exact"/>
        <w:rPr>
          <w:rFonts w:ascii="Arial" w:cs="Arial" w:eastAsia="Arial" w:hAnsi="Arial"/>
          <w:sz w:val="18"/>
          <w:szCs w:val="18"/>
          <w:color w:val="auto"/>
        </w:rPr>
      </w:pPr>
    </w:p>
    <w:p>
      <w:pPr>
        <w:jc w:val="both"/>
        <w:ind w:left="380" w:right="59"/>
        <w:spacing w:after="0" w:line="259" w:lineRule="auto"/>
        <w:rPr>
          <w:rFonts w:ascii="Arial" w:cs="Arial" w:eastAsia="Arial" w:hAnsi="Arial"/>
          <w:sz w:val="18"/>
          <w:szCs w:val="18"/>
          <w:color w:val="auto"/>
        </w:rPr>
      </w:pPr>
      <w:r>
        <w:rPr>
          <w:rFonts w:ascii="Arial" w:cs="Arial" w:eastAsia="Arial" w:hAnsi="Arial"/>
          <w:sz w:val="18"/>
          <w:szCs w:val="18"/>
          <w:color w:val="auto"/>
        </w:rPr>
        <w:t>In December 2021, we executed an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78" w:lineRule="exact"/>
        <w:rPr>
          <w:rFonts w:ascii="Arial" w:cs="Arial" w:eastAsia="Arial" w:hAnsi="Arial"/>
          <w:sz w:val="18"/>
          <w:szCs w:val="18"/>
          <w:color w:val="auto"/>
        </w:rPr>
      </w:pPr>
    </w:p>
    <w:p>
      <w:pPr>
        <w:jc w:val="both"/>
        <w:ind w:left="380" w:right="59"/>
        <w:spacing w:after="0" w:line="263" w:lineRule="auto"/>
        <w:rPr>
          <w:rFonts w:ascii="Arial" w:cs="Arial" w:eastAsia="Arial" w:hAnsi="Arial"/>
          <w:sz w:val="18"/>
          <w:szCs w:val="18"/>
          <w:color w:val="auto"/>
        </w:rPr>
      </w:pPr>
      <w:r>
        <w:rPr>
          <w:rFonts w:ascii="Arial" w:cs="Arial" w:eastAsia="Arial" w:hAnsi="Arial"/>
          <w:sz w:val="18"/>
          <w:szCs w:val="18"/>
          <w:color w:val="auto"/>
        </w:rPr>
        <w:t>The “Average Price Paid per Share” in the table represents the final weighted average price per share paid for the ASR agreement executed in August 2021 and the initial price per share paid for the ASR agreement executed in December 2021.</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announced in December 2021 that the Board of Directors has authorized up to $1.5 billion in future share repurchases.</w:t>
      </w:r>
    </w:p>
    <w:p>
      <w:pPr>
        <w:spacing w:after="0" w:line="170"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Any future share repurchases will be made at the discretion of management and will depend on various factors including our net earnings, financial condition and cash required for future business plans, growth and acquisitions.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2021.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w:t>
      </w:r>
    </w:p>
    <w:p>
      <w:pPr>
        <w:sectPr>
          <w:pgSz w:w="11900" w:h="16838" w:orient="portrait"/>
          <w:cols w:equalWidth="0" w:num="1">
            <w:col w:w="9019"/>
          </w:cols>
          <w:pgMar w:left="1440" w:top="611"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decomposes in landfills and using the gas in generators to make electricity or natural gas.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 Consistent with our Company’s long-standing commitment to sustainability and environmental stewardship, we published our 2021 Sustainability Report, which details our people-first commitment to help make the communities in which we live and work safe, resilient and sustainable. The information in this report can be found at https://sustainability.wm.com but it does not constitute a part of, and is not incorporated by reference into, this Annual Report on Form 10-K. For further discussion see section “</w:t>
      </w:r>
      <w:r>
        <w:rPr>
          <w:rFonts w:ascii="Arial" w:cs="Arial" w:eastAsia="Arial" w:hAnsi="Arial"/>
          <w:sz w:val="16"/>
          <w:szCs w:val="16"/>
          <w:i w:val="1"/>
          <w:iCs w:val="1"/>
          <w:color w:val="auto"/>
        </w:rPr>
        <w:t>Regulation –</w:t>
      </w:r>
      <w:r>
        <w:rPr>
          <w:rFonts w:ascii="Arial" w:cs="Arial" w:eastAsia="Arial" w:hAnsi="Arial"/>
          <w:sz w:val="16"/>
          <w:szCs w:val="16"/>
          <w:color w:val="auto"/>
        </w:rPr>
        <w:t xml:space="preserve"> </w:t>
      </w:r>
      <w:r>
        <w:rPr>
          <w:rFonts w:ascii="Arial" w:cs="Arial" w:eastAsia="Arial" w:hAnsi="Arial"/>
          <w:sz w:val="16"/>
          <w:szCs w:val="16"/>
          <w:i w:val="1"/>
          <w:iCs w:val="1"/>
          <w:color w:val="auto"/>
        </w:rPr>
        <w:t>Emerging Trends in Policy and Regulation – Climate and Sustainability</w:t>
      </w:r>
      <w:r>
        <w:rPr>
          <w:rFonts w:ascii="Arial" w:cs="Arial" w:eastAsia="Arial" w:hAnsi="Arial"/>
          <w:sz w:val="16"/>
          <w:szCs w:val="16"/>
          <w:color w:val="auto"/>
        </w:rPr>
        <w:t>” in Item 1.</w:t>
      </w:r>
    </w:p>
    <w:p>
      <w:pPr>
        <w:spacing w:after="0" w:line="16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 of Advanced Disposal Services, Inc. (“Advanced Disposal”)</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grew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(“364-day revolving credit facility”) and our commercial paper program. In November 2020, we issued $2.5 billion of senior notes and used a portion of the proceeds to repay all outstanding borrowings under the 364-day revolving credit facility at which time it was terminated. As a result of the acquisition we recorded $4.1 billion of net assets including $2.5 billion of goodwill as of December 31, 2020. Post-closing adjustments to our purchase price allocation were not material.</w:t>
      </w:r>
    </w:p>
    <w:p>
      <w:pPr>
        <w:spacing w:after="0" w:line="16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connection with our acquisition of Advanced Disposal, we and Advanced Disposal entered into an agreement that provided for GFL Environmental to acquire a combination of assets from us and Advanced Disposal to address divestitures required by the U.S. Department of Justice. Immediately following the acquisition, the divestiture transactions were consummated and the Company subsequently received cash proceeds from the sale of $856 million.</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11 and 17 to the Consolidated Financial Statements for more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For the year ended December 31, 2021, we incurred $51 million of integration related costs, and for the year ended December 31, 2020, we incurred $156 million of acquisition and integration related costs, which were primarily classified as “Selling, general and administrative expenses”. The post-closing operating results of Advanced Disposal have been included in our consolidated financial statements, within our existing reportable segments. Post-closing through December 31, 2020, Advanced Disposal recognized $205 million, $142 million and $60 million of revenue, operating expenses and selling, general and administrative expenses, respectively, which are included in our Consolidated Statement of Operations. During 2021, we made significant progress on our integration of Advanced Disposal. The focus of these efforts has been to ensure that we continue to provide uninterrupted service to our customers through the integration of certain customer facing and back office digital platforms.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Throughout the COVID-19 pandemic, the Company has proactively taken steps to put our employees’ and customers’ needs first and we continue to work with the appropriate regulatory agencies to ensure we can provide our essential services safely and efficiently. We continue to operate with a focus on protecting the health and safety of our employees and maintaining business continuity for our customers. These efforts, combined with our disciplined execution in our daily operations, have positioned the Company to prudently manage the challenges presented by COVID-19.</w:t>
      </w:r>
    </w:p>
    <w:p>
      <w:pPr>
        <w:spacing w:after="0" w:line="16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impacts of COVID-19 on the global economy increased rapidly during the second quarter of 2020, affecting our business in most geographies and across a variety of our customer types. Over the last year, our volumes have been recovering from the sharp decline experienced in April 2020 as a result of COVID-19. The pace of recovery in our volumes accelerated in the second quarter of 2021, and continued in the back-half of 2021 with minimal impact from the resurgence in transmission of recent COVID-19 virus variants as communities and businesses remained open. The portions of our business that had the most pronounced decreases in volume due to the pandemic were our industrial and commercial collection businesses and construction and demolition and special waste volumes at our landfills. As we completed 2021, volumes in each of these lines of business were either on par with pre-pandemic levels or have now surpassed 2019 volumes. We continue to be optimistic about our volume recovery and overall economic recovery from the impacts of the COVID-19 pandemic. However, uncertainty remains with respect to various factors that influence the pace of economic recovery and the potential for future resurgence in transmission of COVID-19 and related business closures due to virus variants or otherwise. Such conditions could adversely impact our volumes and costs in the future.</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the leading waste management environmental services provider in North America, we are taking big, bold steps in an effort to catalyze positive change – change that will impact our Company as well as the communities we serve. Our sustainability agenda includes expanding recycling and focuses on meeting or exceeding specific 2025 and 2038 sustainability goals around people, customers, the environment, and community, which align with eight of the United Nations Sustainable Development Goals.</w:t>
      </w:r>
    </w:p>
    <w:p>
      <w:pPr>
        <w:spacing w:after="0" w:line="17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w:t>
      </w:r>
    </w:p>
    <w:p>
      <w:pPr>
        <w:sectPr>
          <w:pgSz w:w="11900" w:h="16838" w:orient="portrait"/>
          <w:cols w:equalWidth="0" w:num="1">
            <w:col w:w="9019"/>
          </w:cols>
          <w:pgMar w:left="1440" w:top="611"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 inflation. Volume changes can fluctuate dramatically by line of business and volume changes in higher margin businesses, such as what we saw with COVID-19, can impact key financial metrics. We must dynamically manage our cost structure in response to volume changes and cost inflation.</w:t>
      </w:r>
    </w:p>
    <w:p>
      <w:pPr>
        <w:spacing w:after="0" w:line="19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customer service digitalization initiative to change the way we interact with our customers. Enhancements made through this initiative are intended to seamlessly and digitally connect all the Company’s functions required to service our customers in order to provide the best experience and service. Additionally, in early 2022, we substantially implemented our new enterprise resource planning system which will drive operational and service excellence by empowering our people through a modern, simplified and connected employee experience.</w:t>
      </w:r>
    </w:p>
    <w:p>
      <w:pPr>
        <w:spacing w:after="0" w:line="178"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Certain macroeconomic pressures and market disruption, driven in part by the COVID-19 pandemic, intensified during the second half of 2021 and are continuing. The constrained labor market has resulted in increased costs for wage adjustments, overtime hours and training new hires to address frontline employee turnover, increased volume, and operational challenges servicing customers. The COVID-19 pandemic and the constrained labor market have also contributed to significant global supply chain disruption and inflationary pressure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we are currently experiencing margin pressures from commodity-driven business impacts, particularly from recycling brokerage rebates and higher fuel prices. The extent and duration of the impact of these labor market, supply chain and transportation challenges are subject to numerous factors, including the continuing impact of the COVID-19 pandemic; size, location and qualifications of the labor pool; behavioral changes; wage and price structures; adoption of new or revised regulations, including vaccine mandates; and broader macroeconomic conditions. As costs increase, we focus on our strategic pricing efforts, as well as operating efficiencies and cost controls, to maintain and grow our earnings and cash flow. With increased pressure from the strong economic recovery, particularly on labor, we remain focused on putting our people first to ensure that they are well positioned to diligently and safely execute our daily operations. We are encouraged by our results in 2021 and remain focused on delivering outstanding customer service, managing our variable costs with changing volumes and investing in technology that will enhance our customers’ experience and reduce our cost to serve.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Year Financial Results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During 2021, we delivered strong revenue and income from operations as we continued to experience higher yield and volume recovery in our landfill, commercial and industrial collection businesses and benefited from the acquisition of Advanced Disposal. However, our income from operations was impacted by constraints on labor availability and inflationary cost pressures, primarily in the second half of 2021. We continue to invest in our people through market wage adjustments, investments in our digital platform and training for new team members. In addition, we are focused on executing on our disciplined pricing programs to drive margin growth in the face of these additional labor cost and inflationary pressures. We also made significant investments in recycling automation technology and customer service digitalization to further support our continued focus on optimizing operational efficiency as well as achieving improved labor productivity for all lines of business. During 2021, the Company allocated $1,904 million of available cash to capital expenditures. We also allocated $2,320 million of available cash to our shareholders during 2021 through dividends and common stock repurchases.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2021 financial results include:</w:t>
      </w:r>
    </w:p>
    <w:p>
      <w:pPr>
        <w:spacing w:after="0" w:line="117" w:lineRule="exact"/>
        <w:rPr>
          <w:sz w:val="20"/>
          <w:szCs w:val="20"/>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of $17,931 million for 2021 compared with $15,218 million in 2020, an increase of $2,713 million, or 17.8%. The increase is primarily attributable to (i) the acquisition of Advanced Disposal; (ii) record-high increases in the market prices for recycling commodities we sell; (iii) higher yield in our collection and disposal lines of business and (iv) strong volume growth;</w:t>
      </w:r>
    </w:p>
    <w:p>
      <w:pPr>
        <w:spacing w:after="0" w:line="78"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expenses of $11,111 million in 2021, or 62.0% of revenues, compared with $9,341 million, or 61.4% of revenues, in 2020. The $1,770 million increase is primarily attributable to (i) increased volumes from the acquisition of Advanced Disposal; (ii) commodity-driven business impacts, particularly from recycling brokerage rebates and higher fuel prices, which also meaningfully impacted our operating expense as a percentage of revenue; (iii) volume recovery from earlier pandemic lows; (iv) labor cost pressure from frontline employee wage adjustments, increased turnover driving up training costs and higher overtime due to driver shortages and volume growth and (v) inflationary cost pressures, primarily in the second half of 2021;</w:t>
      </w:r>
    </w:p>
    <w:p>
      <w:pPr>
        <w:spacing w:after="0" w:line="69" w:lineRule="exact"/>
        <w:rPr>
          <w:rFonts w:ascii="Arial" w:cs="Arial" w:eastAsia="Arial" w:hAnsi="Arial"/>
          <w:sz w:val="17"/>
          <w:szCs w:val="17"/>
          <w:color w:val="auto"/>
        </w:rPr>
      </w:pPr>
    </w:p>
    <w:p>
      <w:pPr>
        <w:jc w:val="both"/>
        <w:ind w:left="720" w:right="79" w:hanging="319"/>
        <w:spacing w:after="0" w:line="28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Selling, general and administrative expenses of $1,864 million in 2021, or 10.4% of revenues, compared with $1,728 million, or 11.4% of revenues, in 2020. The $136 million increase is primarily attributable to (i) higher incentive compensation costs; (ii) strategic investments in our digital platform and (iii) increased labor, support and integration costs following our acquisition of Advanced Disposal. These cost increases are partially offset by</w:t>
      </w:r>
    </w:p>
    <w:p>
      <w:pPr>
        <w:spacing w:after="0" w:line="1" w:lineRule="exact"/>
        <w:rPr>
          <w:rFonts w:ascii="Arial" w:cs="Arial" w:eastAsia="Arial" w:hAnsi="Arial"/>
          <w:sz w:val="16"/>
          <w:szCs w:val="16"/>
          <w:color w:val="auto"/>
        </w:rPr>
      </w:pPr>
    </w:p>
    <w:p>
      <w:pPr>
        <w:ind w:left="720" w:right="79"/>
        <w:spacing w:after="0" w:line="323" w:lineRule="auto"/>
        <w:rPr>
          <w:rFonts w:ascii="Arial" w:cs="Arial" w:eastAsia="Arial" w:hAnsi="Arial"/>
          <w:sz w:val="16"/>
          <w:szCs w:val="16"/>
          <w:color w:val="auto"/>
        </w:rPr>
      </w:pPr>
      <w:r>
        <w:rPr>
          <w:rFonts w:ascii="Arial" w:cs="Arial" w:eastAsia="Arial" w:hAnsi="Arial"/>
          <w:sz w:val="16"/>
          <w:szCs w:val="16"/>
          <w:color w:val="auto"/>
        </w:rPr>
        <w:t>(i) lower consulting, advisory and legal fees associated with our completion of the Advanced Disposal acquisition in 2020 and (ii) a decrease in our provision for bad debts as collections returned to pre-pandemic levels;</w:t>
      </w:r>
    </w:p>
    <w:p>
      <w:pPr>
        <w:spacing w:after="0" w:line="30" w:lineRule="exact"/>
        <w:rPr>
          <w:rFonts w:ascii="Arial" w:cs="Arial" w:eastAsia="Arial" w:hAnsi="Arial"/>
          <w:sz w:val="16"/>
          <w:szCs w:val="16"/>
          <w:color w:val="auto"/>
        </w:rPr>
      </w:pPr>
    </w:p>
    <w:p>
      <w:pPr>
        <w:jc w:val="both"/>
        <w:ind w:left="720" w:right="79" w:hanging="319"/>
        <w:spacing w:after="0" w:line="288"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Income from operations of $2,965 million, or 16.5% of revenues, in 2021 compared with $2,434 million, or 16.0% of revenues, in 2020. The improved earnings in the current year are driven by (i) strong operating results in our collection and disposal business; (ii) improved profitability in our recycling business; (iii) lower transaction-related costs following our 2020 acquisition of Advanced Disposal and (iv) improved profitability in our WM Renewable Energy business. The increase in income from operations was partially offset by (i) labor cost pressure from frontline employee wage adjustments, increased turnover driving up training costs and higher overtime due to driver shortages and volume growth; (ii) inflationary cost pressures and (iii) increased depreciation and amortization from our acquisition of Advanced Disposal and increased landfill amortization from higher volumes and revisions in landfill estimates. During 2021, the positive earnings contributions from Advanced Disposal were offset by elevated depreciation and amortization of acquired assets;</w:t>
      </w:r>
    </w:p>
    <w:p>
      <w:pPr>
        <w:spacing w:after="0" w:line="60"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$1,816 million, or $4.29 per diluted share, compared with $1,496 million, or $3.52 per diluted share, in the prior year period. The increase in income from operations discussed above, in addition to lower interest expense, drove an increase in net income which was partially offset by a loss on early extinguishment of debt;</w:t>
      </w:r>
    </w:p>
    <w:p>
      <w:pPr>
        <w:spacing w:after="0" w:line="7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cash provided by operating activities was $4,338 million in 2021, compared with $3,403 million in 2020 with the improvement driven by (i) an increase in earnings; (ii) our acquisition of Advanced Disposal; (iii) lower interest payments; (iv) lower income taxes paid in the current year and (v) favorable changes in our working capital, net of effects of acquisitions and divestitures; and</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72"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Free cash flow was $2,530 million in 2021, compared with $2,656 million in 2020. The decrease in free cash flow is primarily attributable to higher proceeds from divestitures in 2020 primarily related to assets required to be sold by the U.S. Department of Justice in connection with our acquisition of Advanced Disposal, partially offset by an increase in net cash provided by operating activities discussed above. Free cash flow is a non-GAAP measure of liquidity. Refer to </w:t>
      </w:r>
      <w:r>
        <w:rPr>
          <w:rFonts w:ascii="Arial" w:cs="Arial" w:eastAsia="Arial" w:hAnsi="Arial"/>
          <w:sz w:val="17"/>
          <w:szCs w:val="17"/>
          <w:i w:val="1"/>
          <w:iCs w:val="1"/>
          <w:color w:val="auto"/>
        </w:rPr>
        <w:t>Free Cash Flow</w:t>
      </w:r>
      <w:r>
        <w:rPr>
          <w:rFonts w:ascii="Arial" w:cs="Arial" w:eastAsia="Arial" w:hAnsi="Arial"/>
          <w:sz w:val="17"/>
          <w:szCs w:val="17"/>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Strategic Business Solutions (“WMSBS”) and Energy and Environmental Services (“EES”) businesses, recycling brokerage services, landfill gas-to-energy services and certain other expanded service offerings and solutions. The mix of operating revenues from our major lines of business for the year ended December 31 are as follows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17,931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15,218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our landfill gas-to-energy operations managed by our WM Renewable Energy business;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for the year ended December 31 (dollars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2021 vs. 2020</w:t>
            </w: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2020 vs. 2019</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center"/>
              <w:ind w:right="110"/>
              <w:spacing w:after="0" w:line="119" w:lineRule="exact"/>
              <w:rPr>
                <w:sz w:val="20"/>
                <w:szCs w:val="20"/>
                <w:color w:val="auto"/>
              </w:rPr>
            </w:pPr>
            <w:r>
              <w:rPr>
                <w:rFonts w:ascii="Arial" w:cs="Arial" w:eastAsia="Arial" w:hAnsi="Arial"/>
                <w:sz w:val="13"/>
                <w:szCs w:val="13"/>
                <w:b w:val="1"/>
                <w:bCs w:val="1"/>
                <w:color w:val="auto"/>
              </w:rPr>
              <w:t>As a % of</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4"/>
          </w:tcPr>
          <w:p>
            <w:pPr>
              <w:jc w:val="right"/>
              <w:ind w:right="447"/>
              <w:spacing w:after="0" w:line="119" w:lineRule="exact"/>
              <w:rPr>
                <w:sz w:val="20"/>
                <w:szCs w:val="20"/>
                <w:color w:val="auto"/>
              </w:rPr>
            </w:pPr>
            <w:r>
              <w:rPr>
                <w:rFonts w:ascii="Arial" w:cs="Arial" w:eastAsia="Arial" w:hAnsi="Arial"/>
                <w:sz w:val="13"/>
                <w:szCs w:val="13"/>
                <w:b w:val="1"/>
                <w:bCs w:val="1"/>
                <w:color w:val="auto"/>
              </w:rPr>
              <w:t>As a % of</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Related</w:t>
            </w: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6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64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1200" w:type="dxa"/>
            <w:vAlign w:val="bottom"/>
            <w:gridSpan w:val="4"/>
          </w:tcPr>
          <w:p>
            <w:pPr>
              <w:jc w:val="right"/>
              <w:ind w:right="507"/>
              <w:spacing w:after="0" w:line="149" w:lineRule="exact"/>
              <w:rPr>
                <w:sz w:val="20"/>
                <w:szCs w:val="20"/>
                <w:color w:val="auto"/>
              </w:rPr>
            </w:pPr>
            <w:r>
              <w:rPr>
                <w:rFonts w:ascii="Arial" w:cs="Arial" w:eastAsia="Arial" w:hAnsi="Arial"/>
                <w:sz w:val="14"/>
                <w:szCs w:val="14"/>
                <w:b w:val="1"/>
                <w:bCs w:val="1"/>
                <w:color w:val="auto"/>
              </w:rPr>
              <w:t>Related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Business(a)</w:t>
            </w:r>
          </w:p>
        </w:tc>
        <w:tc>
          <w:tcPr>
            <w:tcW w:w="860" w:type="dxa"/>
            <w:vAlign w:val="bottom"/>
            <w:gridSpan w:val="4"/>
            <w:vMerge w:val="continue"/>
          </w:tcPr>
          <w:p>
            <w:pPr>
              <w:spacing w:after="0"/>
              <w:rPr>
                <w:sz w:val="14"/>
                <w:szCs w:val="14"/>
                <w:color w:val="auto"/>
              </w:rPr>
            </w:pPr>
          </w:p>
        </w:tc>
        <w:tc>
          <w:tcPr>
            <w:tcW w:w="100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w w:val="93"/>
              </w:rPr>
              <w:t>Company(b)</w:t>
            </w:r>
          </w:p>
        </w:tc>
        <w:tc>
          <w:tcPr>
            <w:tcW w:w="22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168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w w:val="97"/>
              </w:rPr>
              <w:t>Business(a)    Amount</w:t>
            </w:r>
          </w:p>
        </w:tc>
        <w:tc>
          <w:tcPr>
            <w:tcW w:w="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09"/>
        </w:trPr>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Recycling (c)</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537</w:t>
            </w:r>
          </w:p>
        </w:tc>
        <w:tc>
          <w:tcPr>
            <w:tcW w:w="74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220"/>
              <w:spacing w:after="0" w:line="182" w:lineRule="exact"/>
              <w:rPr>
                <w:sz w:val="20"/>
                <w:szCs w:val="20"/>
                <w:color w:val="auto"/>
              </w:rPr>
            </w:pPr>
            <w:r>
              <w:rPr>
                <w:rFonts w:ascii="Arial" w:cs="Arial" w:eastAsia="Arial" w:hAnsi="Arial"/>
                <w:sz w:val="18"/>
                <w:szCs w:val="18"/>
                <w:color w:val="auto"/>
              </w:rPr>
              <w:t>Total average yield</w:t>
            </w: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220"/>
              <w:spacing w:after="0"/>
              <w:rPr>
                <w:sz w:val="20"/>
                <w:szCs w:val="20"/>
                <w:color w:val="auto"/>
              </w:rPr>
            </w:pPr>
            <w:r>
              <w:rPr>
                <w:rFonts w:ascii="Arial" w:cs="Arial" w:eastAsia="Arial" w:hAnsi="Arial"/>
                <w:sz w:val="18"/>
                <w:szCs w:val="18"/>
                <w:color w:val="auto"/>
              </w:rPr>
              <w:t>(e)</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1,245</w:t>
            </w:r>
          </w:p>
        </w:tc>
        <w:tc>
          <w:tcPr>
            <w:tcW w:w="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8.2 %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 (d)</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220"/>
              <w:spacing w:after="0" w:line="182" w:lineRule="exact"/>
              <w:rPr>
                <w:sz w:val="20"/>
                <w:szCs w:val="20"/>
                <w:color w:val="auto"/>
              </w:rPr>
            </w:pPr>
            <w:r>
              <w:rPr>
                <w:rFonts w:ascii="Arial" w:cs="Arial" w:eastAsia="Arial" w:hAnsi="Arial"/>
                <w:sz w:val="18"/>
                <w:szCs w:val="18"/>
                <w:color w:val="auto"/>
              </w:rPr>
              <w:t>Internal revenue</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220"/>
              <w:spacing w:after="0"/>
              <w:rPr>
                <w:sz w:val="20"/>
                <w:szCs w:val="20"/>
                <w:color w:val="auto"/>
              </w:rPr>
            </w:pPr>
            <w:r>
              <w:rPr>
                <w:rFonts w:ascii="Arial" w:cs="Arial" w:eastAsia="Arial" w:hAnsi="Arial"/>
                <w:sz w:val="18"/>
                <w:szCs w:val="18"/>
                <w:color w:val="auto"/>
              </w:rPr>
              <w:t>growth</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40" w:type="dxa"/>
            <w:vAlign w:val="bottom"/>
          </w:tcPr>
          <w:p>
            <w:pPr>
              <w:ind w:left="4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9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total Company revenue adjusted to exclude the impacts of divestitures for the current year.</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117"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Beginning in 2021, includes changes in our revenue attributable to our WM Renewable Energy business from yield, which is included in Fuel Surcharges and Other, and Volume.</w:t>
      </w:r>
    </w:p>
    <w:p>
      <w:pPr>
        <w:spacing w:after="0" w:line="62" w:lineRule="exact"/>
        <w:rPr>
          <w:rFonts w:ascii="Arial" w:cs="Arial" w:eastAsia="Arial" w:hAnsi="Arial"/>
          <w:sz w:val="18"/>
          <w:szCs w:val="18"/>
          <w:color w:val="auto"/>
        </w:rPr>
      </w:pPr>
    </w:p>
    <w:p>
      <w:pPr>
        <w:ind w:left="380" w:right="179" w:hanging="330"/>
        <w:spacing w:after="0" w:line="50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details of our revenue growth from collection and disposal average yield for the year ended December 31 are as follows (dollars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2021 vs. 2020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2020 vs. 2019</w:t>
            </w:r>
          </w:p>
        </w:tc>
      </w:tr>
      <w:tr>
        <w:trPr>
          <w:trHeight w:val="119"/>
        </w:trPr>
        <w:tc>
          <w:tcPr>
            <w:tcW w:w="3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4"/>
              </w:rPr>
              <w:t>Related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4"/>
              </w:rPr>
              <w:t>Related</w:t>
            </w:r>
          </w:p>
        </w:tc>
      </w:tr>
      <w:tr>
        <w:trPr>
          <w:trHeight w:val="171"/>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Business</w:t>
            </w: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3"/>
              </w:rPr>
              <w:t>Business</w:t>
            </w: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Industrial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r>
      <w:tr>
        <w:trPr>
          <w:trHeight w:val="209"/>
        </w:trPr>
        <w:tc>
          <w:tcPr>
            <w:tcW w:w="376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397</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238</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1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3.5 %</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1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w w:val="91"/>
              </w:rPr>
              <w:t>2.2 %</w:t>
            </w:r>
          </w:p>
        </w:tc>
      </w:tr>
      <w:tr>
        <w:trPr>
          <w:trHeight w:val="20"/>
        </w:trPr>
        <w:tc>
          <w:tcPr>
            <w:tcW w:w="3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overall strategic pricing efforts are focused on recovering as much of the inflationary cost increases we experience in our business as possible by increasing our average unit rate. We experienced strong average yield growth in our collection line of business of 4.2% in 2021, up from 2.5% in 2020, showing our focus on our pricing efforts in this inflationary environment. We are driving improvements in our residential line of business, aligning the price charged for services we provide to our customers with the costs to provide the services, resulting in increased average yield in 2021 of 4.5%, up from 2.9% in 2020. We are also continuing to see growth in our landfill and transfer businesses with our municipal solid waste business experiencing 3.2% average yield growth for 2021 compared to 2.3% in 2020. A significant portion of our revenue is tied to a price escalation index with a lookback provision, which has resulted in a timing lag in our ability to recover increased costs under those contracts during this period of rapid inflation. Separately, for many of our customers we provide services under multi-year contracts that can restrict our ability to increase prices and the timing of such increases. As we enter 2022, many of these contract lookback provisions will begin to capture the recent inflationary cost increases.</w:t>
      </w:r>
    </w:p>
    <w:p>
      <w:pPr>
        <w:spacing w:after="0" w:line="17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Recycling — </w:t>
      </w:r>
      <w:r>
        <w:rPr>
          <w:rFonts w:ascii="Arial" w:cs="Arial" w:eastAsia="Arial" w:hAnsi="Arial"/>
          <w:sz w:val="16"/>
          <w:szCs w:val="16"/>
          <w:color w:val="auto"/>
        </w:rPr>
        <w:t>Recycling revenue increased $537 million and $75 million in 2021 and 2020, respectively,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prior year periods primarily from higher market prices for recycling commodities. Average market prices for recycling commodities at the Company’s facilities were approximately 115% and 19% higher in 2021 and 2020, respectively, when compared with the prior year periods. Market prices began to increase in 2020 from the unprecedented lows experienced in 2019, largely due to COVID-19 related decreases in the supply of recycled materials. Demand for recycled materials strengthened in the back-half of 2020 and continued in 2021, outpacing supply, driven by the growth in e-commerce, businesses re-opening, and manufacturers committing to use more recycled content in their packaging. We have also maintained our focus on converting to a fee-based pricing model that ensures fees paid by customers address the cost of processing materials and the impact on our cost structure of managing contamination in the recycling stream.</w:t>
      </w:r>
    </w:p>
    <w:p>
      <w:pPr>
        <w:spacing w:after="0" w:line="16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Fuel Surcharges and Other — </w:t>
      </w:r>
      <w:r>
        <w:rPr>
          <w:rFonts w:ascii="Arial" w:cs="Arial" w:eastAsia="Arial" w:hAnsi="Arial"/>
          <w:sz w:val="17"/>
          <w:szCs w:val="17"/>
          <w:color w:val="auto"/>
        </w:rPr>
        <w:t>These fees, which include our fuel surcharge program, yield from our WM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business and other mandated fees, increased $240 million in 2021, as compared with 2020, and decreased $151 million in 2020 as compared with 2019. Fuel surcharge revenues are based on and fluctuate in response to changes in the national average prices for diesel fuel, and also vary with changes in our volume-based revenue activity. Market prices for diesel fuel were almost 30% higher in 2021, when compared with 2020, as diesel fuel prices began to increase towards the end of 2020 and continued to increase throughout 2021. Consistent with the general downturn in oil and gas markets in 2020, market prices for diesel fuel were approximately 16% lower in 2020, as compared to 2019. Additionally, we transitioned certain customers’ pricing away from a fuel surcharge in 2020, reflecting the cost of fuel in the base rates we charge for our services, which further contributed to the decline in 2020 as compared with 2019. Revenue from our WM Renewable Energy business increased in 2021, as compared to 2020, primarily driven by the increase in value for renewable fuel standard credits. The other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Our revenues from volume (excluding volumes from acquisitions and divestitures) increased $435 million, or 2.8%, in 2021, as compared with 2020, and decreased $692 million, or 4.5%, in 2020, as compared with 2019.</w:t>
      </w:r>
    </w:p>
    <w:p>
      <w:pPr>
        <w:spacing w:after="0" w:line="146" w:lineRule="exact"/>
        <w:rPr>
          <w:sz w:val="20"/>
          <w:szCs w:val="20"/>
          <w:color w:val="auto"/>
        </w:rPr>
      </w:pPr>
    </w:p>
    <w:p>
      <w:pPr>
        <w:jc w:val="both"/>
        <w:ind w:left="60" w:right="59" w:firstLine="259"/>
        <w:spacing w:after="0" w:line="287" w:lineRule="auto"/>
        <w:rPr>
          <w:sz w:val="20"/>
          <w:szCs w:val="20"/>
          <w:color w:val="auto"/>
        </w:rPr>
      </w:pPr>
      <w:r>
        <w:rPr>
          <w:rFonts w:ascii="Arial" w:cs="Arial" w:eastAsia="Arial" w:hAnsi="Arial"/>
          <w:sz w:val="16"/>
          <w:szCs w:val="16"/>
          <w:color w:val="auto"/>
        </w:rPr>
        <w:t>Over the last year, our volumes have been recovering from the sharp decline experienced in April 2020 as a result of COVID-19. The pace of recovery in our volumes accelerated in the second quarter of 2021 and continued in the back-half of 2021 with minimal impact from the resurgence in transmission of recent COVID-19 virus variants as communities and businesses remained open. The portions of our business that had the most pronounced decreases in volume due to the pandemic were our industrial and commercial collection businesses and our landfill volumes. As we completed 2021, volumes in each of these lines of business were either on par with pre-pandemic levels or have now surpassed 2019 volumes. We continue to be optimistic about volume recovery and overall economic recovery from the impacts of the COVID-19 pandemic. However, uncertainty remains with respect to various factors that influence the pace of economic recovery and the potential for future resurgence in transmission of COVID-19 and related business closures due to virus variants or otherwise. Such conditions could adversely impact our volumes in the future. In addition, our WMSBS business volume grew from our continued focus on a differentiated service model for national accounts customers.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Acquisitions and Divestitures</w:t>
      </w:r>
    </w:p>
    <w:p>
      <w:pPr>
        <w:spacing w:after="0" w:line="225" w:lineRule="exact"/>
        <w:rPr>
          <w:sz w:val="20"/>
          <w:szCs w:val="20"/>
          <w:color w:val="auto"/>
        </w:rPr>
      </w:pPr>
    </w:p>
    <w:p>
      <w:pPr>
        <w:jc w:val="both"/>
        <w:ind w:left="60" w:right="59" w:firstLine="259"/>
        <w:spacing w:after="0" w:line="263" w:lineRule="auto"/>
        <w:rPr>
          <w:sz w:val="20"/>
          <w:szCs w:val="20"/>
          <w:color w:val="auto"/>
        </w:rPr>
      </w:pPr>
      <w:r>
        <w:rPr>
          <w:rFonts w:ascii="Arial" w:cs="Arial" w:eastAsia="Arial" w:hAnsi="Arial"/>
          <w:sz w:val="18"/>
          <w:szCs w:val="18"/>
          <w:color w:val="auto"/>
        </w:rPr>
        <w:t>Acquisitions and divestitures resulted in a net increase in revenues of $983 million, or 6.5%, and $240 million, or 1.6%, in 2021 and 2020, respectively, as compared with the prior year periods, primarily due to our acquisition of Advanced Disposal.</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line of business,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in addition to cost inflation, affect the comparability of the components of our operating expenses.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280" w:type="dxa"/>
            <w:vAlign w:val="bottom"/>
            <w:gridSpan w:val="6"/>
          </w:tcPr>
          <w:p>
            <w:pPr>
              <w:ind w:left="320"/>
              <w:spacing w:after="0"/>
              <w:rPr>
                <w:sz w:val="20"/>
                <w:szCs w:val="20"/>
                <w:color w:val="auto"/>
              </w:rPr>
            </w:pPr>
            <w:r>
              <w:rPr>
                <w:rFonts w:ascii="Arial" w:cs="Arial" w:eastAsia="Arial" w:hAnsi="Arial"/>
                <w:sz w:val="18"/>
                <w:szCs w:val="18"/>
                <w:color w:val="auto"/>
              </w:rPr>
              <w:t>The  following  table  summarizes  the  major  components  of</w:t>
            </w:r>
          </w:p>
        </w:tc>
        <w:tc>
          <w:tcPr>
            <w:tcW w:w="2280" w:type="dxa"/>
            <w:vAlign w:val="bottom"/>
            <w:gridSpan w:val="7"/>
          </w:tcPr>
          <w:p>
            <w:pPr>
              <w:jc w:val="right"/>
              <w:ind w:right="60"/>
              <w:spacing w:after="0"/>
              <w:rPr>
                <w:sz w:val="20"/>
                <w:szCs w:val="20"/>
                <w:color w:val="auto"/>
              </w:rPr>
            </w:pPr>
            <w:r>
              <w:rPr>
                <w:rFonts w:ascii="Arial" w:cs="Arial" w:eastAsia="Arial" w:hAnsi="Arial"/>
                <w:sz w:val="18"/>
                <w:szCs w:val="18"/>
                <w:color w:val="auto"/>
                <w:w w:val="95"/>
              </w:rPr>
              <w:t>our  operating  expenses  for</w:t>
            </w:r>
          </w:p>
        </w:tc>
        <w:tc>
          <w:tcPr>
            <w:tcW w:w="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the  year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ended</w:t>
            </w:r>
          </w:p>
        </w:tc>
      </w:tr>
      <w:tr>
        <w:trPr>
          <w:trHeight w:val="230"/>
        </w:trPr>
        <w:tc>
          <w:tcPr>
            <w:tcW w:w="5280" w:type="dxa"/>
            <w:vAlign w:val="bottom"/>
            <w:gridSpan w:val="6"/>
          </w:tcPr>
          <w:p>
            <w:pPr>
              <w:spacing w:after="0"/>
              <w:rPr>
                <w:sz w:val="20"/>
                <w:szCs w:val="20"/>
                <w:color w:val="auto"/>
              </w:rPr>
            </w:pPr>
            <w:r>
              <w:rPr>
                <w:rFonts w:ascii="Arial" w:cs="Arial" w:eastAsia="Arial" w:hAnsi="Arial"/>
                <w:sz w:val="18"/>
                <w:szCs w:val="18"/>
                <w:color w:val="auto"/>
                <w:w w:val="98"/>
              </w:rPr>
              <w:t>December 31 (dollars in millions and as a percentage of revenues):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8"/>
        </w:trPr>
        <w:tc>
          <w:tcPr>
            <w:tcW w:w="35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42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$ 2,746</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18.1 %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$ 2,791</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18.0 %</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r>
      <w:tr>
        <w:trPr>
          <w:trHeight w:val="432"/>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4"/>
                <w:szCs w:val="24"/>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Subcontractor costs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Fuel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r>
      <w:tr>
        <w:trPr>
          <w:trHeight w:val="425"/>
        </w:trPr>
        <w:tc>
          <w:tcPr>
            <w:tcW w:w="35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11,111</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$ 9,341</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61.</w:t>
            </w:r>
            <w:r>
              <w:rPr>
                <w:rFonts w:ascii="Arial" w:cs="Arial" w:eastAsia="Arial" w:hAnsi="Arial"/>
                <w:sz w:val="18"/>
                <w:szCs w:val="18"/>
                <w:u w:val="single" w:color="auto"/>
                <w:color w:val="auto"/>
                <w:w w:val="89"/>
              </w:rPr>
              <w:t>4</w:t>
            </w:r>
            <w:r>
              <w:rPr>
                <w:rFonts w:ascii="Arial" w:cs="Arial" w:eastAsia="Arial" w:hAnsi="Arial"/>
                <w:sz w:val="18"/>
                <w:szCs w:val="18"/>
                <w:color w:val="auto"/>
                <w:w w:val="89"/>
              </w:rPr>
              <w:t xml:space="preserve">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$ 9,496</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61.</w:t>
            </w:r>
            <w:r>
              <w:rPr>
                <w:rFonts w:ascii="Arial" w:cs="Arial" w:eastAsia="Arial" w:hAnsi="Arial"/>
                <w:sz w:val="18"/>
                <w:szCs w:val="18"/>
                <w:u w:val="single" w:color="auto"/>
                <w:color w:val="auto"/>
                <w:w w:val="89"/>
              </w:rPr>
              <w:t>4</w:t>
            </w:r>
            <w:r>
              <w:rPr>
                <w:rFonts w:ascii="Arial" w:cs="Arial" w:eastAsia="Arial" w:hAnsi="Arial"/>
                <w:sz w:val="18"/>
                <w:szCs w:val="18"/>
                <w:color w:val="auto"/>
                <w:w w:val="89"/>
              </w:rPr>
              <w:t xml:space="preserve"> %</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operating expenses for 2021 increased, as compared with 2020, primarily due to (i) increased volumes from the acquisition of Advanced Disposal; (ii) commodity-driven business impacts, particularly from recycling brokerage rebates and higher fuel prices; (iii) volume recovery from earlier pandemic lows; (iv) labor cost pressure from frontline employee wage adjustments, increased turnover driving up training costs and higher overtime due to driver shortages and volume growth and (v) inflationary cost pressures, primarily in the second half of 2021. These impacts were partially offset by our continued focus on operating efficiency and efforts to control costs as volumes grow.</w:t>
      </w:r>
    </w:p>
    <w:p>
      <w:pPr>
        <w:spacing w:after="0" w:line="17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operating expenses for 2020 decreased, as compared with 2019, primarily due to decreases in our landfill and industrial and commercial collection volumes and our proactive steps to manage our variable costs in response to the volume declines resulting from COVID-19 impacts. The revenue declines due to the COVID-19 pandemic had a greater impact on our higher margin lines of business and negatively impacted operating costs as a percentage of revenues. In addition, our operating expenses as a percentage of revenues was impacted by our acquisition of Advanced Disposal as the acquired business’s operating cost structure was higher than ours and we incurred certain one-time, upfront costs.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between reported periods include: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in labor and related benefits costs in 2021, as compared with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(i) increased labor and related benefits costs related to our acquisition of Advanced Disposal; (ii) merit and proactive market wage adjustments to hire and retain talent; (iii) volume increases, particularly in our commercial and industrial collection businesses, which when combined with driver shortages and turnover in certain markets, increased overtime and training hours; (iv) higher annual incentive compensation and (v) increases in health and welfare costs attributable to medical care activity generally returning to pre-pandemic levels. The decrease in labor and related benefits costs in 2020, as compared with 2019, was largely driven by decreases in volume in our industrial and commercial collection businesses. Our proactive steps positioned us to optimize our route structure to respond to lower industrial and commercial collection volumes. Additionally, the decrease was attributable to (i) improved efficiency; (ii) lower headcount due to employee attrition coupled with proactive steps to defer hiring due to COVID-19 driven uncertainty and (iii) lower annual incentive compensation. These decreases were offset, in part, by annual merit increases and the addition of employees as a result of our acquisition of Advanced Disposal.</w:t>
      </w:r>
    </w:p>
    <w:p>
      <w:pPr>
        <w:spacing w:after="0" w:line="17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Transfer and Disposal Costs </w:t>
      </w:r>
      <w:r>
        <w:rPr>
          <w:rFonts w:ascii="Arial" w:cs="Arial" w:eastAsia="Arial" w:hAnsi="Arial"/>
          <w:sz w:val="17"/>
          <w:szCs w:val="17"/>
          <w:color w:val="auto"/>
        </w:rPr>
        <w:t>— The increase in transfer and disposal costs in 2021, as compared with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increased volume, which includes the volumes from our acquisition of Advanced Disposal and inflationary cost increases from our third-party haulers. The decrease in transfer and disposal costs in 2020, as compared with 2019, was largely driven by volume declines in our industrial and commercial collection businesses as a result of COVID-19 offset, in part, by additional disposal costs attributable to our acquisition of Advanced Disposal.</w:t>
      </w:r>
    </w:p>
    <w:p>
      <w:pPr>
        <w:spacing w:after="0" w:line="17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in maintenance and repairs costs in 2021, as compared with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largely driven by (i) our acquisition of Advanced Disposal, including intentional investments to bring the acquired fleet to</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standards; (ii) inflationary cost increases for parts, supplies and third-party services; (iii) additional fleet maintenance driven by commercial and industrial collection volume increases; (iv) labor cost pressure from our technicians, including higher overtime from labor shortages; (v) an increase in container repairs driven by volume increases and delays in normal course capital expenditures for steel containers due to both steel costs and supply chain constraints and (vi) increased building maintenance costs including improvements to facilities. The decrease in maintenance and repairs costs in 2020, as compared with 2019, was largely driven by proactive steps to optimize routes and reduce overtime hours to address the volume declines discussed above. Additionally, the 2019 period was also impacted by a $16 million non-cash charge to write-off certain equipment costs related to our Other segment. This decline in costs was partially offset by intentional investments in the acquired Advanced Disposal fleet and inflationary cost pressures for both our Company and third-party services due to demand for skilled technician labor as well as for parts and supplies.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increase in subcontractor costs in 2021, as compared with 2020, was largely driven by</w:t>
      </w:r>
    </w:p>
    <w:p>
      <w:pPr>
        <w:spacing w:after="0" w:line="46" w:lineRule="exact"/>
        <w:rPr>
          <w:sz w:val="20"/>
          <w:szCs w:val="20"/>
          <w:color w:val="auto"/>
        </w:rPr>
      </w:pPr>
    </w:p>
    <w:p>
      <w:pPr>
        <w:jc w:val="both"/>
        <w:ind w:left="60" w:right="59" w:hanging="10"/>
        <w:spacing w:after="0" w:line="292" w:lineRule="auto"/>
        <w:tabs>
          <w:tab w:leader="none" w:pos="2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inflationary cost increases from third-party haulers and higher volumes; (ii) an increase in volumes in our WMSBS business, which relies more extensively on subcontracted hauling than our collection and disposal business and (iii) the acquisition of Advanced Disposal. The decrease in subcontractor costs in 2020, as compared with 2019, was largely due to COVID-19 driven volume declines in our industrial collection business and projects ending or scaling down during 2020 in our EES business. The decrease was offset, in part, by an increase in business activity in our WMSBS business.</w:t>
      </w:r>
    </w:p>
    <w:p>
      <w:pPr>
        <w:spacing w:after="0" w:line="16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Cost of Goods Sold — </w:t>
      </w:r>
      <w:r>
        <w:rPr>
          <w:rFonts w:ascii="Arial" w:cs="Arial" w:eastAsia="Arial" w:hAnsi="Arial"/>
          <w:sz w:val="17"/>
          <w:szCs w:val="17"/>
          <w:color w:val="auto"/>
        </w:rPr>
        <w:t>The increase in cost of goods sold in 2021, as compared with 2020, was primarily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market prices for recycling commodities of approximately 115% and to a lesser extent, higher recycling volumes. Costs in 2020 were flat when compared with 2019 in spite of an increase in commodity prices, largely due to lower recycling volumes as a result of COVID-19. Additionally, a higher percentage of our overall recycled commodity sales in 2020 were targeted at domestic markets, resulting in lower freight costs.</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Fuel — </w:t>
      </w:r>
      <w:r>
        <w:rPr>
          <w:rFonts w:ascii="Arial" w:cs="Arial" w:eastAsia="Arial" w:hAnsi="Arial"/>
          <w:sz w:val="17"/>
          <w:szCs w:val="17"/>
          <w:color w:val="auto"/>
        </w:rPr>
        <w:t>The increase in fuel costs in 2021, as compared with 2020, was primarily due to (i) increases of almost 30%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diesel fuel; (ii) the acquisition of Advanced Disposal and (iii) volume increases in our commercial and industrial collection businesses. The decrease in fuel costs in 2020, as compared with 2019, was primarily due to (i) a decline of approximately 15% in market prices for diesel fuel; (ii) lower costs resulting from the continued conversion of our fleet to natural gas vehicles and (iii) volume declines. The decreases were offset, in part, by (i) lower federal alternative fuel credits and (ii) additional costs attributable to our acquisition of Advanced Disposal.</w:t>
      </w:r>
    </w:p>
    <w:p>
      <w:pPr>
        <w:spacing w:after="0" w:line="178" w:lineRule="exact"/>
        <w:rPr>
          <w:sz w:val="20"/>
          <w:szCs w:val="20"/>
          <w:color w:val="auto"/>
        </w:rPr>
      </w:pPr>
    </w:p>
    <w:p>
      <w:pPr>
        <w:jc w:val="both"/>
        <w:ind w:left="60" w:right="79" w:firstLine="324"/>
        <w:spacing w:after="0" w:line="291" w:lineRule="auto"/>
        <w:rPr>
          <w:sz w:val="20"/>
          <w:szCs w:val="20"/>
          <w:color w:val="auto"/>
        </w:rPr>
      </w:pPr>
      <w:r>
        <w:rPr>
          <w:rFonts w:ascii="Arial" w:cs="Arial" w:eastAsia="Arial" w:hAnsi="Arial"/>
          <w:sz w:val="16"/>
          <w:szCs w:val="16"/>
          <w:i w:val="1"/>
          <w:iCs w:val="1"/>
          <w:color w:val="auto"/>
        </w:rPr>
        <w:t xml:space="preserve">Disposal and Franchise Fees and Taxes — </w:t>
      </w:r>
      <w:r>
        <w:rPr>
          <w:rFonts w:ascii="Arial" w:cs="Arial" w:eastAsia="Arial" w:hAnsi="Arial"/>
          <w:sz w:val="16"/>
          <w:szCs w:val="16"/>
          <w:color w:val="auto"/>
        </w:rPr>
        <w:t>The increase in disposal and franchise fees and taxes in 2021,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2020, was primarily driven by (i) landfill volume increases; (ii) disposal rate increases at certain landfills and</w:t>
      </w:r>
    </w:p>
    <w:p>
      <w:pPr>
        <w:jc w:val="both"/>
        <w:ind w:left="60" w:right="59" w:hanging="10"/>
        <w:spacing w:after="0" w:line="302" w:lineRule="auto"/>
        <w:tabs>
          <w:tab w:leader="none" w:pos="3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additional costs attributable to our acquisition of Advanced Disposal. The decrease in disposal and franchise fees and taxes in 2020, as compared with 2019, was primarily related to lower landfill volumes, largely driven by the impact of COVID-19. The decreases were offset, in part, by additional costs attributable to our acquisition of Advanced Disposal.</w:t>
      </w:r>
    </w:p>
    <w:p>
      <w:pPr>
        <w:spacing w:after="0" w:line="15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Landfill Operating Costs — </w:t>
      </w:r>
      <w:r>
        <w:rPr>
          <w:rFonts w:ascii="Arial" w:cs="Arial" w:eastAsia="Arial" w:hAnsi="Arial"/>
          <w:sz w:val="16"/>
          <w:szCs w:val="16"/>
          <w:color w:val="auto"/>
        </w:rPr>
        <w:t>The increase in landfill operating costs in 2021, as compared with 2020,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volume increases, which includes our acquisition of Advanced Disposal and increased testing and monitoring costs. These increases were partially offset by (i) lower leachate management costs, primarily due to the cessation of certain transportation costs in our East Tier segment and (ii) changes in the measurement of our environmental remediation obligations and recovery assets in 2021 and 2020. Our measurement of these balances includes application of a risk-free discount rate, which is based on the rate for U.S. Treasury bonds. In 2021, there was an increase in the discount rate, which resulted in a reduction in the net liability balance and a credit to expense. Conversely, in 2020, there was a decrease in the discount rate, which resulted in an increase in the net liability balance and a charge to expense.</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increase in landfill operating costs in 2020, as compared with 2019, was primarily due to higher leachate management costs compared to the prior year and additional costs attributable to our acquisition of Advanced Disposal. This increase was offset, in part, by decreases attributable to lower volumes at our landfills.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Risk Management </w:t>
      </w:r>
      <w:r>
        <w:rPr>
          <w:rFonts w:ascii="Arial" w:cs="Arial" w:eastAsia="Arial" w:hAnsi="Arial"/>
          <w:sz w:val="17"/>
          <w:szCs w:val="17"/>
          <w:color w:val="auto"/>
        </w:rPr>
        <w:t>— The increase in risk management costs in 2021, as compared with 2020, was primarily due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of Advanced Disposal and overall economic recovery, increasing business activity and claim volumes and related costs. Risk management costs were relatively flat in 2020, as compared with 2019.</w:t>
      </w:r>
    </w:p>
    <w:p>
      <w:pPr>
        <w:sectPr>
          <w:pgSz w:w="11900" w:h="16838" w:orient="portrait"/>
          <w:cols w:equalWidth="0" w:num="1">
            <w:col w:w="9019"/>
          </w:cols>
          <w:pgMar w:left="1440" w:top="611"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operating cost increases in 2021, as compared with 2020, were due to our acquisition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and increased equipment rental costs attributable, in part, to increased volumes and supply chain constraints slowing normal course fleet and equipment orders. Additionally, during the second half of 2021, additional volumes and inflationary cost pressures drove an increase in various costs. Partially offsetting these was a favorable litigation settlement in 2021. Additionally, net gains on sales of certain assets during each year impacted the comparability of the reported periods.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 ended December 31 (dollars in millions and as a percentage of revenues):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42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$ 1,057</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$ 1,020</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6.6 %</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Professional fees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8"/>
                <w:szCs w:val="18"/>
                <w:color w:val="auto"/>
              </w:rPr>
            </w:pPr>
          </w:p>
        </w:tc>
      </w:tr>
      <w:tr>
        <w:trPr>
          <w:trHeight w:val="425"/>
        </w:trPr>
        <w:tc>
          <w:tcPr>
            <w:tcW w:w="314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$ 1,728</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11.4 %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$ 1,631</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10.6 %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Selling, general and administrative expenses for 2021, as compared with 2020, increased primarily due to (i) higher incentive compensation costs; (ii) strategic investments in our digital platform, including planned investments in a new enterprise resource planning system and investments in customer service digitalization and (iii) increased labor, support and integration costs following our acquisition of Advanced Disposal. Partially offsetting these increases are lower consulting, advisory and legal fees from the 2020 acquisition of Advanced Disposal and improvements in our provision for bad debts as collections returned to pre-pandemic levels. Although our costs increased, the significant revenue increase positioned us to reduce our overall selling, general and administrative expenses as a percentage of revenues when compared with the prior year periods.</w:t>
      </w:r>
    </w:p>
    <w:p>
      <w:pPr>
        <w:spacing w:after="0" w:line="192" w:lineRule="exact"/>
        <w:rPr>
          <w:sz w:val="20"/>
          <w:szCs w:val="20"/>
          <w:color w:val="auto"/>
        </w:rPr>
      </w:pPr>
    </w:p>
    <w:p>
      <w:pPr>
        <w:jc w:val="both"/>
        <w:ind w:left="60" w:right="79" w:firstLine="324"/>
        <w:spacing w:after="0" w:line="274" w:lineRule="auto"/>
        <w:rPr>
          <w:sz w:val="20"/>
          <w:szCs w:val="20"/>
          <w:color w:val="auto"/>
        </w:rPr>
      </w:pPr>
      <w:r>
        <w:rPr>
          <w:rFonts w:ascii="Arial" w:cs="Arial" w:eastAsia="Arial" w:hAnsi="Arial"/>
          <w:sz w:val="17"/>
          <w:szCs w:val="17"/>
          <w:color w:val="auto"/>
        </w:rPr>
        <w:t>Selling, general and administrative expenses for 2020, as compared with 2019, increased due to (i) incremental costs of approximately $150 million incurred in connection with the acquisition and integration of Advanced Disposal;</w:t>
      </w:r>
    </w:p>
    <w:p>
      <w:pPr>
        <w:jc w:val="both"/>
        <w:ind w:left="60" w:right="59" w:hanging="10"/>
        <w:spacing w:after="0" w:line="302" w:lineRule="auto"/>
        <w:tabs>
          <w:tab w:leader="none" w:pos="3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strategic investments in our digital platform and (iii) an increase in the provision for bad debts due to negative impacts on customer receipts experienced as a result of the COVID-19 pandemic. In addition to the cost increases, selling, general and administrative expenses as a percent of revenue increased in 2020 due to the decline in volume-related revenues.</w:t>
      </w:r>
    </w:p>
    <w:p>
      <w:pPr>
        <w:spacing w:after="0" w:line="15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in labor and related benefits costs for 2021, as compared with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 higher incentive compensation costs; (ii) additional headcount, including from our acquisition of Advanced Disposal; (iii) annual merit increases for our employees; (iv) costs associated with our strategic investments in our digital platform and (v) increases in health and welfare costs attributable to medical care activities generally returning to pre-pandemic levels from the lower level experienced during 2020. The increase in labor and related benefits costs in 2020, as compared with 2019, was largely due to (i) costs incurred in connection with our acquisition of Advanced Disposal, including severance costs and additional headcount; (ii) annual merit increases and (iii) costs associated with</w:t>
      </w:r>
    </w:p>
    <w:p>
      <w:pPr>
        <w:sectPr>
          <w:pgSz w:w="11900" w:h="16838" w:orient="portrait"/>
          <w:cols w:equalWidth="0" w:num="1">
            <w:col w:w="9019"/>
          </w:cols>
          <w:pgMar w:left="1440" w:top="611"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strategic investments in our digital platform. These cost increases were offset, in part, by (i) lower annual incentive compensation costs and (ii) proactive steps undertaken to defer hiring and reduce labor related costs.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Professional fees decreased for 2021, as compared with 2020, primarily due to lower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legal fees following the completion of our acquisition of Advanced Disposal in 2020, partially offset by increased strategic investments in our digital platform and integration costs related to our acquisition of Advanced Disposal. The increases in professional fees in 2020, as compared with 2019, were primarily driven by consulting, advisory and legal fees incurred in connection with our acquisition and integration of Advanced Disposal and strategic investments in our digital platform.</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decrease in provision for bad debts for 2021, as compared with 2020,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overall improvement in customer account collections and decreased collection risk with certain customers. The increase in the provision for bad debts in 2020, as compared with 2019, was primarily due to increased collection risk associated with certain customers as a result of the COVID-19 pandemic.</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The increase in other expenses for 2021, as compared with 2020, was primarily driven by costs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acquisition of Advanced Disposal and increased technology infrastructure costs to support our strategic investments in our digital platform. The decrease in other expenses in 2020, as compared with 2019, was primarily due to lower litigation costs and proactive measures taken to reduce discretionary costs, such as travel and entertainment, company-wide. These cost decreases were offset, in part, by increased technology infrastructure costs in 2020 to support strategic investments in our digital platform. We also incurred one-time technology costs in 2020 to transition employees to work-from-home in response to the COVID-19 pandemic.</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components of our depreciation and amortization expenses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(dollars in millions and as a percentage of revenues):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tangible property and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$ 1,125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Amortization of landfill airspace</w:t>
            </w:r>
          </w:p>
        </w:tc>
        <w:tc>
          <w:tcPr>
            <w:tcW w:w="620" w:type="dxa"/>
            <w:vAlign w:val="bottom"/>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$ 1,999</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w:t>
            </w:r>
            <w:r>
              <w:rPr>
                <w:rFonts w:ascii="Arial" w:cs="Arial" w:eastAsia="Arial" w:hAnsi="Arial"/>
                <w:sz w:val="18"/>
                <w:szCs w:val="18"/>
                <w:u w:val="single" w:color="auto"/>
                <w:color w:val="auto"/>
                <w:w w:val="85"/>
              </w:rPr>
              <w:t>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1,671</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1,574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w:t>
            </w:r>
            <w:r>
              <w:rPr>
                <w:rFonts w:ascii="Arial" w:cs="Arial" w:eastAsia="Arial" w:hAnsi="Arial"/>
                <w:sz w:val="18"/>
                <w:szCs w:val="18"/>
                <w:u w:val="single" w:color="auto"/>
                <w:color w:val="auto"/>
                <w:w w:val="91"/>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increase in depreciation of tangible property and equipment in 2021, as compared with 2020, was related to our acquisition of Advanced Disposal and investments in capital assets, including our fleet, heavy equipment at our landfills and containers to service our customers. The increase in amortization of landfill airspace in 2021, as compared with 2020, was driven by (i) changes in amortization rates driven by revisions in landfill estimates, which includes changes in the anticipated timing of capping, closure and post-closure activities; (ii) our acquisition of Advanced Disposal and (iii) landfill volume increases from the economic recovery. Additionally, 2020 benefited from a decrease in the inflation rate used to estimate capping, closure, and post-closure asset retirement obligations. The increase in amortization of intangible assets in 2021, as compared with 2020, was primarily driven by the amortization of acquired intangible assets related to the acquisition of Advanced Disposal.</w:t>
      </w:r>
    </w:p>
    <w:p>
      <w:pPr>
        <w:spacing w:after="0" w:line="1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increase in depreciation of tangible property and equipment in 2020, as compared with 2019, was primarily related to (i) investments in capital assets, including our fleet and facilities and (ii) additional depreciation attributable to our acquisition of Advanced Disposal. The decrease in amortization of landfill airspace in 2020, as compared with 2019, was driven by (i) lower volumes at our landfills, primarily as a result of the COVID-19 pandemic, and (ii) a decrease in the inflation rate used to estimate capping, closure and post-closure asset retirement obligations from 2.5% to 2.25% at December 31, 2020. These decreases were offset, in part, by charges to reflect changes in estimated landfill construction costs and our acquisition of Advanced Disposal.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amortization of intangible assets was flat in 2020, as compared with 2019. The increased expense for intangible assets acquired as part of the acquisition of Advanced Disposal was offset, primarily by decreases for certain customer list assets reaching the end of their lives.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year ended December 31, 2021, we recognized $8 million of restructuring charges primarily related to our acquisition of Advanced Disposal. During the year ended December 31, 2020, we recognized $9 million of restructuring charges primarily related to modifying our field sales and customer services structures to better support our investment in customer service digitalization, which is discussed above.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 ended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w w:val="99"/>
              </w:rPr>
              <w:t>42</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9"/>
              </w:rPr>
              <w:t>42</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December 31, 2021, we recognized net gains of $16 million primarily consisting of (i) a $35 million pre-tax gain from the recognition of cumulative translation adjustments on the divestiture of certain non-strategic Canadian operations in our East Tier segment and (ii) an $8 million gain from divestitures of certain ancillary operations in our Other segment. These gains were partially offset by (i) a $20 million charge pertaining to reserves for loss contingencies in our Corporate and Other segment and (ii) $8 million of asset impairment charges primarily related to our WM Renewable Energy business within our Other segment.</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year ended December 31, 2020, we recognized $35 million of net charges primarily related to (i) a $33 million net gain associated with net asset divestitures executed to address requirements of the U.S. Department of Justice in connection with our acquisition of Advanced Disposal, primarily within our West Tier segment; (ii) $41 million of non-cash impairment charges primarily related to two landfills and an oil field waste injection facility in our West Tier segment; (iii) a $20 million non-cash impairment charge in our East Tier segment due to management’s decision to close a landfill once its constructed airspace is filled and abandon any remaining permitted airspace and (iv) $7 million of net charges primarily related to non-cash impairments of certain assets within our WM Renewable Energy business in our Other segment.</w:t>
      </w:r>
    </w:p>
    <w:p>
      <w:pPr>
        <w:spacing w:after="0" w:line="192" w:lineRule="exact"/>
        <w:rPr>
          <w:sz w:val="20"/>
          <w:szCs w:val="20"/>
          <w:color w:val="auto"/>
        </w:rPr>
      </w:pPr>
    </w:p>
    <w:p>
      <w:pPr>
        <w:jc w:val="both"/>
        <w:ind w:left="60" w:right="59" w:firstLine="324"/>
        <w:spacing w:after="0" w:line="229" w:lineRule="auto"/>
        <w:rPr>
          <w:sz w:val="20"/>
          <w:szCs w:val="20"/>
          <w:color w:val="auto"/>
        </w:rPr>
      </w:pPr>
      <w:r>
        <w:rPr>
          <w:rFonts w:ascii="Arial" w:cs="Arial" w:eastAsia="Arial" w:hAnsi="Arial"/>
          <w:sz w:val="18"/>
          <w:szCs w:val="18"/>
          <w:color w:val="auto"/>
        </w:rPr>
        <w:t>During the year ended December 31, 2019, we recognized asset impairments of $42 million, related to (i) $27 million of goodwill impairment charges within our Other segment, of which $17 million related to our EES business, and $10 million related to our LampTracker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reporting unit and (ii) $15 million of asset impairment charges primarily related to certain solid waste operations in our West Tier segment.</w:t>
      </w:r>
    </w:p>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See Note 2 to the Consolidated Financial Statements for additional information related to the accounting policy and analysis involved in identifying and calculating impairments.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summarizes income from operations for the year ended December 31 and has been updated to reflect our realigned segments which are discussed further in Note 19 to the Consolidated Financial Statements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91"/>
              </w:rPr>
              <w:t>2020(c)</w:t>
            </w: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2"/>
                <w:szCs w:val="12"/>
                <w:color w:val="auto"/>
              </w:rPr>
            </w:pPr>
          </w:p>
        </w:tc>
        <w:tc>
          <w:tcPr>
            <w:tcW w:w="7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2019(c)</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Pr>
          <w:p>
            <w:pPr>
              <w:ind w:left="220"/>
              <w:spacing w:after="0"/>
              <w:rPr>
                <w:sz w:val="20"/>
                <w:szCs w:val="20"/>
                <w:color w:val="auto"/>
              </w:rPr>
            </w:pPr>
            <w:r>
              <w:rPr>
                <w:rFonts w:ascii="Arial" w:cs="Arial" w:eastAsia="Arial" w:hAnsi="Arial"/>
                <w:sz w:val="18"/>
                <w:szCs w:val="18"/>
                <w:color w:val="auto"/>
              </w:rPr>
              <w:t>East Tier</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2,037</w:t>
            </w:r>
          </w:p>
        </w:tc>
        <w:tc>
          <w:tcPr>
            <w:tcW w:w="16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 (175)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$ 1,847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 Tier</w:t>
            </w:r>
          </w:p>
        </w:tc>
        <w:tc>
          <w:tcPr>
            <w:tcW w:w="15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40" w:type="dxa"/>
            <w:vAlign w:val="bottom"/>
          </w:tcPr>
          <w:p>
            <w:pPr>
              <w:ind w:left="440"/>
              <w:spacing w:after="0"/>
              <w:rPr>
                <w:sz w:val="20"/>
                <w:szCs w:val="20"/>
                <w:color w:val="auto"/>
              </w:rPr>
            </w:pPr>
            <w:r>
              <w:rPr>
                <w:rFonts w:ascii="Arial" w:cs="Arial" w:eastAsia="Arial" w:hAnsi="Arial"/>
                <w:sz w:val="18"/>
                <w:szCs w:val="18"/>
                <w:color w:val="auto"/>
              </w:rPr>
              <w:t>Solid Waste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3,472</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and Other (b)</w:t>
            </w:r>
          </w:p>
        </w:tc>
        <w:tc>
          <w:tcPr>
            <w:tcW w:w="1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(1,209)</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$ 2,706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revenues</w:t>
            </w: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2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w:t>
            </w:r>
          </w:p>
        </w:tc>
        <w:tc>
          <w:tcPr>
            <w:tcW w:w="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80" w:right="79" w:hanging="330"/>
        <w:spacing w:after="0" w:line="293"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includes (i) elements of our WMSBS business; (ii) elements of our landfill gas-to-energy operations managed by our WM Renewable Energy business and not included in the operations of our reportable segments; (iii) elements of our third-party subcontract and administration revenues managed by our EES business and not included in the operations of our reportable segments; (iv) our recycling brokerage services and (v)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6" w:lineRule="exact"/>
        <w:rPr>
          <w:rFonts w:ascii="Arial" w:cs="Arial" w:eastAsia="Arial" w:hAnsi="Arial"/>
          <w:sz w:val="16"/>
          <w:szCs w:val="16"/>
          <w:color w:val="auto"/>
        </w:rPr>
      </w:pPr>
    </w:p>
    <w:p>
      <w:pPr>
        <w:jc w:val="both"/>
        <w:ind w:left="380" w:right="79" w:hanging="330"/>
        <w:spacing w:after="0" w:line="25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9"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184"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2021 are summarized below:</w:t>
      </w:r>
    </w:p>
    <w:p>
      <w:pPr>
        <w:spacing w:after="0" w:line="62"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from operations in our Solid Waste business increased for 2021, as compared with 2020, primarily due to</w:t>
      </w:r>
    </w:p>
    <w:p>
      <w:pPr>
        <w:spacing w:after="0" w:line="46" w:lineRule="exact"/>
        <w:rPr>
          <w:rFonts w:ascii="Arial" w:cs="Arial" w:eastAsia="Arial" w:hAnsi="Arial"/>
          <w:sz w:val="16"/>
          <w:szCs w:val="16"/>
          <w:color w:val="auto"/>
        </w:rPr>
      </w:pPr>
    </w:p>
    <w:p>
      <w:pPr>
        <w:jc w:val="both"/>
        <w:ind w:left="720" w:right="79" w:firstLine="5"/>
        <w:spacing w:after="0" w:line="267" w:lineRule="auto"/>
        <w:tabs>
          <w:tab w:leader="none" w:pos="9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revenue growth in our collection and disposal businesses driven by both yield and volume, as well as the acquisition of Advanced Disposal; (ii) improved profitability in our recycling business from higher market prices for recycling commodities and improved costs at facilities where we have made investments in enhanced technology and equipment and (iii) changes from divestitures, asset impairments and unusual items discussed above in </w:t>
      </w:r>
      <w:r>
        <w:rPr>
          <w:rFonts w:ascii="Arial" w:cs="Arial" w:eastAsia="Arial" w:hAnsi="Arial"/>
          <w:sz w:val="17"/>
          <w:szCs w:val="17"/>
          <w:i w:val="1"/>
          <w:iCs w:val="1"/>
          <w:color w:val="auto"/>
        </w:rPr>
        <w:t>(Gain) Loss from Divestitures, Asset Impairments and Unusual Items, Net</w:t>
      </w:r>
      <w:r>
        <w:rPr>
          <w:rFonts w:ascii="Arial" w:cs="Arial" w:eastAsia="Arial" w:hAnsi="Arial"/>
          <w:sz w:val="17"/>
          <w:szCs w:val="17"/>
          <w:color w:val="auto"/>
        </w:rPr>
        <w:t>. These increases were partially offset by (i) labor cost pressure from frontline employee wage adjustments, increased turnover driving up training costs and higher overtime due to driver shortages and volume growth; (ii) increased landfill amortization from higher volumes and revisions in landfill estimates, including the anticipated timing of capping, closure and post-closure activities at certain landfills and adjustments in 2020 to the inflation rate used to estimate capping, closure, and post-closure asset retirement obligations that benefitted costs in 2020 and (iii) inflationary cost pressures. During 2021, the positive earnings contributions from Advanced Disposal were offset by elevated depreciation and amortization of acquired assets.</w:t>
      </w:r>
    </w:p>
    <w:p>
      <w:pPr>
        <w:spacing w:after="0" w:line="184" w:lineRule="exact"/>
        <w:rPr>
          <w:rFonts w:ascii="Arial" w:cs="Arial" w:eastAsia="Arial" w:hAnsi="Arial"/>
          <w:sz w:val="17"/>
          <w:szCs w:val="17"/>
          <w:color w:val="auto"/>
        </w:rPr>
      </w:pPr>
    </w:p>
    <w:p>
      <w:pPr>
        <w:jc w:val="both"/>
        <w:ind w:left="720" w:right="79" w:hanging="319"/>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from operations for 2020 decreased, as compared with 2019, for the Solid Waste business due to the overall negative impact of the COVID-19 pandemic resulting in revenue declines from lower volumes and higher</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75" w:lineRule="auto"/>
        <w:rPr>
          <w:sz w:val="20"/>
          <w:szCs w:val="20"/>
          <w:color w:val="auto"/>
        </w:rPr>
      </w:pPr>
      <w:r>
        <w:rPr>
          <w:rFonts w:ascii="Arial" w:cs="Arial" w:eastAsia="Arial" w:hAnsi="Arial"/>
          <w:sz w:val="17"/>
          <w:szCs w:val="17"/>
          <w:color w:val="auto"/>
        </w:rPr>
        <w:t>depreciation expense which was primarily related to investments in capital assets, including our fleet and facilities. The declines were partially offset by (i) higher yield in our collection and disposal businesses; (ii) the benefit of resumed fees and price increases; (iii) lower operating costs directly related to our proactive steps taken to manage our variable costs in the lower volume environment and (iv) a net divestiture gain of $33 million associated with the sale of net assets to GFL Environmental, primarily within our West Tier segment.</w:t>
      </w:r>
    </w:p>
    <w:p>
      <w:pPr>
        <w:spacing w:after="0" w:line="176" w:lineRule="exact"/>
        <w:rPr>
          <w:sz w:val="20"/>
          <w:szCs w:val="20"/>
          <w:color w:val="auto"/>
        </w:rPr>
      </w:pPr>
    </w:p>
    <w:p>
      <w:pPr>
        <w:jc w:val="both"/>
        <w:ind w:left="700" w:right="79"/>
        <w:spacing w:after="0" w:line="273" w:lineRule="auto"/>
        <w:rPr>
          <w:sz w:val="20"/>
          <w:szCs w:val="20"/>
          <w:color w:val="auto"/>
        </w:rPr>
      </w:pPr>
      <w:r>
        <w:rPr>
          <w:rFonts w:ascii="Arial" w:cs="Arial" w:eastAsia="Arial" w:hAnsi="Arial"/>
          <w:sz w:val="17"/>
          <w:szCs w:val="17"/>
          <w:color w:val="auto"/>
        </w:rPr>
        <w:t>Additionally, income from operations for our West Tier segment was impacted by $41 million of non-cash asset impairment charges primarily related to two landfills and an oil field waste injection facility. Income from operations for our East Tier segment was impacted by a $20 million non-cash impairment charge related to management’s decision to close a landfill once its constructed airspace is filled and abandon any remaining permitted airspace. Furthermore, in 2019, our West Tier segment benefited from the clean-up efforts of natural disasters primarily in California and similar efforts did not recur in 2020.</w:t>
      </w:r>
    </w:p>
    <w:p>
      <w:pPr>
        <w:spacing w:after="0" w:line="178"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increase in income from operations for 2021, as compared with 2020, was primarily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values for renewable energy credits generated by our WM Renewable Energy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from operations for the Other segment for 2020, as compared with 2019, was favorably impacted primarily by</w:t>
      </w:r>
    </w:p>
    <w:p>
      <w:pPr>
        <w:spacing w:after="0" w:line="46" w:lineRule="exact"/>
        <w:rPr>
          <w:sz w:val="20"/>
          <w:szCs w:val="20"/>
          <w:color w:val="auto"/>
        </w:rPr>
      </w:pPr>
    </w:p>
    <w:p>
      <w:pPr>
        <w:ind w:left="280" w:hanging="230"/>
        <w:spacing w:after="0"/>
        <w:tabs>
          <w:tab w:leader="none" w:pos="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volume increases in our WM Renewable Energy business as a result of a new renewable energy facility coming online;</w:t>
      </w:r>
    </w:p>
    <w:p>
      <w:pPr>
        <w:spacing w:after="0" w:line="32" w:lineRule="exact"/>
        <w:rPr>
          <w:rFonts w:ascii="Arial" w:cs="Arial" w:eastAsia="Arial" w:hAnsi="Arial"/>
          <w:sz w:val="16"/>
          <w:szCs w:val="16"/>
          <w:color w:val="auto"/>
        </w:rPr>
      </w:pPr>
    </w:p>
    <w:p>
      <w:pPr>
        <w:ind w:left="60" w:right="79" w:hanging="10"/>
        <w:spacing w:after="0" w:line="260" w:lineRule="auto"/>
        <w:tabs>
          <w:tab w:leader="none" w:pos="3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WMSBS business as a result of newly executed national account contracts and (iii) our recycling brokerage business.</w:t>
      </w:r>
    </w:p>
    <w:p>
      <w:pPr>
        <w:spacing w:after="0" w:line="18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The most significant items affecting the results of operations for Corporate and Other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years ended December 31, 2021 are summarized below:</w:t>
      </w:r>
    </w:p>
    <w:p>
      <w:pPr>
        <w:spacing w:after="0" w:line="62"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costs increased in 2021, as compared with 2020, due to (i) higher incentive compensation costs;</w:t>
      </w:r>
    </w:p>
    <w:p>
      <w:pPr>
        <w:spacing w:after="0" w:line="23" w:lineRule="exact"/>
        <w:rPr>
          <w:rFonts w:ascii="Arial" w:cs="Arial" w:eastAsia="Arial" w:hAnsi="Arial"/>
          <w:sz w:val="18"/>
          <w:szCs w:val="18"/>
          <w:color w:val="auto"/>
        </w:rPr>
      </w:pPr>
    </w:p>
    <w:p>
      <w:pPr>
        <w:jc w:val="both"/>
        <w:ind w:left="720" w:right="79" w:firstLine="5"/>
        <w:spacing w:after="0" w:line="252" w:lineRule="auto"/>
        <w:tabs>
          <w:tab w:leader="none" w:pos="9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increased labor, support and integration costs following our acquisition of Advanced Disposal; (iii) strategic investments in our digital platform; (iv) increased health and welfare costs attributable to medical care activity generally returning to pre-pandemic levels from the lower levels experienced during 2020 and (v) charges pertaining to reserves for certain loss contingencies during 2021. These increases were partially offset by lower consulting, advisory and legal fees following the completion of our acquisition of Advanced Disposal in the fourth quarter of 2020 and changes in the measurement of our environmental remediation obligations and recovery assets in both 2020 and 2021.</w:t>
      </w:r>
    </w:p>
    <w:p>
      <w:pPr>
        <w:spacing w:after="0" w:line="84"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increased in 2020, as compared with 2019, due to (i) higher consulting, advisory and legal fees associated with our acquisition and integration of Advanced Disposal; (ii) strategic investments in our digital platform; (iii) incremental costs associated with the COVID-19 pandemic and (iv) higher long-term incentive compensation costs. These increased expenses were offset, in part, by (i) lower annual incentive compensation costs and (ii) lower litigation reserves.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interest expense, net was $365 million, $425 million and $411 million in 2021, 2020 and 2019, respectively. The decrease in interest expense, net for 2021 was primarily due to certain refinancing activities, as discussed further below, including (i) the redemption of $3.0 billion of senior notes in July 2020 and the issuance of $2.5 billion of senior notes in November 2020 at lower rates and (ii) the retirement of $1.3 billion of certain high-coupon senior notes and concurrent issuance of $950 million of lower coupon senior notes in May 2021. The decreases were partially offset by decreases in interest income as a result of lower cash and cash equivalents balances in 2021. The increase in interest expense, net for 2020 was primarily attributable to decreases in interest income resulting from lower cash and cash equivalents balances, due to the redemption of $3.0 billion of senior notes with a special mandatory redemption feature (the “SMR Notes”) in July 2020 as discussed below in </w:t>
      </w:r>
      <w:r>
        <w:rPr>
          <w:rFonts w:ascii="Arial" w:cs="Arial" w:eastAsia="Arial" w:hAnsi="Arial"/>
          <w:sz w:val="17"/>
          <w:szCs w:val="17"/>
          <w:i w:val="1"/>
          <w:iCs w:val="1"/>
          <w:color w:val="auto"/>
        </w:rPr>
        <w:t>Loss on Early Extinguishment of Debt, Net</w:t>
      </w:r>
      <w:r>
        <w:rPr>
          <w:rFonts w:ascii="Arial" w:cs="Arial" w:eastAsia="Arial" w:hAnsi="Arial"/>
          <w:sz w:val="17"/>
          <w:szCs w:val="17"/>
          <w:color w:val="auto"/>
        </w:rPr>
        <w:t>. Partially offsetting the decreases in interest income were favorable impacts due to a lower interest rate on our commercial paper borrowings as a result of the favorable interest rate environment in 2020 compared to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Loss on Early Extinguishment of Debt, Net</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In May 2021, WMI issued $950 million of senior notes, which are discussed further below in </w:t>
      </w:r>
      <w:r>
        <w:rPr>
          <w:rFonts w:ascii="Arial" w:cs="Arial" w:eastAsia="Arial" w:hAnsi="Arial"/>
          <w:sz w:val="18"/>
          <w:szCs w:val="18"/>
          <w:i w:val="1"/>
          <w:iCs w:val="1"/>
          <w:color w:val="auto"/>
        </w:rPr>
        <w:t>Summary of Cash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Equivalents, Restricted Trust and Escrow Accounts and Debt Obligations</w:t>
      </w:r>
      <w:r>
        <w:rPr>
          <w:rFonts w:ascii="Arial" w:cs="Arial" w:eastAsia="Arial" w:hAnsi="Arial"/>
          <w:sz w:val="18"/>
          <w:szCs w:val="18"/>
          <w:color w:val="auto"/>
        </w:rPr>
        <w:t>. Concurrently, we used the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newly issued senior notes of $942 million and available cash on hand to retire $1.3 billion of certain high-coupon senior notes. The loss on early extinguishment of debt for 2021 includes $220 million of charges related to this tender offer, including cash paid of $211 million related to premiums and other third-party costs, and $9 million primarily related to unamortized discounts and debt issuance costs. See Note 6 to the Consolidated Financial Statements for more information related to these transactions.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July 2020, we recognized a $52 million loss on early extinguishment of debt in our Consolidated Statement of Operations related to the mandatory redemption of the SMR Notes. The loss includes $30 million of premiums paid and $22 million of unamortized discounts and debt issuance costs. Pursuant to the terms of the SMR Notes, we were required to redeem all of such outstanding notes paying debt holders 101% of the aggregate principal amounts of such notes, plus accrued but unpaid interest, as a result of the Advanced Disposal acquisition not being completed by July 14, 2020. Accordingly, the redemption was completed on July 20, 2020 using available cash on hand and, to a lesser extent, commercial paper borrowings. The cash paid included the $3.0 billion principal amount of debt redeemed, $30 million of related premiums and $8 million of accrued interest.</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the fourth quarter of 2020, we repaid the outstanding borrowings under our 364-day revolving credit facility and contemporaneously terminated the facility, at which time we recognized a $2 million loss on early extinguishment of debt in our Consolidated Statement of Operations related to unamortized debt issuance costs.</w:t>
      </w:r>
    </w:p>
    <w:p>
      <w:pPr>
        <w:spacing w:after="0" w:line="165"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At the time of acquisition, Advanced Disposal had outstanding $425 million of 5.625% senior notes due November 2024. In November 2020, we redeemed the notes pursuant to an optional redemption feature upon which we recognized a $1 million gain on early extinguishment of debt in our Consolidated Statement of Operations due to the difference in carrying value and redemption price.</w:t>
      </w:r>
    </w:p>
    <w:p>
      <w:pPr>
        <w:spacing w:after="0" w:line="17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May 2019, WMI issued $4.0 billion of senior notes, including $3.0 billion of SMR Notes. We used $344 million of the proceeds from this offering to retire $257 million principal amount of certain high-coupon senior notes. The cash paid to retire the high-coupon senior notes also included $84 million of related premiums, which are classified as loss on early extinguishment of debt in our Consolidated Statement of Operations, and $3 million of accrued interest.</w:t>
      </w:r>
    </w:p>
    <w:p>
      <w:pPr>
        <w:spacing w:after="0" w:line="171"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In the third quarter of 2019, we elected to refund and reissue $99 million of tax-exempt bonds, which resulted in the recognition of a $1 million loss on early extinguishment of debt in our Consolidated Statement of Operations.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recognized equity in net losses of unconsolidated entities of $36 million, $68 million and $55 million in 2021, 2020 and 2019,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Notes 8 and 18 to the Consolidated Financial Statements. In 2020, the entity that held and managed our ownership interest in the refined coal facility sold a majority of its assets resulting in a $7 million non-cash impairment charge at that time. Additionally, the 2019 period includes losses associated with our investment in a refined coal facility.</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recognized other, net income of $5 million in 2021 and 2020, compared to other, net expense of $50 million in 2019. In 2019, we recognized a $52 million non-cash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ectPr>
          <w:pgSz w:w="11900" w:h="16838" w:orient="portrait"/>
          <w:cols w:equalWidth="0" w:num="1">
            <w:col w:w="9019"/>
          </w:cols>
          <w:pgMar w:left="1440" w:top="611"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recorded income tax expense of $532 million, $397 million and $434 million in 2021, 2020 and 2019, respectively, resulting in effective income tax rates of 22.6%, 20.9% and 20.6% for the years ended December 31, 2021, 2020 and 2019, respectively. The comparability of our income tax expense for the reported periods has been primarily affected by the following:</w:t>
      </w:r>
    </w:p>
    <w:p>
      <w:pPr>
        <w:spacing w:after="0" w:line="187" w:lineRule="exact"/>
        <w:rPr>
          <w:sz w:val="20"/>
          <w:szCs w:val="20"/>
          <w:color w:val="auto"/>
        </w:rPr>
      </w:pPr>
    </w:p>
    <w:p>
      <w:pPr>
        <w:jc w:val="both"/>
        <w:ind w:left="720" w:right="79" w:hanging="319"/>
        <w:spacing w:after="0" w:line="25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Our low-income housing properties and refined coal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reduced our income tax expense by $74 million, $87 million and $96 million, primarily due to tax credits realized from these investments for the years ended December 31, 2021, 2020 and 2019, respectively. See Note 18 to the Consolidated Financial Statements for additional information related to these unconsolidated variable interest entities;</w:t>
      </w:r>
    </w:p>
    <w:p>
      <w:pPr>
        <w:spacing w:after="0" w:line="79"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Other Federal Tax Credits </w:t>
      </w:r>
      <w:r>
        <w:rPr>
          <w:rFonts w:ascii="Arial" w:cs="Arial" w:eastAsia="Arial" w:hAnsi="Arial"/>
          <w:sz w:val="17"/>
          <w:szCs w:val="17"/>
          <w:color w:val="auto"/>
        </w:rPr>
        <w:t>— During 2021, 2020 and 2019, we recognized federal tax credits in addition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credits realized from our investments in low-income housing properties and the refined coal facility, resulting in a reduction in our income tax expense of $5 million, $7 million and $11 million, respectively;</w:t>
      </w:r>
    </w:p>
    <w:p>
      <w:pPr>
        <w:spacing w:after="0" w:line="57"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2021, 2020 and 2019, we recognized excess tax benefits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or exercise of equity-based compensation awards resulting in a reduction in our income tax expense of $18 million, $27 million and $25 million, respectively;</w:t>
      </w:r>
    </w:p>
    <w:p>
      <w:pPr>
        <w:spacing w:after="0" w:line="7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2021, 2020 and 2019, we recognized state net 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credits resulting in a reduction in our income tax expense of $15 million, $12 million and $14 million, respectively;</w:t>
      </w:r>
    </w:p>
    <w:p>
      <w:pPr>
        <w:spacing w:after="0" w:line="75"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and our audits are in various stages of completion. During the reported periods, we settled various tax audits, which resulted in a reduction in our income tax expense of $13 million, $10 million and $2 million for the years ended December 31, 2021, 2020 and 2019, respectively;</w:t>
      </w:r>
    </w:p>
    <w:p>
      <w:pPr>
        <w:spacing w:after="0" w:line="79"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Adjustments to Accruals and Related Deferred Taxes </w:t>
      </w:r>
      <w:r>
        <w:rPr>
          <w:rFonts w:ascii="Arial" w:cs="Arial" w:eastAsia="Arial" w:hAnsi="Arial"/>
          <w:sz w:val="17"/>
          <w:szCs w:val="17"/>
          <w:color w:val="auto"/>
        </w:rPr>
        <w:t>— Adjustments to our accruals and related deferred taxes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filing of our income tax returns, analysis of our deferred tax balances and uncertain tax positions, and changes in state and foreign laws resulted in an increase in our income tax expense of $17 million for the year ended December 31, 2021, and a reduction in our income tax expense of $3 million and $22 million for the years ended December 31, 2020 and 2019, respectively;</w:t>
      </w:r>
    </w:p>
    <w:p>
      <w:pPr>
        <w:spacing w:after="0" w:line="68"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Tax Implications of Divestitures </w:t>
      </w:r>
      <w:r>
        <w:rPr>
          <w:rFonts w:ascii="Arial" w:cs="Arial" w:eastAsia="Arial" w:hAnsi="Arial"/>
          <w:sz w:val="18"/>
          <w:szCs w:val="18"/>
          <w:color w:val="auto"/>
        </w:rPr>
        <w:t>– During 2021, we recognized a pre-tax gain from the recognition of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adjustments on the divestiture of certain non-strategic Canadian operations. This gain was not taxable, which resulted in a reduction in our income tax expense of $8 million;</w:t>
      </w:r>
    </w:p>
    <w:p>
      <w:pPr>
        <w:spacing w:after="0" w:line="75"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Non-Deductible Transaction Costs </w:t>
      </w:r>
      <w:r>
        <w:rPr>
          <w:rFonts w:ascii="Arial" w:cs="Arial" w:eastAsia="Arial" w:hAnsi="Arial"/>
          <w:sz w:val="17"/>
          <w:szCs w:val="17"/>
          <w:color w:val="auto"/>
        </w:rPr>
        <w:t>— During 2020 and 2019, we recognized the detrimental tax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$27 million and $10 million, respectively, of non-deductible transaction costs related to our acquisition of Advanced Disposal. The tax rules require the capitalization of certain facilitative costs on the acquisition of stock of a company resulting in the applicable costs not being deductible for tax purposes; and</w:t>
      </w:r>
    </w:p>
    <w:p>
      <w:pPr>
        <w:spacing w:after="0" w:line="63"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Tax Implications of Impairments </w:t>
      </w:r>
      <w:r>
        <w:rPr>
          <w:rFonts w:ascii="Arial" w:cs="Arial" w:eastAsia="Arial" w:hAnsi="Arial"/>
          <w:sz w:val="17"/>
          <w:szCs w:val="17"/>
          <w:color w:val="auto"/>
        </w:rPr>
        <w:t>— Portions of the impairment charges recognized during 2019 were not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deductible for tax purposes resulting in an increase in income tax expense of $15 million. The non-cash impairment charges recognized during 2021 and 2020 were deductible for tax purposes. See Note 11 to the Consolidated Financial Statements for more information related to our impairment charges.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8 to the Consolidated Financial Statements for more information related to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owned or operated 255 solid waste landfills and five secure hazardous waste landfills as of December 31, 2021 and 263 solid waste landfills and five secure hazardous waste landfills as of December 31, 2020. For these landfills, the following table reflects changes in capacity, as measured in tons of waste, for the year ended December 31 and remaining airspace, measured in cubic yards of waste, as of December 31 (in millions):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Expansion</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Expansion</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Permitted</w:t>
            </w:r>
          </w:p>
        </w:tc>
        <w:tc>
          <w:tcPr>
            <w:tcW w:w="7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Permitted</w:t>
            </w: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Capacity</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year (in tons)</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w w:val="99"/>
              </w:rPr>
              <w:t>Acquisitions, divestitures, newly permitted landfills and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closures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 (a)</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Expansion permits granted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Amortizable tons received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 (c)</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end of year (in tons)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ind w:left="20"/>
              <w:spacing w:after="0"/>
              <w:rPr>
                <w:sz w:val="20"/>
                <w:szCs w:val="20"/>
                <w:color w:val="auto"/>
              </w:rPr>
            </w:pPr>
            <w:r>
              <w:rPr>
                <w:rFonts w:ascii="Arial" w:cs="Arial" w:eastAsia="Arial" w:hAnsi="Arial"/>
                <w:sz w:val="18"/>
                <w:szCs w:val="18"/>
                <w:color w:val="auto"/>
              </w:rPr>
              <w:t>Balance as of end of year (in cubic yards)</w:t>
            </w:r>
          </w:p>
        </w:tc>
        <w:tc>
          <w:tcPr>
            <w:tcW w:w="3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3"/>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4,808</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4,971</w:t>
            </w:r>
          </w:p>
        </w:tc>
        <w:tc>
          <w:tcPr>
            <w:tcW w:w="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4,828</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311"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40"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received expansion permits at seven of our landfills during 2021 and four of our landfills during 2020, demonstrating our continued success in working with municipalities and regulatory agencies to expand the disposal airspace of our existing landfills.</w:t>
      </w:r>
    </w:p>
    <w:p>
      <w:pPr>
        <w:spacing w:after="0" w:line="75" w:lineRule="exact"/>
        <w:rPr>
          <w:rFonts w:ascii="Arial" w:cs="Arial" w:eastAsia="Arial" w:hAnsi="Arial"/>
          <w:sz w:val="18"/>
          <w:szCs w:val="18"/>
          <w:color w:val="auto"/>
        </w:rPr>
      </w:pPr>
    </w:p>
    <w:p>
      <w:pPr>
        <w:jc w:val="both"/>
        <w:ind w:left="380" w:right="79" w:hanging="330"/>
        <w:spacing w:after="0" w:line="270"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180"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The tons received at our landfills for the year ended December 31 are shown below (tons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6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w w:val="94"/>
              </w:rPr>
              <w:t># of</w:t>
            </w:r>
          </w:p>
        </w:tc>
        <w:tc>
          <w:tcPr>
            <w:tcW w:w="68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14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 of</w:t>
            </w:r>
          </w:p>
        </w:tc>
        <w:tc>
          <w:tcPr>
            <w:tcW w:w="6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Sites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Tons</w:t>
            </w:r>
          </w:p>
        </w:tc>
        <w:tc>
          <w:tcPr>
            <w:tcW w:w="20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rPr>
              <w:t>Day</w:t>
            </w:r>
          </w:p>
        </w:tc>
        <w:tc>
          <w:tcPr>
            <w:tcW w:w="14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Sites</w:t>
            </w: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 landfills (a)</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(b)</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124,773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112,729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125,383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113,405</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Solid waste landfills closed, divested or lease or other</w:t>
            </w: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contractual agreement expired during related year</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125,497</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(c)</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113,723</w:t>
            </w: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5"/>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left="4420" w:right="79" w:hanging="4370"/>
        <w:spacing w:after="0" w:line="778"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2021 and 2020, we had 14 landfills and 17 landfills, respectively, which were not accepting waste.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79" w:hanging="330"/>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2021, we (i) executed one new contractual agreement; (ii) divested one landfill; (iii) divested one service agreement; (iv) closed six landfills and (v) closed one landfill operated under contractual agreement.</w:t>
      </w:r>
    </w:p>
    <w:p>
      <w:pPr>
        <w:spacing w:after="0" w:line="62"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amounts include 1.6 million tons and 1.7 million tons as of December 31, 2021 and 2020, respectively, that were received at our landfills but were not amortized as they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7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2021, we owned or controlled the management of 230 sites with remedial activities, are in closure or have received a certification of closure from the applicable regulatory agency.</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Based on remaining permitted airspace as of December 31, 2021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15 of our landfills that meet the expansion criteria outlined in the </w:t>
      </w:r>
      <w:r>
        <w:rPr>
          <w:rFonts w:ascii="Arial" w:cs="Arial" w:eastAsia="Arial" w:hAnsi="Arial"/>
          <w:sz w:val="17"/>
          <w:szCs w:val="17"/>
          <w:i w:val="1"/>
          <w:iCs w:val="1"/>
          <w:color w:val="auto"/>
        </w:rPr>
        <w:t xml:space="preserve">Critical Accounting Estimates and Assumptions — Landfills </w:t>
      </w:r>
      <w:r>
        <w:rPr>
          <w:rFonts w:ascii="Arial" w:cs="Arial" w:eastAsia="Arial" w:hAnsi="Arial"/>
          <w:sz w:val="17"/>
          <w:szCs w:val="17"/>
          <w:color w:val="auto"/>
        </w:rPr>
        <w:t>section below. Although no assurances can be made that all</w:t>
      </w:r>
      <w:r>
        <w:rPr>
          <w:rFonts w:ascii="Arial" w:cs="Arial" w:eastAsia="Arial" w:hAnsi="Arial"/>
          <w:sz w:val="17"/>
          <w:szCs w:val="17"/>
          <w:i w:val="1"/>
          <w:iCs w:val="1"/>
          <w:color w:val="auto"/>
        </w:rPr>
        <w:t xml:space="preserve"> </w:t>
      </w:r>
      <w:r>
        <w:rPr>
          <w:rFonts w:ascii="Arial" w:cs="Arial" w:eastAsia="Arial" w:hAnsi="Arial"/>
          <w:sz w:val="17"/>
          <w:szCs w:val="17"/>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18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number of landfills owned or operated as of December 31, 2021, segregated by their estimated operating lives based on remaining permitted and expansion airspace and projected annual disposal volume, was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of Landfills</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to 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6 to 10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21 to 40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years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the 260 landfills, 219 are owned, 29 are operated under lease agreements and 12 are operated under other contractual agreements. For the landfills not owned, we are usually responsible for final capping, closure and post-closure obligations.</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Landfill Assets — </w:t>
      </w:r>
      <w:r>
        <w:rPr>
          <w:rFonts w:ascii="Arial" w:cs="Arial" w:eastAsia="Arial" w:hAnsi="Arial"/>
          <w:sz w:val="16"/>
          <w:szCs w:val="16"/>
          <w:color w:val="auto"/>
        </w:rPr>
        <w:t>We capitalize various costs that we incur to prepare a landfill to accept waste. These costs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to the cost basis of our landfill assets and accumulated landfill airspace amortization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are reflected in the table below (in millions):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Cost Basis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Landfill Airspace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Landfill Assets</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Capital additions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 incurred and capitalized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Asset retirements and other adjustments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As of December 31, 2021, we estimate that we will spend approximately $639 million in 2022, and approximately $1.4 billion in 2023 and 2024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5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December 31, 2021, we had 14 landfills which were not accepting waste. During the year ended December 31, 2021, we performed tests of recoverability for five of these landfills with an aggregate net recorded capitalized landfill asset cost of $297 million, for which the undiscounted expected future cash flows resulting from our probability-weighted estimation approach exceeded the carrying values. We did not perform recoverability tests for the remaining nine landfills as the net recorded capitalized landfill asset cost was not material.</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 </w:t>
      </w:r>
      <w:r>
        <w:rPr>
          <w:rFonts w:ascii="Arial" w:cs="Arial" w:eastAsia="Arial" w:hAnsi="Arial"/>
          <w:sz w:val="16"/>
          <w:szCs w:val="16"/>
          <w:color w:val="auto"/>
        </w:rPr>
        <w:t>As we accept waste at our landfills, we incur significant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2021 are reflected in the table below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(b)</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$15 million due to a business decision to accelerate the closure timing of a landfill in our West Tier segment, which resulted in the acceleration of the expected timing of capping, closure and post-closure activities. The remaining increase relates to revisions in estimated costs and timing of capping, closure and post-closure liabilities.</w:t>
      </w:r>
    </w:p>
    <w:p>
      <w:pPr>
        <w:spacing w:after="0" w:line="78"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$13 million related to changes in the fair values assigned to certain acquired Advanced Disposal sites.</w:t>
      </w:r>
    </w:p>
    <w:p>
      <w:pPr>
        <w:sectPr>
          <w:pgSz w:w="11900" w:h="16838" w:orient="portrait"/>
          <w:cols w:equalWidth="0" w:num="1">
            <w:col w:w="9019"/>
          </w:cols>
          <w:pgMar w:left="1440" w:top="611"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following table summarizes our landfill operating costs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2"/>
        </w:trPr>
        <w:tc>
          <w:tcPr>
            <w:tcW w:w="6260" w:type="dxa"/>
            <w:vAlign w:val="bottom"/>
          </w:tcPr>
          <w:p>
            <w:pPr>
              <w:spacing w:after="0" w:line="201" w:lineRule="exact"/>
              <w:rPr>
                <w:sz w:val="20"/>
                <w:szCs w:val="20"/>
                <w:color w:val="auto"/>
              </w:rPr>
            </w:pPr>
            <w:r>
              <w:rPr>
                <w:rFonts w:ascii="Arial" w:cs="Arial" w:eastAsia="Arial" w:hAnsi="Arial"/>
                <w:sz w:val="18"/>
                <w:szCs w:val="18"/>
                <w:color w:val="auto"/>
                <w:w w:val="96"/>
              </w:rPr>
              <w:t>Interest accretion on and discount rate adjustments to environmental remediation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6260" w:type="dxa"/>
            <w:vAlign w:val="bottom"/>
          </w:tcPr>
          <w:p>
            <w:pPr>
              <w:ind w:left="120"/>
              <w:spacing w:after="0"/>
              <w:rPr>
                <w:sz w:val="20"/>
                <w:szCs w:val="20"/>
                <w:color w:val="auto"/>
              </w:rPr>
            </w:pPr>
            <w:r>
              <w:rPr>
                <w:rFonts w:ascii="Arial" w:cs="Arial" w:eastAsia="Arial" w:hAnsi="Arial"/>
                <w:sz w:val="18"/>
                <w:szCs w:val="18"/>
                <w:color w:val="auto"/>
              </w:rPr>
              <w:t>liabilities and recovery assets</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6260" w:type="dxa"/>
            <w:vAlign w:val="bottom"/>
          </w:tcPr>
          <w:p>
            <w:pPr>
              <w:ind w:left="220"/>
              <w:spacing w:after="0"/>
              <w:rPr>
                <w:sz w:val="20"/>
                <w:szCs w:val="20"/>
                <w:color w:val="auto"/>
              </w:rPr>
            </w:pPr>
            <w:r>
              <w:rPr>
                <w:rFonts w:ascii="Arial" w:cs="Arial" w:eastAsia="Arial" w:hAnsi="Arial"/>
                <w:sz w:val="18"/>
                <w:szCs w:val="18"/>
                <w:color w:val="auto"/>
              </w:rPr>
              <w:t>Total landfill operating costs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Amortization of Landfill Airspace </w:t>
      </w:r>
      <w:r>
        <w:rPr>
          <w:rFonts w:ascii="Arial" w:cs="Arial" w:eastAsia="Arial" w:hAnsi="Arial"/>
          <w:sz w:val="18"/>
          <w:szCs w:val="18"/>
          <w:color w:val="auto"/>
        </w:rPr>
        <w:t>— Amortization of landfill airspace, which is included as a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expenses, includes the following:</w:t>
      </w:r>
    </w:p>
    <w:p>
      <w:pPr>
        <w:spacing w:after="0" w:line="62"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amortization of landfill capital costs, including (i) costs that have been incurred and capitalized and</w:t>
      </w:r>
    </w:p>
    <w:p>
      <w:pPr>
        <w:spacing w:after="0" w:line="23" w:lineRule="exact"/>
        <w:rPr>
          <w:rFonts w:ascii="Arial" w:cs="Arial" w:eastAsia="Arial" w:hAnsi="Arial"/>
          <w:sz w:val="18"/>
          <w:szCs w:val="18"/>
          <w:color w:val="auto"/>
        </w:rPr>
      </w:pPr>
    </w:p>
    <w:p>
      <w:pPr>
        <w:ind w:left="720" w:right="79" w:firstLine="5"/>
        <w:spacing w:after="0" w:line="260" w:lineRule="auto"/>
        <w:tabs>
          <w:tab w:leader="none" w:pos="10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estimated future costs for landfill development and construction required to develop our landfills to their remaining permitted and expansion airspace; and</w:t>
      </w:r>
    </w:p>
    <w:p>
      <w:pPr>
        <w:spacing w:after="0" w:line="77"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amortization of asset retirement costs arising from landfill final capping, closure and post-closure obligations, including (i) costs that have been incurred and capitalized and (ii) projected asset retirement costs.</w:t>
      </w:r>
    </w:p>
    <w:p>
      <w:pPr>
        <w:spacing w:after="0" w:line="12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Amortization expense is recorded on a units-of-consumption basis, applying cost as a rate per ton. The rate per ton is calculated by dividing each component of the amortizable basis of a landfill (net of accumulated amortization)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amortized on a per-ton basis using a landfill’s total permitted and expansion airspace. Final capping asset retirement costs are related to a specific final capping event and are, therefore, amortized on a per-ton basis using each discrete final capping event’s estimated permitted and expansion airspace. Accordingly, each landfill has multiple per-ton amortization rates.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our landfill airspace amortization expense on a per-ton basis for the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Different per-ton amortization rates are applied at each of our 260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each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consistently generates cash flow from operations that meets and exceeds our working capital needs, payment of our dividends, investment in the business through capital expenditures and tuck-in acquisitions, and funding of strategic growth and sustainability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Contractual Obligations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our significant contractual obligations as of December 31, 2021 and the anticipated effect of these obligations on our liquidity in future years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2026</w:t>
            </w: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Recorded Obligations: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7"/>
                <w:szCs w:val="17"/>
                <w:color w:val="auto"/>
              </w:rPr>
              <w:t>Final capping, closure and post-closure liabilities (a)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2,477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3,271</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payments (b)</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13,579</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7"/>
                <w:szCs w:val="17"/>
                <w:b w:val="1"/>
                <w:bCs w:val="1"/>
                <w:color w:val="auto"/>
              </w:rPr>
              <w:t>Unrecorded Obligations: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on debt (c)</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Estimated unconditional purchase obligations (d)</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r>
      <w:tr>
        <w:trPr>
          <w:trHeight w:val="210"/>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7"/>
                <w:shd w:val="clear" w:color="auto" w:fill="CCEEFF"/>
              </w:rPr>
              <w:t>Anticipated liquidity impact as of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3,106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1,294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1,837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1,152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13,413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21,624</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liabilities for final capping, closure and post-closure costs recorded in our Consolidated Balance Sheet as of December 31, 2021, without the impact of discounting and inflation. Our recorded liabilities for final capping, closure and post-closure costs will increase as we continue to place additional tons within the permitted airspace at our landfills.</w:t>
      </w:r>
    </w:p>
    <w:p>
      <w:pPr>
        <w:spacing w:after="0" w:line="78"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75"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as of December 31, 2021. As of December 31, 2021, we had $58 million of accrued interest related to our debt obligations.</w:t>
      </w:r>
    </w:p>
    <w:p>
      <w:pPr>
        <w:spacing w:after="0" w:line="75" w:lineRule="exact"/>
        <w:rPr>
          <w:rFonts w:ascii="Arial" w:cs="Arial" w:eastAsia="Arial" w:hAnsi="Arial"/>
          <w:sz w:val="18"/>
          <w:szCs w:val="18"/>
          <w:color w:val="auto"/>
        </w:rPr>
      </w:pPr>
    </w:p>
    <w:p>
      <w:pPr>
        <w:jc w:val="both"/>
        <w:ind w:left="380" w:right="79" w:hanging="330"/>
        <w:spacing w:after="0" w:line="262"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unrecorded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pacing w:after="0" w:line="172"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In addition to the above, we also have recorded obligations related to liabilities associated with environmental remediation costs and non-cancelable operating lease obligations, which are discussed further in Notes 3 and 7 to the Consolidated Financial Statements,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December 31, 2021 and 2020, $80 million and $75 million, respectively, of these account balances was included in other current assets in our Consolidated Balance Sheets.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decrease in cash and cash equivalents during 2021 is primarily due to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available cash to retire certain high-coupon senior notes in May 2021, which is discussed above in </w:t>
      </w:r>
      <w:r>
        <w:rPr>
          <w:rFonts w:ascii="Arial" w:cs="Arial" w:eastAsia="Arial" w:hAnsi="Arial"/>
          <w:sz w:val="18"/>
          <w:szCs w:val="18"/>
          <w:i w:val="1"/>
          <w:iCs w:val="1"/>
          <w:color w:val="auto"/>
        </w:rPr>
        <w:t>Loss on Early</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 of Debt, Net</w:t>
      </w:r>
      <w:r>
        <w:rPr>
          <w:rFonts w:ascii="Arial" w:cs="Arial" w:eastAsia="Arial" w:hAnsi="Arial"/>
          <w:sz w:val="18"/>
          <w:szCs w:val="18"/>
          <w:color w:val="auto"/>
        </w:rPr>
        <w:t>.</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We use long-term borrowings in addition to the cash we generate from operations as part of our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strategy to support and grow our business. We primarily use senior notes and tax-exempt bonds to borrow on a long-term basis, but we also use other instruments and facilities, when appropriate. The components of our borrowings as of December 31, 2021 are described in Note 6 to the Consolidated Financial Statements.</w:t>
      </w:r>
    </w:p>
    <w:p>
      <w:pPr>
        <w:spacing w:after="0" w:line="17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December 31, 2021, we had $3.1 billion of debt maturing within the next 12 months, including (i) $1.8 billion of short-term borrowings under our commercial paper program (net of related discount on issuance); (ii) $645 million of tax-exempt bonds with term interest rate periods that expire within the next 12 months, which is prior to their scheduled maturities; (iii) $500 million of 2.90% senior notes that mature in September 2022 and (iv) $170 million of other debt with scheduled maturities within the next 12 months, including $71 million of tax-exempt bonds. As of December 31, 2021, we have classified $2.4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$708 million of debt maturing in the next 12 months is classified as current obligations.</w:t>
      </w:r>
    </w:p>
    <w:p>
      <w:pPr>
        <w:spacing w:after="0" w:line="18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of December 31, 2021, we also had $54 million of variable-rate tax-exempt bonds with long-term scheduled maturities supported by letters of credit under our $3.5 billion revolving credit facility. The interest rates on our variable rate tax-exempt bonds are reset on a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Consolidated Balance Sheet as of December 31, 2021.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259"/>
        <w:spacing w:after="0" w:line="239" w:lineRule="auto"/>
        <w:rPr>
          <w:sz w:val="20"/>
          <w:szCs w:val="20"/>
          <w:color w:val="auto"/>
        </w:rPr>
      </w:pPr>
      <w:r>
        <w:rPr>
          <w:rFonts w:ascii="Arial" w:cs="Arial" w:eastAsia="Arial" w:hAnsi="Arial"/>
          <w:sz w:val="18"/>
          <w:szCs w:val="18"/>
          <w:color w:val="auto"/>
        </w:rPr>
        <w:t>In May 2021, WMI issued $950 million of senior notes consisting of $475 million of 2.00% senior notes due June 1, 2029 and $475 million of 2.95% senior notes due June 15, 2041. The net proceeds from these debt issuances were $942 million, all of which were used along with available cash on hand, to retire $1.3 billion of certain high-coupon senior notes. The cash paid included the principal amount of the debt retired, $211 million of related premiums and other third-party costs, which are classified as loss on early extinguishment of debt in our Consolidated Statement of Operations, and $15 million of accrued interest. See Note 6 to the Consolidated Financial Statements for more information related to the debt transactions.</w:t>
      </w:r>
    </w:p>
    <w:p>
      <w:pPr>
        <w:spacing w:after="0" w:line="191" w:lineRule="exact"/>
        <w:rPr>
          <w:sz w:val="20"/>
          <w:szCs w:val="20"/>
          <w:color w:val="auto"/>
        </w:rPr>
      </w:pPr>
    </w:p>
    <w:p>
      <w:pPr>
        <w:jc w:val="both"/>
        <w:ind w:left="60" w:right="79" w:firstLine="259"/>
        <w:spacing w:after="0" w:line="277" w:lineRule="auto"/>
        <w:rPr>
          <w:sz w:val="20"/>
          <w:szCs w:val="20"/>
          <w:color w:val="auto"/>
        </w:rPr>
      </w:pPr>
      <w:r>
        <w:rPr>
          <w:rFonts w:ascii="Arial" w:cs="Arial" w:eastAsia="Arial" w:hAnsi="Arial"/>
          <w:sz w:val="18"/>
          <w:szCs w:val="18"/>
          <w:color w:val="auto"/>
        </w:rPr>
        <w:t>We have credit lines in place to support our liquidity and financial assurance needs. The following table summarizes our outstanding letters of credit, categorized by type of facility as of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4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Other letter of credit lines (b)</w:t>
            </w:r>
          </w:p>
        </w:tc>
        <w:tc>
          <w:tcPr>
            <w:tcW w:w="4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December 31, 2021, we had an unused and available credit capacity of $1.5 billion.</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December 31, 2021, these other letter of credit lines are uncommitted with terms extending through April 2023.</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243"/>
        <w:spacing w:after="0" w:line="254"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42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7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18,033</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0" w:type="dxa"/>
            <w:vAlign w:val="bottom"/>
          </w:tcPr>
          <w:p>
            <w:pPr>
              <w:spacing w:after="0"/>
              <w:rPr>
                <w:sz w:val="18"/>
                <w:szCs w:val="18"/>
                <w:color w:val="auto"/>
              </w:rPr>
            </w:pPr>
          </w:p>
        </w:tc>
      </w:tr>
      <w:tr>
        <w:trPr>
          <w:trHeight w:val="355"/>
        </w:trPr>
        <w:tc>
          <w:tcPr>
            <w:tcW w:w="3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4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4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Revenue</w:t>
            </w:r>
          </w:p>
        </w:tc>
        <w:tc>
          <w:tcPr>
            <w:tcW w:w="45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0"/>
                <w:szCs w:val="20"/>
                <w:color w:val="auto"/>
              </w:rPr>
            </w:pPr>
          </w:p>
        </w:tc>
      </w:tr>
      <w:tr>
        <w:trPr>
          <w:trHeight w:val="863"/>
        </w:trPr>
        <w:tc>
          <w:tcPr>
            <w:tcW w:w="3420" w:type="dxa"/>
            <w:vAlign w:val="bottom"/>
          </w:tcPr>
          <w:p>
            <w:pPr>
              <w:spacing w:after="0"/>
              <w:rPr>
                <w:sz w:val="24"/>
                <w:szCs w:val="24"/>
                <w:color w:val="auto"/>
              </w:rPr>
            </w:pPr>
          </w:p>
        </w:tc>
        <w:tc>
          <w:tcPr>
            <w:tcW w:w="4160" w:type="dxa"/>
            <w:vAlign w:val="bottom"/>
          </w:tcPr>
          <w:p>
            <w:pPr>
              <w:jc w:val="right"/>
              <w:ind w:right="293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4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1"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year ended December 31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87"/>
              </w:rPr>
              <w:t>(1,894)</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(4,847)</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87"/>
              </w:rPr>
              <w:t>(2,900)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(1,559)</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for 2021, as compared with 2020,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$935 million primarily as a result of (i) an increase in earnings primarily attributable to our collection, disposal and recycling lines of business; (ii) our acquisition of Advanced Disposal; (iii) lower interest payments in 2021 primarily due to certain refinancing activities and the retirement of high-coupon debt during 2020 reducing our overall interest rates;</w:t>
      </w:r>
    </w:p>
    <w:p>
      <w:pPr>
        <w:spacing w:after="0" w:line="1" w:lineRule="exact"/>
        <w:rPr>
          <w:sz w:val="20"/>
          <w:szCs w:val="20"/>
          <w:color w:val="auto"/>
        </w:rPr>
      </w:pPr>
    </w:p>
    <w:p>
      <w:pPr>
        <w:jc w:val="both"/>
        <w:ind w:left="60" w:right="59" w:hanging="10"/>
        <w:spacing w:after="0" w:line="253" w:lineRule="auto"/>
        <w:tabs>
          <w:tab w:leader="none" w:pos="3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income taxes paid in 2021 and (v) favorable changes in our working capital, net of effects of acquisitions and divestitures. Our working capital was favorably impacted by process improvements that contributed to a significant improvement in our days-to-collect metrics. These favorable impacts were partially offset by the timing of cash tax benefits received in 2020 associated with federal alternative fuel tax credits.</w:t>
      </w:r>
    </w:p>
    <w:p>
      <w:pPr>
        <w:spacing w:after="0" w:line="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operating cash flows for 2020, as compared with 2019, decreased by $471 million as a result of (i) higher income tax payments related to a taxable gain on the sale of Advanced Disposal assets to GFL Environmental; (ii) increased interest payments and integration related spending due to our acquisition of Advanced Disposal; (iii) payments associated with investments we made in our digital platform and (iv) to a lesser extent, lower earnings on our traditional Solid Waste business primarily caused by the impact of the COVID-19 pandemic. These results were partially offset by cash benefits in 2020 associated with the 2019 federal alternative fuel credits.</w:t>
      </w:r>
    </w:p>
    <w:p>
      <w:pPr>
        <w:spacing w:after="0" w:line="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affecting the comparison of our investing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periods presented are summarized below:</w:t>
      </w:r>
    </w:p>
    <w:p>
      <w:pPr>
        <w:spacing w:after="0" w:line="62" w:lineRule="exact"/>
        <w:rPr>
          <w:sz w:val="20"/>
          <w:szCs w:val="20"/>
          <w:color w:val="auto"/>
        </w:rPr>
      </w:pPr>
    </w:p>
    <w:p>
      <w:pPr>
        <w:jc w:val="both"/>
        <w:ind w:left="720" w:right="79" w:hanging="319"/>
        <w:spacing w:after="0" w:line="254"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$76 million, $4,088 million and $527 million in 2021,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 of which $75 million, $4,085 million and $521 million, respectively, are considered cash used in investing activities. The remaining spend is financing or operating activities related to the timing of contingent consideration paid. Substantially all of these acquisitions are related to our Solid Waste business. Our acquisition spending in 2020 and 2019 is primarily attributable to Advanced Disposal and Petro Waste Environmental LP, respectively. See Note 17 to the Consolidated Financial Statements for additional information. We continue to focus on accretive acquisitions and growth opportunities that will enhance and expand our existing service offerings.</w:t>
      </w:r>
    </w:p>
    <w:p>
      <w:pPr>
        <w:spacing w:after="0" w:line="83"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 </w:t>
      </w:r>
      <w:r>
        <w:rPr>
          <w:rFonts w:ascii="Arial" w:cs="Arial" w:eastAsia="Arial" w:hAnsi="Arial"/>
          <w:sz w:val="17"/>
          <w:szCs w:val="17"/>
          <w:color w:val="auto"/>
        </w:rPr>
        <w:t>We used $1,904 million, $1,632 million and $1,818 million for capital expenditures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2020 and 2019, respectively. The increase in 2021 is due in part to intentional steps the Company took to accelerate growth capital spending on recycling and renewable energy projects. Additionally, in 2020 we took proactive steps to reduce the amount of capital spending required due to the decrease in volumes as a result of COVID-19. The Company continues to maintain a disciplined focus on capital management to prioritize investments in the long-term growth of our business and for the replacement of aging assets.</w:t>
      </w:r>
    </w:p>
    <w:p>
      <w:pPr>
        <w:spacing w:after="0" w:line="69" w:lineRule="exact"/>
        <w:rPr>
          <w:rFonts w:ascii="Arial" w:cs="Arial" w:eastAsia="Arial" w:hAnsi="Arial"/>
          <w:sz w:val="17"/>
          <w:szCs w:val="17"/>
          <w:color w:val="auto"/>
        </w:rPr>
      </w:pPr>
    </w:p>
    <w:p>
      <w:pPr>
        <w:jc w:val="both"/>
        <w:ind w:left="720" w:right="79" w:hanging="319"/>
        <w:spacing w:after="0" w:line="255"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Divestitures — </w:t>
      </w:r>
      <w:r>
        <w:rPr>
          <w:rFonts w:ascii="Arial" w:cs="Arial" w:eastAsia="Arial" w:hAnsi="Arial"/>
          <w:sz w:val="18"/>
          <w:szCs w:val="18"/>
          <w:color w:val="auto"/>
        </w:rPr>
        <w:t>Proceeds from divestitures of businesses and other assets, net of cash divested,</w:t>
      </w:r>
      <w:r>
        <w:rPr>
          <w:rFonts w:ascii="Arial" w:cs="Arial" w:eastAsia="Arial" w:hAnsi="Arial"/>
          <w:sz w:val="18"/>
          <w:szCs w:val="18"/>
          <w:i w:val="1"/>
          <w:iCs w:val="1"/>
          <w:color w:val="auto"/>
        </w:rPr>
        <w:t xml:space="preserve"> </w:t>
      </w:r>
      <w:r>
        <w:rPr>
          <w:rFonts w:ascii="Arial" w:cs="Arial" w:eastAsia="Arial" w:hAnsi="Arial"/>
          <w:sz w:val="18"/>
          <w:szCs w:val="18"/>
          <w:color w:val="auto"/>
        </w:rPr>
        <w:t>were $96 million, $885 million and $49 million in 2021, 2020 and 2019, respectively. In 2021, our proceeds are primarily the result of the sale of certain non-strategic Canadian operations. In 2020, our proceeds included $856 million related to the sale of assets required to be sold by the U.S. Department of Justice in connection with our acquisition of Advanced Disposal. The remaining amounts in 2021, 2020 and 2019 generally related to the sale of fixed assets.</w:t>
      </w:r>
    </w:p>
    <w:p>
      <w:pPr>
        <w:spacing w:after="0" w:line="84" w:lineRule="exact"/>
        <w:rPr>
          <w:rFonts w:ascii="Arial" w:cs="Arial" w:eastAsia="Arial" w:hAnsi="Arial"/>
          <w:sz w:val="18"/>
          <w:szCs w:val="18"/>
          <w:color w:val="auto"/>
        </w:rPr>
      </w:pPr>
    </w:p>
    <w:p>
      <w:pPr>
        <w:jc w:val="both"/>
        <w:ind w:left="720" w:right="79" w:hanging="319"/>
        <w:spacing w:after="0" w:line="296"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Other, Net — </w:t>
      </w:r>
      <w:r>
        <w:rPr>
          <w:rFonts w:ascii="Arial" w:cs="Arial" w:eastAsia="Arial" w:hAnsi="Arial"/>
          <w:sz w:val="16"/>
          <w:szCs w:val="16"/>
          <w:color w:val="auto"/>
        </w:rPr>
        <w:t>Our spending within other, net was $11 million, $15 million, and $86 million in 2021,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2019, respectively. During 2021, 2020 and 2019, we used $32 million, $14 million and $44 million, respectively, of cash from restricted cash and cash equivalents to invest in available-for-sale securities. Our 2021 cash spend was partially offset by proceeds received from the sale of an equity method investment. We also used $20 million in 2019 to make an initial cash payment associated with a low-income housing investment. In 2019, these items</w:t>
      </w:r>
    </w:p>
    <w:p>
      <w:pPr>
        <w:sectPr>
          <w:pgSz w:w="11900" w:h="16838" w:orient="portrait"/>
          <w:cols w:equalWidth="0" w:num="1">
            <w:col w:w="9019"/>
          </w:cols>
          <w:pgMar w:left="1440" w:top="611"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were partially offset by cash proceeds from the redemption of our preferred stock received in conjunction with the 2014 sale of our Puerto Rico operations.</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Provided by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periods presented are summarized below:</w:t>
      </w:r>
    </w:p>
    <w:p>
      <w:pPr>
        <w:spacing w:after="0" w:line="62" w:lineRule="exact"/>
        <w:rPr>
          <w:sz w:val="20"/>
          <w:szCs w:val="20"/>
          <w:color w:val="auto"/>
        </w:rPr>
      </w:pPr>
    </w:p>
    <w:p>
      <w:pPr>
        <w:ind w:left="660" w:right="79" w:hanging="32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Debt (Repayments) Borrowings — </w:t>
      </w:r>
      <w:r>
        <w:rPr>
          <w:rFonts w:ascii="Arial" w:cs="Arial" w:eastAsia="Arial" w:hAnsi="Arial"/>
          <w:sz w:val="18"/>
          <w:szCs w:val="18"/>
          <w:color w:val="auto"/>
        </w:rPr>
        <w:t>The following summarizes our cash borrowings and repayments of debt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(in millions):</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r>
      <w:tr>
        <w:trPr>
          <w:trHeight w:val="20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paper program (a)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364-day revolving credit facility (b)</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Canadian senior notes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Other debt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Commercial paper program (a)</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(6,872)</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(1,822)</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(9,555)</w:t>
            </w:r>
          </w:p>
        </w:tc>
      </w:tr>
      <w:tr>
        <w:trPr>
          <w:trHeight w:val="432"/>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364-day revolving credit facility (b)</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(3,000)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(1,289)</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(4,000)</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Advanced Disposal senior notes (c)</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425"/>
        </w:trPr>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(8,404)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(9,629)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(10,088)</w:t>
            </w:r>
          </w:p>
        </w:tc>
      </w:tr>
      <w:tr>
        <w:trPr>
          <w:trHeight w:val="21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Net cash (repayments) borrowings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0"/>
        </w:trPr>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95"/>
        </w:trPr>
        <w:tc>
          <w:tcPr>
            <w:tcW w:w="222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7" w:lineRule="exact"/>
        <w:rPr>
          <w:sz w:val="20"/>
          <w:szCs w:val="20"/>
          <w:color w:val="auto"/>
        </w:rPr>
      </w:pPr>
    </w:p>
    <w:p>
      <w:pPr>
        <w:jc w:val="both"/>
        <w:ind w:left="1040" w:right="79" w:hanging="315"/>
        <w:spacing w:after="0" w:line="301"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Beginning in 2021, we elected to report these cash flows on a gross basis. Reclassifications have been made to our prior period information for comparability purposes. Borrowings incurred in 2020 were used for the redemption of the SMR Notes and to partially fund our acquisition of Advanced Disposal. Borrowings incurred in 2021 and 2019 were primarily to support acquisitions and for general corporate purposes.</w:t>
      </w:r>
    </w:p>
    <w:p>
      <w:pPr>
        <w:spacing w:after="0" w:line="49"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November 2020, we terminated this facility contemporaneously with repayment of all outstanding borrowings with proceeds from our November 2020 senior notes issuance.</w:t>
      </w:r>
    </w:p>
    <w:p>
      <w:pPr>
        <w:spacing w:after="0" w:line="62"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the time of acquisition, Advanced Disposal had certain outstanding senior notes which were redeemed in 2020 pursuant to an optional redemption feature as further discussed in Note 17 to the Consolidated Financial Statements.</w:t>
      </w:r>
    </w:p>
    <w:p>
      <w:pPr>
        <w:spacing w:after="0" w:line="76"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6 to the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273"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Premiums and Other Paid on Early Extinguishment of Debt — </w:t>
      </w:r>
      <w:r>
        <w:rPr>
          <w:rFonts w:ascii="Arial" w:cs="Arial" w:eastAsia="Arial" w:hAnsi="Arial"/>
          <w:sz w:val="17"/>
          <w:szCs w:val="17"/>
          <w:color w:val="auto"/>
        </w:rPr>
        <w:t xml:space="preserve">During 2021, we paid premiums and other third-party costs of $211 million to retire certain high-coupon notes as discussed further in Note 6 to the Consolidated Financial Statements. During 2020, we paid premiums of $30 million to redeem $3.0 billion of senior notes that contained a special mandatory redemption feature tied to the timing of the Advanced Disposal acquisition closing. During 2019, we paid premiums of $84 million to retire certain high-coupon senior notes. See </w:t>
      </w:r>
      <w:r>
        <w:rPr>
          <w:rFonts w:ascii="Arial" w:cs="Arial" w:eastAsia="Arial" w:hAnsi="Arial"/>
          <w:sz w:val="17"/>
          <w:szCs w:val="17"/>
          <w:i w:val="1"/>
          <w:iCs w:val="1"/>
          <w:color w:val="auto"/>
        </w:rPr>
        <w:t>Loss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Early Extinguishment of Debt, Net </w:t>
      </w:r>
      <w:r>
        <w:rPr>
          <w:rFonts w:ascii="Arial" w:cs="Arial" w:eastAsia="Arial" w:hAnsi="Arial"/>
          <w:sz w:val="17"/>
          <w:szCs w:val="17"/>
          <w:color w:val="auto"/>
        </w:rPr>
        <w:t>for further discussion.</w:t>
      </w:r>
    </w:p>
    <w:p>
      <w:pPr>
        <w:spacing w:after="0" w:line="69"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For the periods presented, all share repurchases have been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financial plans approved by our Board of Directors. We allocated $1,350 million, $402 million and $244 million of available cash to common stock repurchases during 2021, 2020, and 2019, respectively. See Note 13 to the Consolidated Financial Statements for additional information.</w:t>
      </w:r>
    </w:p>
    <w:p>
      <w:pPr>
        <w:sectPr>
          <w:pgSz w:w="11900" w:h="16838" w:orient="portrait"/>
          <w:cols w:equalWidth="0" w:num="1">
            <w:col w:w="9019"/>
          </w:cols>
          <w:pgMar w:left="1440" w:top="611"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We announced in December 2021 that the Board of Directors has authorized up to $1.5 billion in future share repurchases. Any future share repurchases will be made at the discretion of management and will depend on factors similar to those considered by the Board of Directors in making dividend declarations and listed below, as well as market conditions.</w:t>
      </w:r>
    </w:p>
    <w:p>
      <w:pPr>
        <w:spacing w:after="0" w:line="79" w:lineRule="exact"/>
        <w:rPr>
          <w:sz w:val="20"/>
          <w:szCs w:val="20"/>
          <w:color w:val="auto"/>
        </w:rPr>
      </w:pPr>
    </w:p>
    <w:p>
      <w:pPr>
        <w:jc w:val="both"/>
        <w:ind w:left="720" w:right="79" w:hanging="319"/>
        <w:spacing w:after="0" w:line="286"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declared and paid were $970 million in 2021, or $2.30 per common share, $927 million in 2020, or $2.18 per common share, and $876 million in 2019, or $2.05 per common share.</w:t>
      </w:r>
    </w:p>
    <w:p>
      <w:pPr>
        <w:spacing w:after="0" w:line="57"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In December 2021, we announced that our Board of Directors expects to increase the quarterly dividend from $0.575 to $0.65 per share for dividends declared in 2022.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80" w:lineRule="exact"/>
        <w:rPr>
          <w:sz w:val="20"/>
          <w:szCs w:val="20"/>
          <w:color w:val="auto"/>
        </w:rPr>
      </w:pPr>
    </w:p>
    <w:p>
      <w:pPr>
        <w:ind w:left="720" w:right="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Exercise of Common Stock Options — </w:t>
      </w:r>
      <w:r>
        <w:rPr>
          <w:rFonts w:ascii="Arial" w:cs="Arial" w:eastAsia="Arial" w:hAnsi="Arial"/>
          <w:sz w:val="18"/>
          <w:szCs w:val="18"/>
          <w:color w:val="auto"/>
        </w:rPr>
        <w:t>The exercise of common stock options generated financing cash inflows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$66 million, $63 million and $67 million during 2021, 2020 and 2019,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22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assets and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Landfills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Landfill Costs — </w:t>
      </w:r>
      <w:r>
        <w:rPr>
          <w:rFonts w:ascii="Arial" w:cs="Arial" w:eastAsia="Arial" w:hAnsi="Arial"/>
          <w:sz w:val="18"/>
          <w:szCs w:val="18"/>
          <w:color w:val="auto"/>
        </w:rPr>
        <w:t>We estimate the total cost to develop each of our landfill sites to its remaining permitted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amortizable basis of each landfill includes costs to develop a site to its remaining permitted and expansion airspace and includes amounts previously expended and capitalized, net of accumulated airspace amortization, and projections of future purchase and development costs.</w:t>
      </w:r>
    </w:p>
    <w:p>
      <w:pPr>
        <w:spacing w:after="0" w:line="19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Final Capping Costs — </w:t>
      </w:r>
      <w:r>
        <w:rPr>
          <w:rFonts w:ascii="Arial" w:cs="Arial" w:eastAsia="Arial" w:hAnsi="Arial"/>
          <w:sz w:val="17"/>
          <w:szCs w:val="17"/>
          <w:color w:val="auto"/>
        </w:rPr>
        <w:t>We estimate the cost for each final capping event based on the area to be capped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amortized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amortized immediately through expense. When the change in estimate relates to a final capping event at a landfill with remaining airspace, the adjustment to the asset is recognized in income prospectively as a component of landfill airspace amortization.</w:t>
      </w:r>
    </w:p>
    <w:p>
      <w:pPr>
        <w:spacing w:after="0" w:line="1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Closure and Post-Closure Costs — </w:t>
      </w:r>
      <w:r>
        <w:rPr>
          <w:rFonts w:ascii="Arial" w:cs="Arial" w:eastAsia="Arial" w:hAnsi="Arial"/>
          <w:sz w:val="17"/>
          <w:szCs w:val="17"/>
          <w:color w:val="auto"/>
        </w:rPr>
        <w:t>We base our estimates for closure and post-closure costs on our interpretations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amortized immediately through expense. When the change in estimate relates to a landfill with remaining airspace, the adjustment to the asset is recognized in income prospectively as a component of landfill airspace amortization.</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188" w:lineRule="exact"/>
        <w:rPr>
          <w:sz w:val="20"/>
          <w:szCs w:val="20"/>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6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w:t>
      </w:r>
    </w:p>
    <w:p>
      <w:pPr>
        <w:sectPr>
          <w:pgSz w:w="11900" w:h="16838" w:orient="portrait"/>
          <w:cols w:equalWidth="0" w:num="1">
            <w:col w:w="9019"/>
          </w:cols>
          <w:pgMar w:left="1440" w:top="611"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review and evaluate sites that require remediation and determine our estimated cost for the likely remedy based on a number of estimates and assumptions.</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64"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Fair Value of Nonfinancial Assets and Liabilities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Significant estimates are made in determining the fair value of long-lived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 </w:t>
      </w:r>
      <w:r>
        <w:rPr>
          <w:rFonts w:ascii="Arial" w:cs="Arial" w:eastAsia="Arial" w:hAnsi="Arial"/>
          <w:sz w:val="16"/>
          <w:szCs w:val="16"/>
          <w:color w:val="auto"/>
        </w:rPr>
        <w:t>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and more frequently if warranted, we</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indefinite-lived intangible assets including the goodwill of our reporting units for impairment using Level 3 inputs.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first perform a qualitative assessment to determine if it was more likely than not that the fair value of a reporting unit was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accordance with the purchase method of accounting, the purchase price paid for an acquisition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(Gain) Loss</w:t>
      </w:r>
      <w:r>
        <w:rPr>
          <w:rFonts w:ascii="Arial" w:cs="Arial" w:eastAsia="Arial" w:hAnsi="Arial"/>
          <w:sz w:val="18"/>
          <w:szCs w:val="18"/>
          <w:color w:val="auto"/>
        </w:rPr>
        <w:t xml:space="preserve"> </w:t>
      </w:r>
      <w:r>
        <w:rPr>
          <w:rFonts w:ascii="Arial" w:cs="Arial" w:eastAsia="Arial" w:hAnsi="Arial"/>
          <w:sz w:val="18"/>
          <w:szCs w:val="18"/>
          <w:i w:val="1"/>
          <w:iCs w:val="1"/>
          <w:color w:val="auto"/>
        </w:rPr>
        <w:t>from Divestitures, Asset Impairments and Unusual Items, Net</w:t>
      </w:r>
      <w:r>
        <w:rPr>
          <w:rFonts w:ascii="Arial" w:cs="Arial" w:eastAsia="Arial" w:hAnsi="Arial"/>
          <w:sz w:val="18"/>
          <w:szCs w:val="18"/>
          <w:color w:val="auto"/>
        </w:rPr>
        <w: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18 to the Consolidated Financial Statements. Additionally, we are party to guarantee arrangements with unconsolidated entities as discussed in the </w:t>
      </w:r>
      <w:r>
        <w:rPr>
          <w:rFonts w:ascii="Arial" w:cs="Arial" w:eastAsia="Arial" w:hAnsi="Arial"/>
          <w:sz w:val="16"/>
          <w:szCs w:val="16"/>
          <w:i w:val="1"/>
          <w:iCs w:val="1"/>
          <w:color w:val="auto"/>
        </w:rPr>
        <w:t xml:space="preserve">Guarantees </w:t>
      </w:r>
      <w:r>
        <w:rPr>
          <w:rFonts w:ascii="Arial" w:cs="Arial" w:eastAsia="Arial" w:hAnsi="Arial"/>
          <w:sz w:val="16"/>
          <w:szCs w:val="16"/>
          <w:color w:val="auto"/>
        </w:rPr>
        <w:t>section of Note 10 to the Consolidated Financial Statements. These arrangements have not materially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our financial position, results of operations or liquidity during the year ended December 31, 2021, nor are they expected to have a material impact on our future financial position, results of operations or liquidity.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Accelerated and pronounced economic pressures, particularly related to inflationary cost pressures on labor and the goods and services we rely upon to deliver service to our customers, had a more significant impact on our cost structure and capital expenditures in 2021. Our overall strategic pricing efforts are focused on recovering as much of the inflationary cost increases we experience in our business as possible by increasing our average unit rate. A significant portion of our revenue is tied to a price escalation index with a lookback provision, which has resulted in a timing lag in our ability to recover increased costs under these contracts during this period of rapid inflation. Separately, for many of our customers we provide services under multi-year contracts that can restrict our ability to increase prices and the timing of such increases. As we enter 2022, many of these contract lookback provisions will begin to capture the recent inflationary cost increases in the price escalation calculation. We are taking proactive steps to recover inflationary cost pressures through the price of our service and by managing our costs through efficiency, labor productivity and investments in technology</w:t>
      </w:r>
    </w:p>
    <w:p>
      <w:pPr>
        <w:sectPr>
          <w:pgSz w:w="11900" w:h="16838" w:orient="portrait"/>
          <w:cols w:equalWidth="0" w:num="1">
            <w:col w:w="9019"/>
          </w:cols>
          <w:pgMar w:left="1440" w:top="611"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automate certain aspects of our business in order to mitigate the inflationary cost pressures we have seen in our business.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further discussion.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2021.</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Interest Rate Exposure — </w:t>
      </w:r>
      <w:r>
        <w:rPr>
          <w:rFonts w:ascii="Arial" w:cs="Arial" w:eastAsia="Arial" w:hAnsi="Arial"/>
          <w:sz w:val="16"/>
          <w:szCs w:val="16"/>
          <w:color w:val="auto"/>
        </w:rPr>
        <w:t>Our exposure to market risk for changes in interest rates relates primarily to our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As of December 31, 2021, we had $13.5 billion of long-term debt, excluding the impacts of accounting for debt issuance costs, discounts and fair value adjustments attributable to terminated interest rate derivatives. We have $2.5 billion of debt that is exposed to changes in market interest rates within the next 12 months comprised of (i) $1.8 billion of short-term borrowings under our commercial paper program; (ii) $645 billion of tax-exempt bonds with term interest rate periods that expire within the next 12 months and (iii) $54 million of variable-rate tax-exempt bonds that are subject to repricing on a weekly basis. We currently estimate that a 100-basis point increase in the interest rates of our outstanding variable-rate debt obligations would increase our 2022 interest expense by $7 million.</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$900 million as of December 31, 2021.</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also exposed to interest rate market risk from our cash and cash equivalent balances, as well as assets held in restricted trust funds and escrow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and escrow account balances in available-for-sale securities, including U.S. Treasury securities, U.S. agency securities, municipal securities, mortgage- and asset-backed securities, which generally mature over the next nine years, as well as equity securities.</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Commodity Price Exposure — </w:t>
      </w:r>
      <w:r>
        <w:rPr>
          <w:rFonts w:ascii="Arial" w:cs="Arial" w:eastAsia="Arial" w:hAnsi="Arial"/>
          <w:sz w:val="17"/>
          <w:szCs w:val="17"/>
          <w:color w:val="auto"/>
        </w:rPr>
        <w:t>In the normal course of our business, we are subject to operating agreements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expose us to market risks arising from changes in the prices for commodities such as diesel fuel, electricity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As discussed in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we saw significant increases in commodity prices and demand for recycled materials in 2021,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annual revenue for our recycling business of $537 million. Variability in commodity prices can also impact the margins of our business as certain components of our revenue are structured as a pass through of costs, including recycling brokerage and fuel surcharges.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 </w:t>
      </w:r>
      <w:r>
        <w:rPr>
          <w:rFonts w:ascii="Arial" w:cs="Arial" w:eastAsia="Arial" w:hAnsi="Arial"/>
          <w:sz w:val="18"/>
          <w:szCs w:val="18"/>
          <w:color w:val="auto"/>
        </w:rPr>
        <w:t>We have operations in Canada as well as certain support functions in India. Where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60" w:type="dxa"/>
            <w:vAlign w:val="bottom"/>
            <w:gridSpan w:val="8"/>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560" w:type="dxa"/>
            <w:vAlign w:val="bottom"/>
            <w:gridSpan w:val="8"/>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as of December 31, 2021 and 2020</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Operations for the Years Ended December 31, 2021, 2020 and 2019</w:t>
              </w:r>
            </w:hyperlink>
          </w:p>
        </w:tc>
        <w:tc>
          <w:tcPr>
            <w:tcW w:w="16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Comprehensive Income for the Years Ended December 31, 2021, 2020 and 2019</w:t>
              </w:r>
            </w:hyperlink>
          </w:p>
        </w:tc>
        <w:tc>
          <w:tcPr>
            <w:tcW w:w="7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8560" w:type="dxa"/>
            <w:vAlign w:val="bottom"/>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December 31, 2021, 2020 and 2019</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Changes in Equity for the Years Ended December 31, 2021, 2020 and 2019</w:t>
              </w:r>
            </w:hyperlink>
          </w:p>
        </w:tc>
        <w:tc>
          <w:tcPr>
            <w:tcW w:w="11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8560" w:type="dxa"/>
            <w:vAlign w:val="bottom"/>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Waste Management,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audited Waste Management, Inc.’s internal control over financial reporting as of December 31, 2021,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2021, based on the COSO criteria.</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February 15, 2022 expressed an unqualified opinion thereon.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15, 2022</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439" w:firstLine="137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Waste Management, Inc.</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2021 and 2020, the related consolidated statements of operations, comprehensive income, cash flows, and changes in equity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92"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15, 2022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Amortization</w:t>
            </w:r>
          </w:p>
        </w:tc>
      </w:tr>
      <w:tr>
        <w:trPr>
          <w:trHeight w:val="418"/>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At December 31, 2021, the Company’s landfill assets, net of accumulated amortization,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totaled $7.3 billion and the associated amortization expense for 2021 was $731 million.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discussed in Note 2 of the financial statements, the Company updates the estimates used to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calculate individual landfill amortization rates at least annually, or more often if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facts  change.  Landfill  amortization  rates  are  used  in  the  computation  of  landfill</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amortization expense.</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Auditing landfill amortization rates and related amortization expense is complex due to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assumptions used in the calculation of the rates include: estimated future development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costs associated with the construction and retirement of the landfill, estimated remaining</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permitted  airspace  and  unpermitted  expansion  airspace,  airspace  utilization  factors,</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projected annual tonnage intakes, and projected timing of retirement activities.</w:t>
            </w:r>
          </w:p>
        </w:tc>
      </w:tr>
      <w:tr>
        <w:trPr>
          <w:trHeight w:val="418"/>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of the Company’s controls over determining landfill amortization rates and calculating</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amortization expense. Our audit procedures included, among others, testing controls over:</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the Company’s process for evaluating and updating the significant assumptions used in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development of the landfill amortization rates, management’s review of those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assumptions,  and  the  mathematical  accuracy  of  the  calculation  and  recording  of</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amortization expense.</w:t>
            </w:r>
          </w:p>
        </w:tc>
      </w:tr>
    </w:tbl>
    <w:p>
      <w:pPr>
        <w:spacing w:after="0" w:line="202" w:lineRule="exact"/>
        <w:rPr>
          <w:sz w:val="20"/>
          <w:szCs w:val="20"/>
          <w:color w:val="auto"/>
        </w:rPr>
      </w:pPr>
    </w:p>
    <w:p>
      <w:pPr>
        <w:jc w:val="both"/>
        <w:ind w:left="1960" w:right="499"/>
        <w:spacing w:after="0" w:line="269" w:lineRule="auto"/>
        <w:rPr>
          <w:sz w:val="20"/>
          <w:szCs w:val="20"/>
          <w:color w:val="auto"/>
        </w:rPr>
      </w:pPr>
      <w:r>
        <w:rPr>
          <w:rFonts w:ascii="Arial" w:cs="Arial" w:eastAsia="Arial" w:hAnsi="Arial"/>
          <w:sz w:val="17"/>
          <w:szCs w:val="17"/>
          <w:color w:val="24282D"/>
        </w:rPr>
        <w:t>To test the landfill asset amortization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unpermitted expansion airspace, we evaluated the Company’s criteria for inclusion in remaining airspace. In addition, we considered the professional qualifications and objectivity of management’s internal engineers responsible for developing the assumptions. We involved EY’s engineering specialists to assist with the evaluation of the Company’s landfill future development cost and airspace assumptions. We also tested the completeness and accuracy of the historical data utilized in the development of the landfill amortization rates.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 Final Capping, Closure and Post-Closure Costs</w:t>
            </w:r>
          </w:p>
        </w:tc>
      </w:tr>
      <w:tr>
        <w:trPr>
          <w:trHeight w:val="350"/>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8"/>
              </w:rPr>
              <w:t>At December 31, 2021, the carrying value of the Company’s landfill asset retirement</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obligations related to final capping, closure and post-closure costs totaled $2.3 billion.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discussed in Note 2 of the financial statements, the Company updates the estimates used to</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measure the asset retirement obligations annually, or more often if significant facts change.</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Auditing the landfill asset retirement obligation is complex due to the highly judgmental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nature of the assumptions used in the measurement process. These assumptions include: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24282D"/>
                <w:w w:val="92"/>
              </w:rPr>
              <w:t>estimated future costs associated with the capping, closure and post closure activities at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each specific landfill; airspace consumed to date in relation to total estimated permitted</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airspace; the projected annual tonnage intake; and the projected timing of retirement</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activities.</w:t>
            </w:r>
          </w:p>
        </w:tc>
      </w:tr>
      <w:tr>
        <w:trPr>
          <w:trHeight w:val="431"/>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of the Company’s controls over the calculation of asset retirement obligations. Our audit</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procedures included, among others, testing the Company’s controls over the landfill asset</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retirement obligation estimation process and management’s review of the significant</w:t>
            </w:r>
          </w:p>
        </w:tc>
      </w:tr>
    </w:tbl>
    <w:p>
      <w:pPr>
        <w:jc w:val="both"/>
        <w:ind w:left="1960" w:right="499"/>
        <w:spacing w:after="0" w:line="260" w:lineRule="auto"/>
        <w:rPr>
          <w:sz w:val="20"/>
          <w:szCs w:val="20"/>
          <w:color w:val="auto"/>
        </w:rPr>
      </w:pPr>
      <w:r>
        <w:rPr>
          <w:rFonts w:ascii="Arial" w:cs="Arial" w:eastAsia="Arial" w:hAnsi="Arial"/>
          <w:sz w:val="18"/>
          <w:szCs w:val="18"/>
          <w:color w:val="24282D"/>
        </w:rPr>
        <w:t>assumptions used in the estimation of the liability, including the amount and timing of retirement costs.</w:t>
      </w:r>
    </w:p>
    <w:p>
      <w:pPr>
        <w:spacing w:after="0" w:line="185" w:lineRule="exact"/>
        <w:rPr>
          <w:sz w:val="20"/>
          <w:szCs w:val="20"/>
          <w:color w:val="auto"/>
        </w:rPr>
      </w:pPr>
    </w:p>
    <w:p>
      <w:pPr>
        <w:jc w:val="both"/>
        <w:ind w:left="1960" w:right="499"/>
        <w:spacing w:after="0" w:line="268" w:lineRule="auto"/>
        <w:rPr>
          <w:sz w:val="20"/>
          <w:szCs w:val="20"/>
          <w:color w:val="auto"/>
        </w:rPr>
      </w:pPr>
      <w:r>
        <w:rPr>
          <w:rFonts w:ascii="Arial" w:cs="Arial" w:eastAsia="Arial" w:hAnsi="Arial"/>
          <w:sz w:val="17"/>
          <w:szCs w:val="17"/>
          <w:color w:val="24282D"/>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also tested the completeness and accuracy of the historical data utilized in preparing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7060" w:type="dxa"/>
            <w:vAlign w:val="bottom"/>
          </w:tcPr>
          <w:p>
            <w:pPr>
              <w:ind w:left="100"/>
              <w:spacing w:after="0"/>
              <w:rPr>
                <w:sz w:val="20"/>
                <w:szCs w:val="20"/>
                <w:color w:val="auto"/>
              </w:rPr>
            </w:pPr>
            <w:r>
              <w:rPr>
                <w:rFonts w:ascii="Arial" w:cs="Arial" w:eastAsia="Arial" w:hAnsi="Arial"/>
                <w:sz w:val="18"/>
                <w:szCs w:val="18"/>
                <w:color w:val="auto"/>
                <w:w w:val="98"/>
              </w:rPr>
              <w:t>Accounts receivable, net of allowance for doubtful accounts of $25 and $33,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 net of allowance for doubtful accounts of $8 and $7, 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7060" w:type="dxa"/>
            <w:vAlign w:val="bottom"/>
          </w:tcPr>
          <w:p>
            <w:pPr>
              <w:ind w:left="100"/>
              <w:spacing w:after="0"/>
              <w:rPr>
                <w:sz w:val="20"/>
                <w:szCs w:val="20"/>
                <w:color w:val="auto"/>
              </w:rPr>
            </w:pPr>
            <w:r>
              <w:rPr>
                <w:rFonts w:ascii="Arial" w:cs="Arial" w:eastAsia="Arial" w:hAnsi="Arial"/>
                <w:sz w:val="18"/>
                <w:szCs w:val="18"/>
                <w:color w:val="auto"/>
              </w:rPr>
              <w:t>Parts and supplies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9"/>
        </w:trPr>
        <w:tc>
          <w:tcPr>
            <w:tcW w:w="70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Property and equipment, net of accumulated depreciation and amortization of $20,537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$19,337,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14,148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29,345</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34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7060" w:type="dxa"/>
            <w:vAlign w:val="bottom"/>
          </w:tcPr>
          <w:p>
            <w:pPr>
              <w:ind w:left="10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13,259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21,891</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00"/>
              <w:spacing w:after="0"/>
              <w:rPr>
                <w:sz w:val="20"/>
                <w:szCs w:val="20"/>
                <w:color w:val="auto"/>
              </w:rPr>
            </w:pPr>
            <w:r>
              <w:rPr>
                <w:rFonts w:ascii="Arial" w:cs="Arial" w:eastAsia="Arial" w:hAnsi="Arial"/>
                <w:sz w:val="18"/>
                <w:szCs w:val="18"/>
                <w:color w:val="auto"/>
              </w:rPr>
              <w:t>Waste Management, Inc.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Common stock, $0.01 par value; 1,500,000,000 shares authorized; 630,282,461 shares issued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11,159</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214,158,636 and 207,480,827 shares, respectively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(10,072)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09"/>
        </w:trPr>
        <w:tc>
          <w:tcPr>
            <w:tcW w:w="7060" w:type="dxa"/>
            <w:vAlign w:val="bottom"/>
          </w:tcPr>
          <w:p>
            <w:pPr>
              <w:ind w:left="320"/>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29,345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15,455</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12,749</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Loss on early extinguishment of debt,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7220" w:type="dxa"/>
            <w:vAlign w:val="bottom"/>
            <w:gridSpan w:val="6"/>
          </w:tcPr>
          <w:p>
            <w:pPr>
              <w:ind w:left="172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396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8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Less: Comprehensive income (loss)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gridSpan w:val="2"/>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41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1,817</w:t>
            </w: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3"/>
              </w:rPr>
              <w:t>Adjustments to reconcile consolidated net income to net cash provided by operating activities: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expense (benefit)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(Gain) loss from divestitures, asset impairments and other,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Loss on early extinguishment of debt,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Change in operating assets and liabilities, net of effects of acquisitions and divestitures: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Deferred revenues and other liabilities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193"/>
        </w:trPr>
        <w:tc>
          <w:tcPr>
            <w:tcW w:w="62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193"/>
        </w:trPr>
        <w:tc>
          <w:tcPr>
            <w:tcW w:w="62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(9,629)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(10,088)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and other paid on early extinguishment of debt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Common stock repurchase program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dividends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6"/>
                <w:szCs w:val="16"/>
                <w:color w:val="auto"/>
              </w:rPr>
              <w:t>Exercise of common stock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Pr>
          <w:p>
            <w:pPr>
              <w:spacing w:after="0" w:line="173" w:lineRule="exact"/>
              <w:rPr>
                <w:sz w:val="20"/>
                <w:szCs w:val="20"/>
                <w:color w:val="auto"/>
              </w:rPr>
            </w:pPr>
            <w:r>
              <w:rPr>
                <w:rFonts w:ascii="Arial" w:cs="Arial" w:eastAsia="Arial" w:hAnsi="Arial"/>
                <w:sz w:val="16"/>
                <w:szCs w:val="16"/>
                <w:color w:val="auto"/>
                <w:w w:val="98"/>
              </w:rPr>
              <w:t>Effect of exchange rate changes on cash, cash equivalents and restricted cash and cash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equivalents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9"/>
              </w:rPr>
              <w:t>(Decrease) increase in cash, cash equivalents and restricted cash and cash equivalents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9"/>
              </w:rPr>
              <w:t>Cash, cash equivalents and restricted cash and cash equivalents at beginning of period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5"/>
              </w:rPr>
              <w:t>Reconciliation of cash, cash equivalents and restricted cash and cash equivalents at end of</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553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3"/>
          </w:tcPr>
          <w:p>
            <w:pPr>
              <w:jc w:val="right"/>
              <w:ind w:right="348"/>
              <w:spacing w:after="0"/>
              <w:rPr>
                <w:sz w:val="20"/>
                <w:szCs w:val="20"/>
                <w:color w:val="auto"/>
              </w:rPr>
            </w:pPr>
            <w:r>
              <w:rPr>
                <w:rFonts w:ascii="Arial" w:cs="Arial" w:eastAsia="Arial" w:hAnsi="Arial"/>
                <w:sz w:val="14"/>
                <w:szCs w:val="14"/>
                <w:b w:val="1"/>
                <w:bCs w:val="1"/>
                <w:color w:val="auto"/>
              </w:rPr>
              <w:t>Waste Management, Inc. Stockholders’ Equity</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13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6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2"/>
                <w:szCs w:val="12"/>
                <w:color w:val="auto"/>
              </w:rPr>
            </w:pPr>
          </w:p>
        </w:tc>
        <w:tc>
          <w:tcPr>
            <w:tcW w:w="104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6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6,276</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9,797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(206,299)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(8,434)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1,671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Cash dividends declared of $2.05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per common share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 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w w:val="96"/>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Arial" w:cs="Arial" w:eastAsia="Arial" w:hAnsi="Arial"/>
                <w:sz w:val="14"/>
                <w:szCs w:val="14"/>
                <w:color w:val="auto"/>
              </w:rPr>
              <w:t>Balance, December 31, 2019</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7,070</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10,592</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(205,956)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(8,571)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Adoption of new accounting</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1,496</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Cash dividends declared of $2.18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per common share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w w:val="96"/>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Arial" w:cs="Arial" w:eastAsia="Arial" w:hAnsi="Arial"/>
                <w:sz w:val="14"/>
                <w:szCs w:val="14"/>
                <w:color w:val="auto"/>
              </w:rPr>
              <w:t>Balance, December 31, 2020</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7,454</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11,159</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(207,481)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(8,881)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w w:val="96"/>
              </w:rPr>
              <w:t>Other comprehensive income (loss),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of $2.30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common share</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Common stock repurchase program</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7,126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12,004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(214,159)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(10,072)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207" w:lineRule="exact"/>
        <w:rPr>
          <w:sz w:val="20"/>
          <w:szCs w:val="20"/>
          <w:color w:val="auto"/>
        </w:rPr>
      </w:pPr>
    </w:p>
    <w:p>
      <w:pPr>
        <w:ind w:left="360" w:hanging="310"/>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acquisition of Advanced Disposal and segments is included in Notes 17 and 19.</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When necessary, reclassifications have been made to our prior period financial information to conform to the current year presentation and are not material to our consolidated financial statements. In our Annual Report on Form 10-K for the year ended December 31, 2020, our accumulated depreciation and gross property and equipment balances as of December 31, 2020 were overstated. We subsequently corrected the balances in our Quarterly Report on Form 10-Q for the quarter ended March 31, 2021 and have provided the corrected balances in all filings thereafter.</w:t>
      </w:r>
    </w:p>
    <w:p>
      <w:pPr>
        <w:spacing w:after="0" w:line="186" w:lineRule="exact"/>
        <w:rPr>
          <w:sz w:val="20"/>
          <w:szCs w:val="20"/>
          <w:color w:val="auto"/>
        </w:rPr>
      </w:pPr>
    </w:p>
    <w:p>
      <w:pPr>
        <w:ind w:left="360" w:hanging="310"/>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assets and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2021 and 2020, no single customer represented greater than 5% of total accounts receivable.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reflects the activity in our allowance for doubtful accounts of trade receivables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Adoption of new accounting standard</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Accounts written-off, net of recoveries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divestitures and other,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trade receivables the Company relies upon, among other factors, historical loss trends, the age of outstanding receivables, and existing as well as expected economic conditions. We determined that all of our trade receivables share similar risk characteristics. We monitor our credit exposure on an ongoing basis and assess whether assets in the pool continue to display similar risk characteristics.</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December 31, 2021, we had $2,278 million of trade receivables, net of allowance for doubtful accounts of $25 million. As of December 31, 2020, we had $2,097 million of trade receivables, net of allowance for doubtful accounts of $33 million. In January 2020, COVID-19 was declared a Public Health Emergency of International Concern and subsequently declared a global pandemic in March 2020. With this in mind, during 2020, we extended payment terms and postponed collections and service discontinuation for customers who were negatively impacted by the COVID-19 pandemic. These actions contributed to an increase in the aging of outstanding balances during the year and resulted in a related increase in our allowance for doubtful accounts. Improved economic conditions during 2021 have allowed us to return to more regular business practices, in accordance with our contractual terms. Based on aging analyses as of both December 31, 2021 and 2020, approximately 90%of our trade receivables were outstanding less than 60 days.</w:t>
      </w:r>
    </w:p>
    <w:p>
      <w:pPr>
        <w:spacing w:after="0" w:line="16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For other receivables, as well as loans and other instruments, the Company relies primarily on credit ratings and associated default rates based on the maturity of the instrument. All receivables, as well as other instruments, are adjusted for our expectation of future market conditions and trends. As of December 31, 2021, we had $451 million of notes and other receivables, net of allowance of $10 million. As of December 31, 2020, we had $703 million of notes and other receivables, net of allowance of $8 million. Based on an aging analysis as of December 31, 2021 and 2020, approximately 60% and 75%, respectively, of our other receivables were due within 12 months or less.</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Other receivables, as of December 31, 2021 and 2020, include receivables related to income tax payments in excess of our current income tax obligations of $166 million and $414 million, respectively. Other receivables as of December 31, 2021 and 2020 also include a receivable of $14 million and $20 million, respectively, related to federal natural gas fuel credits.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Cost Basis of Landfill Assets — </w:t>
      </w:r>
      <w:r>
        <w:rPr>
          <w:rFonts w:ascii="Arial" w:cs="Arial" w:eastAsia="Arial" w:hAnsi="Arial"/>
          <w:sz w:val="16"/>
          <w:szCs w:val="16"/>
          <w:color w:val="auto"/>
        </w:rPr>
        <w:t>We capitalize various costs that we incur to make a landfill ready to accept waste.</w:t>
      </w:r>
      <w:r>
        <w:rPr>
          <w:rFonts w:ascii="Arial" w:cs="Arial" w:eastAsia="Arial" w:hAnsi="Arial"/>
          <w:sz w:val="16"/>
          <w:szCs w:val="16"/>
          <w:i w:val="1"/>
          <w:iCs w:val="1"/>
          <w:color w:val="auto"/>
        </w:rPr>
        <w:t xml:space="preserve"> </w:t>
      </w:r>
      <w:r>
        <w:rPr>
          <w:rFonts w:ascii="Arial" w:cs="Arial" w:eastAsia="Arial" w:hAnsi="Arial"/>
          <w:sz w:val="16"/>
          <w:szCs w:val="16"/>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Final Capping, Closure and Post-Closure Costs — </w:t>
      </w:r>
      <w:r>
        <w:rPr>
          <w:rFonts w:ascii="Arial" w:cs="Arial" w:eastAsia="Arial" w:hAnsi="Arial"/>
          <w:sz w:val="18"/>
          <w:szCs w:val="18"/>
          <w:color w:val="auto"/>
        </w:rPr>
        <w:t>Following is a description of our asset retirement activities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w:t>
      </w:r>
    </w:p>
    <w:p>
      <w:pPr>
        <w:spacing w:after="0" w:line="170" w:lineRule="exact"/>
        <w:rPr>
          <w:sz w:val="20"/>
          <w:szCs w:val="20"/>
          <w:color w:val="auto"/>
        </w:rPr>
      </w:pPr>
    </w:p>
    <w:p>
      <w:pPr>
        <w:jc w:val="both"/>
        <w:ind w:left="720" w:right="79" w:hanging="319"/>
        <w:spacing w:after="0" w:line="273" w:lineRule="auto"/>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Final Capping — </w:t>
      </w:r>
      <w:r>
        <w:rPr>
          <w:rFonts w:ascii="Arial" w:cs="Arial" w:eastAsia="Arial" w:hAnsi="Arial"/>
          <w:sz w:val="17"/>
          <w:szCs w:val="17"/>
          <w:color w:val="auto"/>
        </w:rPr>
        <w:t>Involves the installation of flexible membrane liners and geosynthetic clay liners, drainage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airspace associated with each final capping event.</w:t>
      </w:r>
    </w:p>
    <w:p>
      <w:pPr>
        <w:spacing w:after="0" w:line="69" w:lineRule="exact"/>
        <w:rPr>
          <w:rFonts w:ascii="Arial" w:cs="Arial" w:eastAsia="Arial" w:hAnsi="Arial"/>
          <w:sz w:val="17"/>
          <w:szCs w:val="17"/>
          <w:color w:val="auto"/>
        </w:rPr>
      </w:pPr>
    </w:p>
    <w:p>
      <w:pPr>
        <w:jc w:val="both"/>
        <w:ind w:left="720" w:right="79" w:hanging="319"/>
        <w:spacing w:after="0" w:line="273" w:lineRule="auto"/>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Closure — </w:t>
      </w:r>
      <w:r>
        <w:rPr>
          <w:rFonts w:ascii="Arial" w:cs="Arial" w:eastAsia="Arial" w:hAnsi="Arial"/>
          <w:sz w:val="17"/>
          <w:szCs w:val="17"/>
          <w:color w:val="auto"/>
        </w:rPr>
        <w:t>Includes the construction of the final portion of methane gas collection systems (when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demobilization and routine 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69" w:lineRule="exact"/>
        <w:rPr>
          <w:rFonts w:ascii="Arial" w:cs="Arial" w:eastAsia="Arial" w:hAnsi="Arial"/>
          <w:sz w:val="17"/>
          <w:szCs w:val="17"/>
          <w:color w:val="auto"/>
        </w:rPr>
      </w:pPr>
    </w:p>
    <w:p>
      <w:pPr>
        <w:jc w:val="both"/>
        <w:ind w:left="720" w:right="79" w:hanging="319"/>
        <w:spacing w:after="0" w:line="255"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Post-Closure — </w:t>
      </w:r>
      <w:r>
        <w:rPr>
          <w:rFonts w:ascii="Arial" w:cs="Arial" w:eastAsia="Arial" w:hAnsi="Arial"/>
          <w:sz w:val="18"/>
          <w:szCs w:val="18"/>
          <w:color w:val="auto"/>
        </w:rPr>
        <w:t>Involves the maintenance and monitoring of a landfill site that has been certified closed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we have determined final capping, closure and post-closure costs, we inflate those costs to the expected time of payment and discount those expected future costs back to present value. As of December 31, 2021, 2020 and 2019, we inflated these costs in current dollars to the expected time of payment using an inflation rate of 2.25%, 2.25% and 2.5%, respectively.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2021 was approximately 4.6%.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amortization policy, which would generally result in amortization expense being recognized prospectively over the remaining permitted and expansion airspace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Amortization of Landfill Assets — </w:t>
      </w:r>
      <w:r>
        <w:rPr>
          <w:rFonts w:ascii="Arial" w:cs="Arial" w:eastAsia="Arial" w:hAnsi="Arial"/>
          <w:sz w:val="17"/>
          <w:szCs w:val="17"/>
          <w:color w:val="auto"/>
        </w:rPr>
        <w:t>The amortizable basis of a landfill includes (i) amounts previously expended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(ii) capitalized landfill final capping, closure and post-closure costs; (iii) projections of future purchase and development costs required to develop the landfill site to its remaining permitted and expansion airspace and (iv) projected asset retirement costs related to landfill final capping, closure and post-closure activities.</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jc w:val="both"/>
        <w:ind w:left="720" w:right="79" w:hanging="319"/>
        <w:spacing w:after="0" w:line="25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8"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79"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ectPr>
          <w:pgSz w:w="11900" w:h="16838" w:orient="portrait"/>
          <w:cols w:equalWidth="0" w:num="1">
            <w:col w:w="9019"/>
          </w:cols>
          <w:pgMar w:left="1440" w:top="611"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15 landfill sites with expansions included as of December 31, 2021, two landfills required the Chief Financial Officer to approve the inclusion of the unpermitted airspace because the permit application process did not meet the one- or five-year requirements.</w:t>
      </w:r>
    </w:p>
    <w:p>
      <w:pPr>
        <w:spacing w:after="0" w:line="18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7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56"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$135 million higher than the $213 million recorded in the Consolidated Balance Sheet as of December 31, 2021.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fixed or reliably determinable, we inflate the cost in current dollars until the expected time of payment and discount the cost to present value using a risk-free discount rate, which is based on the rate for U.S. Treasury bonds with a term approximating the weighted average period until settlement of the underlying obligation. As of December 31, 2021 and 2020, we inflated the costs by 2.25%.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 environmental remediation liabilities and recovery assets for the year ended December 31 (in millions) and the risk-free discount rate applied as of December 31: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operating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r>
      <w:tr>
        <w:trPr>
          <w:trHeight w:val="202"/>
        </w:trPr>
        <w:tc>
          <w:tcPr>
            <w:tcW w:w="6020" w:type="dxa"/>
            <w:vAlign w:val="bottom"/>
          </w:tcPr>
          <w:p>
            <w:pPr>
              <w:ind w:left="20"/>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recovery assets</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1.75 %</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portion of our recorded environmental remediation liabilities that were not subject to inflation or discounting, as the amounts and timing of payments are not fixed or reliably determinable, was $31 million and $34 million as of December 31, 2021 and 2020, respectively. Had we not inflated and discounted any portion of our environmental remediation liability, the amount recorded would have decreased by $6 million and $12 million as of December 31, 2021 and 2020,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Useful Lives</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980" w:type="dxa"/>
            <w:vAlign w:val="bottom"/>
          </w:tcPr>
          <w:p>
            <w:pPr>
              <w:jc w:val="right"/>
              <w:spacing w:after="0"/>
              <w:rPr>
                <w:sz w:val="20"/>
                <w:szCs w:val="20"/>
                <w:color w:val="auto"/>
              </w:rPr>
            </w:pPr>
            <w:r>
              <w:rPr>
                <w:rFonts w:ascii="Arial" w:cs="Arial" w:eastAsia="Arial" w:hAnsi="Arial"/>
                <w:sz w:val="18"/>
                <w:szCs w:val="18"/>
                <w:color w:val="auto"/>
              </w:rPr>
              <w:t>10 to 30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spacing w:after="0"/>
              <w:rPr>
                <w:sz w:val="20"/>
                <w:szCs w:val="20"/>
                <w:color w:val="auto"/>
              </w:rPr>
            </w:pPr>
            <w:r>
              <w:rPr>
                <w:rFonts w:ascii="Arial" w:cs="Arial" w:eastAsia="Arial" w:hAnsi="Arial"/>
                <w:sz w:val="18"/>
                <w:szCs w:val="18"/>
                <w:color w:val="auto"/>
              </w:rPr>
              <w:t>5 to 40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Operating Leases (excluding landfill leases discussed below) — </w:t>
      </w:r>
      <w:r>
        <w:rPr>
          <w:rFonts w:ascii="Arial" w:cs="Arial" w:eastAsia="Arial" w:hAnsi="Arial"/>
          <w:sz w:val="17"/>
          <w:szCs w:val="17"/>
          <w:color w:val="auto"/>
        </w:rPr>
        <w:t>The majority of our leases are operating leases.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Leases (excluding landfill leases discussed below) — </w:t>
      </w:r>
      <w:r>
        <w:rPr>
          <w:rFonts w:ascii="Arial" w:cs="Arial" w:eastAsia="Arial" w:hAnsi="Arial"/>
          <w:sz w:val="18"/>
          <w:szCs w:val="18"/>
          <w:color w:val="auto"/>
        </w:rPr>
        <w:t>Assets under financing leases are capitalized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determined at the commencement of each lease and are amortized over either the useful life of the asset or the lease term, as appropriate, on a straight-line basis. The present value of the related lease payments is recorded as a debt obligation.</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Landfill Leases — </w:t>
      </w:r>
      <w:r>
        <w:rPr>
          <w:rFonts w:ascii="Arial" w:cs="Arial" w:eastAsia="Arial" w:hAnsi="Arial"/>
          <w:sz w:val="18"/>
          <w:szCs w:val="18"/>
          <w:color w:val="auto"/>
        </w:rPr>
        <w:t>From an operating perspective, landfills that we lease are similar to landfills we own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operating and financing leases, including landfill leases, our rent expense for each of the last three years and future minimum lease payments are disclosed in Note 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Contingent Consideration — </w:t>
      </w:r>
      <w:r>
        <w:rPr>
          <w:rFonts w:ascii="Arial" w:cs="Arial" w:eastAsia="Arial" w:hAnsi="Arial"/>
          <w:sz w:val="18"/>
          <w:szCs w:val="18"/>
          <w:color w:val="auto"/>
        </w:rPr>
        <w:t>In certain acquisitions, we agree to pay additional amounts to sellers contingent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subsequent remeasurements and the ultimate settlement of the obligations being recognized as an adjustment to income from operations.</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matters and litigation are recognized at their acquisition-date fair value when their respective fair values can be determined. If the fair values of such contingencies cannot be determined, they are recognized as of the acquisition date if the contingencies are probable and an amount can be reasonably estimated.</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for additional information related to our acquisitions, including our 2020 acquisition of Advanced Disposal.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w:t>
      </w:r>
      <w:r>
        <w:rPr>
          <w:rFonts w:ascii="Arial" w:cs="Arial" w:eastAsia="Arial" w:hAnsi="Arial"/>
          <w:sz w:val="16"/>
          <w:szCs w:val="16"/>
          <w:color w:val="auto"/>
        </w:rPr>
        <w:t>— 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using a measurement date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and more frequently if warranted, we assess our indefinite-lived intangible assets, including the goodwill of our reporting units, for impairment.</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Note 11 for information related to impairments recognized during the reported periods.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Our restricted trust and escrow accounts consist principally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depending on the estimated timing and purpose of the use of funds. We use a wholly-owned insurance captive to insure the deductibles for certain claims programs and the premiums paid are directly deposited into a restricted escrow account to be used solely for paying insurance claims. At several of our landfills, we provide financial assurance by depositing cash into restricted trust or escrow accounts for purposes of settling final capping, closure, post-closure and environmental remediation obligations. Balances maintained in these restricted trust and escrow accounts will fluctuate based on</w:t>
      </w:r>
    </w:p>
    <w:p>
      <w:pPr>
        <w:spacing w:after="0" w:line="2" w:lineRule="exact"/>
        <w:rPr>
          <w:sz w:val="20"/>
          <w:szCs w:val="20"/>
          <w:color w:val="auto"/>
        </w:rPr>
      </w:pPr>
    </w:p>
    <w:p>
      <w:pPr>
        <w:jc w:val="both"/>
        <w:ind w:left="60" w:right="59" w:hanging="10"/>
        <w:spacing w:after="0" w:line="255" w:lineRule="auto"/>
        <w:tabs>
          <w:tab w:leader="none" w:pos="2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statutory requirements; (ii) future deposits made to comply with contractual arrangements; (iii) the ongoing use of funds; (iv) acquisitions or divestitures and (v) changes in the fair value of the financial instruments held in the restricted trust or escrow accounts.</w:t>
      </w:r>
    </w:p>
    <w:p>
      <w:pPr>
        <w:spacing w:after="0" w:line="19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Notes 16 and 18 for additional discussion related to restricted trust and escrow accounts for final capping, closure, post-closure or environmental remediation obligations.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Investments without readily determinable fair values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equity in net losses of unconsolidated entities or other, net in our Consolidated Statements of Operations in accordance with appropriate accounting guidance.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Refer to Note 11 for information related to impairments and other adjustments recognized during the reported periods.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Foreign currency translation adjustments have been impacted by decreases in the U.S. dollar/Canadian dollar exchange rate from 1.2990 at December 31, 2019, to 1.2734 at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December 31, 2020 and to 1.2639 at December 31, 2021. Refer to Note 12 for information regarding the impacts of foreign currency on our comprehensive income and results of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including our Strategic Business Solutions (“WMSBS”) and Energy and Environmental Services (“EES”) businesses, recycling brokerage services, landfill gas-to-energy services and certain other expanded service offerings and solutions.</w:t>
      </w:r>
    </w:p>
    <w:p>
      <w:pPr>
        <w:spacing w:after="0" w:line="17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19 for additional information related to revenue by reportable segment and major lines of business.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Revenues</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Acquisition Costs</w:t>
      </w:r>
    </w:p>
    <w:p>
      <w:pPr>
        <w:spacing w:after="0" w:line="23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2021 and 2020, we had $175 million and $159 million of deferred contract costs, respectively, of which $126 million and $118 million, respectively, were related to deferred sales incentives. During each of the years ended December 31, 2021, 2020 and 2019, we amortized $23 million of sales incentives to selling, general and administrative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Long-Term Contracts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Approximately 25%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capitalize interest on certain projects under development, including landfill expansion projects, certain assets under construction, including operating landfills and landfill gas-to-energy projects and internal-use software. During 2021, 2020 and 2019, total interest costs were $388 million, $473 million and $485 million, respectively, of which $13 million, $16 million and $21 million was capitalized in 2021, 2020 and 2019, respectively.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is primarily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6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8 for discussion of our income taxes.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supplemental cash flow information for the year ended December 31 (in millions):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r>
    </w:tbl>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2021, we had $30 million of non-cash financing activities from new financing leases. During 2020, we had $50 million of non-cash financing activities primarily related to new financing leases, a portion of which were attributed to our acquisition of Advanced Disposal. During 2019, we had $299 million of non-cash financing activities from federal low-income housing investments and new financing leases. Non-cash investing and financing activities are generally excluded from the Consolidated Statements of Cash Flows.</w:t>
      </w:r>
    </w:p>
    <w:p>
      <w:pPr>
        <w:spacing w:after="0" w:line="211" w:lineRule="exact"/>
        <w:rPr>
          <w:sz w:val="20"/>
          <w:szCs w:val="20"/>
          <w:color w:val="auto"/>
        </w:rPr>
      </w:pPr>
    </w:p>
    <w:p>
      <w:pPr>
        <w:ind w:left="360" w:hanging="310"/>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Liabilities for landfill and environmental remediation costs as of December 31 are presented in the table below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rPr>
              <w:t>Environmental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Remediation</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Remediation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2021 are reflected in the table below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(b)</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$15 million due to a business decision to accelerate the closure timing of a landfill in our West Tier segment, which resulted in the acceleration of the expected timing of capping, closure and post-closure activities. The remaining increase relates to revisions in estimated costs and timing of capping, closure and post-closure liabilities.</w:t>
      </w:r>
    </w:p>
    <w:p>
      <w:pPr>
        <w:spacing w:after="0" w:line="78"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$13 million related to changes in the fair values assigned to certain acquired Advanced Disposal sites.</w:t>
      </w:r>
    </w:p>
    <w:p>
      <w:pPr>
        <w:spacing w:after="0" w:line="17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Our recorded liabilities as of December 31, 2021 include the impacts of inflating certain of these costs based on our expectations of the timing of cash settlement and of discounting certain of these costs to present value. Anticipated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payments of currently identified environmental remediation liabilities, as measured in current dollars, are $29 million in 2022, $47 million in 2023, $35 million in 2024, $31 million in 2025, $11 million in 2026 and $54 million thereafter.</w:t>
      </w:r>
    </w:p>
    <w:p>
      <w:pPr>
        <w:spacing w:after="0" w:line="142" w:lineRule="exact"/>
        <w:rPr>
          <w:sz w:val="20"/>
          <w:szCs w:val="20"/>
          <w:color w:val="auto"/>
        </w:rPr>
      </w:pPr>
    </w:p>
    <w:p>
      <w:pPr>
        <w:ind w:left="360" w:hanging="310"/>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consisted of the following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Landfills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16,842</w:t>
            </w: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Machinery and equipment (a)</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3,217</w:t>
            </w: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Buildings and improvements (a)</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 (a)</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33,485</w:t>
            </w: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of tangible property and equipment (a)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Less: Accumulated amortization of landfill airspace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our Annual Report on Form 10-K for the year ended December 31, 2020, our accumulated depreciation and gross property and equipment balances as of December 31, 2020 were overstated. We subsequently corrected the balances in our Quarterly Report on Form 10-Q for the quarter ended March 31, 2021 and have provided the corrected balances in all filings thereafter, as discussed in Note 1.</w:t>
      </w:r>
    </w:p>
    <w:p>
      <w:pPr>
        <w:spacing w:after="0" w:line="187"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financing leases, consisted of the following for the year ended December 31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landfill airspace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0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5 for information regarding amortization of our intangible assets.</w:t>
      </w:r>
    </w:p>
    <w:p>
      <w:pPr>
        <w:spacing w:after="0" w:line="221" w:lineRule="exact"/>
        <w:rPr>
          <w:sz w:val="20"/>
          <w:szCs w:val="20"/>
          <w:color w:val="auto"/>
        </w:rPr>
      </w:pPr>
    </w:p>
    <w:p>
      <w:pPr>
        <w:ind w:left="360" w:hanging="310"/>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Goodwill was $9,028 million and $8,994 million as of December 31, 2021 and 2020, respectively. The $34 million increase in goodwill during 2021 is primarily related to acquisitions, partially offset by divestitures. As discussed in Note 2, we perform our annual impairment test of goodwill balances for our reporting units using a measurement date of October 1. We will also perform interim tests if an impairment indicator exists. See Notes 11, 17 and 19 for additional information related to goodwill.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other intangible assets consisted of the following as of December 31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Covenants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Licenses,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and Supplier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Not-to-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Permits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300" w:type="dxa"/>
            <w:vAlign w:val="bottom"/>
            <w:gridSpan w:val="3"/>
          </w:tcPr>
          <w:p>
            <w:pPr>
              <w:ind w:left="1460"/>
              <w:spacing w:after="0"/>
              <w:rPr>
                <w:sz w:val="20"/>
                <w:szCs w:val="20"/>
                <w:color w:val="auto"/>
              </w:rPr>
            </w:pPr>
            <w:r>
              <w:rPr>
                <w:rFonts w:ascii="Arial" w:cs="Arial" w:eastAsia="Arial" w:hAnsi="Arial"/>
                <w:sz w:val="14"/>
                <w:szCs w:val="14"/>
                <w:b w:val="1"/>
                <w:bCs w:val="1"/>
                <w:color w:val="auto"/>
                <w:w w:val="89"/>
              </w:rPr>
              <w:t>Relationships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Compete</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Intangible assets</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amortization</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2020</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Intangible assets</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amortization</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Amortization expense for other intangible assets was $143 million, $107 million and $106 million for 2021, 2020 and 2019, respectively. Amortization expense for other intangible assets for 2021 increased, as compared with 2020 and 2019, due to the amortization of acquired intangible assets related to our acquisition of Advanced Disposal. Additional information related to other intangible assets acquired through business combinations is included in Note 17. As of December 31, 2021, we had $19 million of licenses, permits and other intangible assets that are not subject to amortization because they do not have stated expirations or have routine, administrative renewal processes. As of December 31, 2021, we expect annual amortization expense related to other intangible assets to be $130 million in 2022, $115 million in 2023, $105 million in 2024, $97 million in 2025 and $77 million in 2026.</w:t>
      </w:r>
    </w:p>
    <w:p>
      <w:pPr>
        <w:spacing w:after="0" w:line="201" w:lineRule="exact"/>
        <w:rPr>
          <w:sz w:val="20"/>
          <w:szCs w:val="20"/>
          <w:color w:val="auto"/>
        </w:rPr>
      </w:pPr>
    </w:p>
    <w:p>
      <w:pPr>
        <w:ind w:left="360" w:hanging="310"/>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December 31: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182"/>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Commercial paper program (weighted average interest rate of 0.4% as of December 31, 2021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December 31, 2020)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w w:val="91"/>
              </w:rPr>
              <w:t>average interest rate of 3.1% as of December 31, 2021 and 3.3% as of December 31, 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8,465</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Tax-exempt bonds, maturing through 2048, fixed and variable interest rates ranging from</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w w:val="93"/>
              </w:rPr>
              <w:t>0.1% to 4.3% (weighted average interest rate of 1.4% as of December 31, 2021 and 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as of December 31, 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Financing leases and other, maturing through 2085, weighted average interest rate of 4.5% as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December 31, 2021 and 4.6% as of December 31, 2020) (a)</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 discounts and other</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December 31, 2021, we had $3.1 billion of debt maturing within the next 12 months, including (i) $1.8 billion of short-term borrowings under our commercial paper program (net of related discount on issuance); (ii) $645 million of tax-exempt bonds with term interest rate periods that expire within the next 12 months, which is prior to their scheduled maturities; (iii) $500 million of 2.90% senior notes that mature in September 2022 and (iv) $170 million of other debt with scheduled maturities within the next 12 months, including $71 million of tax-exempt bonds. As of December 31, 2021, we have classified $2.4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$708 million of debt maturing in the next 12 months is classified as current obligations.</w:t>
      </w:r>
    </w:p>
    <w:p>
      <w:pPr>
        <w:spacing w:after="0" w:line="1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of December 31, 2021, we also had $54 million of variable-rate tax-exempt bonds with long-term scheduled maturities supported by letters of credit under our $3.5 billion revolving credit facility. The interest rates on our variable-rate tax-exempt bonds reset on a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Consolidated Balance Sheet as of December 31, 2021.</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$3.5 Billion Revolving Credit Facility — </w:t>
      </w:r>
      <w:r>
        <w:rPr>
          <w:rFonts w:ascii="Arial" w:cs="Arial" w:eastAsia="Arial" w:hAnsi="Arial"/>
          <w:sz w:val="17"/>
          <w:szCs w:val="17"/>
          <w:color w:val="auto"/>
        </w:rPr>
        <w:t>Our $3.5 billion revolving credit facility, maturing November 2024,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us with credit capacity to be used for cash borrowings, to support letters of credit and to support our commercial paper program. The agreement provides the Company with two one-year extension options.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pacing w:after="0" w:line="17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rates we pay for outstanding U.S. or Canadian loans are generally based on LIBOR (or a LIBOR successor rate, if applicable, as provided for in the underlying credit agreement) or CDOR, respectively, plus a spread depending on the Company’s debt rating assigned by Moody’s Investors Service and Standard and Poor’s. As of December 31, 2021, we had no outstanding borrowings under this facility. We had $167 million of letters of credit issued and $1.8 billion of outstanding borrowings (net of related discount on issuance) under our commercial paper program, both supported by this facility, leaving unused and available credit capacity of $1.5 billion as of December 31, 2021.</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December 31, 2021, we had $1.8 billion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December 31, 2021, we had utilized $764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April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year ended December 31, 2021 we made cash repayments of $6.9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partially offset by $6.8 billion of cash borrowings (net of related discount on issuance).</w:t>
      </w:r>
    </w:p>
    <w:p>
      <w:pPr>
        <w:spacing w:after="0" w:line="170"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2021, WMI issued $950 million of senior notes consisting of $475 million of 2.00%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June 1, 2029 and $475 million of 2.95% senior notes due June 1, 2041. The net proceeds from these debt issuances were $942 million, all of which were used, along with available cash on hand, to retire $1.3 billion of certain high-coupon senior notes. The cash paid included the principal amount of the debt retired, $211 million of related premiums and other third-party costs, and $15 million of accrued interest.</w:t>
      </w:r>
    </w:p>
    <w:p>
      <w:pPr>
        <w:spacing w:after="0" w:line="176" w:lineRule="exact"/>
        <w:rPr>
          <w:sz w:val="20"/>
          <w:szCs w:val="20"/>
          <w:color w:val="auto"/>
        </w:rPr>
      </w:pPr>
    </w:p>
    <w:p>
      <w:pPr>
        <w:jc w:val="both"/>
        <w:ind w:left="60" w:right="59" w:firstLine="324"/>
        <w:spacing w:after="0" w:line="276" w:lineRule="auto"/>
        <w:rPr>
          <w:sz w:val="20"/>
          <w:szCs w:val="20"/>
          <w:color w:val="auto"/>
        </w:rPr>
      </w:pPr>
      <w:r>
        <w:rPr>
          <w:rFonts w:ascii="Arial" w:cs="Arial" w:eastAsia="Arial" w:hAnsi="Arial"/>
          <w:sz w:val="16"/>
          <w:szCs w:val="16"/>
          <w:color w:val="auto"/>
        </w:rPr>
        <w:t>During the second quarter of 2021, we recognized a $220 million loss on early extinguishment of debt in our Consolidated Statement of Operations related to the tender offer, including $211 million of premiums and other third-party costs and $9 million primarily related to unamortized discounts and debt issuance costs. We also recognized $6 million of charges to interest expense for the write-off of cash flow hedges associated with the tendered notes, which was previously being amortized to interest expense through the notes’ stated maturities. The following table summarizes the principal amount of senior notes redeemed within each series in order of acceptance priority level (in millions):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480" w:type="dxa"/>
            <w:vAlign w:val="bottom"/>
          </w:tcPr>
          <w:p>
            <w:pPr>
              <w:jc w:val="right"/>
              <w:ind w:right="292"/>
              <w:spacing w:after="0"/>
              <w:rPr>
                <w:sz w:val="20"/>
                <w:szCs w:val="20"/>
                <w:color w:val="auto"/>
              </w:rPr>
            </w:pPr>
            <w:r>
              <w:rPr>
                <w:rFonts w:ascii="Arial" w:cs="Arial" w:eastAsia="Arial" w:hAnsi="Arial"/>
                <w:sz w:val="14"/>
                <w:szCs w:val="14"/>
                <w:b w:val="1"/>
                <w:bCs w:val="1"/>
                <w:color w:val="auto"/>
              </w:rPr>
              <w:t>Notes Tendered</w:t>
            </w:r>
          </w:p>
        </w:tc>
      </w:tr>
      <w:tr>
        <w:trPr>
          <w:trHeight w:val="171"/>
        </w:trPr>
        <w:tc>
          <w:tcPr>
            <w:tcW w:w="5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Prior to Tender</w:t>
            </w:r>
          </w:p>
        </w:tc>
        <w:tc>
          <w:tcPr>
            <w:tcW w:w="240" w:type="dxa"/>
            <w:vAlign w:val="bottom"/>
          </w:tcPr>
          <w:p>
            <w:pPr>
              <w:spacing w:after="0"/>
              <w:rPr>
                <w:sz w:val="14"/>
                <w:szCs w:val="14"/>
                <w:color w:val="auto"/>
              </w:rPr>
            </w:pPr>
          </w:p>
        </w:tc>
        <w:tc>
          <w:tcPr>
            <w:tcW w:w="1480" w:type="dxa"/>
            <w:vAlign w:val="bottom"/>
          </w:tcPr>
          <w:p>
            <w:pPr>
              <w:jc w:val="right"/>
              <w:ind w:right="312"/>
              <w:spacing w:after="0"/>
              <w:rPr>
                <w:sz w:val="20"/>
                <w:szCs w:val="20"/>
                <w:color w:val="auto"/>
              </w:rPr>
            </w:pPr>
            <w:r>
              <w:rPr>
                <w:rFonts w:ascii="Arial" w:cs="Arial" w:eastAsia="Arial" w:hAnsi="Arial"/>
                <w:sz w:val="14"/>
                <w:szCs w:val="14"/>
                <w:b w:val="1"/>
                <w:bCs w:val="1"/>
                <w:color w:val="auto"/>
              </w:rPr>
              <w:t>and Redeemed</w:t>
            </w:r>
          </w:p>
        </w:tc>
      </w:tr>
      <w:tr>
        <w:trPr>
          <w:trHeight w:val="210"/>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6.125% WMI senior notes due 2039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7.75%</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WMI senior notes due 2032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7.375% WMI senior notes due 2029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4.15%</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WMI senior notes due 2049</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4.10%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WMI senior notes due 2045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WMI senior notes due 2035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7.00%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WMI senior notes due 2028</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7.10%</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Holdings senior notes due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WMI senior notes due 2024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3.125% WMI senior notes due 2025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3.15% WMI senior notes due 2027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2.90% WMI senior notes due 2022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2.40% WMI senior notes due 2023</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Tax-Exempt Bonds — </w:t>
      </w:r>
      <w:r>
        <w:rPr>
          <w:rFonts w:ascii="Arial" w:cs="Arial" w:eastAsia="Arial" w:hAnsi="Arial"/>
          <w:sz w:val="17"/>
          <w:szCs w:val="17"/>
          <w:color w:val="auto"/>
        </w:rPr>
        <w:t>We issued $175 million of new tax-exempt bonds in 2021. The proceeds from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bonds were deposited directly into a restricted trust fund and may only be used for the specific purpose for which the money was raised, which is generally to finance expenditures for solid waste disposal facility and material recovery facility construction and development. In 2021, we also elected to refund and reissue $50 million of tax-exempt bonds and we repaid $127 million of our tax-exempt bonds with available cash at their scheduled maturities.</w:t>
      </w:r>
    </w:p>
    <w:p>
      <w:pPr>
        <w:spacing w:after="0" w:line="17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Financing Leases and Other — </w:t>
      </w:r>
      <w:r>
        <w:rPr>
          <w:rFonts w:ascii="Arial" w:cs="Arial" w:eastAsia="Arial" w:hAnsi="Arial"/>
          <w:sz w:val="17"/>
          <w:szCs w:val="17"/>
          <w:color w:val="auto"/>
        </w:rPr>
        <w:t>The decrease during 2021 is due to $115 million of cash repayments of debt at</w:t>
      </w:r>
      <w:r>
        <w:rPr>
          <w:rFonts w:ascii="Arial" w:cs="Arial" w:eastAsia="Arial" w:hAnsi="Arial"/>
          <w:sz w:val="17"/>
          <w:szCs w:val="17"/>
          <w:i w:val="1"/>
          <w:iCs w:val="1"/>
          <w:color w:val="auto"/>
        </w:rPr>
        <w:t xml:space="preserve"> </w:t>
      </w:r>
      <w:r>
        <w:rPr>
          <w:rFonts w:ascii="Arial" w:cs="Arial" w:eastAsia="Arial" w:hAnsi="Arial"/>
          <w:sz w:val="17"/>
          <w:szCs w:val="17"/>
          <w:color w:val="auto"/>
        </w:rPr>
        <w:t>maturity, partially offset by an increase of $30 million primarily associated with non-cash financing leases.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Scheduled Debt Payments</w:t>
      </w:r>
    </w:p>
    <w:p>
      <w:pPr>
        <w:spacing w:after="0" w:line="2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Principal payments of our debt for the next five years and thereafter, based on scheduled maturities are as follows: $2,449 million in 2022, $651 million in 2023, $249 million in 2024, $1,278 million in 2025, $677 million in 2026 and $8,275 million thereafter. Our recorded debt and financing lease obligations include non-cash adjustments associated with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debt issuance costs, discounts and fair value adjustments attributable to terminated interest rate derivatives, which have been excluded from these amounts because they will not result in cash payments. See Note 7 below for further discussion of our financing lease arrangements.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Our debt balances are generally unsecured, except for financing leases and the notes payable associated with our investments in low-income housing properties. See Notes 8 and 18 for additional information related to these investments.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$3.5 billion revolving credit facility, and the Leverage Ratio must return to 3.75 to 1 for at least one fiscal quarter between Elevated Leverage Ratio Periods. The Company did not elect to increase the Leverage Ratio for an Elevated Leverage Ratio Period following the acquisition of Advanced Disposal. The calculation of all components used in the Leverage Ratio covenant are as defined in the $3.5 billion revolving credit facility.</w:t>
      </w:r>
    </w:p>
    <w:p>
      <w:pPr>
        <w:spacing w:after="0" w:line="17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2021 and 2020, we were in compliance with all covenants and restrictions under our financing arrangements that may have a material effect on our Consolidated Financial Statements.</w:t>
      </w:r>
    </w:p>
    <w:p>
      <w:pPr>
        <w:spacing w:after="0" w:line="191" w:lineRule="exact"/>
        <w:rPr>
          <w:sz w:val="20"/>
          <w:szCs w:val="20"/>
          <w:color w:val="auto"/>
        </w:rPr>
      </w:pPr>
    </w:p>
    <w:p>
      <w:pPr>
        <w:ind w:left="360" w:hanging="310"/>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operating lease activities primarily consist of leases for real estate, landfills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payments are treated as variable lease payments. Our lease agreements do not contain any material residual value guarantees or material restrictive covenants.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information for our leases as of December 31 is as follows (in millions):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60" w:type="dxa"/>
            <w:vAlign w:val="bottom"/>
            <w:gridSpan w:val="2"/>
          </w:tcPr>
          <w:p>
            <w:pPr>
              <w:ind w:left="900"/>
              <w:spacing w:after="0"/>
              <w:rPr>
                <w:sz w:val="20"/>
                <w:szCs w:val="20"/>
                <w:color w:val="auto"/>
              </w:rPr>
            </w:pPr>
            <w:r>
              <w:rPr>
                <w:rFonts w:ascii="Arial" w:cs="Arial" w:eastAsia="Arial" w:hAnsi="Arial"/>
                <w:sz w:val="14"/>
                <w:szCs w:val="14"/>
                <w:b w:val="1"/>
                <w:bCs w:val="1"/>
                <w:color w:val="auto"/>
              </w:rPr>
              <w:t>Leases</w:t>
            </w:r>
          </w:p>
        </w:tc>
        <w:tc>
          <w:tcPr>
            <w:tcW w:w="3860" w:type="dxa"/>
            <w:vAlign w:val="bottom"/>
            <w:gridSpan w:val="2"/>
          </w:tcPr>
          <w:p>
            <w:pPr>
              <w:ind w:left="1380"/>
              <w:spacing w:after="0"/>
              <w:rPr>
                <w:sz w:val="20"/>
                <w:szCs w:val="20"/>
                <w:color w:val="auto"/>
              </w:rPr>
            </w:pPr>
            <w:r>
              <w:rPr>
                <w:rFonts w:ascii="Arial" w:cs="Arial" w:eastAsia="Arial" w:hAnsi="Arial"/>
                <w:sz w:val="14"/>
                <w:szCs w:val="14"/>
                <w:b w:val="1"/>
                <w:bCs w:val="1"/>
                <w:color w:val="auto"/>
              </w:rPr>
              <w:t>Classification</w:t>
            </w: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10"/>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Long-term:</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2"/>
        </w:trPr>
        <w:tc>
          <w:tcPr>
            <w:tcW w:w="24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Financing</w:t>
            </w:r>
          </w:p>
        </w:tc>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Property and equipment, net of 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2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09"/>
        </w:trPr>
        <w:tc>
          <w:tcPr>
            <w:tcW w:w="2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assets</w:t>
            </w:r>
          </w:p>
        </w:tc>
        <w:tc>
          <w:tcPr>
            <w:tcW w:w="3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0"/>
        </w:trPr>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460" w:type="dxa"/>
            <w:vAlign w:val="bottom"/>
            <w:gridSpan w:val="2"/>
          </w:tcPr>
          <w:p>
            <w:pPr>
              <w:ind w:left="120"/>
              <w:spacing w:after="0"/>
              <w:rPr>
                <w:sz w:val="20"/>
                <w:szCs w:val="20"/>
                <w:color w:val="auto"/>
              </w:rPr>
            </w:pPr>
            <w:r>
              <w:rPr>
                <w:rFonts w:ascii="Arial" w:cs="Arial" w:eastAsia="Arial" w:hAnsi="Arial"/>
                <w:sz w:val="18"/>
                <w:szCs w:val="18"/>
                <w:color w:val="auto"/>
              </w:rPr>
              <w:t>Financing</w:t>
            </w: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3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46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38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0"/>
        </w:trPr>
        <w:tc>
          <w:tcPr>
            <w:tcW w:w="246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0"/>
        </w:trPr>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Operating lease expense was $155 million, $140 million and $132 million during 2021, 2020 and 2019, respectively, and is included in operating and selling, general and administrative expenses in our Consolidated Statements of Operations. Financing lease expense was $58 million, $51 million and $48 million during 2021, 2020 and 2019, respectively, and is included in depreciation and amortization expense and interest expense, net in our Consolidated Statements of Operations.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Minimum contractual obligations for our leases (undiscounted) as of December 31, 2021 are as follows (in millions):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2025</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4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(184)</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Discounted lease liabilities</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color w:val="auto"/>
              </w:rPr>
              <w:t>96</w:t>
            </w: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5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Cash paid during 2021 for our operating and financing leases was $70 million and $64 million, respectively. During 2021, right-of-use assets obtained in exchange for lease obligations for our operating and financing leases were $69 million and $36 million, respectively. Cash paid during 2020 for our operating and financing leases was $91 million and $51 million, respectively. During 2020, right-of-use assets obtained in exchange for lease obligations for our operating and financing leases were $128 million and $35 million, respectively.</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2021, the weighted average remaining lease terms of our operating and financing leases were approximately 20 years and 15 years, respectively. The weighted average discount rates used to determine the lease liabilities as of December 31, 2021 for our operating and financing leases were approximately 2.8% and 3.5%, respectively.</w:t>
      </w:r>
    </w:p>
    <w:p>
      <w:pPr>
        <w:spacing w:after="0" w:line="172" w:lineRule="exact"/>
        <w:rPr>
          <w:sz w:val="20"/>
          <w:szCs w:val="20"/>
          <w:color w:val="auto"/>
        </w:rPr>
      </w:pPr>
    </w:p>
    <w:p>
      <w:pPr>
        <w:ind w:left="360" w:hanging="310"/>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income tax expense consisted of the following for the year ended December 31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38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Deferred:</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State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38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3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U.S. federal statutory income tax rate is reconciled to the effective income tax rate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0.53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equity-based compensation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Tax impact of impairments</w:t>
            </w:r>
          </w:p>
        </w:tc>
        <w:tc>
          <w:tcPr>
            <w:tcW w:w="680" w:type="dxa"/>
            <w:vAlign w:val="bottom"/>
          </w:tcPr>
          <w:p>
            <w:pPr>
              <w:jc w:val="right"/>
              <w:spacing w:after="0"/>
              <w:rPr>
                <w:sz w:val="20"/>
                <w:szCs w:val="20"/>
                <w:color w:val="auto"/>
              </w:rPr>
            </w:pPr>
            <w:r>
              <w:rPr>
                <w:rFonts w:ascii="Arial" w:cs="Arial" w:eastAsia="Arial" w:hAnsi="Arial"/>
                <w:sz w:val="18"/>
                <w:szCs w:val="18"/>
                <w:color w:val="auto"/>
              </w:rPr>
              <w:t>(0.29)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rate differential on foreign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tcPr>
          <w:p>
            <w:pPr>
              <w:spacing w:after="0"/>
              <w:rPr>
                <w:sz w:val="18"/>
                <w:szCs w:val="18"/>
                <w:color w:val="auto"/>
              </w:rPr>
            </w:pPr>
          </w:p>
        </w:tc>
      </w:tr>
      <w:tr>
        <w:trPr>
          <w:trHeight w:val="210"/>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Effective income tax rate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comparability of our income tax expense for the reported periods has been primarily affected by (i) variations in our income before income taxes; (ii) federal tax credits; (iii) excess tax benefits associated with equity-based compensation transactions; (iv) the realization of state net operating losses and credits; (v) tax audit settlements; (vi) adjustments to our accruals and deferred taxes; (vii) the tax implications of divestitures; (viii) non-deductible transaction costs and (ix) the tax implications of impairments.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financial reporting purposes, income before income taxes by source for the year ended December 31 was as follows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Investments Qualifying for Federal Tax Credits — </w:t>
      </w:r>
      <w:r>
        <w:rPr>
          <w:rFonts w:ascii="Arial" w:cs="Arial" w:eastAsia="Arial" w:hAnsi="Arial"/>
          <w:sz w:val="16"/>
          <w:szCs w:val="16"/>
          <w:color w:val="auto"/>
        </w:rPr>
        <w:t>We have significant financial interests in entities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 We also held a residual financial interest in an entity that owned a refined coal facility that qualified for federal tax credits under Section 45 of the Internal Revenue Code through 2019. The entity sold the majority of its assets in the first quarter of 2020, which resulted in a $7 million non-cash impairment of our investment at that time. 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years ended December 31, 2021, 2020 and 2019, we recognized net losses of $51 million, $73 million (including the $7 million impairment of the refined coal facility noted above) and $46 million, respectively, and a reduction in our income tax expense of $74 million, $87 million and $96 million, respectively, primarily due to tax credits realized from these investments as well as the tax benefits from the pre-tax losses realized. See Note 18 for additional information related to these unconsolidated variable interest entities.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Other Federal Tax Credits — </w:t>
      </w:r>
      <w:r>
        <w:rPr>
          <w:rFonts w:ascii="Arial" w:cs="Arial" w:eastAsia="Arial" w:hAnsi="Arial"/>
          <w:sz w:val="18"/>
          <w:szCs w:val="18"/>
          <w:color w:val="auto"/>
        </w:rPr>
        <w:t>During 2021, 2020 and 2019, we recognized federal tax credits in addition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realized from our investments in low-income housing properties and the refined coal facility, resulting in a reduction in our income tax expense of $5 million, $7 million and $11 million,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2021, 2020 and 2019, we recognized excess tax benefits related to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exercise of equity-based compensation awards resulting in a reduction in our income tax expense of $18 million, $27 million and $25 million, respectively.</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State Net Operating Losses and Credits — </w:t>
      </w:r>
      <w:r>
        <w:rPr>
          <w:rFonts w:ascii="Arial" w:cs="Arial" w:eastAsia="Arial" w:hAnsi="Arial"/>
          <w:sz w:val="16"/>
          <w:szCs w:val="16"/>
          <w:color w:val="auto"/>
        </w:rPr>
        <w:t>During 2021, 2020 and 2019, we recognized state net operating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resulting in a reduction in our income tax expense of $15 million, $12 million and $14 million, respectively.</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as discussed below, and our audits are in various stages of completion. During the reported periods, we settled various tax audits which resulted in a reduction in our income tax expense of $13 million, $10 million and $2 million for the years ended December 31, 2021, 2020 and 2019, respectively.</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We are currently in the examination phase of IRS audits for the 2017, 2020 and 2021 tax years and expect these audits to be completed within the next 15 months. We are also currently undergoing audits by various state and local jurisdictions for tax years that date back to 2014.</w:t>
      </w:r>
    </w:p>
    <w:p>
      <w:pPr>
        <w:spacing w:after="0" w:line="17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Adjustments to Accruals and Related Deferred Taxes </w:t>
      </w:r>
      <w:r>
        <w:rPr>
          <w:rFonts w:ascii="Arial" w:cs="Arial" w:eastAsia="Arial" w:hAnsi="Arial"/>
          <w:sz w:val="16"/>
          <w:szCs w:val="16"/>
          <w:color w:val="auto"/>
        </w:rPr>
        <w:t>— Adjustments to our accruals and related deferred taxes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filing of our income tax returns, analysis of our deferred tax balances and uncertain tax positions,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changes in state and foreign laws resulted in an increase in our income tax expense of $17 million for the year ended December 31, 2021, and a reduction in our income tax expense of $3 million and $22 million for the years ended December 31, 2020 and 2019,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Tax Implications of Divestitures </w:t>
      </w:r>
      <w:r>
        <w:rPr>
          <w:rFonts w:ascii="Arial" w:cs="Arial" w:eastAsia="Arial" w:hAnsi="Arial"/>
          <w:sz w:val="18"/>
          <w:szCs w:val="18"/>
          <w:color w:val="auto"/>
        </w:rPr>
        <w:t>– During 2021, we recognized a pre-tax gain from the recognition of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adjustments on the divestiture of certain non-strategic Canadian operations. This gain was not taxable, which resulted in a reduction in our income tax expense of $8 million.</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Non-Deductible Transaction Costs </w:t>
      </w:r>
      <w:r>
        <w:rPr>
          <w:rFonts w:ascii="Arial" w:cs="Arial" w:eastAsia="Arial" w:hAnsi="Arial"/>
          <w:sz w:val="18"/>
          <w:szCs w:val="18"/>
          <w:color w:val="auto"/>
        </w:rPr>
        <w:t>— During 2020 and 2019, we recognized the detrimental tax impact of $27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$10 million, respectively, of non-deductible transaction costs related to our acquisition of Advanced Disposal. The tax rules require the capitalization of certain facilitative costs on the acquisition of stock of a company resulting in the applicable costs not being deductible for tax purposes.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2019 were not deductible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purposes resulting in an increase in income tax expense of $15 million. The non-cash impairment charges recognized during 2021 and 2020 were deductible for tax purposes. See Note 11 for more information related to our impairment charges.</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Unremitted Earnings in Foreign Subsidiaries — </w:t>
      </w:r>
      <w:r>
        <w:rPr>
          <w:rFonts w:ascii="Arial" w:cs="Arial" w:eastAsia="Arial" w:hAnsi="Arial"/>
          <w:sz w:val="18"/>
          <w:szCs w:val="18"/>
          <w:color w:val="auto"/>
        </w:rPr>
        <w:t>In the third quarter of 2020, we modified our permanent reinvestment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assertion and began providing additional income taxes for the undistributed current year earnings of our foreign subsidiaries. No additional income taxes have been provided for any remaining undistributed foreign earnings prior to 2020 not subject to the one-time, mandatory transition tax, or any additional outside basis difference, as these amounts continue to be indefinitely reinvested in foreign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net deferred tax liabilities as of December 31 are as follows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2020(a)</w:t>
            </w: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Net operating loss, capital loss and tax credit carry-forwards</w:t>
            </w:r>
          </w:p>
        </w:tc>
        <w:tc>
          <w:tcPr>
            <w:tcW w:w="1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Miscellaneous and other reserves, net</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20" w:type="dxa"/>
            <w:vAlign w:val="bottom"/>
          </w:tcPr>
          <w:p>
            <w:pPr>
              <w:spacing w:after="0"/>
              <w:rPr>
                <w:sz w:val="18"/>
                <w:szCs w:val="18"/>
                <w:color w:val="auto"/>
              </w:rPr>
            </w:pPr>
          </w:p>
        </w:tc>
        <w:tc>
          <w:tcPr>
            <w:tcW w:w="5760" w:type="dxa"/>
            <w:vAlign w:val="bottom"/>
            <w:gridSpan w:val="2"/>
          </w:tcPr>
          <w:p>
            <w:pPr>
              <w:ind w:left="320"/>
              <w:spacing w:after="0"/>
              <w:rPr>
                <w:sz w:val="20"/>
                <w:szCs w:val="20"/>
                <w:color w:val="auto"/>
              </w:rPr>
            </w:pPr>
            <w:r>
              <w:rPr>
                <w:rFonts w:ascii="Arial" w:cs="Arial" w:eastAsia="Arial" w:hAnsi="Arial"/>
                <w:sz w:val="18"/>
                <w:szCs w:val="18"/>
                <w:color w:val="auto"/>
              </w:rPr>
              <w:t>Subtotal</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16"/>
        </w:trPr>
        <w:tc>
          <w:tcPr>
            <w:tcW w:w="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Goodwill and other intangibles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20" w:type="dxa"/>
            <w:vAlign w:val="bottom"/>
          </w:tcPr>
          <w:p>
            <w:pPr>
              <w:spacing w:after="0"/>
              <w:rPr>
                <w:sz w:val="18"/>
                <w:szCs w:val="18"/>
                <w:color w:val="auto"/>
              </w:rPr>
            </w:pPr>
          </w:p>
        </w:tc>
        <w:tc>
          <w:tcPr>
            <w:tcW w:w="5760" w:type="dxa"/>
            <w:vAlign w:val="bottom"/>
            <w:gridSpan w:val="2"/>
          </w:tcPr>
          <w:p>
            <w:pPr>
              <w:ind w:left="3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8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have revised the classification between components of the net deferred tax liability as of December 31, 2020 in order to present the balances on a comparative basis with the classification as of December 31, 2021. These classification revisions were made as we finalized the integration of the Advanced Disposal tax processes.</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2021, we had $11 million of federal net operating loss carry-forwards with expiration dates through 2026 and $2.7 billion of state net operating loss carry-forwards with expiration dates through 2041. We also had $47 million of federal capital loss carry-forwards with expiration dates through 2025, $38 million of foreign tax credit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carry-forwards with expiration dates through 2031 and $12 million of state tax credit carry-forwards with expiration dates through 2037.</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is as follows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These liabilities are included as a component of other long-term liabilities in our Consolidated Balance Sheets because the Company does not anticipate that settlement of the liabilities will require payment of cash within the next 12 months. As of December 31, 2021, we had $53 million of net unrecognized tax benefits that, if recognized in future periods, would impact our effective income tax rate.</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$104 million, $92 million and $88 million for the years ended December 31, 2021, 2020 and 2019,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Defined Benefit Plans (other than multiemployer defined benefit pension plans discussed below) — </w:t>
      </w:r>
      <w:r>
        <w:rPr>
          <w:rFonts w:ascii="Arial" w:cs="Arial" w:eastAsia="Arial" w:hAnsi="Arial"/>
          <w:sz w:val="17"/>
          <w:szCs w:val="17"/>
          <w:color w:val="auto"/>
        </w:rPr>
        <w:t>WM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2021, the combined benefit obligation of these pension plans was $150 million supported by $150 million of combined plan assets. As of December 31, 2020, the combined benefit obligation of these pension plans was $154 million supported by $150 million of combined plan assets, resulting in an aggregate unfunded benefit obligation for these plans of $4 million.</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$12 million and $14 million as of December 31, 2021 and 2020, respectively.</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accrued benefit liabilities for our defined benefit pension and other post-retirement plans are included as components of accrued liabilities and long-term other liabilities in our Consolidated Balance Sheets.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We are a participating employer in a number of trustee-managed</w:t>
      </w:r>
      <w:r>
        <w:rPr>
          <w:rFonts w:ascii="Arial" w:cs="Arial" w:eastAsia="Arial" w:hAnsi="Arial"/>
          <w:sz w:val="17"/>
          <w:szCs w:val="17"/>
          <w:i w:val="1"/>
          <w:iCs w:val="1"/>
          <w:color w:val="auto"/>
        </w:rPr>
        <w:t xml:space="preserve"> </w:t>
      </w:r>
      <w:r>
        <w:rPr>
          <w:rFonts w:ascii="Arial" w:cs="Arial" w:eastAsia="Arial" w:hAnsi="Arial"/>
          <w:sz w:val="17"/>
          <w:szCs w:val="17"/>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Expiration Date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Pension Protection Act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8"/>
              </w:rPr>
              <w:t>of Collective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EIN/Pension Plan</w:t>
            </w:r>
          </w:p>
        </w:tc>
        <w:tc>
          <w:tcPr>
            <w:tcW w:w="15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Reported Status(a)</w:t>
            </w:r>
          </w:p>
        </w:tc>
        <w:tc>
          <w:tcPr>
            <w:tcW w:w="90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rPr>
              <w:t>FIP/RP</w:t>
            </w:r>
          </w:p>
        </w:tc>
        <w:tc>
          <w:tcPr>
            <w:tcW w:w="1320" w:type="dxa"/>
            <w:vAlign w:val="bottom"/>
            <w:gridSpan w:val="6"/>
          </w:tcPr>
          <w:p>
            <w:pPr>
              <w:jc w:val="right"/>
              <w:spacing w:after="0"/>
              <w:rPr>
                <w:sz w:val="20"/>
                <w:szCs w:val="20"/>
                <w:color w:val="auto"/>
              </w:rPr>
            </w:pPr>
            <w:r>
              <w:rPr>
                <w:rFonts w:ascii="Arial" w:cs="Arial" w:eastAsia="Arial" w:hAnsi="Arial"/>
                <w:sz w:val="13"/>
                <w:szCs w:val="13"/>
                <w:b w:val="1"/>
                <w:bCs w:val="1"/>
                <w:color w:val="auto"/>
              </w:rPr>
              <w:t>Contributions(d)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129"/>
        </w:trPr>
        <w:tc>
          <w:tcPr>
            <w:tcW w:w="26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Pension Fund</w:t>
            </w:r>
          </w:p>
        </w:tc>
        <w:tc>
          <w:tcPr>
            <w:tcW w:w="1100" w:type="dxa"/>
            <w:vAlign w:val="bottom"/>
            <w:gridSpan w:val="2"/>
          </w:tcPr>
          <w:p>
            <w:pPr>
              <w:ind w:left="260"/>
              <w:spacing w:after="0" w:line="12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5"/>
              </w:rPr>
              <w:t>Status(b)(c)</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2021</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Agreement(s)</w:t>
            </w:r>
          </w:p>
        </w:tc>
        <w:tc>
          <w:tcPr>
            <w:tcW w:w="0" w:type="dxa"/>
            <w:vAlign w:val="bottom"/>
          </w:tcPr>
          <w:p>
            <w:pPr>
              <w:spacing w:after="0"/>
              <w:rPr>
                <w:sz w:val="1"/>
                <w:szCs w:val="1"/>
                <w:color w:val="auto"/>
              </w:rPr>
            </w:pPr>
          </w:p>
        </w:tc>
      </w:tr>
      <w:tr>
        <w:trPr>
          <w:trHeight w:val="114"/>
        </w:trPr>
        <w:tc>
          <w:tcPr>
            <w:tcW w:w="250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EIN: 94-1133245;</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9/30/2021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Declining</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3"/>
              </w:rPr>
              <w:t>Declining</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rPr>
              <w:t>Midwest Operating Engineers Pension Trust</w:t>
            </w:r>
          </w:p>
        </w:tc>
        <w:tc>
          <w:tcPr>
            <w:tcW w:w="1100" w:type="dxa"/>
            <w:vAlign w:val="bottom"/>
            <w:gridSpan w:val="2"/>
          </w:tcPr>
          <w:p>
            <w:pPr>
              <w:spacing w:after="0" w:line="121" w:lineRule="exact"/>
              <w:rPr>
                <w:sz w:val="20"/>
                <w:szCs w:val="20"/>
                <w:color w:val="auto"/>
              </w:rPr>
            </w:pPr>
            <w:r>
              <w:rPr>
                <w:rFonts w:ascii="Arial" w:cs="Arial" w:eastAsia="Arial" w:hAnsi="Arial"/>
                <w:sz w:val="13"/>
                <w:szCs w:val="13"/>
                <w:color w:val="auto"/>
              </w:rPr>
              <w:t>EIN: 36-6140097;</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900" w:type="dxa"/>
            <w:vAlign w:val="bottom"/>
            <w:gridSpan w:val="3"/>
          </w:tcPr>
          <w:p>
            <w:pPr>
              <w:jc w:val="center"/>
              <w:ind w:right="188"/>
              <w:spacing w:after="0" w:line="121" w:lineRule="exact"/>
              <w:rPr>
                <w:sz w:val="20"/>
                <w:szCs w:val="20"/>
                <w:color w:val="auto"/>
              </w:rPr>
            </w:pPr>
            <w:r>
              <w:rPr>
                <w:rFonts w:ascii="Arial" w:cs="Arial" w:eastAsia="Arial" w:hAnsi="Arial"/>
                <w:sz w:val="13"/>
                <w:szCs w:val="13"/>
                <w:color w:val="auto"/>
                <w:w w:val="87"/>
              </w:rPr>
              <w:t>Implemented</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64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Fund</w:t>
            </w:r>
          </w:p>
        </w:tc>
        <w:tc>
          <w:tcPr>
            <w:tcW w:w="110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4"/>
              </w:rPr>
              <w:t>or Critical</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4"/>
              </w:rPr>
              <w:t>or Critical</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86"/>
              </w:rPr>
              <w:t>4/30/2026</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as of</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3/31/2021</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3/31/2020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3"/>
              </w:rPr>
              <w:t>Suburban Teamsters of Northern Illinois Pension</w:t>
            </w:r>
          </w:p>
        </w:tc>
        <w:tc>
          <w:tcPr>
            <w:tcW w:w="1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EIN: 36-6155778;</w:t>
            </w:r>
          </w:p>
        </w:tc>
        <w:tc>
          <w:tcPr>
            <w:tcW w:w="76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900" w:type="dxa"/>
            <w:vAlign w:val="bottom"/>
            <w:gridSpan w:val="3"/>
            <w:shd w:val="clear" w:color="auto" w:fill="CCEEFF"/>
          </w:tcPr>
          <w:p>
            <w:pPr>
              <w:jc w:val="center"/>
              <w:ind w:right="188"/>
              <w:spacing w:after="0" w:line="121" w:lineRule="exact"/>
              <w:rPr>
                <w:sz w:val="20"/>
                <w:szCs w:val="20"/>
                <w:color w:val="auto"/>
              </w:rPr>
            </w:pPr>
            <w:r>
              <w:rPr>
                <w:rFonts w:ascii="Arial" w:cs="Arial" w:eastAsia="Arial" w:hAnsi="Arial"/>
                <w:sz w:val="13"/>
                <w:szCs w:val="13"/>
                <w:color w:val="auto"/>
                <w:w w:val="87"/>
              </w:rPr>
              <w:t>Implemented</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64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Plan</w:t>
            </w:r>
          </w:p>
        </w:tc>
        <w:tc>
          <w:tcPr>
            <w:tcW w:w="1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or Critical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left="77"/>
              <w:spacing w:after="0"/>
              <w:rPr>
                <w:sz w:val="20"/>
                <w:szCs w:val="20"/>
                <w:color w:val="auto"/>
              </w:rPr>
            </w:pPr>
            <w:r>
              <w:rPr>
                <w:rFonts w:ascii="Arial" w:cs="Arial" w:eastAsia="Arial" w:hAnsi="Arial"/>
                <w:sz w:val="13"/>
                <w:szCs w:val="13"/>
                <w:color w:val="auto"/>
                <w:w w:val="89"/>
              </w:rPr>
              <w:t>11/28/2025</w:t>
            </w: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w w:val="93"/>
              </w:rPr>
              <w:t>Western Conference of Teamsters Pension Plan</w:t>
            </w:r>
          </w:p>
        </w:tc>
        <w:tc>
          <w:tcPr>
            <w:tcW w:w="1100" w:type="dxa"/>
            <w:vAlign w:val="bottom"/>
            <w:gridSpan w:val="2"/>
          </w:tcPr>
          <w:p>
            <w:pPr>
              <w:spacing w:after="0" w:line="121" w:lineRule="exact"/>
              <w:rPr>
                <w:sz w:val="20"/>
                <w:szCs w:val="20"/>
                <w:color w:val="auto"/>
              </w:rPr>
            </w:pPr>
            <w:r>
              <w:rPr>
                <w:rFonts w:ascii="Arial" w:cs="Arial" w:eastAsia="Arial" w:hAnsi="Arial"/>
                <w:sz w:val="13"/>
                <w:szCs w:val="13"/>
                <w:color w:val="auto"/>
              </w:rPr>
              <w:t>EIN: 91-6145047;</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900" w:type="dxa"/>
            <w:vAlign w:val="bottom"/>
            <w:gridSpan w:val="3"/>
          </w:tcPr>
          <w:p>
            <w:pPr>
              <w:jc w:val="center"/>
              <w:ind w:right="188"/>
              <w:spacing w:after="0" w:line="121" w:lineRule="exact"/>
              <w:rPr>
                <w:sz w:val="20"/>
                <w:szCs w:val="20"/>
                <w:color w:val="auto"/>
              </w:rPr>
            </w:pPr>
            <w:r>
              <w:rPr>
                <w:rFonts w:ascii="Arial" w:cs="Arial" w:eastAsia="Arial" w:hAnsi="Arial"/>
                <w:sz w:val="13"/>
                <w:szCs w:val="13"/>
                <w:color w:val="auto"/>
                <w:w w:val="88"/>
              </w:rPr>
              <w:t>Not</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2"/>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900" w:type="dxa"/>
            <w:vAlign w:val="bottom"/>
            <w:gridSpan w:val="3"/>
          </w:tcPr>
          <w:p>
            <w:pPr>
              <w:jc w:val="center"/>
              <w:ind w:right="188"/>
              <w:spacing w:after="0" w:line="135" w:lineRule="exact"/>
              <w:rPr>
                <w:sz w:val="20"/>
                <w:szCs w:val="20"/>
                <w:color w:val="auto"/>
              </w:rPr>
            </w:pPr>
            <w:r>
              <w:rPr>
                <w:rFonts w:ascii="Arial" w:cs="Arial" w:eastAsia="Arial" w:hAnsi="Arial"/>
                <w:sz w:val="13"/>
                <w:szCs w:val="13"/>
                <w:color w:val="auto"/>
                <w:w w:val="89"/>
              </w:rPr>
              <w:t>Applicable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3"/>
                <w:szCs w:val="13"/>
                <w:color w:val="auto"/>
                <w:w w:val="94"/>
              </w:rPr>
              <w:t>or Critical</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CCEEFF"/>
            </w:tcBorders>
            <w:gridSpan w:val="2"/>
          </w:tcPr>
          <w:p>
            <w:pPr>
              <w:jc w:val="center"/>
              <w:ind w:left="77"/>
              <w:spacing w:after="0"/>
              <w:rPr>
                <w:sz w:val="20"/>
                <w:szCs w:val="20"/>
                <w:color w:val="auto"/>
              </w:rPr>
            </w:pPr>
            <w:r>
              <w:rPr>
                <w:rFonts w:ascii="Arial" w:cs="Arial" w:eastAsia="Arial" w:hAnsi="Arial"/>
                <w:sz w:val="13"/>
                <w:szCs w:val="13"/>
                <w:color w:val="auto"/>
                <w:w w:val="86"/>
              </w:rPr>
              <w:t>5/31/2026</w:t>
            </w: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rPr>
              <w:t>Contributions to other Multiemployer Pension</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gridSpan w:val="3"/>
          </w:tcPr>
          <w:p>
            <w:pPr>
              <w:ind w:left="140"/>
              <w:spacing w:after="0"/>
              <w:rPr>
                <w:sz w:val="20"/>
                <w:szCs w:val="20"/>
                <w:color w:val="auto"/>
              </w:rPr>
            </w:pPr>
            <w:r>
              <w:rPr>
                <w:rFonts w:ascii="Arial" w:cs="Arial" w:eastAsia="Arial" w:hAnsi="Arial"/>
                <w:sz w:val="13"/>
                <w:szCs w:val="13"/>
                <w:color w:val="auto"/>
              </w:rPr>
              <w:t>Plans</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40" w:type="dxa"/>
            <w:vAlign w:val="bottom"/>
            <w:gridSpan w:val="3"/>
            <w:shd w:val="clear" w:color="auto" w:fill="CCEEFF"/>
          </w:tcPr>
          <w:p>
            <w:pPr>
              <w:spacing w:after="0" w:line="101" w:lineRule="exact"/>
              <w:rPr>
                <w:sz w:val="20"/>
                <w:szCs w:val="20"/>
                <w:color w:val="auto"/>
              </w:rPr>
            </w:pPr>
            <w:r>
              <w:rPr>
                <w:rFonts w:ascii="Arial" w:cs="Arial" w:eastAsia="Arial" w:hAnsi="Arial"/>
                <w:sz w:val="10"/>
                <w:szCs w:val="10"/>
                <w:color w:val="auto"/>
              </w:rPr>
              <w:t>Total contributions to Multiemployer Pension</w:t>
            </w: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gridSpan w:val="3"/>
            <w:shd w:val="clear" w:color="auto" w:fill="CCEEFF"/>
          </w:tcPr>
          <w:p>
            <w:pPr>
              <w:ind w:left="140"/>
              <w:spacing w:after="0" w:line="136" w:lineRule="exact"/>
              <w:rPr>
                <w:sz w:val="20"/>
                <w:szCs w:val="20"/>
                <w:color w:val="auto"/>
              </w:rPr>
            </w:pPr>
            <w:r>
              <w:rPr>
                <w:rFonts w:ascii="Arial" w:cs="Arial" w:eastAsia="Arial" w:hAnsi="Arial"/>
                <w:sz w:val="13"/>
                <w:szCs w:val="13"/>
                <w:color w:val="auto"/>
              </w:rPr>
              <w:t>Plans (e)</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91" w:lineRule="auto"/>
        <w:tabs>
          <w:tab w:leader="none" w:pos="3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Unless otherwise noted in the table above, the most recent Pension Protection Act zone status available in 2021 and 2020 is for the plan’s year-end as of December 31, 2020 and 2019,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79" w:hanging="330"/>
        <w:spacing w:after="0" w:line="277"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has been implemented.</w:t>
      </w:r>
    </w:p>
    <w:p>
      <w:pPr>
        <w:spacing w:after="0" w:line="62"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63"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2020 and 2019.</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contributions to Multiemployer Pension Plans excludes contributions related to withdrawal liabilities discussed below.</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 for which we have withdrawn or partially withdrawn.</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Multiemployer Plan Benefits Other Than Pensions — </w:t>
      </w:r>
      <w:r>
        <w:rPr>
          <w:rFonts w:ascii="Arial" w:cs="Arial" w:eastAsia="Arial" w:hAnsi="Arial"/>
          <w:sz w:val="16"/>
          <w:szCs w:val="16"/>
          <w:color w:val="auto"/>
        </w:rPr>
        <w:t>During the years ended December 31, 2021, 2020 and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made contributions of $51 million, $48 million and $45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letter of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Our exposure could increase if our insurers are unable to meet their commitments on a timely basis.</w:t>
      </w:r>
    </w:p>
    <w:p>
      <w:pPr>
        <w:spacing w:after="0" w:line="17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As of December 31, 2021, both our commercial general liability insurance policy and our workers’ compensation insurance program carried self-insurance exposures of up to $5 million per incident. As of December 31, 2021, our automobile liability insurance program included a per-incident deductible of up to $10 million. Our receivable balance associated with insurance claims was $155 million and $139 million as of December 31, 2021 and 2020 respectively. The changes to our insurance reserves for the year ended December 31 are summarized below (in millions):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2021(a)</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Self-insurance expense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and 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(b)</w:t>
            </w: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220"/>
              <w:spacing w:after="0"/>
              <w:rPr>
                <w:sz w:val="20"/>
                <w:szCs w:val="20"/>
                <w:color w:val="auto"/>
              </w:rPr>
            </w:pPr>
            <w:r>
              <w:rPr>
                <w:rFonts w:ascii="Arial" w:cs="Arial" w:eastAsia="Arial" w:hAnsi="Arial"/>
                <w:sz w:val="18"/>
                <w:szCs w:val="18"/>
                <w:color w:val="auto"/>
              </w:rPr>
              <w:t>Current portion as of December 31</w:t>
            </w:r>
          </w:p>
        </w:tc>
        <w:tc>
          <w:tcPr>
            <w:tcW w:w="2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c>
          <w:tcPr>
            <w:tcW w:w="2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 as of December 31</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current estimates, we anticipate that most of our insurance reserves will be settled in cash over the next six years.</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reserves of $68 million as of December 31, 2020 related to the acquisition of Advanced Disposal.</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Unconditional Purchase Obligations </w:t>
      </w:r>
      <w:r>
        <w:rPr>
          <w:rFonts w:ascii="Arial" w:cs="Arial" w:eastAsia="Arial" w:hAnsi="Arial"/>
          <w:sz w:val="18"/>
          <w:szCs w:val="18"/>
          <w:color w:val="auto"/>
        </w:rPr>
        <w:t>— Our unconditional purchase obligations are generally established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our business and are structured in a manner that provides us with access to important resources at competitive, market-driven rates and consist primarily of the following:</w:t>
      </w:r>
    </w:p>
    <w:p>
      <w:pPr>
        <w:spacing w:after="0" w:line="76" w:lineRule="exact"/>
        <w:rPr>
          <w:sz w:val="20"/>
          <w:szCs w:val="20"/>
          <w:color w:val="auto"/>
        </w:rPr>
      </w:pPr>
    </w:p>
    <w:p>
      <w:pPr>
        <w:jc w:val="both"/>
        <w:ind w:left="720" w:right="79" w:hanging="319"/>
        <w:spacing w:after="0" w:line="257"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Disposal — </w:t>
      </w:r>
      <w:r>
        <w:rPr>
          <w:rFonts w:ascii="Arial" w:cs="Arial" w:eastAsia="Arial" w:hAnsi="Arial"/>
          <w:sz w:val="18"/>
          <w:szCs w:val="18"/>
          <w:color w:val="auto"/>
        </w:rPr>
        <w:t>We have several agreements expiring at various dates through 2052 that require us to dispose of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are party to certain multi-year service agreements expiring at various dates through 2030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annual payments.</w:t>
      </w:r>
    </w:p>
    <w:p>
      <w:pPr>
        <w:spacing w:after="0" w:line="62"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As of December 31, 2021, our estimated minimum obligations associated with unconditional purchase obligations, which are not recognized in our Consolidated Balance Sheets, were $197 million in 2022, $182 million in 2023,</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$130 million in 2024, $105 million in 2025, $95 million in 2026 and $368 million thereafter. We may also establish unconditional purchase obligations in conjunction with acquisitions or divestitures. Our actual future minimum obligations under these outstanding purchase agreements are generally quantity driven and, as a result, our associated financial obligations are not fixed as of December 31, 2021.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left="720" w:right="79" w:hanging="319"/>
        <w:spacing w:after="0" w:line="275" w:lineRule="auto"/>
        <w:tabs>
          <w:tab w:leader="none" w:pos="7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Royalties — </w:t>
      </w:r>
      <w:r>
        <w:rPr>
          <w:rFonts w:ascii="Arial" w:cs="Arial" w:eastAsia="Arial" w:hAnsi="Arial"/>
          <w:sz w:val="17"/>
          <w:szCs w:val="17"/>
          <w:color w:val="auto"/>
        </w:rPr>
        <w:t>We have various arrangements that require us to make royalty payments to third parties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prior 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117" w:lineRule="exact"/>
        <w:rPr>
          <w:sz w:val="20"/>
          <w:szCs w:val="20"/>
          <w:color w:val="auto"/>
        </w:rPr>
      </w:pPr>
    </w:p>
    <w:p>
      <w:pPr>
        <w:jc w:val="both"/>
        <w:ind w:left="720" w:right="79" w:hanging="319"/>
        <w:spacing w:after="0" w:line="254"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December 31, 2021, WM Holdings has fully and unconditionally guaranteed all of WMI’s senior indebtedness, including its senior notes, $3.5 billion revolving credit facility and certain letter of credit lines, which mature through 2050.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86"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84" w:lineRule="exact"/>
        <w:rPr>
          <w:rFonts w:ascii="Arial" w:cs="Arial" w:eastAsia="Arial" w:hAnsi="Arial"/>
          <w:sz w:val="18"/>
          <w:szCs w:val="18"/>
          <w:color w:val="auto"/>
        </w:rPr>
      </w:pPr>
    </w:p>
    <w:p>
      <w:pPr>
        <w:jc w:val="both"/>
        <w:ind w:left="720" w:right="79" w:hanging="319"/>
        <w:spacing w:after="0" w:line="290" w:lineRule="auto"/>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2021, we have agreements guaranteeing certain market value losses for certain properties adjacent to or near 18 of our landfills. Any liability associated with the triggering of the home value has been reflected in our Consolidated Balance Sheets. We do not believe that the remaining contingent obligations will have a material adverse effect on the Company’s financial position, results of operations or cash flows.</w:t>
      </w:r>
    </w:p>
    <w:p>
      <w:pPr>
        <w:spacing w:after="0" w:line="57" w:lineRule="exact"/>
        <w:rPr>
          <w:rFonts w:ascii="Arial" w:cs="Arial" w:eastAsia="Arial" w:hAnsi="Arial"/>
          <w:sz w:val="16"/>
          <w:szCs w:val="16"/>
          <w:color w:val="auto"/>
        </w:rPr>
      </w:pPr>
    </w:p>
    <w:p>
      <w:pPr>
        <w:jc w:val="both"/>
        <w:ind w:left="720" w:right="79" w:hanging="319"/>
        <w:spacing w:after="0" w:line="253"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720" w:right="79" w:hanging="319"/>
        <w:spacing w:after="0" w:line="272" w:lineRule="auto"/>
        <w:tabs>
          <w:tab w:leader="none" w:pos="7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7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December 31, 2021,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WMI,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December 31, 2021 and 2020, the recorded liability for MIMC’s estimated potential share of the EPA’s proposed remedy and related costs was $53 million and $55 million, respectively. MIMC’s ultimate liability could be materially different from current estimates.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w:t>
      </w:r>
    </w:p>
    <w:p>
      <w:pPr>
        <w:sectPr>
          <w:pgSz w:w="11900" w:h="16838" w:orient="portrait"/>
          <w:cols w:equalWidth="0" w:num="1">
            <w:col w:w="9019"/>
          </w:cols>
          <w:pgMar w:left="1440" w:top="611"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over time or through a business event (such as the discontinuation or nonrenewal of a customer contract, the </w:t>
      </w:r>
      <w:r>
        <w:rPr>
          <w:rFonts w:ascii="Arial" w:cs="Arial" w:eastAsia="Arial" w:hAnsi="Arial"/>
          <w:sz w:val="16"/>
          <w:szCs w:val="16"/>
          <w:color w:val="auto"/>
        </w:rPr>
        <w:t>decertification</w:t>
      </w:r>
      <w:r>
        <w:rPr>
          <w:rFonts w:ascii="Arial" w:cs="Arial" w:eastAsia="Arial" w:hAnsi="Arial"/>
          <w:sz w:val="18"/>
          <w:szCs w:val="18"/>
          <w:color w:val="auto"/>
        </w:rPr>
        <w:t xml:space="preserve"> of a union, or relocation, reduction or discontinuance of certain operations) may also trigger a complete or partial withdrawal from one or more of these pension plans.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maintain a liability for uncertain tax positions, the balance of which management believes is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Results of audit assessments by taxing authorities are not currently expected to have a material adverse effect on our financial condition, results of operations or cash flows. See Note 8 for additional discussion regarding income taxes.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Asset Impairments and Unusual Items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 ended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w w:val="99"/>
              </w:rPr>
              <w:t>42</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9"/>
              </w:rPr>
              <w:t>42</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December 31, 2021, we recognized net gains of $16 million primarily consisting of (i) a $35 million pre-tax gain from the recognition of cumulative translation adjustments on the divestiture of certain non-strategic Canadian operations in our East Tier segment and (ii) an $8 million gain from divestitures of certain ancillary operations in our Other segment. These gains were partially offset by (i) a $20 million charge pertaining to reserves for loss contingencies in our Corporate and Other segment and (ii) $8 million of asset impairment charges primarily related to our WM Renewable Energy business within our Other segment.</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year ended December 31, 2020, we recognized $35 million of net charges primarily related to (i) a $33 million net gain associated with net asset divestitures executed to address requirements of the U.S. Department of Justice in connection with our acquisition of Advanced Disposal, primarily within our West Tier segment; (ii) $41 million of non-cash impairment charges primarily related to two landfills and an oil field waste injection facility in our West Tier segment; (iii) a $20 million non-cash impairment charge in our East Tier segment due to management’s decision to close a landfill once its constructed airspace is filled and abandon any remaining permitted airspace and (iv) $7 million of net charges primarily related to non-cash impairments of certain assets within our WM Renewable Energy business in our Other segment.</w:t>
      </w:r>
    </w:p>
    <w:p>
      <w:pPr>
        <w:spacing w:after="0" w:line="192" w:lineRule="exact"/>
        <w:rPr>
          <w:sz w:val="20"/>
          <w:szCs w:val="20"/>
          <w:color w:val="auto"/>
        </w:rPr>
      </w:pPr>
    </w:p>
    <w:p>
      <w:pPr>
        <w:jc w:val="both"/>
        <w:ind w:left="60" w:right="59" w:firstLine="324"/>
        <w:spacing w:after="0" w:line="229" w:lineRule="auto"/>
        <w:rPr>
          <w:sz w:val="20"/>
          <w:szCs w:val="20"/>
          <w:color w:val="auto"/>
        </w:rPr>
      </w:pPr>
      <w:r>
        <w:rPr>
          <w:rFonts w:ascii="Arial" w:cs="Arial" w:eastAsia="Arial" w:hAnsi="Arial"/>
          <w:sz w:val="18"/>
          <w:szCs w:val="18"/>
          <w:color w:val="auto"/>
        </w:rPr>
        <w:t>During the year ended December 31, 2019, we recognized asset impairments of $42 million, related to (i) $</w:t>
      </w:r>
      <w:r>
        <w:rPr>
          <w:rFonts w:ascii="Arial" w:cs="Arial" w:eastAsia="Arial" w:hAnsi="Arial"/>
          <w:sz w:val="16"/>
          <w:szCs w:val="16"/>
          <w:color w:val="auto"/>
        </w:rPr>
        <w:t>27 million</w:t>
      </w:r>
      <w:r>
        <w:rPr>
          <w:rFonts w:ascii="Arial" w:cs="Arial" w:eastAsia="Arial" w:hAnsi="Arial"/>
          <w:sz w:val="18"/>
          <w:szCs w:val="18"/>
          <w:color w:val="auto"/>
        </w:rPr>
        <w:t xml:space="preserve"> of goodwill impairment charges within our Other segment, of which $17 million related to our EES business and $10 million related to our LampTracker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reporting unit, and (ii) $15 million of asset impairment charges primarily related to certain solid waste operations in our West Tier segment.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During the year ended December 31, 2020, we recorded a non-cash impairment charge of $7 million related to an investment in a refined coal facility which is discussed further in Note 8. The fair value of our investment was not readily determinable; thus, we determined the fair value using management assumptions pertaining to investment value (Level 3). The remaining losses during the years ended December 31, 2021, 2020 and 2019 were primarily related to our noncontrolling interests in entities established to invest in and manage low-income housing properties. Refer to Notes 8 and 18 for additional information related to these investments.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2019, we recognized a $52 million non-cash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w w:val="92"/>
              </w:rPr>
              <w:t>Adjustments(a)</w:t>
            </w:r>
          </w:p>
        </w:tc>
        <w:tc>
          <w:tcPr>
            <w:tcW w:w="88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$0, $5, $0 and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(income) loss, net of tax (expense) benefit of $3, $0, $0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$2, $4, $0 and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(income) loss, net of tax (expense) benefit of $2, $0, $0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 respectively</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$0, $(2), $0 and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(income) loss, net of tax (expense) benefit of $3, $0, $0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311" w:lineRule="auto"/>
        <w:tabs>
          <w:tab w:leader="none" w:pos="3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a result of the divestiture of certain non-strategic Canadian operations in the third quarter of 2021, we reclassified $35 million of cumulative foreign currency translation adjustments from accumulated other comprehensive income to gain from divestitures, asset impairments and unusual items within our Consolidated Statement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Capital Stock, Dividends and Common Stock Repurchase Program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1.5 billion shares of authorized common stock with a par value of $0.01 per common share. As of December 31, 2021, we had 416.1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$970 million in 2021, or $2.30 per common share, $927 million in 2020, or $2.18 per common share, and $876 million in 2019, or $2.05 per common share.</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December 2021, we announced that our Board of Directors expects to increase the quarterly dividend from $0.575 to $0.65 per share for dividends declared in 2022.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During 2021, we allocated an aggregate of $1.35 billion in cash under ASR agreements to repurchase shares. As of December 31, 2021, we had received 8.7 million shares with a weighted average price per share of $146.61. In January 2022, we completed our ASR agreement executed in December 2021, at which time we received an additional 0.4 million shares. The following is a summary of our share repurchases under our common stock repurchase program for the year ended December 31:</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2021(a)</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2020(b)</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2019(c)</w:t>
            </w: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Weighted average price per share</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146.61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108.60</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executed and completed three ASR agreements during 2021 to repurchase $1.0 billion of our common stock and received 7.0 million shares in connection with these ASR agreements.</w:t>
      </w:r>
    </w:p>
    <w:p>
      <w:pPr>
        <w:spacing w:after="0" w:line="62" w:lineRule="exact"/>
        <w:rPr>
          <w:rFonts w:ascii="Arial" w:cs="Arial" w:eastAsia="Arial" w:hAnsi="Arial"/>
          <w:sz w:val="18"/>
          <w:szCs w:val="18"/>
          <w:color w:val="auto"/>
        </w:rPr>
      </w:pPr>
    </w:p>
    <w:p>
      <w:pPr>
        <w:jc w:val="both"/>
        <w:ind w:left="380" w:right="59"/>
        <w:spacing w:after="0" w:line="259" w:lineRule="auto"/>
        <w:rPr>
          <w:rFonts w:ascii="Arial" w:cs="Arial" w:eastAsia="Arial" w:hAnsi="Arial"/>
          <w:sz w:val="18"/>
          <w:szCs w:val="18"/>
          <w:color w:val="auto"/>
        </w:rPr>
      </w:pPr>
      <w:r>
        <w:rPr>
          <w:rFonts w:ascii="Arial" w:cs="Arial" w:eastAsia="Arial" w:hAnsi="Arial"/>
          <w:sz w:val="18"/>
          <w:szCs w:val="18"/>
          <w:color w:val="auto"/>
        </w:rPr>
        <w:t>In addition, in December 2021, we executed an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78"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During 2020, we executed and completed an ASR agreement to repurchase $313 million of our common stock and received 2.8 million shares in connection with this ASR agreement. We also repurchased an additional 0.9 million shares of our common stock in open market transactions in compliance with Rule 10b5-1 and Rule 10b-18 of the Securities Exchange Act of 1934 (“Exchange Act”) for $89 million, inclusive of per-share commissions.</w:t>
      </w:r>
    </w:p>
    <w:p>
      <w:pPr>
        <w:spacing w:after="0" w:line="63" w:lineRule="exact"/>
        <w:rPr>
          <w:rFonts w:ascii="Arial" w:cs="Arial" w:eastAsia="Arial" w:hAnsi="Arial"/>
          <w:sz w:val="17"/>
          <w:szCs w:val="17"/>
          <w:color w:val="auto"/>
        </w:rPr>
      </w:pPr>
    </w:p>
    <w:p>
      <w:pPr>
        <w:jc w:val="both"/>
        <w:ind w:left="380" w:right="79" w:hanging="330"/>
        <w:spacing w:after="0" w:line="259"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During 2019, we executed and completed an ASR agreement to repurchase $180 million of our common stock and received 1.6 million shares in connection with this ASR agreement. We also repurchased an additional 0.7 million shares of our common stock in open market transactions in compliance with Rule 10b5-1 and Rule 10b-18 of the Exchange Act for $64 million, inclusive of per-share commissions.</w:t>
      </w:r>
    </w:p>
    <w:p>
      <w:pPr>
        <w:spacing w:after="0" w:line="79"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We announced in December 2021 that the Board of Directors has authorized up to $1.5 billion in future share repurchases. Any future share repurchases will be made at the discretion of management and will depend on factors similar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 those considered by the Board of Directors in making dividend declarations, including our net earnings, financial condition and cash required for future business plans, growth and acquisitions.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Equity-Based Compensation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2021, 2020 and 2019 was approximately 513,000, 570,000 and 537,000, respectively. After the January 2022 issuance of shares associated with the July to December 2021 offering period, 2.7 million shares remain available for issuance under the ESPP.</w:t>
      </w:r>
    </w:p>
    <w:p>
      <w:pPr>
        <w:spacing w:after="0" w:line="18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As a result of our ESPP, annual compensation expense increased by $12 million, or $9 million net of tax expense, for 2021, $13 million, or $10 million net of tax expense, for 2020 and $10 million, or $7 million net of tax expense, for 2019.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both incentive plans that are subsequently cancelled, forfeited, terminate, expire or lapse. In May 2020, the Company’s Board of Directors amended the 2014 Plan to provide that the number of future shares surrendered in payment of the exercise or purchase price of an award, and the number of future shares used to satisfy the withholding obligations, shall no longer be credited back to the total number of shares available for issuance under the 2014 Plan. As of December 31, 2021, approximately 16.9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7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2021 annual incentive plan awards granted to the Company’s senior leadership team, which generally includes the Company’s executive officers, included a combination of PSUs and stock options. Additionally, one member of the Company’s senior leadership team received a grant of RSUs in 2021 in special recognition of 2020 contributions. The Incentive Plans awards granted to other eligible employees included a combination of PSUs, RSUs and stock options in 2021. The Company also periodically grants RSUs to employees working on key initiatives, in connection with new hires and promotions and to field-based managers.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118.11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114.18</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2021, 2020 and 2019 was $12 million, $14 million and $15 million, respectively. During the year ended December 31, 2021, we issued approximately 72,000 shares of common stock for these vested RSUs, net of approximately 29,000 units deferred or used for payment of associated taxes.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Beginning in 2021, the terms of the award agreements for new grants of RSUs were updated to provide for accelerated vesting following retirement as if the employee had remained employed until the end of the vesting period. Accordingly,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9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Two types of PSUs are currently outstanding: (i) PSUs for which payout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total shareholder return relative to the S&amp;P 500 Index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122.59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determination of achievement of performance results and corresponding vesting of PSUs for the three-year performance period ended December 31, 2021 was performed by the Management Development and Compensation</w:t>
      </w:r>
    </w:p>
    <w:p>
      <w:pPr>
        <w:sectPr>
          <w:pgSz w:w="11900" w:h="16838" w:orient="portrait"/>
          <w:cols w:equalWidth="0" w:num="1">
            <w:col w:w="9019"/>
          </w:cols>
          <w:pgMar w:left="1440" w:top="611"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Committee of our Board of Directors in February 2022. Accordingly, vesting information for such awards is not included in the table above as of December 31, 2021. The “vested” PSUs are for the three-year performance period ended December 31, 2020, as achievement of performance results and corresponding vesting was determined in February 2021. The performance of the Company’s common stock for purposes of the TSR PSUs exceeded target performance criteria, and the Company’s financial results, as measured for purposes of the Cash Flow PSUs, achieved the maximum performance criteria. Accordingly, recipients of the PSU awards received a payout of 172.84% of the vested TSR PSUs and 200% of the vested Cash Flow PSUs. In February 2021, approximately 659,000 PSUs vested and we issued approximately 435,000 shares of common stock for these vested PSUs, net of units deferred or used for payment of associated taxes. The shares of common stock that were issued or deferred during the years ended December 31, 2021, 2020 and 2019 for prior PSU award grants had a fair market value of $74 million, $89 million and $84 million, respectively.</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The terms of the award agreements for outstanding PSUs provide for continued vesting following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7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Deferred Units — </w:t>
      </w:r>
      <w:r>
        <w:rPr>
          <w:rFonts w:ascii="Arial" w:cs="Arial" w:eastAsia="Arial" w:hAnsi="Arial"/>
          <w:sz w:val="17"/>
          <w:szCs w:val="17"/>
          <w:color w:val="auto"/>
        </w:rPr>
        <w:t>Certain employees can elect to defer some or all of the vested RSU or PSU awards until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2021, we had approximately 201,000 vested deferred units outstanding.</w:t>
      </w:r>
    </w:p>
    <w:p>
      <w:pPr>
        <w:spacing w:after="0" w:line="1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Stock Options — </w:t>
      </w:r>
      <w:r>
        <w:rPr>
          <w:rFonts w:ascii="Arial" w:cs="Arial" w:eastAsia="Arial" w:hAnsi="Arial"/>
          <w:sz w:val="16"/>
          <w:szCs w:val="16"/>
          <w:color w:val="auto"/>
        </w:rPr>
        <w:t>Stock options granted prior to 2021 vest in 25% increments on the first two anniversaries of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grant with the remaining 50% vesting on the third anniversary. Stock options granted in 2021 vest ratably in three annual increments, beginning on the first anniversary of the date of grant. The exercise price of the options is the average of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high and low market value of our common stock on the date of grant, and the options have a term of 10 years. A summary of our stock options is presented in the table below (options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 (a)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as of December 31, 2021 (b)</w:t>
            </w: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line="20" w:lineRule="exact"/>
              <w:rPr>
                <w:sz w:val="1"/>
                <w:szCs w:val="1"/>
                <w:color w:val="auto"/>
              </w:rPr>
            </w:pPr>
          </w:p>
        </w:tc>
      </w:tr>
      <w:tr>
        <w:trPr>
          <w:trHeight w:val="197"/>
        </w:trPr>
        <w:tc>
          <w:tcPr>
            <w:tcW w:w="656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1,672</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options outstanding as of December 31, 2021 have a weighted average remaining contractual term of 6.6 years and an aggregate intrinsic value of $238 million based on the market value of our common stock on December 31, 2021.</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options exercisable as of December 31, 2021 have an aggregate intrinsic value of $155 million based on the market value of our common stock on December 31, 2021.</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received cash proceeds of $66 million, $63 million and $67 million during the years ended December 31, 2021, 2020 and 2019, respectively, from employee stock option exercises. The aggregate intrinsic value of stock options exercised during the years ended December 31, 2021, 2020 and 2019 was $66 million, $58 million and $71 million,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exercisable as of December 31, 2021 were as follows (options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Per Share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5"/>
              </w:rPr>
              <w:t>Remaining Years</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$34.94-$50.00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$50.01-$70.00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55.52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$70.01-$100.00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$100.01-$126.01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126.01</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$34.94-$126.01</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2021, 2020 and 2019 was $17.25, $15.82 and $12.22,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r>
      <w:tr>
        <w:trPr>
          <w:trHeight w:val="20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years</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23.2 %</w:t>
            </w:r>
          </w:p>
        </w:tc>
        <w:tc>
          <w:tcPr>
            <w:tcW w:w="16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16.6 %</w:t>
            </w:r>
          </w:p>
        </w:tc>
        <w:tc>
          <w:tcPr>
            <w:tcW w:w="16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15.5 %</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2.5 %</w:t>
            </w:r>
          </w:p>
        </w:tc>
      </w:tr>
    </w:tbl>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For the years ended December 31, 2021, 2020 and 2019, we recognized $94 million, $79 million and $75 million, respectively, of compensation expense associated with RSU, PSU and stock option awards as a component of selling, general and administrative expenses in our Consolidated Statements of Operations. Our income tax expense for the years ended December 31, 2021, 2020 and 2019 includes related income tax benefits of $18 million, $15 million and $17 million, respectively. We have not capitalized any equity-based compensation costs during the reported periods.</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we estimate that $49 million of currently unrecognized compensation expense will be recognized over a weighted average period of 1.5 years for our unvested RSU, PSU and stock option awards issued and outstanding.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2014 Plan described above.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Basic and diluted earnings per share were computed using the following common share data for the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(shares 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02"/>
        </w:trPr>
        <w:tc>
          <w:tcPr>
            <w:tcW w:w="6420" w:type="dxa"/>
            <w:vAlign w:val="bottom"/>
          </w:tcPr>
          <w:p>
            <w:pPr>
              <w:ind w:left="220"/>
              <w:spacing w:after="0" w:line="201" w:lineRule="exact"/>
              <w:rPr>
                <w:sz w:val="20"/>
                <w:szCs w:val="20"/>
                <w:color w:val="auto"/>
              </w:rPr>
            </w:pPr>
            <w:r>
              <w:rPr>
                <w:rFonts w:ascii="Arial" w:cs="Arial" w:eastAsia="Arial" w:hAnsi="Arial"/>
                <w:sz w:val="18"/>
                <w:szCs w:val="18"/>
                <w:color w:val="auto"/>
              </w:rPr>
              <w:t>Dilutive effect of equity-based compensation awards and other contingently</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issuable shares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1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the Consolidated Statements of Operations for net income attributable to Waste Management,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86" w:lineRule="auto"/>
        <w:rPr>
          <w:sz w:val="20"/>
          <w:szCs w:val="20"/>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Observable inputs other than quoted prices in active markets for identical assets and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inactive markets, or other inputs that are observable or can be corroborated by observable market data for substantially the full term of the assets or liabilities.</w:t>
      </w:r>
    </w:p>
    <w:p>
      <w:pPr>
        <w:spacing w:after="0" w:line="57" w:lineRule="exact"/>
        <w:rPr>
          <w:sz w:val="20"/>
          <w:szCs w:val="20"/>
          <w:color w:val="auto"/>
        </w:rPr>
      </w:pPr>
    </w:p>
    <w:p>
      <w:pPr>
        <w:jc w:val="both"/>
        <w:ind w:left="300" w:right="79"/>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that are generally unobservable and typically reflect management’s estimate of assumptions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participants would use in pricing the asset or liability.</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Quoted prices in active markets (Level 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Cash equivalents and 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11 for information related to our nonrecurring fair value measurements and the impact of impairments. See Note 17 for information related to the nonrecurring fair value measurement of assets and liabilities acquired in connection with our acquisitions.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 and Money Market Funds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Cash equivalents primarily include short-term interest-bearing instruments with maturities of three months or less. We invest portions of our restricted trust and escrow account balances in money market funds and we measure the fair value of these investments using quoted prices in active markets for identical assets. The fair value of our cash equivalents and money market funds approximates our cost basis in these instruments. The decrease in 2021 is primarily due to the use of available cash to retire certain high-coupon senior notes in May 2021, which is discussed further in Note 6.</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Securities</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We invest portions of our restricted trust and escrow account balances in equity securities and we measure the fair value of these securities using quoted prices in active markets for identical assets. Any changes in fair value of these</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securities related to unrealized gains and losses have been appropriately reflected as a component of other income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available-for-sale securities include restricted trust and escrow account balances and an investment in an unconsolidated entity, as discussed in Note 18. We invest primarily in debt securities, including U.S. Treasury securities, U.S. agency securities, municipal securities and mortgage- and asset-backed securities, which generally mature over the next nine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Redeemable preferred stock is related to a noncontrolling investment in an unconsolidated entity and is included in investments in unconsolidated entities in our Consolidated Balance Sheets. The fair value of our investment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December 31, 2021 and 2020, the carrying value of our debt was $13.4 billion and $13.8 billion, respectively. The estimated fair value of our debt was approximately $14.1 billion and $15.2 billion as of December 31, 2021 and 2020, respectively. The decrease in the fair value of debt is primarily related to (i) net repayments of $456 million during 2021;</w:t>
      </w:r>
    </w:p>
    <w:p>
      <w:pPr>
        <w:spacing w:after="0" w:line="2" w:lineRule="exact"/>
        <w:rPr>
          <w:sz w:val="20"/>
          <w:szCs w:val="20"/>
          <w:color w:val="auto"/>
        </w:rPr>
      </w:pPr>
    </w:p>
    <w:p>
      <w:pPr>
        <w:jc w:val="both"/>
        <w:ind w:left="60" w:right="59" w:hanging="10"/>
        <w:spacing w:after="0" w:line="255" w:lineRule="auto"/>
        <w:tabs>
          <w:tab w:leader="none" w:pos="3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replacement of debt balances with a relatively high fair value to carrying value ratio with new debt with a fair value that approximates carrying value (refer to Note 6 for additional information) and (iii) increases in current market rates of our senior notes.</w:t>
      </w:r>
    </w:p>
    <w:p>
      <w:pPr>
        <w:spacing w:after="0" w:line="19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2021 and 2020. These amounts have not been revalued since those dates, and current estimates of fair value could differ significantly from the amounts presented.</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Acquisitions and Divestitures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We continue to pursue the acquisition of businesses that are accretive to our Solid Waste business and enhance and expand our existing service offerings. Our acquisitions for the reported periods are discussed below:</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2021 Acquisitions</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During the year ended December 31, 2021, we acquired 11 businesses primarily related to our Solid Waste business. Total consideration, net of cash acquired, for all acquisitions was $94 million, which included $73 million in net cash paid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and $21 million of other consideration, primarily purchase price holdbacks and the settlement of a preexisting promissory note with one of the acquired businesses. In addition, we paid $3 million of holdbacks, primarily related to current year acquisitions.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2021 acquisitions discussed above include our acquisition of the remaining ownership interest in a waste diversion technology company. Concurrent with our acquisition, the acquired entity issued shares to an unrelated third-party, diluting our ownership interest. We determined the entity constituted a variable interest entity and concluded that we did not have the power to direct its significant activities. As a result, we subsequently deconsolidated the entity and account for our remaining ownership interest as an equity method investment.</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2020 Acquisitions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December 31, 2020, we acquired four businesses related to our Solid Waste business, including the acquisition of Advanced Disposal discussed further below. Total consideration, net of cash acquired of $36 million, for all acquisitions was $4.1 billion, none of which related to other consideration such as purchase price holdbacks. In 2020, we paid $3 million of holdbacks, all of which related to prior year acquisitions. Contingent consideration obligations are primarily based on achievement by the acquired businesses of certain negotiated goals, which generally include targeted financial metrics.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Advanced Disposal </w:t>
      </w:r>
      <w:r>
        <w:rPr>
          <w:rFonts w:ascii="Arial" w:cs="Arial" w:eastAsia="Arial" w:hAnsi="Arial"/>
          <w:sz w:val="18"/>
          <w:szCs w:val="18"/>
          <w:color w:val="auto"/>
        </w:rPr>
        <w:t>— On October 30, 2020, we completed our acquisition of all outstanding shares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for $30.30 per share in cash, pursuant to an Agreement and Plan of Merger dated April 14, 2019, as amended on June 24, 2020. Total enterprise value of the acquisition was $4.6 billion when including approximately $1.8 billion of Advanced Disposal’s net debt. This acquisition grew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w:t>
      </w:r>
    </w:p>
    <w:p>
      <w:pPr>
        <w:spacing w:after="0" w:line="19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For the year ended December 31, 2021, we incurred $51 million of integration related costs, and for the year ended December 31, 2020, we incurred $156 million of acquisition and integration related costs, which were primarily classified as “Selling, general and administrative expenses.” The post-closing operating results of Advanced Disposal have been included in our consolidated financial statements, within our existing reportable segments. Post-closing through December 31, 2020, Advanced Disposal recognized $205 million, $142 million and $60 million of revenue, operating expenses and selling, general and administrative expenses, respectively, which are included in our Consolidated Statement of Operations.</w:t>
      </w:r>
    </w:p>
    <w:p>
      <w:pPr>
        <w:spacing w:after="0" w:line="19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consolidated financial statements have not been retroactively restated to include Advanced Disposal’s historical financial position or results of operations. The acquisition was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The Company valued the customer relationship asset using an income approach; specifically, the multi-period excess earnings method. The significant assumptions used to value customer relationships included, among others, attrition rates, revenue growth rate, and discount rate. The Company valued the landfill assets using an income approach; specifically, the multi-period excess earnings method. The significant assumptions used to value landfill assets included, among others, the forecasted revenue and revenue growth (including forecasted waste volumes and rate per ton), discount rate, and forecasted capital expenditures. The allocation of the purchase price was finalized in October 2021.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reporting units that have integrated these operations as they are benefitting from the synergies of the combination. Goodwill related to this acquisition is not deductible for income tax purposes.</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the purchase price allocation as of the date acquired, and adjustments to October 30, 2021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October 30, 2020</w:t>
            </w:r>
          </w:p>
        </w:tc>
        <w:tc>
          <w:tcPr>
            <w:tcW w:w="2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b w:val="1"/>
                <w:bCs w:val="1"/>
                <w:color w:val="auto"/>
              </w:rPr>
              <w:t>October 30, 2021</w:t>
            </w:r>
          </w:p>
        </w:tc>
      </w:tr>
      <w:tr>
        <w:trPr>
          <w:trHeight w:val="20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Assets held for sale (a)</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Liabilities held for sale (a)</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(b)</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39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connection with our acquisition of Advanced Disposal, we and Advanced Disposal entered into an agreement that provided for GFL Environmental to acquire a combination of assets from us and Advanced Disposal to address divestitures required by the U.S. Department of Justice. Upon acquisition these assets met the criteria for reporting discontinued operations and were classified as held for sale and included within the “Assets held for sale” and “Liabilities held for sale” line items in the above final allocation of purchase price. Immediately following the acquisition, the divestiture transactions were consummated and the Company subsequently received cash proceeds from the sale of $856 million.</w:t>
      </w:r>
    </w:p>
    <w:p>
      <w:pPr>
        <w:spacing w:after="0" w:line="194"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the time of acquisition, Advanced Disposal had outstanding $425 million of 5.625% senior notes due November 2024, the fair value of which was $438 million. In November 2020, we redeemed the notes pursuant to an optional redemption feature.</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final allocation of $601 million for other intangibles includes $572 million for customer relationships with an amortization period of 15 years and $29 million of other intangibles with a weighted average amortization period of seven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Advanced Disposal as though the companies had been combined as of January 1, 2019. Examples of adjustments made to arrive at the pro forma amounts include, but are not limited to, the following:</w:t>
      </w:r>
    </w:p>
    <w:p>
      <w:pPr>
        <w:spacing w:after="0" w:line="165" w:lineRule="exact"/>
        <w:rPr>
          <w:sz w:val="20"/>
          <w:szCs w:val="20"/>
          <w:color w:val="auto"/>
        </w:rPr>
      </w:pPr>
    </w:p>
    <w:p>
      <w:pPr>
        <w:ind w:left="700" w:hanging="32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 of divestitures required by the U.S. Department of Justice;</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Intercompany true-ups based on acquisition/divestiture activity;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Transaction expenses incurred by us and Advanced Disposal;</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Adjustments to depreciation and amortization expense due to step-up in fair value of the acquired assets; and</w:t>
      </w:r>
    </w:p>
    <w:p>
      <w:pPr>
        <w:spacing w:after="0" w:line="20" w:lineRule="exact"/>
        <w:rPr>
          <w:rFonts w:ascii="Arial" w:cs="Arial" w:eastAsia="Arial" w:hAnsi="Arial"/>
          <w:sz w:val="17"/>
          <w:szCs w:val="17"/>
          <w:color w:val="auto"/>
        </w:rPr>
      </w:pPr>
    </w:p>
    <w:p>
      <w:pPr>
        <w:ind w:left="700" w:hanging="32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Interest expense adjustments.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unaudited pro forma financial information is for informational purposes only and is not necessarily indicative of the results of operations that would have been achieved as if the acquisition had taken place as of January 1, 2019 for the year ended December 31 (in millions,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16,192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16,660</w:t>
            </w: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Net income attributable to Waste Management, Inc.</w:t>
            </w:r>
          </w:p>
        </w:tc>
        <w:tc>
          <w:tcPr>
            <w:tcW w:w="820" w:type="dxa"/>
            <w:vAlign w:val="bottom"/>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7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the year ended December 31, 2019, we acquired 18 businesses, including Petro Waste Environmental LP (“Petro Waste”) discussed below, primarily related to our Solid Waste business. Total consideration, net of cash acquired, for all acquisitions was $515 million, which included $501 million in cash paid and other consideration of $14 million, primarily purchase price holdbacks. In 2019, we paid $6 million of contingent consideration, of which $4 million was related to acquisitions completed prior to 2019. In addition, we paid $20 million of holdbacks, of which $9 million related to 2019 acquisitions. Contingent consideration obligations are primarily based on achievement by the acquired businesses of certain negotiated goals, which generally include targeted financial metrics.</w:t>
      </w:r>
    </w:p>
    <w:p>
      <w:pPr>
        <w:spacing w:after="0" w:line="17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Total consideration for our 2019 acquisitions was primarily allocated to $350 million of property and equipment, $53 million of other intangible assets and $111 million of goodwill. Other intangible assets included $38 million of customer relationships and $15 million of covenants not-to-compete. The goodwill was primarily a result of expected synergies from combining the acquired businesses with our existing operations and was tax deductible.</w:t>
      </w:r>
    </w:p>
    <w:p>
      <w:pPr>
        <w:spacing w:after="0" w:line="17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Petro Waste </w:t>
      </w:r>
      <w:r>
        <w:rPr>
          <w:rFonts w:ascii="Arial" w:cs="Arial" w:eastAsia="Arial" w:hAnsi="Arial"/>
          <w:sz w:val="17"/>
          <w:szCs w:val="17"/>
          <w:color w:val="auto"/>
        </w:rPr>
        <w:t>— On March 8, 2019, Waste Management Energy Services Holdings, LLC, an indirect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WMI, acquired Petro Waste. The acquired business provides comprehensive oilfield environmental services and solid waste disposal facilities in the Permian Basin and the Eagle Ford Shale. The acquisition expanded our offerings and enhanced the quality of solid waste disposal services for oil and gas exploration and production operations in Texas. Our purchase price was primarily allocated to seven landfills, which are included in our property and equipment. The acquisition was funded using commercial paper borrowings, and the acquisition accounting for this transaction was finalized in 2019. The operating results of the acquired business did not have a material impact to our consolidated financial statements for the periods presented herein. Given the significant change in energy market dynamics subsequent to the acquisition, we saw a decline in the fair value of certain of these assets and recognized an impairment during 2020, as discussed further in Note 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2021, 2020 and 2019, the aggregate sales price for divestitures of certain landfill assets, as well as hauling and ancillary operations, was $48 million, $856 million and $8 million, and we recognized net gains of $44 million, net gains of $33 million and net losses of less than $1 million, respectively. In 2021, divestitures primarily related to the sale of certain non-strategic Canadian operations, as discussed in Note 11. In 2020, divestitures primarily consisted of assets required to be sold by the U.S. Department of Justice in connection with our acquisition of Advanced Disposal, as discussed above. In 2019, divestitures were part of our continuous focus on improving or divesting certain non-strategic or underperforming operations. The remaining amounts reported in the Consolidated Statements of Cash Flows generally relate to the sale of fixed assets.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$178 million and $228 million as of December 31, 2021 and 2020, respectively. The debt balance related to our investments in low-income housing properties was $156 million and $210 million as of December 31, 2021 and 2020, respectively.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$110 million and $106 million as of December 31, 2021 and 2020,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trust and escrow accounts in our Consolidated Balance Sheets. Unrealized gains and losses on available-for-sale securities held by these trusts are recorded as a component of accumulated other comprehensive income (loss). These trusts had a fair value of $117 million and $114 million as of December 31, 2021 and 2020,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Segment and Related Information</w:t>
      </w:r>
    </w:p>
    <w:p>
      <w:pPr>
        <w:spacing w:after="0" w:line="229"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w:t>
      </w:r>
    </w:p>
    <w:p>
      <w:pPr>
        <w:sectPr>
          <w:pgSz w:w="11900" w:h="16838" w:orient="portrait"/>
          <w:cols w:equalWidth="0" w:num="1">
            <w:col w:w="9019"/>
          </w:cols>
          <w:pgMar w:left="1440" w:top="611"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This did not result in a change in our reporting units for purposes of evaluating our goodwill. Reclassifications have been made to our prior period consolidated financial information to conform to the current year presentation.</w:t>
      </w:r>
    </w:p>
    <w:p>
      <w:pPr>
        <w:spacing w:after="0" w:line="18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December 31 and for the year then ended is shown in the following table (in millions):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3"/>
              </w:rPr>
              <w:t>Intercompany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31"/>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from</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Expenditures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Years Ended December 31:</w:t>
            </w:r>
          </w:p>
        </w:tc>
        <w:tc>
          <w:tcPr>
            <w:tcW w:w="2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Revenues(d)</w:t>
            </w: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Operations(e)</w:t>
            </w: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(g)(h)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East Tier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West Tier</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(b)</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and Other (c)</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21,693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17,931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East Tier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West Tier</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(b)</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18,478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and Other (c)</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18,478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East Tier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West Tier</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(b)</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and Other (c)</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18,704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342" w:lineRule="auto"/>
        <w:tabs>
          <w:tab w:leader="none" w:pos="3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Income from operations provided by our Solid Waste business is generally indicative of the margins provided by our collection, landfill, transfer and recycling lines of business. From time to time, the operating results of our reportable</w:t>
      </w:r>
    </w:p>
    <w:p>
      <w:pPr>
        <w:sectPr>
          <w:pgSz w:w="11900" w:h="16838" w:orient="portrait"/>
          <w:cols w:equalWidth="0" w:num="1">
            <w:col w:w="9019"/>
          </w:cols>
          <w:pgMar w:left="1440" w:top="611"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segments are significantly affected by certain transactions or events that management believes are not indicative or representative of our results.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Income from operations in our Solid Waste business increased for 2021, as compared with 2020, primarily due to</w:t>
      </w:r>
    </w:p>
    <w:p>
      <w:pPr>
        <w:spacing w:after="0" w:line="35" w:lineRule="exact"/>
        <w:rPr>
          <w:sz w:val="20"/>
          <w:szCs w:val="20"/>
          <w:color w:val="auto"/>
        </w:rPr>
      </w:pPr>
    </w:p>
    <w:p>
      <w:pPr>
        <w:jc w:val="both"/>
        <w:ind w:left="380" w:right="59" w:hanging="6"/>
        <w:spacing w:after="0" w:line="281" w:lineRule="auto"/>
        <w:tabs>
          <w:tab w:leader="none" w:pos="641"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revenue growth in our collection and disposal businesses driven by both yield and volume, as well as the acquisition of Advanced Disposal; (ii) improved profitability in our recycling business from higher market prices for recycling commodities and improved costs at facilities where we have made investments in enhanced technology and equipment and (iii) changes from divestitures, asset impairments and unusual items as discussed further in Note 11. These increases were partially offset by (i) labor cost pressure from frontline employee wage adjustments, increased turnover driving up training costs and higher overtime due to driver shortages and volume growth; (ii) increased landfill amortization from higher volumes and revisions in landfill estimates, including the anticipated timing of capping, closure and post-closure activities at certain landfills and adjustments in 2020 to the inflation rate used to</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estimate  capping,  closure,  and  post-closure  asset  retirement  obligations  that  benefitted  costs  in  2020  and</w:t>
      </w:r>
    </w:p>
    <w:p>
      <w:pPr>
        <w:spacing w:after="0" w:line="21" w:lineRule="exact"/>
        <w:rPr>
          <w:sz w:val="20"/>
          <w:szCs w:val="20"/>
          <w:color w:val="auto"/>
        </w:rPr>
      </w:pPr>
    </w:p>
    <w:p>
      <w:pPr>
        <w:ind w:left="380" w:right="59" w:hanging="6"/>
        <w:spacing w:after="0" w:line="260" w:lineRule="auto"/>
        <w:tabs>
          <w:tab w:leader="none" w:pos="7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inflationary cost pressures. During 2021, the positive earnings contributions from Advanced Disposal were offset by elevated depreciation and amortization of acquired assets.</w:t>
      </w:r>
    </w:p>
    <w:p>
      <w:pPr>
        <w:spacing w:after="0" w:line="185" w:lineRule="exact"/>
        <w:rPr>
          <w:sz w:val="20"/>
          <w:szCs w:val="20"/>
          <w:color w:val="auto"/>
        </w:rPr>
      </w:pPr>
    </w:p>
    <w:p>
      <w:pPr>
        <w:jc w:val="both"/>
        <w:ind w:left="380" w:right="59"/>
        <w:spacing w:after="0" w:line="272" w:lineRule="auto"/>
        <w:rPr>
          <w:sz w:val="20"/>
          <w:szCs w:val="20"/>
          <w:color w:val="auto"/>
        </w:rPr>
      </w:pPr>
      <w:r>
        <w:rPr>
          <w:rFonts w:ascii="Arial" w:cs="Arial" w:eastAsia="Arial" w:hAnsi="Arial"/>
          <w:sz w:val="17"/>
          <w:szCs w:val="17"/>
          <w:color w:val="auto"/>
        </w:rPr>
        <w:t>Income from operations for 2020 decreased, as compared with 2019, for the Solid Waste business due to the overall negative impact of the COVID-19 pandemic resulting in revenue declines from lower volumes and higher depreciation expense which was primarily related to investments in capital assets, including our fleet and facilities. The declines were partially offset by (i) higher yield in our collection and disposal businesses; (ii) the benefit of resumed fees and price increases; (iii) lower operating costs directly related to our proactive steps taken to manage our variable costs in the lower volume environment and (iv) a net divestiture gain of $33 million associated with the sale of net assets to GFL Environmental, primarily within our West Tier segment.</w:t>
      </w:r>
    </w:p>
    <w:p>
      <w:pPr>
        <w:spacing w:after="0" w:line="177" w:lineRule="exact"/>
        <w:rPr>
          <w:sz w:val="20"/>
          <w:szCs w:val="20"/>
          <w:color w:val="auto"/>
        </w:rPr>
      </w:pPr>
    </w:p>
    <w:p>
      <w:pPr>
        <w:jc w:val="both"/>
        <w:ind w:left="380" w:right="59"/>
        <w:spacing w:after="0" w:line="255" w:lineRule="auto"/>
        <w:rPr>
          <w:sz w:val="20"/>
          <w:szCs w:val="20"/>
          <w:color w:val="auto"/>
        </w:rPr>
      </w:pPr>
      <w:r>
        <w:rPr>
          <w:rFonts w:ascii="Arial" w:cs="Arial" w:eastAsia="Arial" w:hAnsi="Arial"/>
          <w:sz w:val="18"/>
          <w:szCs w:val="18"/>
          <w:color w:val="auto"/>
        </w:rPr>
        <w:t>Additionally, income from operations for our West Tier segment was impacted by $41 million of non-cash asset impairment charges primarily related to two landfills and an oil field waste injection facility. Income from operations for our East Tier segment was impacted by a $20 million non-cash impairment charge related to management’s decision to close a landfill once its constructed airspace is filled and abandon any remaining permitted airspace. Furthermore, in 2019, our West Tier segment benefited from the clean-up efforts of natural disasters primarily in California and similar efforts did not recur in 2020.</w:t>
      </w:r>
    </w:p>
    <w:p>
      <w:pPr>
        <w:spacing w:after="0" w:line="192" w:lineRule="exact"/>
        <w:rPr>
          <w:sz w:val="20"/>
          <w:szCs w:val="20"/>
          <w:color w:val="auto"/>
        </w:rPr>
      </w:pPr>
    </w:p>
    <w:p>
      <w:pPr>
        <w:jc w:val="both"/>
        <w:ind w:left="380" w:right="79" w:hanging="330"/>
        <w:spacing w:after="0" w:line="293" w:lineRule="auto"/>
        <w:tabs>
          <w:tab w:leader="none" w:pos="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“Other” includes (i) elements of our WMSBS business; (ii) elements of our landfill gas-to-energy operations managed by our WM Renewable Energy business and not included in the operations of our reportable segments; (iii) elements of our third-party subcontract and administration revenues managed by our EES business and not included in the operations of our reportable segments; (iv) our recycling brokerage services and (v)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42" w:lineRule="exact"/>
        <w:rPr>
          <w:rFonts w:ascii="Arial" w:cs="Arial" w:eastAsia="Arial" w:hAnsi="Arial"/>
          <w:sz w:val="16"/>
          <w:szCs w:val="16"/>
          <w:color w:val="auto"/>
        </w:rPr>
      </w:pPr>
    </w:p>
    <w:p>
      <w:pPr>
        <w:ind w:left="380" w:right="79"/>
        <w:spacing w:after="0" w:line="277" w:lineRule="auto"/>
        <w:rPr>
          <w:rFonts w:ascii="Arial" w:cs="Arial" w:eastAsia="Arial" w:hAnsi="Arial"/>
          <w:sz w:val="16"/>
          <w:szCs w:val="16"/>
          <w:color w:val="auto"/>
        </w:rPr>
      </w:pPr>
      <w:r>
        <w:rPr>
          <w:rFonts w:ascii="Arial" w:cs="Arial" w:eastAsia="Arial" w:hAnsi="Arial"/>
          <w:sz w:val="18"/>
          <w:szCs w:val="18"/>
          <w:color w:val="auto"/>
        </w:rPr>
        <w:t>The increase in income from operations for 2021, as compared with 2020, was primarily driven by increased market values for renewable energy credits generated by our WM Renewable Energy business.</w:t>
      </w:r>
    </w:p>
    <w:p>
      <w:pPr>
        <w:spacing w:after="0" w:line="48"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Income from operations for the Other segment for 2020, as compared with 2019, was favorably impacted primarily by</w:t>
      </w:r>
    </w:p>
    <w:p>
      <w:pPr>
        <w:spacing w:after="0" w:line="46" w:lineRule="exact"/>
        <w:rPr>
          <w:rFonts w:ascii="Arial" w:cs="Arial" w:eastAsia="Arial" w:hAnsi="Arial"/>
          <w:sz w:val="16"/>
          <w:szCs w:val="16"/>
          <w:color w:val="auto"/>
        </w:rPr>
      </w:pPr>
    </w:p>
    <w:p>
      <w:pPr>
        <w:jc w:val="both"/>
        <w:ind w:left="380" w:right="59"/>
        <w:spacing w:after="0" w:line="255" w:lineRule="auto"/>
        <w:rPr>
          <w:rFonts w:ascii="Arial" w:cs="Arial" w:eastAsia="Arial" w:hAnsi="Arial"/>
          <w:sz w:val="16"/>
          <w:szCs w:val="16"/>
          <w:color w:val="auto"/>
        </w:rPr>
      </w:pPr>
      <w:r>
        <w:rPr>
          <w:rFonts w:ascii="Arial" w:cs="Arial" w:eastAsia="Arial" w:hAnsi="Arial"/>
          <w:sz w:val="18"/>
          <w:szCs w:val="18"/>
          <w:color w:val="auto"/>
        </w:rPr>
        <w:t>(i) volume increases in our WM Renewable Energy business as a result of a new renewable energy facility coming online; (ii) our WMSBS business as a result of newly executed national account contracts and (iii) our recycling brokerage business.</w:t>
      </w:r>
    </w:p>
    <w:p>
      <w:pPr>
        <w:spacing w:after="0" w:line="54" w:lineRule="exact"/>
        <w:rPr>
          <w:rFonts w:ascii="Arial" w:cs="Arial" w:eastAsia="Arial" w:hAnsi="Arial"/>
          <w:sz w:val="16"/>
          <w:szCs w:val="16"/>
          <w:color w:val="auto"/>
        </w:rPr>
      </w:pPr>
    </w:p>
    <w:p>
      <w:pPr>
        <w:jc w:val="both"/>
        <w:ind w:left="380" w:right="79" w:hanging="330"/>
        <w:spacing w:after="0" w:line="257"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80" w:right="59"/>
        <w:spacing w:after="0" w:line="291" w:lineRule="auto"/>
        <w:rPr>
          <w:sz w:val="20"/>
          <w:szCs w:val="20"/>
          <w:color w:val="auto"/>
        </w:rPr>
      </w:pPr>
      <w:r>
        <w:rPr>
          <w:rFonts w:ascii="Arial" w:cs="Arial" w:eastAsia="Arial" w:hAnsi="Arial"/>
          <w:sz w:val="16"/>
          <w:szCs w:val="16"/>
          <w:color w:val="auto"/>
        </w:rPr>
        <w:t>These costs increased in 2021, as compared with 2020, due to (i) higher incentive compensation costs; (ii) increased labor, support and integration costs following our acquisition of Advanced Disposal; (iii) strategic investments in our digital platform; (iv) increased health and welfare costs attributable to medical care activity generally returning to pre-pandemic levels from the lower levels experienced during 2020 and (v) charges pertaining to reserves for certain loss contingencies during 2021. These increases were partially offset by lower consulting, advisory and legal fees following the completion of our acquisition of Advanced Disposal in 2020 and changes in the measurement of our environmental remediation obligations and recovery assets in both 2020 and 2021.</w:t>
      </w:r>
    </w:p>
    <w:p>
      <w:pPr>
        <w:spacing w:after="0" w:line="45" w:lineRule="exact"/>
        <w:rPr>
          <w:sz w:val="20"/>
          <w:szCs w:val="20"/>
          <w:color w:val="auto"/>
        </w:rPr>
      </w:pPr>
    </w:p>
    <w:p>
      <w:pPr>
        <w:jc w:val="both"/>
        <w:ind w:left="380" w:right="59"/>
        <w:spacing w:after="0" w:line="291" w:lineRule="auto"/>
        <w:rPr>
          <w:sz w:val="20"/>
          <w:szCs w:val="20"/>
          <w:color w:val="auto"/>
        </w:rPr>
      </w:pPr>
      <w:r>
        <w:rPr>
          <w:rFonts w:ascii="Arial" w:cs="Arial" w:eastAsia="Arial" w:hAnsi="Arial"/>
          <w:sz w:val="16"/>
          <w:szCs w:val="16"/>
          <w:color w:val="auto"/>
        </w:rPr>
        <w:t>The costs increased in 2020, as compared with 2019, due to (i) higher consulting, advisory and legal fees associated with our acquisition and integration of Advanced Disposal; (ii) strategic investments in our digital platform;</w:t>
      </w:r>
    </w:p>
    <w:p>
      <w:pPr>
        <w:jc w:val="both"/>
        <w:ind w:left="380" w:right="59" w:hanging="6"/>
        <w:spacing w:after="0" w:line="255" w:lineRule="auto"/>
        <w:tabs>
          <w:tab w:leader="none" w:pos="724"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incremental costs associated with the COVID-19 pandemic and (iv) higher long-term incentive compensation costs. These increased expenses were offset, in part, by (i) lower annual incentive compensation costs and (ii) lower litigation reserves.</w:t>
      </w:r>
    </w:p>
    <w:p>
      <w:pPr>
        <w:spacing w:after="0" w:line="68"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48" w:lineRule="exact"/>
        <w:rPr>
          <w:rFonts w:ascii="Arial" w:cs="Arial" w:eastAsia="Arial" w:hAnsi="Arial"/>
          <w:sz w:val="18"/>
          <w:szCs w:val="18"/>
          <w:color w:val="auto"/>
        </w:rPr>
      </w:pPr>
    </w:p>
    <w:p>
      <w:pPr>
        <w:jc w:val="both"/>
        <w:ind w:left="380" w:right="79" w:hanging="330"/>
        <w:spacing w:after="0" w:line="259"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2. 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65"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may include amounts that have been accrued but not yet paid.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as of December 31 is as follows (in millions):</w:t>
      </w:r>
    </w:p>
    <w:p>
      <w:pPr>
        <w:spacing w:after="0" w:line="4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reported above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$ 29,392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$ 29,649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$ 28,010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per Consolidated Balance Sheet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$ 29,097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$ 27,743</w:t>
            </w:r>
          </w:p>
        </w:tc>
      </w:tr>
      <w:tr>
        <w:trPr>
          <w:trHeight w:val="20"/>
        </w:trPr>
        <w:tc>
          <w:tcPr>
            <w:tcW w:w="4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380" w:right="59" w:hanging="330"/>
        <w:spacing w:after="0" w:line="259" w:lineRule="auto"/>
        <w:tabs>
          <w:tab w:leader="none" w:pos="4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Goodwill is included within each segment’s total assets. For segment reporting purposes, our material recovery facilities are included as a component of their respective Tiers and our recycling brokerage services are included as part of our “Other” operations. The following table presents changes in goodwill during the reported periods by segment (in millions):</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Solid Waste</w:t>
            </w: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East Tier</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West Tier</w:t>
            </w:r>
          </w:p>
        </w:tc>
        <w:tc>
          <w:tcPr>
            <w:tcW w:w="1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$ 2,846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$ 6,532</w:t>
            </w:r>
          </w:p>
        </w:tc>
        <w:tc>
          <w:tcPr>
            <w:tcW w:w="0" w:type="dxa"/>
            <w:vAlign w:val="bottom"/>
          </w:tcPr>
          <w:p>
            <w:pPr>
              <w:spacing w:after="0"/>
              <w:rPr>
                <w:sz w:val="1"/>
                <w:szCs w:val="1"/>
                <w:color w:val="auto"/>
              </w:rPr>
            </w:pPr>
          </w:p>
        </w:tc>
      </w:tr>
      <w:tr>
        <w:trPr>
          <w:trHeight w:val="216"/>
        </w:trPr>
        <w:tc>
          <w:tcPr>
            <w:tcW w:w="4580" w:type="dxa"/>
            <w:vAlign w:val="bottom"/>
            <w:gridSpan w:val="2"/>
          </w:tcPr>
          <w:p>
            <w:pPr>
              <w:ind w:left="100"/>
              <w:spacing w:after="0"/>
              <w:rPr>
                <w:sz w:val="20"/>
                <w:szCs w:val="20"/>
                <w:color w:val="auto"/>
              </w:rPr>
            </w:pPr>
            <w:r>
              <w:rPr>
                <w:rFonts w:ascii="Arial" w:cs="Arial" w:eastAsia="Arial" w:hAnsi="Arial"/>
                <w:sz w:val="18"/>
                <w:szCs w:val="18"/>
                <w:color w:val="auto"/>
              </w:rPr>
              <w:t>Acquired goodwill</w:t>
            </w:r>
          </w:p>
        </w:tc>
        <w:tc>
          <w:tcPr>
            <w:tcW w:w="600" w:type="dxa"/>
            <w:vAlign w:val="bottom"/>
          </w:tcPr>
          <w:p>
            <w:pPr>
              <w:jc w:val="right"/>
              <w:spacing w:after="0"/>
              <w:rPr>
                <w:sz w:val="20"/>
                <w:szCs w:val="20"/>
                <w:color w:val="auto"/>
              </w:rPr>
            </w:pPr>
            <w:r>
              <w:rPr>
                <w:rFonts w:ascii="Arial" w:cs="Arial" w:eastAsia="Arial" w:hAnsi="Arial"/>
                <w:sz w:val="18"/>
                <w:szCs w:val="18"/>
                <w:color w:val="auto"/>
              </w:rPr>
              <w:t>1,479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Divested goodwill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80" w:type="dxa"/>
            <w:vAlign w:val="bottom"/>
            <w:gridSpan w:val="2"/>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$ 5,101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$ 8,994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100"/>
              <w:spacing w:after="0"/>
              <w:rPr>
                <w:sz w:val="20"/>
                <w:szCs w:val="20"/>
                <w:color w:val="auto"/>
              </w:rPr>
            </w:pPr>
            <w:r>
              <w:rPr>
                <w:rFonts w:ascii="Arial" w:cs="Arial" w:eastAsia="Arial" w:hAnsi="Arial"/>
                <w:sz w:val="18"/>
                <w:szCs w:val="18"/>
                <w:color w:val="auto"/>
              </w:rPr>
              <w:t>Acquired goodwill (a)</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Divested goodwill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580" w:type="dxa"/>
            <w:vAlign w:val="bottom"/>
            <w:gridSpan w:val="2"/>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$ 9,028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left="4360" w:right="439" w:hanging="3986"/>
        <w:spacing w:after="0" w:line="778" w:lineRule="auto"/>
        <w:tabs>
          <w:tab w:leader="none" w:pos="6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$26 million of post-closing acquisition adjustments related to our acquisition of Advanced Disposal.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year ended December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r>
      <w:tr>
        <w:trPr>
          <w:trHeight w:val="21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2,613</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10"/>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10,240</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3,846</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(3,762)</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(3,260)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(3,249)</w:t>
            </w:r>
          </w:p>
        </w:tc>
      </w:tr>
      <w:tr>
        <w:trPr>
          <w:trHeight w:val="209"/>
        </w:trPr>
        <w:tc>
          <w:tcPr>
            <w:tcW w:w="64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15,455</w:t>
            </w:r>
          </w:p>
        </w:tc>
      </w:tr>
      <w:tr>
        <w:trPr>
          <w:trHeight w:val="20"/>
        </w:trPr>
        <w:tc>
          <w:tcPr>
            <w:tcW w:w="2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our landfill gas-to-energy operations managed by our WM Renewable Energy business;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2020 operating results were negatively impacted by COVID-19, as volume declines began in March 2020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 Throughout 2021, our volumes recovered from the sharp decline experienced in 2020, with minimal impact from the resurgence in transmission of COVID-19 associated with recent virus variants, as communities and businesses remained open. However, the potential for future resurgence in transmission of COVID-19 and related business closures, due to virus variants or other pandemic conditions, could adversely impact our volumes and costs in the future.</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 driven special projects can boost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revenues through additional work for a limited time, due to significant start-up costs and other factors, such revenue can generate earnings at comparatively lower margins.</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Net operating revenues relating to operations in the U.S. and Canada for the year ended December 31 are as follows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14,701</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09"/>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17,931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15,455</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and equipment, net of accumulated depreciation and amortization, relating to operations in the U.S.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Canada for the year ended December 31 are as follows (in millions):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6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$ 13,428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11,941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Canada</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09"/>
        </w:trPr>
        <w:tc>
          <w:tcPr>
            <w:tcW w:w="3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$ 14,419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12,893</w:t>
            </w: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2021 (the end of the period covered by this Annual Report on Form 10-K) at a reasonable assurance level.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78" w:lineRule="exact"/>
        <w:rPr>
          <w:sz w:val="20"/>
          <w:szCs w:val="20"/>
          <w:color w:val="auto"/>
        </w:rPr>
      </w:pPr>
    </w:p>
    <w:p>
      <w:pPr>
        <w:ind w:left="720" w:right="79" w:hanging="319"/>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2021 that materially affected, or are reasonably likely to materially affect, our internal control over financial reporting.</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entitled “Board of Directors” and “Executive Officers” in the Company’s definitive Proxy Statement for its 2022 Annual Meeting of Stockholders (the “Proxy Statement”), to be held May 10, 2022. The Proxy Statement will be filed with the SEC within 120 days of the end of our fiscal year.</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in the section “ESG — Corporate Governance” on the “Investors” page.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and “— Executive Compensation Tables” in the Proxy Statement.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(1) Consolidated Financial Statements:</w:t>
      </w:r>
    </w:p>
    <w:p>
      <w:pPr>
        <w:spacing w:after="0" w:line="225" w:lineRule="exact"/>
        <w:rPr>
          <w:sz w:val="20"/>
          <w:szCs w:val="20"/>
          <w:color w:val="auto"/>
        </w:rPr>
      </w:pPr>
    </w:p>
    <w:p>
      <w:pPr>
        <w:ind w:left="380" w:right="3999"/>
        <w:spacing w:after="0" w:line="310" w:lineRule="auto"/>
        <w:rPr>
          <w:sz w:val="20"/>
          <w:szCs w:val="20"/>
          <w:color w:val="auto"/>
        </w:rPr>
      </w:pPr>
      <w:r>
        <w:rPr>
          <w:rFonts w:ascii="Arial" w:cs="Arial" w:eastAsia="Arial" w:hAnsi="Arial"/>
          <w:sz w:val="15"/>
          <w:szCs w:val="15"/>
          <w:color w:val="auto"/>
        </w:rPr>
        <w:t>Reports of Independent Registered Public Accounting Firm Consolidated Balance Sheets as of December 31, 2021 and 2020</w:t>
      </w:r>
    </w:p>
    <w:p>
      <w:pPr>
        <w:spacing w:after="0" w:line="1" w:lineRule="exact"/>
        <w:rPr>
          <w:sz w:val="20"/>
          <w:szCs w:val="20"/>
          <w:color w:val="auto"/>
        </w:rPr>
      </w:pPr>
    </w:p>
    <w:p>
      <w:pPr>
        <w:ind w:left="380" w:right="879"/>
        <w:spacing w:after="0" w:line="253" w:lineRule="auto"/>
        <w:rPr>
          <w:sz w:val="20"/>
          <w:szCs w:val="20"/>
          <w:color w:val="auto"/>
        </w:rPr>
      </w:pPr>
      <w:r>
        <w:rPr>
          <w:rFonts w:ascii="Arial" w:cs="Arial" w:eastAsia="Arial" w:hAnsi="Arial"/>
          <w:sz w:val="18"/>
          <w:szCs w:val="18"/>
          <w:color w:val="auto"/>
        </w:rPr>
        <w:t>Consolidated Statements of Operations for the years ended December 31, 2021, 2020 and 2019 Consolidated Statements of Comprehensive Income for the years ended December 31, 2021, 2020 and 2019 Consolidated Statements of Cash Flows for the years ended December 31, 2021, 2020 and 2019 Consolidated Statements of Changes in Equity for the years ended December 31, 2021, 2020 and 2019 Notes to Consolidated Financial Statements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(2) Consolidated Financial Statement Schedules: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All schedules have been omitted because the required information is not significant or is included in the financial statements or notes thereto, or is not applicable.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(3) Exhibits:</w:t>
      </w:r>
    </w:p>
    <w:p>
      <w:pPr>
        <w:spacing w:after="0" w:line="217" w:lineRule="exact"/>
        <w:rPr>
          <w:sz w:val="20"/>
          <w:szCs w:val="20"/>
          <w:color w:val="auto"/>
        </w:rPr>
      </w:pPr>
    </w:p>
    <w:p>
      <w:pPr>
        <w:ind w:left="60"/>
        <w:spacing w:after="0"/>
        <w:tabs>
          <w:tab w:leader="none" w:pos="47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6350</wp:posOffset>
            </wp:positionV>
            <wp:extent cx="4869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ind w:left="960" w:right="479" w:hanging="1227"/>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Third Restated Certificate of Incorporation of Waste Management, Inc. [incorporated by reference to</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Exhibit 3.1 to Form 10-Q for the quarter ended June 30, 2010].</w:t>
        </w:r>
      </w:hyperlink>
    </w:p>
    <w:p>
      <w:pPr>
        <w:spacing w:after="0" w:line="1" w:lineRule="exact"/>
        <w:rPr>
          <w:sz w:val="20"/>
          <w:szCs w:val="20"/>
          <w:color w:val="auto"/>
        </w:rPr>
      </w:pPr>
    </w:p>
    <w:p>
      <w:pPr>
        <w:ind w:left="960" w:right="2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Amended and Restated By-laws of Waste Management, Inc. [incorporated by reference to Exhibit 3.2 to</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Form 8-K dated November 17, 2020].</w:t>
        </w:r>
      </w:hyperlink>
    </w:p>
    <w:p>
      <w:pPr>
        <w:spacing w:after="0" w:line="1" w:lineRule="exact"/>
        <w:rPr>
          <w:sz w:val="20"/>
          <w:szCs w:val="20"/>
          <w:color w:val="auto"/>
        </w:rPr>
      </w:pPr>
    </w:p>
    <w:p>
      <w:pPr>
        <w:ind w:left="960" w:right="3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Specimen Stock Certificate [incorporated by reference to Exhibit 4.1 to Form 10-K for the year ended</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December 31, 1998].</w:t>
        </w:r>
      </w:hyperlink>
    </w:p>
    <w:p>
      <w:pPr>
        <w:spacing w:after="0" w:line="1" w:lineRule="exact"/>
        <w:rPr>
          <w:sz w:val="20"/>
          <w:szCs w:val="20"/>
          <w:color w:val="auto"/>
        </w:rPr>
      </w:pPr>
    </w:p>
    <w:p>
      <w:pPr>
        <w:ind w:left="960" w:right="67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xml:space="preserve">— </w:t>
      </w:r>
      <w:hyperlink r:id="rId140">
        <w:r>
          <w:rPr>
            <w:rFonts w:ascii="Arial" w:cs="Arial" w:eastAsia="Arial" w:hAnsi="Arial"/>
            <w:sz w:val="17"/>
            <w:szCs w:val="17"/>
            <w:u w:val="single" w:color="auto"/>
            <w:color w:val="0000EE"/>
          </w:rPr>
          <w:t>Third Restated Certificate of Incorporation of Waste Management Holdings, Inc. [incorporated by</w:t>
        </w:r>
      </w:hyperlink>
      <w:r>
        <w:rPr>
          <w:rFonts w:ascii="Arial" w:cs="Arial" w:eastAsia="Arial" w:hAnsi="Arial"/>
          <w:sz w:val="17"/>
          <w:szCs w:val="17"/>
          <w:color w:val="auto"/>
        </w:rPr>
        <w:t xml:space="preserve"> </w:t>
      </w:r>
      <w:hyperlink r:id="rId140">
        <w:r>
          <w:rPr>
            <w:rFonts w:ascii="Arial" w:cs="Arial" w:eastAsia="Arial" w:hAnsi="Arial"/>
            <w:sz w:val="17"/>
            <w:szCs w:val="17"/>
            <w:u w:val="single" w:color="auto"/>
            <w:color w:val="0000EE"/>
          </w:rPr>
          <w:t>reference to Exhibit 4.2 to Form 10-K for the year ended December 31, 2014].</w:t>
        </w:r>
      </w:hyperlink>
    </w:p>
    <w:p>
      <w:pPr>
        <w:ind w:left="960" w:right="55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Amended and Restated By-laws of Waste Management Holdings, Inc. [incorporated by reference to</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Exhibit 4.3 to Form 10-Q for the quarter ended June 30, 2014].</w:t>
        </w:r>
      </w:hyperlink>
    </w:p>
    <w:p>
      <w:pPr>
        <w:spacing w:after="0" w:line="1" w:lineRule="exact"/>
        <w:rPr>
          <w:sz w:val="20"/>
          <w:szCs w:val="20"/>
          <w:color w:val="auto"/>
        </w:rPr>
      </w:pPr>
    </w:p>
    <w:p>
      <w:pPr>
        <w:ind w:left="960" w:right="23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 xml:space="preserve">— </w:t>
      </w:r>
      <w:hyperlink r:id="rId142">
        <w:r>
          <w:rPr>
            <w:rFonts w:ascii="Arial" w:cs="Arial" w:eastAsia="Arial" w:hAnsi="Arial"/>
            <w:sz w:val="16"/>
            <w:szCs w:val="16"/>
            <w:u w:val="single" w:color="auto"/>
            <w:color w:val="0000EE"/>
          </w:rPr>
          <w:t>Indenture for Subordinated Debt Securities dated February 3, 1997, among the Registrant and The Bank</w:t>
        </w:r>
      </w:hyperlink>
      <w:r>
        <w:rPr>
          <w:rFonts w:ascii="Arial" w:cs="Arial" w:eastAsia="Arial" w:hAnsi="Arial"/>
          <w:sz w:val="16"/>
          <w:szCs w:val="16"/>
          <w:color w:val="auto"/>
        </w:rPr>
        <w:t xml:space="preserve"> </w:t>
      </w:r>
      <w:hyperlink r:id="rId142">
        <w:r>
          <w:rPr>
            <w:rFonts w:ascii="Arial" w:cs="Arial" w:eastAsia="Arial" w:hAnsi="Arial"/>
            <w:sz w:val="16"/>
            <w:szCs w:val="16"/>
            <w:u w:val="single" w:color="auto"/>
            <w:color w:val="0000EE"/>
          </w:rPr>
          <w:t>of New York Mellon Trust Company, N.A. (the current successor to Texas Commerce Bank National</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Association), as trustee [incorporated by reference to Exhibit 4.1 to Form 8-K dated February 7, 1997].</w:t>
        </w:r>
      </w:hyperlink>
    </w:p>
    <w:p>
      <w:pPr>
        <w:spacing w:after="0" w:line="2" w:lineRule="exact"/>
        <w:rPr>
          <w:rFonts w:ascii="Arial" w:cs="Arial" w:eastAsia="Arial" w:hAnsi="Arial"/>
          <w:sz w:val="16"/>
          <w:szCs w:val="16"/>
          <w:color w:val="auto"/>
        </w:rPr>
      </w:pPr>
    </w:p>
    <w:p>
      <w:pPr>
        <w:ind w:left="960" w:right="9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EE"/>
          </w:rPr>
          <w:t>Indenture for Senior Debt Securities dated September 10, 1997, among the Registrant and The Bank of</w:t>
        </w:r>
      </w:hyperlink>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EE"/>
          </w:rPr>
          <w:t>New York Mellon Trust Company, N.A. (the current successor to Texas Commerce Bank National</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Association), as trustee [incorporated by reference to Exhibit 4.1 to Form 8-K dated September 10, 1997].</w:t>
        </w:r>
      </w:hyperlink>
    </w:p>
    <w:p>
      <w:pPr>
        <w:ind w:left="960" w:right="41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Description of Waste Management, Inc.’s Common Stock [incorporated by reference to Exhibit 4.9 to</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Form 10-K for the year ended December 31, 2019].</w:t>
        </w:r>
      </w:hyperlink>
    </w:p>
    <w:p>
      <w:pPr>
        <w:spacing w:after="0" w:line="1" w:lineRule="exact"/>
        <w:rPr>
          <w:sz w:val="20"/>
          <w:szCs w:val="20"/>
          <w:color w:val="auto"/>
        </w:rPr>
      </w:pPr>
    </w:p>
    <w:p>
      <w:pPr>
        <w:ind w:left="960" w:right="11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 </w:t>
      </w:r>
      <w:hyperlink w:anchor="page133">
        <w:r>
          <w:rPr>
            <w:rFonts w:ascii="Arial" w:cs="Arial" w:eastAsia="Arial" w:hAnsi="Arial"/>
            <w:sz w:val="16"/>
            <w:szCs w:val="16"/>
            <w:u w:val="single" w:color="auto"/>
            <w:color w:val="0000EE"/>
          </w:rPr>
          <w:t>Schedule of Officers’ Certificates delivered pursuant to Section 301 of the Indenture dated September 10,</w:t>
        </w:r>
      </w:hyperlink>
      <w:r>
        <w:rPr>
          <w:rFonts w:ascii="Arial" w:cs="Arial" w:eastAsia="Arial" w:hAnsi="Arial"/>
          <w:sz w:val="16"/>
          <w:szCs w:val="16"/>
          <w:color w:val="auto"/>
        </w:rPr>
        <w:t xml:space="preserve"> </w:t>
      </w:r>
      <w:hyperlink w:anchor="page133">
        <w:r>
          <w:rPr>
            <w:rFonts w:ascii="Arial" w:cs="Arial" w:eastAsia="Arial" w:hAnsi="Arial"/>
            <w:sz w:val="16"/>
            <w:szCs w:val="16"/>
            <w:u w:val="single" w:color="auto"/>
            <w:color w:val="0000EE"/>
          </w:rPr>
          <w:t>1997 establishing the terms and form of Waste Management, Inc.’s Senior Notes. Waste Management and</w:t>
        </w:r>
      </w:hyperlink>
      <w:r>
        <w:rPr>
          <w:rFonts w:ascii="Arial" w:cs="Arial" w:eastAsia="Arial" w:hAnsi="Arial"/>
          <w:sz w:val="16"/>
          <w:szCs w:val="16"/>
          <w:u w:val="single" w:color="auto"/>
          <w:color w:val="0000EE"/>
        </w:rPr>
        <w:t xml:space="preserve"> </w:t>
      </w:r>
      <w:hyperlink w:anchor="page133">
        <w:r>
          <w:rPr>
            <w:rFonts w:ascii="Arial" w:cs="Arial" w:eastAsia="Arial" w:hAnsi="Arial"/>
            <w:sz w:val="16"/>
            <w:szCs w:val="16"/>
            <w:u w:val="single" w:color="auto"/>
            <w:color w:val="0000EE"/>
          </w:rPr>
          <w:t>its subsidiaries are parties to debt instruments that have not been filed with the SEC under which the total</w:t>
        </w:r>
      </w:hyperlink>
      <w:r>
        <w:rPr>
          <w:rFonts w:ascii="Arial" w:cs="Arial" w:eastAsia="Arial" w:hAnsi="Arial"/>
          <w:sz w:val="16"/>
          <w:szCs w:val="16"/>
          <w:u w:val="single" w:color="auto"/>
          <w:color w:val="0000EE"/>
        </w:rPr>
        <w:t xml:space="preserve"> </w:t>
      </w:r>
      <w:hyperlink w:anchor="page133">
        <w:r>
          <w:rPr>
            <w:rFonts w:ascii="Arial" w:cs="Arial" w:eastAsia="Arial" w:hAnsi="Arial"/>
            <w:sz w:val="16"/>
            <w:szCs w:val="16"/>
            <w:u w:val="single" w:color="auto"/>
            <w:color w:val="0000EE"/>
          </w:rPr>
          <w:t>amount of securities authorized under any single instrument does not exceed 10% of the total assets of</w:t>
        </w:r>
      </w:hyperlink>
      <w:r>
        <w:rPr>
          <w:rFonts w:ascii="Arial" w:cs="Arial" w:eastAsia="Arial" w:hAnsi="Arial"/>
          <w:sz w:val="16"/>
          <w:szCs w:val="16"/>
          <w:u w:val="single" w:color="auto"/>
          <w:color w:val="0000EE"/>
        </w:rPr>
        <w:t xml:space="preserve"> </w:t>
      </w:r>
      <w:hyperlink w:anchor="page133">
        <w:r>
          <w:rPr>
            <w:rFonts w:ascii="Arial" w:cs="Arial" w:eastAsia="Arial" w:hAnsi="Arial"/>
            <w:sz w:val="16"/>
            <w:szCs w:val="16"/>
            <w:u w:val="single" w:color="auto"/>
            <w:color w:val="0000EE"/>
          </w:rPr>
          <w:t>Waste Management and its subsidiaries on a consolidated basis. Pursuant to paragraph 4(iii)(A) of</w:t>
        </w:r>
      </w:hyperlink>
    </w:p>
    <w:p>
      <w:pPr>
        <w:spacing w:after="0" w:line="3" w:lineRule="exact"/>
        <w:rPr>
          <w:rFonts w:ascii="Arial" w:cs="Arial" w:eastAsia="Arial" w:hAnsi="Arial"/>
          <w:sz w:val="16"/>
          <w:szCs w:val="16"/>
          <w:u w:val="single" w:color="auto"/>
          <w:color w:val="0000EE"/>
        </w:rPr>
      </w:pPr>
    </w:p>
    <w:p>
      <w:pPr>
        <w:ind w:left="1280" w:right="339"/>
        <w:spacing w:after="0" w:line="250" w:lineRule="auto"/>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601(b) of Regulation S-K, Waste Management agrees to furnish a copy of such instruments to the</w:t>
        </w:r>
      </w:hyperlink>
      <w:r>
        <w:rPr>
          <w:rFonts w:ascii="Arial" w:cs="Arial" w:eastAsia="Arial" w:hAnsi="Arial"/>
          <w:sz w:val="18"/>
          <w:szCs w:val="18"/>
          <w:u w:val="single" w:color="auto"/>
          <w:color w:val="0000EE"/>
        </w:rPr>
        <w:t xml:space="preserve"> </w:t>
      </w:r>
      <w:hyperlink w:anchor="page133">
        <w:r>
          <w:rPr>
            <w:rFonts w:ascii="Arial" w:cs="Arial" w:eastAsia="Arial" w:hAnsi="Arial"/>
            <w:sz w:val="18"/>
            <w:szCs w:val="18"/>
            <w:u w:val="single" w:color="auto"/>
            <w:color w:val="0000EE"/>
          </w:rPr>
          <w:t>SEC upon request.</w:t>
        </w:r>
      </w:hyperlink>
    </w:p>
    <w:p>
      <w:pPr>
        <w:spacing w:after="0" w:line="1" w:lineRule="exact"/>
        <w:rPr>
          <w:sz w:val="20"/>
          <w:szCs w:val="20"/>
          <w:color w:val="auto"/>
        </w:rPr>
      </w:pPr>
    </w:p>
    <w:p>
      <w:pPr>
        <w:ind w:left="960" w:right="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establishing the terms and form of the 2.00% Senior Notes due 2029 [incorporated by reference to Exhibit</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4.1 to Form 10-Q for the quarter ended June 30, 2021].</w:t>
        </w:r>
      </w:hyperlink>
    </w:p>
    <w:p>
      <w:pPr>
        <w:spacing w:after="0" w:line="1" w:lineRule="exact"/>
        <w:rPr>
          <w:rFonts w:ascii="Arial" w:cs="Arial" w:eastAsia="Arial" w:hAnsi="Arial"/>
          <w:sz w:val="18"/>
          <w:szCs w:val="18"/>
          <w:color w:val="auto"/>
        </w:rPr>
      </w:pPr>
    </w:p>
    <w:p>
      <w:pPr>
        <w:jc w:val="both"/>
        <w:ind w:left="960" w:right="299" w:hanging="1227"/>
        <w:spacing w:after="0" w:line="255"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Guarantee Agreement by Waste Management Holdings, Inc. in favor of The Bank of New York Mellon</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Trust Company, N.A., as Trustee for the holders of the 2.00% Senior Notes due 2029 [incorporated by</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reference to Exhibit 4.3 to Form 10-Q for the quarter ended June 30, 2021].</w:t>
        </w:r>
      </w:hyperlink>
    </w:p>
    <w:p>
      <w:pPr>
        <w:sectPr>
          <w:pgSz w:w="11900" w:h="16838" w:orient="portrait"/>
          <w:cols w:equalWidth="0" w:num="1">
            <w:col w:w="9019"/>
          </w:cols>
          <w:pgMar w:left="1440" w:top="611" w:right="1440" w:bottom="1440" w:gutter="0" w:footer="0" w:header="0"/>
        </w:sectPr>
      </w:pP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0" w:type="dxa"/>
            <w:vAlign w:val="bottom"/>
          </w:tcPr>
          <w:p>
            <w:pPr>
              <w:ind w:left="20"/>
              <w:spacing w:after="0"/>
              <w:rPr>
                <w:sz w:val="20"/>
                <w:szCs w:val="20"/>
                <w:color w:val="auto"/>
              </w:rPr>
            </w:pPr>
            <w:r>
              <w:rPr>
                <w:rFonts w:ascii="Arial" w:cs="Arial" w:eastAsia="Arial" w:hAnsi="Arial"/>
                <w:sz w:val="18"/>
                <w:szCs w:val="18"/>
                <w:color w:val="auto"/>
              </w:rPr>
              <w:t>10.1†</w:t>
            </w:r>
          </w:p>
        </w:tc>
        <w:tc>
          <w:tcPr>
            <w:tcW w:w="8160" w:type="dxa"/>
            <w:vAlign w:val="bottom"/>
            <w:gridSpan w:val="39"/>
          </w:tcPr>
          <w:p>
            <w:pPr>
              <w:ind w:left="1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8">
              <w:r>
                <w:rPr>
                  <w:rFonts w:ascii="Arial" w:cs="Arial" w:eastAsia="Arial" w:hAnsi="Arial"/>
                  <w:sz w:val="18"/>
                  <w:szCs w:val="18"/>
                  <w:color w:val="0000EE"/>
                  <w:w w:val="94"/>
                </w:rPr>
                <w:t>2014 Stock Incentive Plan [incorporated by reference to Exhibit 10.1 to Form 8-K dated May 13, 2014].</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8160" w:type="dxa"/>
            <w:vAlign w:val="bottom"/>
            <w:gridSpan w:val="39"/>
          </w:tcPr>
          <w:p>
            <w:pPr>
              <w:ind w:left="160"/>
              <w:spacing w:after="0" w:line="196"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49">
              <w:r>
                <w:rPr>
                  <w:rFonts w:ascii="Arial" w:cs="Arial" w:eastAsia="Arial" w:hAnsi="Arial"/>
                  <w:sz w:val="18"/>
                  <w:szCs w:val="18"/>
                  <w:color w:val="0000EE"/>
                  <w:w w:val="95"/>
                </w:rPr>
                <w:t>First Amendment to 2014 Stock Incentive Plan [incorporated by reference to Exhibit 10.2 to Form 8-K</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dated May 12, 2020].</w:t>
              </w:r>
            </w:hyperlink>
          </w:p>
        </w:tc>
        <w:tc>
          <w:tcPr>
            <w:tcW w:w="260" w:type="dxa"/>
            <w:vAlign w:val="bottom"/>
            <w:gridSpan w:val="11"/>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8160" w:type="dxa"/>
            <w:vAlign w:val="bottom"/>
            <w:gridSpan w:val="39"/>
          </w:tcPr>
          <w:p>
            <w:pPr>
              <w:ind w:left="160"/>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0">
              <w:r>
                <w:rPr>
                  <w:rFonts w:ascii="Arial" w:cs="Arial" w:eastAsia="Arial" w:hAnsi="Arial"/>
                  <w:sz w:val="18"/>
                  <w:szCs w:val="18"/>
                  <w:color w:val="0000EE"/>
                  <w:w w:val="92"/>
                </w:rPr>
                <w:t>2009 Stock Incentive Plan [incorporated by reference to Appendix B to the Proxy Statement on Schedule</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5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14A filed March 25, 2009].</w:t>
              </w:r>
            </w:hyperlink>
          </w:p>
        </w:tc>
        <w:tc>
          <w:tcPr>
            <w:tcW w:w="100" w:type="dxa"/>
            <w:vAlign w:val="bottom"/>
            <w:gridSpan w:val="5"/>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8160" w:type="dxa"/>
            <w:vAlign w:val="bottom"/>
            <w:gridSpan w:val="39"/>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r:id="rId151">
              <w:r>
                <w:rPr>
                  <w:rFonts w:ascii="Arial" w:cs="Arial" w:eastAsia="Arial" w:hAnsi="Arial"/>
                  <w:sz w:val="18"/>
                  <w:szCs w:val="18"/>
                  <w:color w:val="0000EE"/>
                </w:rPr>
                <w:t>2005 Annual Incentive Plan [incorporated by reference to Appendix D to the Proxy Statement on</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9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Schedule 14A filed April 8, 2004].</w:t>
              </w:r>
            </w:hyperlink>
          </w:p>
        </w:tc>
        <w:tc>
          <w:tcPr>
            <w:tcW w:w="680" w:type="dxa"/>
            <w:vAlign w:val="bottom"/>
            <w:gridSpan w:val="18"/>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8160" w:type="dxa"/>
            <w:vAlign w:val="bottom"/>
            <w:gridSpan w:val="39"/>
          </w:tcPr>
          <w:p>
            <w:pPr>
              <w:ind w:left="160"/>
              <w:spacing w:after="0" w:line="196"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52">
              <w:r>
                <w:rPr>
                  <w:rFonts w:ascii="Arial" w:cs="Arial" w:eastAsia="Arial" w:hAnsi="Arial"/>
                  <w:sz w:val="18"/>
                  <w:szCs w:val="18"/>
                  <w:color w:val="0000EE"/>
                  <w:w w:val="93"/>
                </w:rPr>
                <w:t>Waste Management, Inc. Employee Stock Purchase Plan (As Amended and Restated effective May 12,</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2020) [incorporated by reference to Exhibit 10.1 to Form 8-K dated May 12, 2020].</w:t>
              </w:r>
            </w:hyperlink>
          </w:p>
        </w:tc>
        <w:tc>
          <w:tcPr>
            <w:tcW w:w="1380" w:type="dxa"/>
            <w:vAlign w:val="bottom"/>
            <w:tcBorders>
              <w:top w:val="single" w:sz="8" w:color="0000EE"/>
            </w:tcBorders>
            <w:gridSpan w:val="12"/>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8160" w:type="dxa"/>
            <w:vAlign w:val="bottom"/>
            <w:gridSpan w:val="39"/>
          </w:tcPr>
          <w:p>
            <w:pPr>
              <w:ind w:left="160"/>
              <w:spacing w:after="0" w:line="196" w:lineRule="exact"/>
              <w:rPr>
                <w:rFonts w:ascii="Arial" w:cs="Arial" w:eastAsia="Arial" w:hAnsi="Arial"/>
                <w:sz w:val="18"/>
                <w:szCs w:val="18"/>
                <w:color w:val="auto"/>
                <w:w w:val="90"/>
              </w:rPr>
            </w:pPr>
            <w:r>
              <w:rPr>
                <w:rFonts w:ascii="Arial" w:cs="Arial" w:eastAsia="Arial" w:hAnsi="Arial"/>
                <w:sz w:val="18"/>
                <w:szCs w:val="18"/>
                <w:color w:val="auto"/>
                <w:w w:val="90"/>
              </w:rPr>
              <w:t xml:space="preserve">—  </w:t>
            </w:r>
            <w:hyperlink r:id="rId153">
              <w:r>
                <w:rPr>
                  <w:rFonts w:ascii="Arial" w:cs="Arial" w:eastAsia="Arial" w:hAnsi="Arial"/>
                  <w:sz w:val="18"/>
                  <w:szCs w:val="18"/>
                  <w:color w:val="0000EE"/>
                  <w:w w:val="90"/>
                </w:rPr>
                <w:t>Waste Management, Inc. 409A Deferral Savings Plan as Amended and Restated effective January 1, 2014</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2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[incorporated by reference to Exhibit 10.2 to Form 10-Q for the quarter ended March 31, 2014].</w:t>
              </w:r>
            </w:hyperlink>
          </w:p>
        </w:tc>
        <w:tc>
          <w:tcPr>
            <w:tcW w:w="40" w:type="dxa"/>
            <w:vAlign w:val="bottom"/>
            <w:gridSpan w:val="2"/>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8160" w:type="dxa"/>
            <w:vAlign w:val="bottom"/>
            <w:gridSpan w:val="39"/>
          </w:tcPr>
          <w:p>
            <w:pPr>
              <w:ind w:left="160"/>
              <w:spacing w:after="0" w:line="196"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54">
              <w:r>
                <w:rPr>
                  <w:rFonts w:ascii="Arial" w:cs="Arial" w:eastAsia="Arial" w:hAnsi="Arial"/>
                  <w:sz w:val="18"/>
                  <w:szCs w:val="18"/>
                  <w:u w:val="single" w:color="auto"/>
                  <w:color w:val="0000EE"/>
                  <w:w w:val="93"/>
                </w:rPr>
                <w:t>$3.5 Billion Fifth Amended and Restated Revolving Credit Agreement dated as of November 7, 2019 by</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520" w:type="dxa"/>
            <w:vAlign w:val="bottom"/>
            <w:tcBorders>
              <w:top w:val="single" w:sz="8" w:color="0000EE"/>
            </w:tcBorders>
            <w:gridSpan w:val="32"/>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and among Waste Management, Inc., Waste Management of Canada Corporation, WM Quebec Inc. and</w:t>
              </w:r>
            </w:hyperlink>
          </w:p>
        </w:tc>
        <w:tc>
          <w:tcPr>
            <w:tcW w:w="14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Waste Management Holdings, Inc., certain banks party thereto, and Bank of America, N.A., as</w:t>
              </w:r>
            </w:hyperlink>
          </w:p>
        </w:tc>
        <w:tc>
          <w:tcPr>
            <w:tcW w:w="640" w:type="dxa"/>
            <w:vAlign w:val="bottom"/>
            <w:tcBorders>
              <w:top w:val="single" w:sz="8" w:color="0000EE"/>
            </w:tcBorders>
            <w:gridSpan w:val="12"/>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administrative agent [incorporated by reference to Exhibit 10.1 to Form 8-K dated November 7, 2019].</w:t>
              </w:r>
            </w:hyperlink>
          </w:p>
        </w:tc>
        <w:tc>
          <w:tcPr>
            <w:tcW w:w="260" w:type="dxa"/>
            <w:vAlign w:val="bottom"/>
            <w:gridSpan w:val="11"/>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10.8</w:t>
            </w:r>
          </w:p>
        </w:tc>
        <w:tc>
          <w:tcPr>
            <w:tcW w:w="8160" w:type="dxa"/>
            <w:vAlign w:val="bottom"/>
            <w:gridSpan w:val="39"/>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r:id="rId155">
              <w:r>
                <w:rPr>
                  <w:rFonts w:ascii="Arial" w:cs="Arial" w:eastAsia="Arial" w:hAnsi="Arial"/>
                  <w:sz w:val="18"/>
                  <w:szCs w:val="18"/>
                  <w:color w:val="0000EE"/>
                </w:rPr>
                <w:t>Commercial Paper Dealer Agreement, substantially in the form as executed with each of Mizuho</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Securities USA Inc., Merrill Lynch, Pierce, Fenner &amp; Smith Incorporated, and J.P. Morgan Securities</w:t>
              </w:r>
            </w:hyperlink>
          </w:p>
        </w:tc>
        <w:tc>
          <w:tcPr>
            <w:tcW w:w="400" w:type="dxa"/>
            <w:vAlign w:val="bottom"/>
            <w:gridSpan w:val="1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60" w:type="dxa"/>
            <w:vAlign w:val="bottom"/>
            <w:gridSpan w:val="38"/>
          </w:tcPr>
          <w:p>
            <w:pPr>
              <w:spacing w:after="0" w:line="196"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LLC, as Dealer, dated August 22, 2016 [incorporated by reference to Exhibit 10.11 to Form 10-K for</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the year ended December 31, 2016].</w:t>
              </w:r>
            </w:hyperlink>
          </w:p>
        </w:tc>
        <w:tc>
          <w:tcPr>
            <w:tcW w:w="4640" w:type="dxa"/>
            <w:vAlign w:val="bottom"/>
            <w:tcBorders>
              <w:top w:val="single" w:sz="8" w:color="0000EE"/>
            </w:tcBorders>
            <w:gridSpan w:val="17"/>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10.9</w:t>
            </w:r>
          </w:p>
        </w:tc>
        <w:tc>
          <w:tcPr>
            <w:tcW w:w="8160" w:type="dxa"/>
            <w:vAlign w:val="bottom"/>
            <w:gridSpan w:val="39"/>
          </w:tcPr>
          <w:p>
            <w:pPr>
              <w:ind w:left="160"/>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6">
              <w:r>
                <w:rPr>
                  <w:rFonts w:ascii="Arial" w:cs="Arial" w:eastAsia="Arial" w:hAnsi="Arial"/>
                  <w:sz w:val="18"/>
                  <w:szCs w:val="18"/>
                  <w:color w:val="0000EE"/>
                  <w:w w:val="92"/>
                </w:rPr>
                <w:t>Commercial Paper Issuing and Paying Agent Agreement between Waste Management, Inc. and Bank of</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500" w:type="dxa"/>
            <w:vAlign w:val="bottom"/>
            <w:tcBorders>
              <w:top w:val="single" w:sz="8" w:color="0000EE"/>
            </w:tcBorders>
            <w:gridSpan w:val="31"/>
          </w:tcPr>
          <w:p>
            <w:pPr>
              <w:spacing w:after="0" w:line="196" w:lineRule="exact"/>
              <w:rPr>
                <w:rFonts w:ascii="Arial" w:cs="Arial" w:eastAsia="Arial" w:hAnsi="Arial"/>
                <w:sz w:val="18"/>
                <w:szCs w:val="18"/>
                <w:color w:val="0000EE"/>
                <w:w w:val="94"/>
              </w:rPr>
            </w:pPr>
            <w:hyperlink r:id="rId156">
              <w:r>
                <w:rPr>
                  <w:rFonts w:ascii="Arial" w:cs="Arial" w:eastAsia="Arial" w:hAnsi="Arial"/>
                  <w:sz w:val="18"/>
                  <w:szCs w:val="18"/>
                  <w:color w:val="0000EE"/>
                  <w:w w:val="94"/>
                </w:rPr>
                <w:t>America, National Association dated August 15, 2016 [incorporated by reference to Exhibit 10.12 to</w:t>
              </w:r>
            </w:hyperlink>
          </w:p>
        </w:tc>
        <w:tc>
          <w:tcPr>
            <w:tcW w:w="16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Form 10-K for the year ended December 31, 2016].</w:t>
              </w:r>
            </w:hyperlink>
          </w:p>
        </w:tc>
        <w:tc>
          <w:tcPr>
            <w:tcW w:w="440" w:type="dxa"/>
            <w:vAlign w:val="bottom"/>
            <w:gridSpan w:val="16"/>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10.10†</w:t>
            </w:r>
          </w:p>
        </w:tc>
        <w:tc>
          <w:tcPr>
            <w:tcW w:w="8160" w:type="dxa"/>
            <w:vAlign w:val="bottom"/>
            <w:gridSpan w:val="39"/>
          </w:tcPr>
          <w:p>
            <w:pPr>
              <w:ind w:left="160"/>
              <w:spacing w:after="0" w:line="196" w:lineRule="exact"/>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57">
              <w:r>
                <w:rPr>
                  <w:rFonts w:ascii="Arial" w:cs="Arial" w:eastAsia="Arial" w:hAnsi="Arial"/>
                  <w:sz w:val="18"/>
                  <w:szCs w:val="18"/>
                  <w:color w:val="0000EE"/>
                  <w:w w:val="91"/>
                </w:rPr>
                <w:t>First Amended and Restated Employment Agreement between USA Waste-Management Resources, LLC</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and James C. Fish, Jr. dated December 22, 2017 [incorporated by reference to Exhibit 10.2 to Form 8-K</w:t>
              </w:r>
            </w:hyperlink>
          </w:p>
        </w:tc>
        <w:tc>
          <w:tcPr>
            <w:tcW w:w="120" w:type="dxa"/>
            <w:vAlign w:val="bottom"/>
            <w:tcBorders>
              <w:top w:val="single" w:sz="8" w:color="0000EE"/>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dated December 22, 2017].</w:t>
              </w:r>
            </w:hyperlink>
          </w:p>
        </w:tc>
        <w:tc>
          <w:tcPr>
            <w:tcW w:w="5700" w:type="dxa"/>
            <w:vAlign w:val="bottom"/>
            <w:gridSpan w:val="35"/>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10.11†</w:t>
            </w:r>
          </w:p>
        </w:tc>
        <w:tc>
          <w:tcPr>
            <w:tcW w:w="8160" w:type="dxa"/>
            <w:vAlign w:val="bottom"/>
            <w:gridSpan w:val="39"/>
          </w:tcPr>
          <w:p>
            <w:pPr>
              <w:ind w:left="160"/>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8">
              <w:r>
                <w:rPr>
                  <w:rFonts w:ascii="Arial" w:cs="Arial" w:eastAsia="Arial" w:hAnsi="Arial"/>
                  <w:sz w:val="18"/>
                  <w:szCs w:val="18"/>
                  <w:color w:val="0000EE"/>
                  <w:w w:val="92"/>
                </w:rPr>
                <w:t>Employment Agreement between USA Waste-Management Resources, LLC and Devina A. Rankin dated</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December 22, 2017 [incorporated by reference to Exhibit 10.3 to Form 8-K dated December 22, 2017].</w:t>
              </w:r>
            </w:hyperlink>
          </w:p>
        </w:tc>
        <w:tc>
          <w:tcPr>
            <w:tcW w:w="160" w:type="dxa"/>
            <w:vAlign w:val="bottom"/>
            <w:tcBorders>
              <w:top w:val="single" w:sz="8" w:color="0000EE"/>
            </w:tcBorders>
            <w:gridSpan w:val="6"/>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10.12†</w:t>
            </w:r>
          </w:p>
        </w:tc>
        <w:tc>
          <w:tcPr>
            <w:tcW w:w="8160" w:type="dxa"/>
            <w:vAlign w:val="bottom"/>
            <w:gridSpan w:val="39"/>
          </w:tcPr>
          <w:p>
            <w:pPr>
              <w:ind w:left="160"/>
              <w:spacing w:after="0" w:line="196" w:lineRule="exact"/>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59">
              <w:r>
                <w:rPr>
                  <w:rFonts w:ascii="Arial" w:cs="Arial" w:eastAsia="Arial" w:hAnsi="Arial"/>
                  <w:sz w:val="18"/>
                  <w:szCs w:val="18"/>
                  <w:color w:val="0000EE"/>
                  <w:w w:val="91"/>
                </w:rPr>
                <w:t>First Amended and Restated Employment Agreement between USA Waste-Management Resources, LLC</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and John J. Morris, Jr. [incorporated by reference to Exhibit 10.4 to Form 8-K dated December 22, 2017].</w:t>
              </w:r>
            </w:hyperlink>
          </w:p>
        </w:tc>
        <w:tc>
          <w:tcPr>
            <w:tcW w:w="60" w:type="dxa"/>
            <w:vAlign w:val="bottom"/>
            <w:gridSpan w:val="3"/>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10.13†</w:t>
            </w:r>
          </w:p>
        </w:tc>
        <w:tc>
          <w:tcPr>
            <w:tcW w:w="8160" w:type="dxa"/>
            <w:vAlign w:val="bottom"/>
            <w:gridSpan w:val="39"/>
          </w:tcPr>
          <w:p>
            <w:pPr>
              <w:ind w:left="1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60">
              <w:r>
                <w:rPr>
                  <w:rFonts w:ascii="Arial" w:cs="Arial" w:eastAsia="Arial" w:hAnsi="Arial"/>
                  <w:sz w:val="18"/>
                  <w:szCs w:val="18"/>
                  <w:color w:val="0000EE"/>
                  <w:w w:val="94"/>
                </w:rPr>
                <w:t>Employment Agreement between USA Waste-Management Resources, LLC and Charles C. Boettcher</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dated December 22, 2017 [incorporated by reference to Exhibit 10.23 to Form 10-K for the year ended</w:t>
              </w:r>
            </w:hyperlink>
          </w:p>
        </w:tc>
        <w:tc>
          <w:tcPr>
            <w:tcW w:w="28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60" w:type="dxa"/>
            <w:vAlign w:val="bottom"/>
            <w:gridSpan w:val="38"/>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December 31, 2017].</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8160" w:type="dxa"/>
            <w:vAlign w:val="bottom"/>
            <w:gridSpan w:val="39"/>
          </w:tcPr>
          <w:p>
            <w:pPr>
              <w:ind w:left="160"/>
              <w:spacing w:after="0" w:line="196"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61">
              <w:r>
                <w:rPr>
                  <w:rFonts w:ascii="Arial" w:cs="Arial" w:eastAsia="Arial" w:hAnsi="Arial"/>
                  <w:sz w:val="18"/>
                  <w:szCs w:val="18"/>
                  <w:color w:val="0000EE"/>
                  <w:w w:val="93"/>
                </w:rPr>
                <w:t>Form of Director and Executive Officer Indemnity Agreement [incorporated by reference to Exhibit 10.43</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to Form 10-K for the year ended December 31, 2012].</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10.15†</w:t>
            </w:r>
          </w:p>
        </w:tc>
        <w:tc>
          <w:tcPr>
            <w:tcW w:w="8160" w:type="dxa"/>
            <w:vAlign w:val="bottom"/>
            <w:gridSpan w:val="39"/>
          </w:tcPr>
          <w:p>
            <w:pPr>
              <w:ind w:left="160"/>
              <w:spacing w:after="0" w:line="196" w:lineRule="exact"/>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62">
              <w:r>
                <w:rPr>
                  <w:rFonts w:ascii="Arial" w:cs="Arial" w:eastAsia="Arial" w:hAnsi="Arial"/>
                  <w:sz w:val="18"/>
                  <w:szCs w:val="18"/>
                  <w:color w:val="0000EE"/>
                  <w:w w:val="91"/>
                </w:rPr>
                <w:t>Waste Management Holdings, Inc. Executive Severance Plan [incorporated by reference to Exhibit 10.1 to</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Form 8-K dated December 22, 2017].</w:t>
              </w:r>
            </w:hyperlink>
          </w:p>
        </w:tc>
        <w:tc>
          <w:tcPr>
            <w:tcW w:w="4940" w:type="dxa"/>
            <w:vAlign w:val="bottom"/>
            <w:tcBorders>
              <w:top w:val="single" w:sz="8" w:color="0000EE"/>
            </w:tcBorders>
            <w:gridSpan w:val="3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10.16†</w:t>
            </w:r>
          </w:p>
        </w:tc>
        <w:tc>
          <w:tcPr>
            <w:tcW w:w="8160" w:type="dxa"/>
            <w:vAlign w:val="bottom"/>
            <w:gridSpan w:val="39"/>
          </w:tcPr>
          <w:p>
            <w:pPr>
              <w:ind w:left="160"/>
              <w:spacing w:after="0" w:line="196" w:lineRule="exact"/>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63">
              <w:r>
                <w:rPr>
                  <w:rFonts w:ascii="Arial" w:cs="Arial" w:eastAsia="Arial" w:hAnsi="Arial"/>
                  <w:sz w:val="18"/>
                  <w:szCs w:val="18"/>
                  <w:color w:val="0000EE"/>
                  <w:w w:val="99"/>
                </w:rPr>
                <w:t>Form of 2019 Long Term Incentive Compensation Award Agreement for Senior Leadership Team</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[incorporated by reference to Exhibit 10.1 to Form 8-K dated February 19, 2019].</w:t>
              </w:r>
            </w:hyperlink>
          </w:p>
        </w:tc>
        <w:tc>
          <w:tcPr>
            <w:tcW w:w="1160" w:type="dxa"/>
            <w:vAlign w:val="bottom"/>
            <w:tcBorders>
              <w:top w:val="single" w:sz="8" w:color="0000EE"/>
            </w:tcBorders>
            <w:gridSpan w:val="7"/>
          </w:tcPr>
          <w:p>
            <w:pPr>
              <w:spacing w:after="0"/>
              <w:rPr>
                <w:sz w:val="17"/>
                <w:szCs w:val="17"/>
                <w:color w:val="auto"/>
              </w:rPr>
            </w:pPr>
          </w:p>
        </w:tc>
        <w:tc>
          <w:tcPr>
            <w:tcW w:w="620" w:type="dxa"/>
            <w:vAlign w:val="bottom"/>
            <w:gridSpan w:val="17"/>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10.17†</w:t>
            </w:r>
          </w:p>
        </w:tc>
        <w:tc>
          <w:tcPr>
            <w:tcW w:w="8160" w:type="dxa"/>
            <w:vAlign w:val="bottom"/>
            <w:gridSpan w:val="39"/>
          </w:tcPr>
          <w:p>
            <w:pPr>
              <w:ind w:left="160"/>
              <w:spacing w:after="0" w:line="196" w:lineRule="exact"/>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64">
              <w:r>
                <w:rPr>
                  <w:rFonts w:ascii="Arial" w:cs="Arial" w:eastAsia="Arial" w:hAnsi="Arial"/>
                  <w:sz w:val="18"/>
                  <w:szCs w:val="18"/>
                  <w:color w:val="0000EE"/>
                  <w:w w:val="99"/>
                </w:rPr>
                <w:t>Form of 2020 Long Term Incentive Compensation Award Agreement for Senior Leadership Team</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[incorporated by reference to Exhibit 10.1 to Form 8-K dated February 19, 2020].</w:t>
              </w:r>
            </w:hyperlink>
          </w:p>
        </w:tc>
        <w:tc>
          <w:tcPr>
            <w:tcW w:w="1160" w:type="dxa"/>
            <w:vAlign w:val="bottom"/>
            <w:tcBorders>
              <w:top w:val="single" w:sz="8" w:color="0000EE"/>
            </w:tcBorders>
            <w:gridSpan w:val="7"/>
          </w:tcPr>
          <w:p>
            <w:pPr>
              <w:spacing w:after="0"/>
              <w:rPr>
                <w:sz w:val="17"/>
                <w:szCs w:val="17"/>
                <w:color w:val="auto"/>
              </w:rPr>
            </w:pPr>
          </w:p>
        </w:tc>
        <w:tc>
          <w:tcPr>
            <w:tcW w:w="620" w:type="dxa"/>
            <w:vAlign w:val="bottom"/>
            <w:gridSpan w:val="17"/>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10.18†</w:t>
            </w:r>
          </w:p>
        </w:tc>
        <w:tc>
          <w:tcPr>
            <w:tcW w:w="8160" w:type="dxa"/>
            <w:vAlign w:val="bottom"/>
            <w:gridSpan w:val="39"/>
          </w:tcPr>
          <w:p>
            <w:pPr>
              <w:ind w:left="160"/>
              <w:spacing w:after="0" w:line="196" w:lineRule="exact"/>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65">
              <w:r>
                <w:rPr>
                  <w:rFonts w:ascii="Arial" w:cs="Arial" w:eastAsia="Arial" w:hAnsi="Arial"/>
                  <w:sz w:val="18"/>
                  <w:szCs w:val="18"/>
                  <w:color w:val="0000EE"/>
                  <w:w w:val="99"/>
                </w:rPr>
                <w:t>Form of 2021 Long Term Incentive Compensation Award Agreement for Senior Leadership Team</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[incorporated by reference to Exhibit 10.1 to Form 8-K dated February 23, 2021].</w:t>
              </w:r>
            </w:hyperlink>
          </w:p>
        </w:tc>
        <w:tc>
          <w:tcPr>
            <w:tcW w:w="620" w:type="dxa"/>
            <w:vAlign w:val="bottom"/>
            <w:gridSpan w:val="17"/>
          </w:tcPr>
          <w:p>
            <w:pPr>
              <w:spacing w:after="0"/>
              <w:rPr>
                <w:sz w:val="17"/>
                <w:szCs w:val="17"/>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10.19†*</w:t>
            </w:r>
          </w:p>
        </w:tc>
        <w:tc>
          <w:tcPr>
            <w:tcW w:w="500" w:type="dxa"/>
            <w:vAlign w:val="bottom"/>
          </w:tcPr>
          <w:p>
            <w:pPr>
              <w:spacing w:after="0"/>
              <w:rPr>
                <w:sz w:val="17"/>
                <w:szCs w:val="17"/>
                <w:color w:val="auto"/>
              </w:rPr>
            </w:pPr>
          </w:p>
        </w:tc>
        <w:tc>
          <w:tcPr>
            <w:tcW w:w="5860" w:type="dxa"/>
            <w:vAlign w:val="bottom"/>
            <w:tcBorders>
              <w:top w:val="single" w:sz="8" w:color="0000EE"/>
            </w:tcBorders>
            <w:gridSpan w:val="13"/>
          </w:tcPr>
          <w:p>
            <w:pPr>
              <w:spacing w:after="0" w:line="196" w:lineRule="exact"/>
              <w:rPr>
                <w:rFonts w:ascii="Arial" w:cs="Arial" w:eastAsia="Arial" w:hAnsi="Arial"/>
                <w:sz w:val="18"/>
                <w:szCs w:val="18"/>
                <w:color w:val="0000EE"/>
                <w:w w:val="98"/>
              </w:rPr>
            </w:pPr>
            <w:hyperlink w:anchor="page134">
              <w:r>
                <w:rPr>
                  <w:rFonts w:ascii="Arial" w:cs="Arial" w:eastAsia="Arial" w:hAnsi="Arial"/>
                  <w:sz w:val="18"/>
                  <w:szCs w:val="18"/>
                  <w:color w:val="0000EE"/>
                  <w:w w:val="98"/>
                </w:rPr>
                <w:t>Form of 2021 Long Term Incentive Compensation RSU Award Agreement.</w:t>
              </w:r>
            </w:hyperlink>
          </w:p>
        </w:tc>
        <w:tc>
          <w:tcPr>
            <w:tcW w:w="1800" w:type="dxa"/>
            <w:vAlign w:val="bottom"/>
            <w:gridSpan w:val="25"/>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21.1*</w:t>
            </w:r>
          </w:p>
        </w:tc>
        <w:tc>
          <w:tcPr>
            <w:tcW w:w="8160" w:type="dxa"/>
            <w:vAlign w:val="bottom"/>
            <w:gridSpan w:val="39"/>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43">
              <w:r>
                <w:rPr>
                  <w:rFonts w:ascii="Arial" w:cs="Arial" w:eastAsia="Arial" w:hAnsi="Arial"/>
                  <w:sz w:val="18"/>
                  <w:szCs w:val="18"/>
                  <w:color w:val="0000EE"/>
                </w:rPr>
                <w:t>Subsidiaries of the Registrant.</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22.1*</w:t>
            </w:r>
          </w:p>
        </w:tc>
        <w:tc>
          <w:tcPr>
            <w:tcW w:w="8160" w:type="dxa"/>
            <w:vAlign w:val="bottom"/>
            <w:gridSpan w:val="39"/>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52">
              <w:r>
                <w:rPr>
                  <w:rFonts w:ascii="Arial" w:cs="Arial" w:eastAsia="Arial" w:hAnsi="Arial"/>
                  <w:sz w:val="18"/>
                  <w:szCs w:val="18"/>
                  <w:color w:val="0000EE"/>
                </w:rPr>
                <w:t>Guarantor Subsidiary.</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23.1*</w:t>
            </w:r>
          </w:p>
        </w:tc>
        <w:tc>
          <w:tcPr>
            <w:tcW w:w="8160" w:type="dxa"/>
            <w:vAlign w:val="bottom"/>
            <w:gridSpan w:val="39"/>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53">
              <w:r>
                <w:rPr>
                  <w:rFonts w:ascii="Arial" w:cs="Arial" w:eastAsia="Arial" w:hAnsi="Arial"/>
                  <w:sz w:val="18"/>
                  <w:szCs w:val="18"/>
                  <w:color w:val="0000EE"/>
                </w:rPr>
                <w:t>Consent of Independent Registered Public Accounting Firm.</w:t>
              </w:r>
            </w:hyperlink>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340" w:type="dxa"/>
            <w:vAlign w:val="bottom"/>
            <w:gridSpan w:val="10"/>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8160" w:type="dxa"/>
            <w:vAlign w:val="bottom"/>
            <w:gridSpan w:val="39"/>
          </w:tcPr>
          <w:p>
            <w:pPr>
              <w:ind w:left="160"/>
              <w:spacing w:after="0" w:line="196"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154">
              <w:r>
                <w:rPr>
                  <w:rFonts w:ascii="Arial" w:cs="Arial" w:eastAsia="Arial" w:hAnsi="Arial"/>
                  <w:sz w:val="18"/>
                  <w:szCs w:val="18"/>
                  <w:color w:val="0000EE"/>
                  <w:w w:val="95"/>
                </w:rPr>
                <w:t>Certification Pursuant to Rule 13a-14(a) and 15d-14(a) under the Securities Exchange Act of 1934, as</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amended, of James C. Fish, Jr., President and Chief Executive Officer.</w:t>
              </w:r>
            </w:hyperlink>
          </w:p>
        </w:tc>
        <w:tc>
          <w:tcPr>
            <w:tcW w:w="300" w:type="dxa"/>
            <w:vAlign w:val="bottom"/>
            <w:gridSpan w:val="13"/>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040" w:type="dxa"/>
            <w:vAlign w:val="bottom"/>
            <w:gridSpan w:val="11"/>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8160" w:type="dxa"/>
            <w:vAlign w:val="bottom"/>
            <w:gridSpan w:val="39"/>
          </w:tcPr>
          <w:p>
            <w:pPr>
              <w:ind w:left="160"/>
              <w:spacing w:after="0" w:line="196"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155">
              <w:r>
                <w:rPr>
                  <w:rFonts w:ascii="Arial" w:cs="Arial" w:eastAsia="Arial" w:hAnsi="Arial"/>
                  <w:sz w:val="18"/>
                  <w:szCs w:val="18"/>
                  <w:color w:val="0000EE"/>
                  <w:w w:val="95"/>
                </w:rPr>
                <w:t>Certification Pursuant to Rule 13a-14(a) and 15d-14(a) under the Securities Exchange Act of 1934, as</w:t>
              </w:r>
            </w:hyperlink>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amended, of Devina A. Rankin, Executive Vice President and Chief Financial Officer.</w:t>
              </w:r>
            </w:hyperlink>
          </w:p>
        </w:tc>
        <w:tc>
          <w:tcPr>
            <w:tcW w:w="300" w:type="dxa"/>
            <w:vAlign w:val="bottom"/>
            <w:gridSpan w:val="13"/>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180" w:type="dxa"/>
            <w:vAlign w:val="bottom"/>
            <w:gridSpan w:val="16"/>
            <w:shd w:val="clear" w:color="auto" w:fill="0000EE"/>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8160" w:type="dxa"/>
            <w:vAlign w:val="bottom"/>
            <w:gridSpan w:val="39"/>
          </w:tcPr>
          <w:p>
            <w:pPr>
              <w:ind w:left="1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156">
              <w:r>
                <w:rPr>
                  <w:rFonts w:ascii="Arial" w:cs="Arial" w:eastAsia="Arial" w:hAnsi="Arial"/>
                  <w:sz w:val="18"/>
                  <w:szCs w:val="18"/>
                  <w:color w:val="0000EE"/>
                  <w:w w:val="94"/>
                </w:rPr>
                <w:t>Certification Pursuant to 18 U.S.C. §1350 of James C. Fish, Jr., President and Chief Executive Officer.</w:t>
              </w:r>
            </w:hyperlink>
          </w:p>
        </w:tc>
      </w:tr>
      <w:tr>
        <w:trPr>
          <w:trHeight w:val="66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Borders>
              <w:top w:val="single" w:sz="8" w:color="0000EE"/>
            </w:tcBorders>
            <w:gridSpan w:val="8"/>
          </w:tcPr>
          <w:p>
            <w:pPr>
              <w:jc w:val="right"/>
              <w:ind w:right="360"/>
              <w:spacing w:after="0"/>
              <w:rPr>
                <w:sz w:val="20"/>
                <w:szCs w:val="20"/>
                <w:color w:val="auto"/>
              </w:rPr>
            </w:pPr>
            <w:r>
              <w:rPr>
                <w:rFonts w:ascii="Arial" w:cs="Arial" w:eastAsia="Arial" w:hAnsi="Arial"/>
                <w:sz w:val="18"/>
                <w:szCs w:val="18"/>
                <w:color w:val="auto"/>
              </w:rPr>
              <w:t>130</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1"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7600" w:type="dxa"/>
            <w:vAlign w:val="bottom"/>
            <w:gridSpan w:val="4"/>
          </w:tcPr>
          <w:p>
            <w:pPr>
              <w:ind w:left="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157">
              <w:r>
                <w:rPr>
                  <w:rFonts w:ascii="Arial" w:cs="Arial" w:eastAsia="Arial" w:hAnsi="Arial"/>
                  <w:sz w:val="18"/>
                  <w:szCs w:val="18"/>
                  <w:color w:val="0000EE"/>
                  <w:w w:val="92"/>
                </w:rPr>
                <w:t>Certification Pursuant to 18 U.S.C. §1350 of Devina A. Rankin, Executive Vice President and Chief</w:t>
              </w:r>
            </w:hyperlink>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Financial Officer.</w:t>
              </w:r>
            </w:hyperlink>
          </w:p>
        </w:tc>
        <w:tc>
          <w:tcPr>
            <w:tcW w:w="5940" w:type="dxa"/>
            <w:vAlign w:val="bottom"/>
            <w:tcBorders>
              <w:top w:val="single" w:sz="8" w:color="0000EE"/>
            </w:tcBorders>
            <w:gridSpan w:val="2"/>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95*</w:t>
            </w:r>
          </w:p>
        </w:tc>
        <w:tc>
          <w:tcPr>
            <w:tcW w:w="38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Mine Safety Disclosures.</w:t>
              </w:r>
            </w:hyperlink>
          </w:p>
        </w:tc>
        <w:tc>
          <w:tcPr>
            <w:tcW w:w="5400" w:type="dxa"/>
            <w:vAlign w:val="bottom"/>
          </w:tcPr>
          <w:p>
            <w:pPr>
              <w:spacing w:after="0"/>
              <w:rPr>
                <w:sz w:val="17"/>
                <w:szCs w:val="17"/>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220" w:type="dxa"/>
            <w:vAlign w:val="bottom"/>
            <w:gridSpan w:val="3"/>
          </w:tcPr>
          <w:p>
            <w:pPr>
              <w:spacing w:after="0"/>
              <w:rPr>
                <w:sz w:val="20"/>
                <w:szCs w:val="20"/>
                <w:color w:val="auto"/>
              </w:rPr>
            </w:pPr>
            <w:r>
              <w:rPr>
                <w:rFonts w:ascii="Arial" w:cs="Arial" w:eastAsia="Arial" w:hAnsi="Arial"/>
                <w:sz w:val="18"/>
                <w:szCs w:val="18"/>
                <w:color w:val="auto"/>
              </w:rPr>
              <w:t>Inline XBRL Instance.</w:t>
            </w:r>
          </w:p>
        </w:tc>
      </w:tr>
      <w:tr>
        <w:trPr>
          <w:trHeight w:val="216"/>
        </w:trPr>
        <w:tc>
          <w:tcPr>
            <w:tcW w:w="8440" w:type="dxa"/>
            <w:vAlign w:val="bottom"/>
            <w:gridSpan w:val="5"/>
          </w:tcPr>
          <w:p>
            <w:pPr>
              <w:spacing w:after="0"/>
              <w:rPr>
                <w:sz w:val="20"/>
                <w:szCs w:val="20"/>
                <w:color w:val="auto"/>
              </w:rPr>
            </w:pPr>
            <w:r>
              <w:rPr>
                <w:rFonts w:ascii="Arial" w:cs="Arial" w:eastAsia="Arial" w:hAnsi="Arial"/>
                <w:sz w:val="18"/>
                <w:szCs w:val="18"/>
                <w:color w:val="auto"/>
              </w:rPr>
              <w:t>101.SCH*  —  Inline XBRL Taxonomy Extension Schema.</w:t>
            </w:r>
          </w:p>
        </w:tc>
      </w:tr>
      <w:tr>
        <w:trPr>
          <w:trHeight w:val="216"/>
        </w:trPr>
        <w:tc>
          <w:tcPr>
            <w:tcW w:w="8440" w:type="dxa"/>
            <w:vAlign w:val="bottom"/>
            <w:gridSpan w:val="5"/>
          </w:tcPr>
          <w:p>
            <w:pPr>
              <w:spacing w:after="0"/>
              <w:rPr>
                <w:sz w:val="20"/>
                <w:szCs w:val="20"/>
                <w:color w:val="auto"/>
              </w:rPr>
            </w:pPr>
            <w:r>
              <w:rPr>
                <w:rFonts w:ascii="Arial" w:cs="Arial" w:eastAsia="Arial" w:hAnsi="Arial"/>
                <w:sz w:val="18"/>
                <w:szCs w:val="18"/>
                <w:color w:val="auto"/>
              </w:rPr>
              <w:t>101.CAL*  —  Inline XBRL Taxonomy Extension Calculation.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7600" w:type="dxa"/>
            <w:vAlign w:val="bottom"/>
            <w:gridSpan w:val="4"/>
          </w:tcPr>
          <w:p>
            <w:pPr>
              <w:ind w:left="60"/>
              <w:spacing w:after="0"/>
              <w:rPr>
                <w:sz w:val="20"/>
                <w:szCs w:val="20"/>
                <w:color w:val="auto"/>
              </w:rPr>
            </w:pPr>
            <w:r>
              <w:rPr>
                <w:rFonts w:ascii="Arial" w:cs="Arial" w:eastAsia="Arial" w:hAnsi="Arial"/>
                <w:sz w:val="18"/>
                <w:szCs w:val="18"/>
                <w:color w:val="auto"/>
              </w:rPr>
              <w:t>—  Inline XBRL Taxonomy Extension Labels.</w:t>
            </w:r>
          </w:p>
        </w:tc>
      </w:tr>
      <w:tr>
        <w:trPr>
          <w:trHeight w:val="216"/>
        </w:trPr>
        <w:tc>
          <w:tcPr>
            <w:tcW w:w="8440" w:type="dxa"/>
            <w:vAlign w:val="bottom"/>
            <w:gridSpan w:val="5"/>
          </w:tcPr>
          <w:p>
            <w:pPr>
              <w:spacing w:after="0"/>
              <w:rPr>
                <w:sz w:val="20"/>
                <w:szCs w:val="20"/>
                <w:color w:val="auto"/>
              </w:rPr>
            </w:pPr>
            <w:r>
              <w:rPr>
                <w:rFonts w:ascii="Arial" w:cs="Arial" w:eastAsia="Arial" w:hAnsi="Arial"/>
                <w:sz w:val="18"/>
                <w:szCs w:val="18"/>
                <w:color w:val="auto"/>
              </w:rPr>
              <w:t>101.PRE*  —  Inline XBRL Taxonomy Extension Presentation.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7600" w:type="dxa"/>
            <w:vAlign w:val="bottom"/>
            <w:gridSpan w:val="4"/>
          </w:tcPr>
          <w:p>
            <w:pPr>
              <w:ind w:left="60"/>
              <w:spacing w:after="0"/>
              <w:rPr>
                <w:sz w:val="20"/>
                <w:szCs w:val="20"/>
                <w:color w:val="auto"/>
              </w:rPr>
            </w:pPr>
            <w:r>
              <w:rPr>
                <w:rFonts w:ascii="Arial" w:cs="Arial" w:eastAsia="Arial" w:hAnsi="Arial"/>
                <w:sz w:val="18"/>
                <w:szCs w:val="18"/>
                <w:color w:val="auto"/>
              </w:rPr>
              <w:t>—  Inline XBRL Taxonomy Extension Definition.</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22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60" w:hanging="310"/>
        <w:spacing w:after="0"/>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2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Chief Executive Officer and Director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15, 2022</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791"/>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51"/>
              <w:spacing w:after="0"/>
              <w:rPr>
                <w:sz w:val="20"/>
                <w:szCs w:val="20"/>
                <w:color w:val="auto"/>
              </w:rPr>
            </w:pPr>
            <w:r>
              <w:rPr>
                <w:rFonts w:ascii="Arial" w:cs="Arial" w:eastAsia="Arial" w:hAnsi="Arial"/>
                <w:sz w:val="18"/>
                <w:szCs w:val="18"/>
                <w:color w:val="auto"/>
                <w:w w:val="92"/>
              </w:rPr>
              <w:t>JAMES C. FISH, JR.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86"/>
              </w:rPr>
              <w:t>James C. Fish, Jr.</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(Principal Executive Officer)</w:t>
            </w: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rPr>
              <w:t>DEVINA A. RANKIN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Executive Vice President and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195"/>
        </w:trPr>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tcPr>
          <w:p>
            <w:pPr>
              <w:jc w:val="center"/>
              <w:ind w:right="771"/>
              <w:spacing w:after="0" w:line="195" w:lineRule="exact"/>
              <w:rPr>
                <w:sz w:val="20"/>
                <w:szCs w:val="20"/>
                <w:color w:val="auto"/>
              </w:rPr>
            </w:pPr>
            <w:r>
              <w:rPr>
                <w:rFonts w:ascii="Arial" w:cs="Arial" w:eastAsia="Arial" w:hAnsi="Arial"/>
                <w:sz w:val="18"/>
                <w:szCs w:val="18"/>
                <w:color w:val="auto"/>
                <w:w w:val="93"/>
              </w:rPr>
              <w:t>Devina A. Rankin</w:t>
            </w:r>
          </w:p>
        </w:tc>
        <w:tc>
          <w:tcPr>
            <w:tcW w:w="280" w:type="dxa"/>
            <w:vAlign w:val="bottom"/>
          </w:tcPr>
          <w:p>
            <w:pPr>
              <w:spacing w:after="0"/>
              <w:rPr>
                <w:sz w:val="16"/>
                <w:szCs w:val="16"/>
                <w:color w:val="auto"/>
              </w:rPr>
            </w:pPr>
          </w:p>
        </w:tc>
        <w:tc>
          <w:tcPr>
            <w:tcW w:w="40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Chief Financial Officer</w:t>
            </w:r>
          </w:p>
        </w:tc>
        <w:tc>
          <w:tcPr>
            <w:tcW w:w="1520" w:type="dxa"/>
            <w:vAlign w:val="bottom"/>
          </w:tcPr>
          <w:p>
            <w:pPr>
              <w:spacing w:after="0"/>
              <w:rPr>
                <w:sz w:val="16"/>
                <w:szCs w:val="16"/>
                <w:color w:val="auto"/>
              </w:rPr>
            </w:pPr>
          </w:p>
        </w:tc>
      </w:tr>
      <w:tr>
        <w:trPr>
          <w:trHeight w:val="230"/>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Financial Officer)</w:t>
            </w:r>
          </w:p>
        </w:tc>
        <w:tc>
          <w:tcPr>
            <w:tcW w:w="1520" w:type="dxa"/>
            <w:vAlign w:val="bottom"/>
          </w:tcPr>
          <w:p>
            <w:pPr>
              <w:spacing w:after="0"/>
              <w:rPr>
                <w:sz w:val="20"/>
                <w:szCs w:val="20"/>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3"/>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rPr>
              <w:t>LESLIE K. NAGY</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President and Chief Accounting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94"/>
              </w:rPr>
              <w:t>Leslie K. Nagy</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Accounting Officer)</w:t>
            </w: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96"/>
              </w:rPr>
              <w:t>ANDRÉS R. GLUSKI</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93"/>
              </w:rPr>
              <w:t>Andrés R. Gluski</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98"/>
              </w:rPr>
              <w:t>VICTORIA M. HOLT</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96"/>
              </w:rPr>
              <w:t>Victoria M. Holt</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rPr>
              <w:t>KATHLEEN M. MAZZARELLA</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92"/>
              </w:rPr>
              <w:t>Kathleen M. Mazzarella</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Arial" w:cs="Arial" w:eastAsia="Arial" w:hAnsi="Arial"/>
                <w:sz w:val="18"/>
                <w:szCs w:val="18"/>
                <w:color w:val="auto"/>
                <w:w w:val="98"/>
              </w:rPr>
              <w:t>/s/  SEAN E. MENKE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89"/>
              </w:rPr>
              <w:t>Sean E. Menke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B. PLUMMER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95"/>
              </w:rPr>
              <w:t>William B. Plummer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Arial" w:cs="Arial" w:eastAsia="Arial" w:hAnsi="Arial"/>
                <w:sz w:val="18"/>
                <w:szCs w:val="18"/>
                <w:color w:val="auto"/>
                <w:w w:val="93"/>
              </w:rPr>
              <w:t>/s/  JOHN C. POPE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86"/>
              </w:rPr>
              <w:t>John C. Pope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w w:val="95"/>
              </w:rPr>
              <w:t>MARYROSE T. SYLVESTER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90"/>
              </w:rPr>
              <w:t>Maryrose T. Sylvester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w w:val="98"/>
              </w:rPr>
              <w:t>THOMAS H. WEIDEMEYER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Chairman of the Board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2022</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89"/>
              </w:rPr>
              <w:t>Thomas H. Weidemeyer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2" w:name="page133"/>
    <w:bookmarkEnd w:id="132"/>
    <w:p>
      <w:pPr>
        <w:jc w:val="right"/>
        <w:ind w:right="59"/>
        <w:spacing w:after="0"/>
        <w:rPr>
          <w:sz w:val="20"/>
          <w:szCs w:val="20"/>
          <w:color w:val="auto"/>
        </w:rPr>
      </w:pPr>
      <w:r>
        <w:rPr>
          <w:rFonts w:ascii="Arial" w:cs="Arial" w:eastAsia="Arial" w:hAnsi="Arial"/>
          <w:sz w:val="18"/>
          <w:szCs w:val="18"/>
          <w:b w:val="1"/>
          <w:bCs w:val="1"/>
          <w:color w:val="auto"/>
        </w:rPr>
        <w:t>Exhibit 4.7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Officers’ Certificates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jc w:val="center"/>
        <w:ind w:right="19"/>
        <w:spacing w:after="0" w:line="234" w:lineRule="auto"/>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Principal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Principal</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ind w:left="197"/>
              <w:spacing w:after="0"/>
              <w:rPr>
                <w:sz w:val="20"/>
                <w:szCs w:val="20"/>
                <w:color w:val="auto"/>
              </w:rPr>
            </w:pPr>
            <w:r>
              <w:rPr>
                <w:rFonts w:ascii="Arial" w:cs="Arial" w:eastAsia="Arial" w:hAnsi="Arial"/>
                <w:sz w:val="13"/>
                <w:szCs w:val="13"/>
                <w:b w:val="1"/>
                <w:bCs w:val="1"/>
                <w:color w:val="auto"/>
                <w:w w:val="97"/>
              </w:rPr>
              <w:t>Interest</w:t>
            </w:r>
          </w:p>
        </w:tc>
        <w:tc>
          <w:tcPr>
            <w:tcW w:w="280" w:type="dxa"/>
            <w:vAlign w:val="bottom"/>
          </w:tcPr>
          <w:p>
            <w:pPr>
              <w:spacing w:after="0"/>
              <w:rPr>
                <w:sz w:val="13"/>
                <w:szCs w:val="13"/>
                <w:color w:val="auto"/>
              </w:rPr>
            </w:pPr>
          </w:p>
        </w:tc>
      </w:tr>
      <w:tr>
        <w:trPr>
          <w:trHeight w:val="148"/>
        </w:trPr>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 Rate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left="197"/>
              <w:spacing w:after="0"/>
              <w:rPr>
                <w:sz w:val="20"/>
                <w:szCs w:val="20"/>
                <w:color w:val="auto"/>
              </w:rPr>
            </w:pPr>
            <w:r>
              <w:rPr>
                <w:rFonts w:ascii="Arial" w:cs="Arial" w:eastAsia="Arial" w:hAnsi="Arial"/>
                <w:sz w:val="13"/>
                <w:szCs w:val="13"/>
                <w:b w:val="1"/>
                <w:bCs w:val="1"/>
                <w:color w:val="auto"/>
                <w:w w:val="92"/>
              </w:rPr>
              <w:t>Payment</w:t>
            </w:r>
          </w:p>
        </w:tc>
        <w:tc>
          <w:tcPr>
            <w:tcW w:w="280" w:type="dxa"/>
            <w:vAlign w:val="bottom"/>
          </w:tcPr>
          <w:p>
            <w:pPr>
              <w:spacing w:after="0"/>
              <w:rPr>
                <w:sz w:val="12"/>
                <w:szCs w:val="12"/>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Issued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3"/>
              </w:rPr>
              <w:t>Outstanding</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annum)</w:t>
            </w:r>
          </w:p>
        </w:tc>
        <w:tc>
          <w:tcPr>
            <w:tcW w:w="240" w:type="dxa"/>
            <w:vAlign w:val="bottom"/>
          </w:tcPr>
          <w:p>
            <w:pPr>
              <w:spacing w:after="0"/>
              <w:rPr>
                <w:sz w:val="14"/>
                <w:szCs w:val="14"/>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c>
          <w:tcPr>
            <w:tcW w:w="240" w:type="dxa"/>
            <w:vAlign w:val="bottom"/>
          </w:tcPr>
          <w:p>
            <w:pPr>
              <w:spacing w:after="0"/>
              <w:rPr>
                <w:sz w:val="14"/>
                <w:szCs w:val="14"/>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Maturity Date</w:t>
            </w:r>
          </w:p>
        </w:tc>
        <w:tc>
          <w:tcPr>
            <w:tcW w:w="160" w:type="dxa"/>
            <w:vAlign w:val="bottom"/>
          </w:tcPr>
          <w:p>
            <w:pPr>
              <w:spacing w:after="0"/>
              <w:rPr>
                <w:sz w:val="14"/>
                <w:szCs w:val="1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CUSIP</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90"/>
              </w:rPr>
              <w:t>Dates</w:t>
            </w:r>
          </w:p>
        </w:tc>
        <w:tc>
          <w:tcPr>
            <w:tcW w:w="280" w:type="dxa"/>
            <w:vAlign w:val="bottom"/>
            <w:tcBorders>
              <w:bottom w:val="single" w:sz="8" w:color="auto"/>
            </w:tcBorders>
          </w:tcPr>
          <w:p>
            <w:pPr>
              <w:spacing w:after="0"/>
              <w:rPr>
                <w:sz w:val="14"/>
                <w:szCs w:val="14"/>
                <w:color w:val="auto"/>
              </w:rPr>
            </w:pPr>
          </w:p>
        </w:tc>
      </w:tr>
      <w:tr>
        <w:trPr>
          <w:trHeight w:val="192"/>
        </w:trPr>
        <w:tc>
          <w:tcPr>
            <w:tcW w:w="100" w:type="dxa"/>
            <w:vAlign w:val="bottom"/>
          </w:tcPr>
          <w:p>
            <w:pPr>
              <w:jc w:val="right"/>
              <w:spacing w:after="0" w:line="192" w:lineRule="exact"/>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line="192" w:lineRule="exact"/>
              <w:rPr>
                <w:sz w:val="20"/>
                <w:szCs w:val="20"/>
                <w:color w:val="auto"/>
              </w:rPr>
            </w:pPr>
            <w:r>
              <w:rPr>
                <w:rFonts w:ascii="Arial" w:cs="Arial" w:eastAsia="Arial" w:hAnsi="Arial"/>
                <w:sz w:val="17"/>
                <w:szCs w:val="17"/>
                <w:color w:val="auto"/>
                <w:w w:val="98"/>
              </w:rPr>
              <w:t>600 million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line="192" w:lineRule="exact"/>
              <w:rPr>
                <w:sz w:val="20"/>
                <w:szCs w:val="20"/>
                <w:color w:val="auto"/>
              </w:rPr>
            </w:pPr>
            <w:r>
              <w:rPr>
                <w:rFonts w:ascii="Arial" w:cs="Arial" w:eastAsia="Arial" w:hAnsi="Arial"/>
                <w:sz w:val="17"/>
                <w:szCs w:val="17"/>
                <w:color w:val="auto"/>
                <w:w w:val="98"/>
              </w:rPr>
              <w:t>258 million</w:t>
            </w:r>
          </w:p>
        </w:tc>
        <w:tc>
          <w:tcPr>
            <w:tcW w:w="900" w:type="dxa"/>
            <w:vAlign w:val="bottom"/>
          </w:tcPr>
          <w:p>
            <w:pPr>
              <w:jc w:val="right"/>
              <w:ind w:right="16"/>
              <w:spacing w:after="0" w:line="192" w:lineRule="exact"/>
              <w:rPr>
                <w:sz w:val="20"/>
                <w:szCs w:val="20"/>
                <w:color w:val="auto"/>
              </w:rPr>
            </w:pPr>
            <w:r>
              <w:rPr>
                <w:rFonts w:ascii="Arial" w:cs="Arial" w:eastAsia="Arial" w:hAnsi="Arial"/>
                <w:sz w:val="17"/>
                <w:szCs w:val="17"/>
                <w:color w:val="auto"/>
              </w:rPr>
              <w:t>7.00%</w:t>
            </w:r>
          </w:p>
        </w:tc>
        <w:tc>
          <w:tcPr>
            <w:tcW w:w="24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w w:val="92"/>
              </w:rPr>
              <w:t>7/17/1998</w:t>
            </w:r>
          </w:p>
        </w:tc>
        <w:tc>
          <w:tcPr>
            <w:tcW w:w="240" w:type="dxa"/>
            <w:vAlign w:val="bottom"/>
          </w:tcPr>
          <w:p>
            <w:pPr>
              <w:spacing w:after="0"/>
              <w:rPr>
                <w:sz w:val="16"/>
                <w:szCs w:val="16"/>
                <w:color w:val="auto"/>
              </w:rPr>
            </w:pPr>
          </w:p>
        </w:tc>
        <w:tc>
          <w:tcPr>
            <w:tcW w:w="1000" w:type="dxa"/>
            <w:vAlign w:val="bottom"/>
          </w:tcPr>
          <w:p>
            <w:pPr>
              <w:jc w:val="center"/>
              <w:spacing w:after="0" w:line="192" w:lineRule="exact"/>
              <w:rPr>
                <w:sz w:val="20"/>
                <w:szCs w:val="20"/>
                <w:color w:val="auto"/>
              </w:rPr>
            </w:pPr>
            <w:r>
              <w:rPr>
                <w:rFonts w:ascii="Arial" w:cs="Arial" w:eastAsia="Arial" w:hAnsi="Arial"/>
                <w:sz w:val="17"/>
                <w:szCs w:val="17"/>
                <w:color w:val="auto"/>
                <w:w w:val="94"/>
              </w:rPr>
              <w:t>7/15/2028*</w:t>
            </w:r>
          </w:p>
        </w:tc>
        <w:tc>
          <w:tcPr>
            <w:tcW w:w="160" w:type="dxa"/>
            <w:vAlign w:val="bottom"/>
          </w:tcPr>
          <w:p>
            <w:pPr>
              <w:spacing w:after="0"/>
              <w:rPr>
                <w:sz w:val="16"/>
                <w:szCs w:val="16"/>
                <w:color w:val="auto"/>
              </w:rPr>
            </w:pPr>
          </w:p>
        </w:tc>
        <w:tc>
          <w:tcPr>
            <w:tcW w:w="1240" w:type="dxa"/>
            <w:vAlign w:val="bottom"/>
            <w:gridSpan w:val="2"/>
          </w:tcPr>
          <w:p>
            <w:pPr>
              <w:jc w:val="center"/>
              <w:ind w:right="160"/>
              <w:spacing w:after="0" w:line="192" w:lineRule="exact"/>
              <w:rPr>
                <w:sz w:val="20"/>
                <w:szCs w:val="20"/>
                <w:color w:val="auto"/>
              </w:rPr>
            </w:pPr>
            <w:r>
              <w:rPr>
                <w:rFonts w:ascii="Arial" w:cs="Arial" w:eastAsia="Arial" w:hAnsi="Arial"/>
                <w:sz w:val="17"/>
                <w:szCs w:val="17"/>
                <w:color w:val="auto"/>
                <w:w w:val="93"/>
              </w:rPr>
              <w:t>902917AH6</w:t>
            </w:r>
          </w:p>
        </w:tc>
        <w:tc>
          <w:tcPr>
            <w:tcW w:w="1620" w:type="dxa"/>
            <w:vAlign w:val="bottom"/>
          </w:tcPr>
          <w:p>
            <w:pPr>
              <w:jc w:val="center"/>
              <w:ind w:left="197"/>
              <w:spacing w:after="0" w:line="192" w:lineRule="exact"/>
              <w:rPr>
                <w:sz w:val="20"/>
                <w:szCs w:val="20"/>
                <w:color w:val="auto"/>
              </w:rPr>
            </w:pPr>
            <w:r>
              <w:rPr>
                <w:rFonts w:ascii="Arial" w:cs="Arial" w:eastAsia="Arial" w:hAnsi="Arial"/>
                <w:sz w:val="17"/>
                <w:szCs w:val="17"/>
                <w:color w:val="auto"/>
                <w:w w:val="90"/>
              </w:rPr>
              <w:t>January 15; July 15</w:t>
            </w:r>
          </w:p>
        </w:tc>
        <w:tc>
          <w:tcPr>
            <w:tcW w:w="280" w:type="dxa"/>
            <w:vAlign w:val="bottom"/>
          </w:tcPr>
          <w:p>
            <w:pPr>
              <w:spacing w:after="0"/>
              <w:rPr>
                <w:sz w:val="16"/>
                <w:szCs w:val="16"/>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81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7.375%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1/21/2000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4"/>
              </w:rPr>
              <w:t>5/15/2029*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94106LAG4</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144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7.75%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1/3/2003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4"/>
              </w:rPr>
              <w:t>5/15/2032*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94106LAN9</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600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246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6.125%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11/17/2009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11/30/2039</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94106LAV1</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30; November 30</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2.90%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9/12/2012</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9/15/2022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94106LAY5</w:t>
            </w:r>
          </w:p>
        </w:tc>
        <w:tc>
          <w:tcPr>
            <w:tcW w:w="1620" w:type="dxa"/>
            <w:vAlign w:val="bottom"/>
          </w:tcPr>
          <w:p>
            <w:pPr>
              <w:jc w:val="right"/>
              <w:spacing w:after="0"/>
              <w:rPr>
                <w:sz w:val="20"/>
                <w:szCs w:val="20"/>
                <w:color w:val="auto"/>
              </w:rPr>
            </w:pPr>
            <w:r>
              <w:rPr>
                <w:rFonts w:ascii="Arial" w:cs="Arial" w:eastAsia="Arial" w:hAnsi="Arial"/>
                <w:sz w:val="17"/>
                <w:szCs w:val="17"/>
                <w:color w:val="auto"/>
                <w:w w:val="95"/>
              </w:rPr>
              <w:t>March 15; September</w:t>
            </w:r>
          </w:p>
        </w:tc>
        <w:tc>
          <w:tcPr>
            <w:tcW w:w="280" w:type="dxa"/>
            <w:vAlign w:val="bottom"/>
          </w:tcPr>
          <w:p>
            <w:pPr>
              <w:spacing w:after="0"/>
              <w:rPr>
                <w:sz w:val="20"/>
                <w:szCs w:val="20"/>
                <w:color w:val="auto"/>
              </w:rPr>
            </w:pPr>
            <w:r>
              <w:rPr>
                <w:rFonts w:ascii="Arial" w:cs="Arial" w:eastAsia="Arial" w:hAnsi="Arial"/>
                <w:sz w:val="17"/>
                <w:szCs w:val="17"/>
                <w:color w:val="auto"/>
              </w:rPr>
              <w:t>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350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156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5/8/2014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5/15/2024</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5"/>
              </w:rPr>
              <w:t>94106LAZ2</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600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422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3/1/2025</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94106LBA6</w:t>
            </w:r>
          </w:p>
        </w:tc>
        <w:tc>
          <w:tcPr>
            <w:tcW w:w="1620" w:type="dxa"/>
            <w:vAlign w:val="bottom"/>
          </w:tcPr>
          <w:p>
            <w:pPr>
              <w:jc w:val="right"/>
              <w:spacing w:after="0"/>
              <w:rPr>
                <w:sz w:val="20"/>
                <w:szCs w:val="20"/>
                <w:color w:val="auto"/>
              </w:rPr>
            </w:pPr>
            <w:r>
              <w:rPr>
                <w:rFonts w:ascii="Arial" w:cs="Arial" w:eastAsia="Arial" w:hAnsi="Arial"/>
                <w:sz w:val="17"/>
                <w:szCs w:val="17"/>
                <w:color w:val="auto"/>
              </w:rPr>
              <w:t>March 1; September</w:t>
            </w:r>
          </w:p>
        </w:tc>
        <w:tc>
          <w:tcPr>
            <w:tcW w:w="280" w:type="dxa"/>
            <w:vAlign w:val="bottom"/>
          </w:tcPr>
          <w:p>
            <w:pPr>
              <w:spacing w:after="0"/>
              <w:rPr>
                <w:sz w:val="20"/>
                <w:szCs w:val="20"/>
                <w:color w:val="auto"/>
              </w:rPr>
            </w:pPr>
            <w:r>
              <w:rPr>
                <w:rFonts w:ascii="Arial" w:cs="Arial" w:eastAsia="Arial" w:hAnsi="Arial"/>
                <w:sz w:val="17"/>
                <w:szCs w:val="17"/>
                <w:color w:val="auto"/>
              </w:rPr>
              <w:t>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297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3.90%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3/1/2035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94106LBB4</w:t>
            </w:r>
          </w:p>
        </w:tc>
        <w:tc>
          <w:tcPr>
            <w:tcW w:w="1620" w:type="dxa"/>
            <w:vAlign w:val="bottom"/>
          </w:tcPr>
          <w:p>
            <w:pPr>
              <w:jc w:val="right"/>
              <w:spacing w:after="0"/>
              <w:rPr>
                <w:sz w:val="20"/>
                <w:szCs w:val="20"/>
                <w:color w:val="auto"/>
              </w:rPr>
            </w:pPr>
            <w:r>
              <w:rPr>
                <w:rFonts w:ascii="Arial" w:cs="Arial" w:eastAsia="Arial" w:hAnsi="Arial"/>
                <w:sz w:val="17"/>
                <w:szCs w:val="17"/>
                <w:color w:val="auto"/>
              </w:rPr>
              <w:t>March 1; September</w:t>
            </w:r>
          </w:p>
        </w:tc>
        <w:tc>
          <w:tcPr>
            <w:tcW w:w="280" w:type="dxa"/>
            <w:vAlign w:val="bottom"/>
          </w:tcPr>
          <w:p>
            <w:pPr>
              <w:spacing w:after="0"/>
              <w:rPr>
                <w:sz w:val="20"/>
                <w:szCs w:val="20"/>
                <w:color w:val="auto"/>
              </w:rPr>
            </w:pPr>
            <w:r>
              <w:rPr>
                <w:rFonts w:ascii="Arial" w:cs="Arial" w:eastAsia="Arial" w:hAnsi="Arial"/>
                <w:sz w:val="17"/>
                <w:szCs w:val="17"/>
                <w:color w:val="auto"/>
              </w:rPr>
              <w:t>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750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416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4.10%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3/1/2045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94106LBC2</w:t>
            </w:r>
          </w:p>
        </w:tc>
        <w:tc>
          <w:tcPr>
            <w:tcW w:w="1620" w:type="dxa"/>
            <w:vAlign w:val="bottom"/>
          </w:tcPr>
          <w:p>
            <w:pPr>
              <w:jc w:val="right"/>
              <w:spacing w:after="0"/>
              <w:rPr>
                <w:sz w:val="20"/>
                <w:szCs w:val="20"/>
                <w:color w:val="auto"/>
              </w:rPr>
            </w:pPr>
            <w:r>
              <w:rPr>
                <w:rFonts w:ascii="Arial" w:cs="Arial" w:eastAsia="Arial" w:hAnsi="Arial"/>
                <w:sz w:val="17"/>
                <w:szCs w:val="17"/>
                <w:color w:val="auto"/>
              </w:rPr>
              <w:t>March 1; September</w:t>
            </w:r>
          </w:p>
        </w:tc>
        <w:tc>
          <w:tcPr>
            <w:tcW w:w="280" w:type="dxa"/>
            <w:vAlign w:val="bottom"/>
          </w:tcPr>
          <w:p>
            <w:pPr>
              <w:spacing w:after="0"/>
              <w:rPr>
                <w:sz w:val="20"/>
                <w:szCs w:val="20"/>
                <w:color w:val="auto"/>
              </w:rPr>
            </w:pPr>
            <w:r>
              <w:rPr>
                <w:rFonts w:ascii="Arial" w:cs="Arial" w:eastAsia="Arial" w:hAnsi="Arial"/>
                <w:sz w:val="17"/>
                <w:szCs w:val="17"/>
                <w:color w:val="auto"/>
              </w:rPr>
              <w:t>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2.40%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5/16/2016</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5/15/2023</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94106LBD0</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750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750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11/8/2017</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11/15/2027</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94106LBE8</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 billion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684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4.15%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5/22/2019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7/15/2049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94106LBK4</w:t>
            </w:r>
          </w:p>
        </w:tc>
        <w:tc>
          <w:tcPr>
            <w:tcW w:w="1620" w:type="dxa"/>
            <w:vAlign w:val="bottom"/>
          </w:tcPr>
          <w:p>
            <w:pPr>
              <w:jc w:val="center"/>
              <w:ind w:left="197"/>
              <w:spacing w:after="0"/>
              <w:rPr>
                <w:sz w:val="20"/>
                <w:szCs w:val="20"/>
                <w:color w:val="auto"/>
              </w:rPr>
            </w:pPr>
            <w:r>
              <w:rPr>
                <w:rFonts w:ascii="Arial" w:cs="Arial" w:eastAsia="Arial" w:hAnsi="Arial"/>
                <w:sz w:val="17"/>
                <w:szCs w:val="17"/>
                <w:color w:val="auto"/>
                <w:w w:val="90"/>
              </w:rPr>
              <w:t>January 15; July 15</w:t>
            </w:r>
          </w:p>
        </w:tc>
        <w:tc>
          <w:tcPr>
            <w:tcW w:w="280" w:type="dxa"/>
            <w:vAlign w:val="bottom"/>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0.75%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11/15/2025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94106LBL2</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3/15/2028</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94106LBN8</w:t>
            </w:r>
          </w:p>
        </w:tc>
        <w:tc>
          <w:tcPr>
            <w:tcW w:w="1620" w:type="dxa"/>
            <w:vAlign w:val="bottom"/>
          </w:tcPr>
          <w:p>
            <w:pPr>
              <w:jc w:val="right"/>
              <w:spacing w:after="0"/>
              <w:rPr>
                <w:sz w:val="20"/>
                <w:szCs w:val="20"/>
                <w:color w:val="auto"/>
              </w:rPr>
            </w:pPr>
            <w:r>
              <w:rPr>
                <w:rFonts w:ascii="Arial" w:cs="Arial" w:eastAsia="Arial" w:hAnsi="Arial"/>
                <w:sz w:val="17"/>
                <w:szCs w:val="17"/>
                <w:color w:val="auto"/>
                <w:w w:val="95"/>
              </w:rPr>
              <w:t>March 15; September</w:t>
            </w:r>
          </w:p>
        </w:tc>
        <w:tc>
          <w:tcPr>
            <w:tcW w:w="280" w:type="dxa"/>
            <w:vAlign w:val="bottom"/>
          </w:tcPr>
          <w:p>
            <w:pPr>
              <w:spacing w:after="0"/>
              <w:rPr>
                <w:sz w:val="20"/>
                <w:szCs w:val="20"/>
                <w:color w:val="auto"/>
              </w:rPr>
            </w:pPr>
            <w:r>
              <w:rPr>
                <w:rFonts w:ascii="Arial" w:cs="Arial" w:eastAsia="Arial" w:hAnsi="Arial"/>
                <w:sz w:val="17"/>
                <w:szCs w:val="17"/>
                <w:color w:val="auto"/>
              </w:rPr>
              <w:t>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 billion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 billion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3/15/2031</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94106LBP3</w:t>
            </w:r>
          </w:p>
        </w:tc>
        <w:tc>
          <w:tcPr>
            <w:tcW w:w="1620" w:type="dxa"/>
            <w:vAlign w:val="bottom"/>
          </w:tcPr>
          <w:p>
            <w:pPr>
              <w:jc w:val="right"/>
              <w:spacing w:after="0"/>
              <w:rPr>
                <w:sz w:val="20"/>
                <w:szCs w:val="20"/>
                <w:color w:val="auto"/>
              </w:rPr>
            </w:pPr>
            <w:r>
              <w:rPr>
                <w:rFonts w:ascii="Arial" w:cs="Arial" w:eastAsia="Arial" w:hAnsi="Arial"/>
                <w:sz w:val="17"/>
                <w:szCs w:val="17"/>
                <w:color w:val="auto"/>
                <w:w w:val="95"/>
              </w:rPr>
              <w:t>March 15; September</w:t>
            </w:r>
          </w:p>
        </w:tc>
        <w:tc>
          <w:tcPr>
            <w:tcW w:w="280" w:type="dxa"/>
            <w:vAlign w:val="bottom"/>
          </w:tcPr>
          <w:p>
            <w:pPr>
              <w:spacing w:after="0"/>
              <w:rPr>
                <w:sz w:val="20"/>
                <w:szCs w:val="20"/>
                <w:color w:val="auto"/>
              </w:rPr>
            </w:pPr>
            <w:r>
              <w:rPr>
                <w:rFonts w:ascii="Arial" w:cs="Arial" w:eastAsia="Arial" w:hAnsi="Arial"/>
                <w:sz w:val="17"/>
                <w:szCs w:val="17"/>
                <w:color w:val="auto"/>
              </w:rPr>
              <w:t>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11/15/2050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5"/>
              </w:rPr>
              <w:t>94106LBM0</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475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475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6/1/2029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94106LBQ1</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88"/>
              </w:rPr>
              <w:t>June 1; December 1</w:t>
            </w:r>
          </w:p>
        </w:tc>
      </w:tr>
      <w:tr>
        <w:trPr>
          <w:trHeight w:val="243"/>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475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475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2.95%</w:t>
            </w:r>
          </w:p>
        </w:tc>
        <w:tc>
          <w:tcPr>
            <w:tcW w:w="2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5/12/2021</w:t>
            </w:r>
          </w:p>
        </w:tc>
        <w:tc>
          <w:tcPr>
            <w:tcW w:w="2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6/1/2041</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94106LBR9</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88"/>
              </w:rPr>
              <w:t>June 1; December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71120</wp:posOffset>
            </wp:positionV>
            <wp:extent cx="14141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9" w:lineRule="exact"/>
        <w:rPr>
          <w:sz w:val="20"/>
          <w:szCs w:val="20"/>
          <w:color w:val="auto"/>
        </w:rPr>
      </w:pPr>
    </w:p>
    <w:p>
      <w:pPr>
        <w:jc w:val="both"/>
        <w:ind w:left="360" w:right="59" w:hanging="316"/>
        <w:spacing w:after="0" w:line="294" w:lineRule="auto"/>
        <w:tabs>
          <w:tab w:leader="none" w:pos="3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Only these series of Senior Notes do not contain a Change of Control Offer covenant. Such covenant provides that, if a change of control triggering event occurs, each holder of the notes may require us to purchase all or a portion of such holder’s notes at a price equal to 101% of the principal amount, plus accrued interest, if any, to the date of purchase.</w:t>
      </w:r>
    </w:p>
    <w:p>
      <w:pPr>
        <w:spacing w:after="0" w:line="134"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Senior Notes is governed by an instrument that differs only in the material respects set forth in the schedule above from the Officers’ Certificate identified as Exhibit 4.8 to this Form 10-K.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335280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523240</wp:posOffset>
            </wp:positionH>
            <wp:positionV relativeFrom="page">
              <wp:posOffset>95250</wp:posOffset>
            </wp:positionV>
            <wp:extent cx="6501765" cy="79508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6501765" cy="7950835"/>
                    </a:xfrm>
                    <a:prstGeom prst="rect">
                      <a:avLst/>
                    </a:prstGeom>
                    <a:noFill/>
                  </pic:spPr>
                </pic:pic>
              </a:graphicData>
            </a:graphic>
          </wp:anchor>
        </w:drawing>
        <w:t>EXHIBIT 10.19</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2021 Long Term Incentive Compensation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i w:val="1"/>
          <w:iCs w:val="1"/>
          <w:color w:val="auto"/>
        </w:rPr>
        <w:t>RSU Award under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i w:val="1"/>
          <w:iCs w:val="1"/>
          <w:color w:val="auto"/>
        </w:rPr>
        <w:t>Waste Management, Inc. 2014 Stock Incentive Plan</w:t>
      </w:r>
    </w:p>
    <w:p>
      <w:pPr>
        <w:spacing w:after="0" w:line="8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you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2014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this Agreement, and all applicable administrative interpretations and practices. A copy of the Plan is available online at </w:t>
      </w:r>
      <w:r>
        <w:rPr>
          <w:rFonts w:ascii="Arial" w:cs="Arial" w:eastAsia="Arial" w:hAnsi="Arial"/>
          <w:sz w:val="20"/>
          <w:szCs w:val="20"/>
          <w:b w:val="1"/>
          <w:bCs w:val="1"/>
          <w:color w:val="000099"/>
        </w:rPr>
        <w:t xml:space="preserve">http://visor.wm.com </w:t>
      </w:r>
      <w:r>
        <w:rPr>
          <w:rFonts w:ascii="Arial" w:cs="Arial" w:eastAsia="Arial" w:hAnsi="Arial"/>
          <w:sz w:val="20"/>
          <w:szCs w:val="20"/>
          <w:color w:val="000000"/>
        </w:rPr>
        <w:t>under the Legal tab. Once there, scroll to the bottom of the Legal page, then choose</w:t>
      </w:r>
      <w:r>
        <w:rPr>
          <w:rFonts w:ascii="Arial" w:cs="Arial" w:eastAsia="Arial" w:hAnsi="Arial"/>
          <w:sz w:val="20"/>
          <w:szCs w:val="20"/>
          <w:b w:val="1"/>
          <w:bCs w:val="1"/>
          <w:color w:val="000099"/>
        </w:rPr>
        <w:t xml:space="preserve"> </w:t>
      </w:r>
      <w:r>
        <w:rPr>
          <w:rFonts w:ascii="Arial" w:cs="Arial" w:eastAsia="Arial" w:hAnsi="Arial"/>
          <w:sz w:val="20"/>
          <w:szCs w:val="20"/>
          <w:color w:val="000000"/>
        </w:rPr>
        <w:t xml:space="preserve">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www.wm.com under Financial Reporting – Annual Reports, for information about the Company. By executing this Agreement, you consent to receipt of the Plan, the Prospectus, and the Annual Reports by electronic access as set forth in this paragraph. </w:t>
      </w:r>
      <w:r>
        <w:rPr>
          <w:rFonts w:ascii="Arial" w:cs="Arial" w:eastAsia="Arial" w:hAnsi="Arial"/>
          <w:sz w:val="20"/>
          <w:szCs w:val="20"/>
          <w:b w:val="1"/>
          <w:bCs w:val="1"/>
          <w:u w:val="single" w:color="auto"/>
          <w:color w:val="000000"/>
        </w:rPr>
        <w:t>If you are a resident of Canada, additional terms applicable to your Award</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00"/>
        </w:rPr>
        <w:t>are contained in a separate attached addendum which must be reviewed in conjunction with this Agreement and the Plan.</w:t>
      </w:r>
    </w:p>
    <w:p>
      <w:pPr>
        <w:spacing w:after="0" w:line="181" w:lineRule="exact"/>
        <w:rPr>
          <w:sz w:val="20"/>
          <w:szCs w:val="20"/>
          <w:color w:val="auto"/>
        </w:rPr>
      </w:pPr>
    </w:p>
    <w:p>
      <w:pPr>
        <w:jc w:val="both"/>
        <w:ind w:right="500"/>
        <w:spacing w:after="0" w:line="241" w:lineRule="auto"/>
        <w:rPr>
          <w:sz w:val="20"/>
          <w:szCs w:val="20"/>
          <w:color w:val="auto"/>
        </w:rPr>
      </w:pPr>
      <w:r>
        <w:rPr>
          <w:rFonts w:ascii="Arial" w:cs="Arial" w:eastAsia="Arial" w:hAnsi="Arial"/>
          <w:sz w:val="20"/>
          <w:szCs w:val="20"/>
          <w:b w:val="1"/>
          <w:bCs w:val="1"/>
          <w:u w:val="single" w:color="auto"/>
          <w:color w:val="auto"/>
        </w:rPr>
        <w:t xml:space="preserve">You must execute this Agreement in full, online in accordance with the instructions below, prior to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 order for this Agreement to become effective</w:t>
      </w:r>
      <w:r>
        <w:rPr>
          <w:rFonts w:ascii="Arial" w:cs="Arial" w:eastAsia="Arial" w:hAnsi="Arial"/>
          <w:sz w:val="20"/>
          <w:szCs w:val="20"/>
          <w:b w:val="1"/>
          <w:bCs w:val="1"/>
          <w:color w:val="auto"/>
        </w:rPr>
        <w:t>. If you do not execute this Agreement by correctly following the instructions below, your Awards may be cancelled.</w:t>
      </w:r>
    </w:p>
    <w:p>
      <w:pPr>
        <w:spacing w:after="0" w:line="171"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 xml:space="preserve">If you have previously received a stock-based incentive award, simply log on to </w:t>
      </w:r>
      <w:r>
        <w:rPr>
          <w:rFonts w:ascii="Arial" w:cs="Arial" w:eastAsia="Arial" w:hAnsi="Arial"/>
          <w:sz w:val="19"/>
          <w:szCs w:val="19"/>
          <w:b w:val="1"/>
          <w:bCs w:val="1"/>
          <w:color w:val="000099"/>
        </w:rPr>
        <w:t>www.mywmtotalrewards.com</w:t>
      </w:r>
      <w:r>
        <w:rPr>
          <w:rFonts w:ascii="Arial" w:cs="Arial" w:eastAsia="Arial" w:hAnsi="Arial"/>
          <w:sz w:val="19"/>
          <w:szCs w:val="19"/>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9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20"/>
          <w:szCs w:val="20"/>
          <w:b w:val="1"/>
          <w:bCs w:val="1"/>
          <w:color w:val="000099"/>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20"/>
          <w:szCs w:val="20"/>
          <w:b w:val="1"/>
          <w:bCs w:val="1"/>
          <w:color w:val="000099"/>
        </w:rPr>
        <w:t>www.benefits.ml.com</w:t>
      </w:r>
      <w:r>
        <w:rPr>
          <w:rFonts w:ascii="Arial" w:cs="Arial" w:eastAsia="Arial" w:hAnsi="Arial"/>
          <w:sz w:val="20"/>
          <w:szCs w:val="20"/>
          <w:color w:val="000000"/>
        </w:rPr>
        <w:t>. Once logged in, follow the prompts to “Open a Brokerage Account”. When you have</w:t>
      </w:r>
      <w:r>
        <w:rPr>
          <w:rFonts w:ascii="Arial" w:cs="Arial" w:eastAsia="Arial" w:hAnsi="Arial"/>
          <w:sz w:val="20"/>
          <w:szCs w:val="20"/>
          <w:b w:val="1"/>
          <w:bCs w:val="1"/>
          <w:color w:val="000099"/>
        </w:rPr>
        <w:t xml:space="preserve"> </w:t>
      </w:r>
      <w:r>
        <w:rPr>
          <w:rFonts w:ascii="Arial" w:cs="Arial" w:eastAsia="Arial" w:hAnsi="Arial"/>
          <w:sz w:val="20"/>
          <w:szCs w:val="20"/>
          <w:color w:val="000000"/>
        </w:rPr>
        <w:t>successfully created your account, follow the online instructions and complete all of the steps required to accept the award.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Restricted Stock Units</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u w:val="single" w:color="auto"/>
          <w:color w:val="auto"/>
        </w:rPr>
        <w:t>RSU Grant</w:t>
      </w:r>
      <w:r>
        <w:rPr>
          <w:rFonts w:ascii="Arial" w:cs="Arial" w:eastAsia="Arial" w:hAnsi="Arial"/>
          <w:sz w:val="19"/>
          <w:szCs w:val="19"/>
          <w:color w:val="auto"/>
        </w:rPr>
        <w:t>. The Company grants to Employee the number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i w:val="1"/>
          <w:iCs w:val="1"/>
          <w:color w:val="auto"/>
        </w:rPr>
        <w:t>”</w:t>
      </w:r>
      <w:r>
        <w:rPr>
          <w:rFonts w:ascii="Arial" w:cs="Arial" w:eastAsia="Arial" w:hAnsi="Arial"/>
          <w:sz w:val="19"/>
          <w:szCs w:val="19"/>
          <w:color w:val="auto"/>
        </w:rPr>
        <w:t>) provided in</w:t>
      </w:r>
    </w:p>
    <w:p>
      <w:pPr>
        <w:spacing w:after="0" w:line="22" w:lineRule="exact"/>
        <w:rPr>
          <w:sz w:val="20"/>
          <w:szCs w:val="20"/>
          <w:color w:val="auto"/>
        </w:rPr>
      </w:pPr>
    </w:p>
    <w:p>
      <w:pPr>
        <w:jc w:val="both"/>
        <w:ind w:left="340" w:right="140"/>
        <w:spacing w:after="0" w:line="230" w:lineRule="auto"/>
        <w:rPr>
          <w:sz w:val="20"/>
          <w:szCs w:val="20"/>
          <w:color w:val="auto"/>
        </w:rPr>
      </w:pPr>
      <w:r>
        <w:rPr>
          <w:rFonts w:ascii="Arial" w:cs="Arial" w:eastAsia="Arial" w:hAnsi="Arial"/>
          <w:sz w:val="20"/>
          <w:szCs w:val="20"/>
          <w:color w:val="auto"/>
        </w:rPr>
        <w:t>the Notice of Long Term Incentive Operations Tier Award dated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RSUs are notational units of measurement denominated in shares of common stock of the Company, $.01 par value (“</w:t>
      </w:r>
      <w:r>
        <w:rPr>
          <w:rFonts w:ascii="Arial" w:cs="Arial" w:eastAsia="Arial" w:hAnsi="Arial"/>
          <w:sz w:val="20"/>
          <w:szCs w:val="20"/>
          <w:b w:val="1"/>
          <w:bCs w:val="1"/>
          <w:i w:val="1"/>
          <w:iCs w:val="1"/>
          <w:color w:val="auto"/>
        </w:rPr>
        <w:t>Common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Each RSU represents a hypothetical share of Common Stock. Upon your timely execution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WM will credit your RSUs to an unfunded bookkeeping account for you.</w:t>
      </w:r>
    </w:p>
    <w:p>
      <w:pPr>
        <w:spacing w:after="0" w:line="174" w:lineRule="exact"/>
        <w:rPr>
          <w:sz w:val="20"/>
          <w:szCs w:val="20"/>
          <w:color w:val="auto"/>
        </w:rPr>
      </w:pPr>
    </w:p>
    <w:p>
      <w:pPr>
        <w:ind w:left="340" w:right="200" w:hanging="332"/>
        <w:spacing w:after="0" w:line="208" w:lineRule="auto"/>
        <w:tabs>
          <w:tab w:leader="none" w:pos="34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Vesting of RSUs</w:t>
      </w:r>
      <w:r>
        <w:rPr>
          <w:rFonts w:ascii="Arial" w:cs="Arial" w:eastAsia="Arial" w:hAnsi="Arial"/>
          <w:sz w:val="20"/>
          <w:szCs w:val="20"/>
          <w:color w:val="auto"/>
        </w:rPr>
        <w:t>. The RSUs granted by this Agreement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RSU Awards</w:t>
      </w:r>
      <w:r>
        <w:rPr>
          <w:rFonts w:ascii="Arial" w:cs="Arial" w:eastAsia="Arial" w:hAnsi="Arial"/>
          <w:sz w:val="20"/>
          <w:szCs w:val="20"/>
          <w:color w:val="auto"/>
        </w:rPr>
        <w:t>”) vest entirely on the third (3</w:t>
      </w:r>
      <w:r>
        <w:rPr>
          <w:rFonts w:ascii="Arial" w:cs="Arial" w:eastAsia="Arial" w:hAnsi="Arial"/>
          <w:sz w:val="29"/>
          <w:szCs w:val="29"/>
          <w:color w:val="auto"/>
          <w:vertAlign w:val="superscript"/>
        </w:rPr>
        <w:t>rd</w:t>
      </w:r>
      <w:r>
        <w:rPr>
          <w:rFonts w:ascii="Arial" w:cs="Arial" w:eastAsia="Arial" w:hAnsi="Arial"/>
          <w:sz w:val="20"/>
          <w:szCs w:val="20"/>
          <w:color w:val="auto"/>
        </w:rPr>
        <w:t xml:space="preserve">) anniversary of the Grant Date, unless earlier vested or forfeited under this Agreement. The date of vesting is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Except as otherwise provided herein, your RSUs generally vest only if you are continuously employed from the Grant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323" w:right="1039" w:bottom="1440" w:gutter="0" w:footer="0" w:header="0"/>
        </w:sectPr>
      </w:pPr>
    </w:p>
    <w:bookmarkStart w:id="134" w:name="page135"/>
    <w:bookmarkEnd w:id="134"/>
    <w:p>
      <w:pPr>
        <w:ind w:left="340" w:right="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7450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6501765" cy="7745095"/>
                    </a:xfrm>
                    <a:prstGeom prst="rect">
                      <a:avLst/>
                    </a:prstGeom>
                    <a:noFill/>
                  </pic:spPr>
                </pic:pic>
              </a:graphicData>
            </a:graphic>
          </wp:anchor>
        </w:drawing>
        <w:t xml:space="preserve">Date to the Vesting Date, subject to the exceptions discussed below. The period of time from the Grant Date (inclusive) to the Vesting Date is the </w:t>
      </w:r>
      <w:r>
        <w:rPr>
          <w:rFonts w:ascii="Arial" w:cs="Arial" w:eastAsia="Arial" w:hAnsi="Arial"/>
          <w:sz w:val="20"/>
          <w:szCs w:val="20"/>
          <w:b w:val="1"/>
          <w:bCs w:val="1"/>
          <w:i w:val="1"/>
          <w:iCs w:val="1"/>
          <w:color w:val="auto"/>
        </w:rPr>
        <w:t>Restriction Period</w:t>
      </w:r>
      <w:r>
        <w:rPr>
          <w:rFonts w:ascii="Arial" w:cs="Arial" w:eastAsia="Arial" w:hAnsi="Arial"/>
          <w:sz w:val="20"/>
          <w:szCs w:val="20"/>
          <w:color w:val="auto"/>
        </w:rPr>
        <w:t>.</w:t>
      </w:r>
    </w:p>
    <w:p>
      <w:pPr>
        <w:spacing w:after="0" w:line="196" w:lineRule="exact"/>
        <w:rPr>
          <w:sz w:val="20"/>
          <w:szCs w:val="20"/>
          <w:color w:val="auto"/>
        </w:rPr>
      </w:pPr>
    </w:p>
    <w:p>
      <w:pPr>
        <w:ind w:left="340" w:right="220" w:hanging="332"/>
        <w:spacing w:after="0" w:line="230" w:lineRule="auto"/>
        <w:tabs>
          <w:tab w:leader="none" w:pos="34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Timing and Form of Payment of RSU Award</w:t>
      </w:r>
      <w:r>
        <w:rPr>
          <w:rFonts w:ascii="Arial" w:cs="Arial" w:eastAsia="Arial" w:hAnsi="Arial"/>
          <w:sz w:val="20"/>
          <w:szCs w:val="20"/>
          <w:color w:val="auto"/>
        </w:rPr>
        <w:t>. Upon vesting, each RSU is converted to one share of Common Stock, free of any restrictions. WM will deliver the shares of Common Stock to you and make payment of the corresponding Dividend Equivalents as soon as administratively feasible (and no later than 74 days) following the Vesting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Important Award Details</w:t>
      </w:r>
    </w:p>
    <w:p>
      <w:pPr>
        <w:spacing w:after="0" w:line="22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Your RSU Awards under this Agreement are subject to important terms and conditions set forth below. Please read them carefully and seek advice from your own legal and tax advisors before executing this Agreement.</w:t>
      </w:r>
    </w:p>
    <w:p>
      <w:pPr>
        <w:spacing w:after="0" w:line="196" w:lineRule="exact"/>
        <w:rPr>
          <w:sz w:val="20"/>
          <w:szCs w:val="20"/>
          <w:color w:val="auto"/>
        </w:rPr>
      </w:pPr>
    </w:p>
    <w:p>
      <w:pPr>
        <w:ind w:left="340" w:right="40" w:hanging="332"/>
        <w:spacing w:after="0" w:line="228" w:lineRule="auto"/>
        <w:tabs>
          <w:tab w:leader="none" w:pos="34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 (a)(2)(C)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be entitled to immediate vesting in full of all RSUs under this Agreement (and related unpaid Dividend Equivalents attributable to the time period from the Grant Date to the time of such immediate vesting), which shall be issued and paid within 74 days following the date of such death or Disability, as applicable.</w:t>
      </w:r>
    </w:p>
    <w:p>
      <w:pPr>
        <w:spacing w:after="0" w:line="198" w:lineRule="exact"/>
        <w:rPr>
          <w:rFonts w:ascii="Arial" w:cs="Arial" w:eastAsia="Arial" w:hAnsi="Arial"/>
          <w:sz w:val="20"/>
          <w:szCs w:val="20"/>
          <w:color w:val="auto"/>
        </w:rPr>
      </w:pPr>
    </w:p>
    <w:p>
      <w:pPr>
        <w:ind w:left="340" w:hanging="332"/>
        <w:spacing w:after="0"/>
        <w:tabs>
          <w:tab w:leader="none" w:pos="34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Retirement; 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40" w:hanging="328"/>
        <w:spacing w:after="0" w:line="228" w:lineRule="auto"/>
        <w:tabs>
          <w:tab w:leader="none" w:pos="660"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Upon an involuntary Termination of Employment by WM without Cause (as defined in paragraph 5.a.iii below), Employee shall be entitled to the amount of RSUs and any related Dividend Equivalents on such RSUs through the Vesting Date that Employee would have been entitled to under this Agreement if Employee had remained employed until the Vesting Date multiplied by the fraction which has as its numerator the total number of days that Employee was employed by WM during the period beginning on the Grant Date and ending on the date of Termination of Employment and has as its denominator 1095, which shall be issued and paid no later than 74 days following the normal Vesting Date (i.e. the three-year anniversary of the Grant Date).</w:t>
      </w:r>
    </w:p>
    <w:p>
      <w:pPr>
        <w:spacing w:after="0" w:line="196" w:lineRule="exact"/>
        <w:rPr>
          <w:rFonts w:ascii="Arial" w:cs="Arial" w:eastAsia="Arial" w:hAnsi="Arial"/>
          <w:sz w:val="20"/>
          <w:szCs w:val="20"/>
          <w:color w:val="auto"/>
        </w:rPr>
      </w:pPr>
    </w:p>
    <w:p>
      <w:pPr>
        <w:ind w:left="660" w:right="80" w:hanging="328"/>
        <w:spacing w:after="0" w:line="239" w:lineRule="auto"/>
        <w:tabs>
          <w:tab w:leader="none" w:pos="66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Upon Employee’s Retirement (as defined in paragraph 2.e below), Employee shall be entitled to the amount of RSUs and any related Dividend Equivalents on such RSUs through the Vesting Date that Employee would have been entitled to under this Agreement if Employee had remained employed until the Vesting Date multiplied by the fraction which has as its numerator the total number of days that Employee was employed by WM during the calendar year in which the Grant Date occurred and has as its denominator 365, which shall be issued and paid no later than 74 days following the normal Vesting Date (i.e. the three-year anniversary of the Grant Date). To illustrate the preceding sentence, if Employee retires on or after the first day of the calendar year following the calendar year in which the Grant Date occurs, he or she shall be entitled to receive a full payout at such time.</w:t>
      </w:r>
    </w:p>
    <w:p>
      <w:pPr>
        <w:spacing w:after="0" w:line="201" w:lineRule="exact"/>
        <w:rPr>
          <w:rFonts w:ascii="Arial" w:cs="Arial" w:eastAsia="Arial" w:hAnsi="Arial"/>
          <w:sz w:val="19"/>
          <w:szCs w:val="19"/>
          <w:color w:val="auto"/>
        </w:rPr>
      </w:pPr>
    </w:p>
    <w:p>
      <w:pPr>
        <w:ind w:left="660" w:right="340" w:hanging="328"/>
        <w:spacing w:after="0" w:line="229" w:lineRule="auto"/>
        <w:tabs>
          <w:tab w:leader="none" w:pos="6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In the event Employee is employed by a subsidiary of the Company that is sold by the Company in a transaction (i) that would not constitute a Change in Control of the Company within the meaning of paragraph 5.a.i. below, but (ii) that would constitute a Change in Control of the subsidiary within the meaning of paragraph 5.a.i.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81" w:lineRule="exact"/>
        <w:rPr>
          <w:rFonts w:ascii="Arial" w:cs="Arial" w:eastAsia="Arial" w:hAnsi="Arial"/>
          <w:sz w:val="20"/>
          <w:szCs w:val="20"/>
          <w:color w:val="auto"/>
        </w:rPr>
      </w:pPr>
    </w:p>
    <w:p>
      <w:pPr>
        <w:ind w:left="740" w:hanging="327"/>
        <w:spacing w:after="0"/>
        <w:tabs>
          <w:tab w:leader="none" w:pos="740" w:val="left"/>
        </w:tabs>
        <w:numPr>
          <w:ilvl w:val="2"/>
          <w:numId w:val="94"/>
        </w:numPr>
        <w:rPr>
          <w:rFonts w:ascii="Arial" w:cs="Arial" w:eastAsia="Arial" w:hAnsi="Arial"/>
          <w:sz w:val="20"/>
          <w:szCs w:val="20"/>
          <w:color w:val="auto"/>
        </w:rPr>
      </w:pPr>
      <w:r>
        <w:rPr>
          <w:rFonts w:ascii="Arial" w:cs="Arial" w:eastAsia="Arial" w:hAnsi="Arial"/>
          <w:sz w:val="20"/>
          <w:szCs w:val="20"/>
          <w:color w:val="auto"/>
        </w:rPr>
        <w:t>In order to receive any of the vesting described in paragraphs 1, 2.a, 2.b or 5, Employee (or, if</w:t>
      </w:r>
    </w:p>
    <w:p>
      <w:pPr>
        <w:ind w:left="740" w:right="160"/>
        <w:spacing w:after="0" w:line="225" w:lineRule="auto"/>
        <w:rPr>
          <w:sz w:val="20"/>
          <w:szCs w:val="20"/>
          <w:color w:val="auto"/>
        </w:rPr>
      </w:pPr>
      <w:r>
        <w:rPr>
          <w:rFonts w:ascii="Arial" w:cs="Arial" w:eastAsia="Arial" w:hAnsi="Arial"/>
          <w:sz w:val="20"/>
          <w:szCs w:val="20"/>
          <w:color w:val="auto"/>
        </w:rPr>
        <w:t>applicable, Employee’s estate) must (x) to the extent requested by WM, execute and not revoke a general release of claims in favor of WM and its affiliates in a form that is acceptable to WM and which has become effective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824" w:right="1039" w:bottom="1440" w:gutter="0" w:footer="0" w:header="0"/>
        </w:sectPr>
      </w:pPr>
    </w:p>
    <w:bookmarkStart w:id="135" w:name="page136"/>
    <w:bookmarkEnd w:id="135"/>
    <w:p>
      <w:pPr>
        <w:ind w:left="732" w:right="560"/>
        <w:spacing w:after="0" w:line="25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419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6501765" cy="7941945"/>
                    </a:xfrm>
                    <a:prstGeom prst="rect">
                      <a:avLst/>
                    </a:prstGeom>
                    <a:noFill/>
                  </pic:spPr>
                </pic:pic>
              </a:graphicData>
            </a:graphic>
          </wp:anchor>
        </w:drawing>
        <w:t>irrevocable prior to the payment date set forth above (or such earlier deadline set by WM) and (y) continue to abide by all ongoing obligations to WM under any restrictive covenant agreement.</w:t>
      </w:r>
    </w:p>
    <w:p>
      <w:pPr>
        <w:spacing w:after="0" w:line="180" w:lineRule="exact"/>
        <w:rPr>
          <w:sz w:val="20"/>
          <w:szCs w:val="20"/>
          <w:color w:val="auto"/>
        </w:rPr>
      </w:pPr>
    </w:p>
    <w:p>
      <w:pPr>
        <w:ind w:left="652" w:hanging="328"/>
        <w:spacing w:after="0"/>
        <w:tabs>
          <w:tab w:leader="none" w:pos="65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178" w:lineRule="exact"/>
        <w:rPr>
          <w:rFonts w:ascii="Arial" w:cs="Arial" w:eastAsia="Arial" w:hAnsi="Arial"/>
          <w:sz w:val="20"/>
          <w:szCs w:val="20"/>
          <w:color w:val="auto"/>
        </w:rPr>
      </w:pPr>
    </w:p>
    <w:p>
      <w:pPr>
        <w:ind w:left="1292" w:hanging="320"/>
        <w:spacing w:after="0" w:line="232" w:lineRule="auto"/>
        <w:tabs>
          <w:tab w:leader="none" w:pos="1292" w:val="left"/>
        </w:tabs>
        <w:numPr>
          <w:ilvl w:val="2"/>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Employee, after Employee (1) has reached age 55 or greater; (2) has a sum of age plus years of Service (as defined in subparagraph ii. below) with WM equal to 65 or greater; and (3) has completed at least 5 consecutive full years of Service with WM during the 5 year period immediately preceding the resignation; provided, that Employee is not receiving severance benefits pursuant to the severance pay plans of WM in connection with such Termination of Employment.</w:t>
      </w:r>
    </w:p>
    <w:p>
      <w:pPr>
        <w:spacing w:after="0" w:line="171" w:lineRule="exact"/>
        <w:rPr>
          <w:rFonts w:ascii="Arial" w:cs="Arial" w:eastAsia="Arial" w:hAnsi="Arial"/>
          <w:sz w:val="20"/>
          <w:szCs w:val="20"/>
          <w:color w:val="auto"/>
        </w:rPr>
      </w:pPr>
    </w:p>
    <w:p>
      <w:pPr>
        <w:ind w:left="1292" w:right="40" w:hanging="320"/>
        <w:spacing w:after="0" w:line="231" w:lineRule="auto"/>
        <w:tabs>
          <w:tab w:leader="none" w:pos="1292" w:val="left"/>
        </w:tabs>
        <w:numPr>
          <w:ilvl w:val="2"/>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case 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97" w:lineRule="exact"/>
        <w:rPr>
          <w:rFonts w:ascii="Arial" w:cs="Arial" w:eastAsia="Arial" w:hAnsi="Arial"/>
          <w:sz w:val="20"/>
          <w:szCs w:val="20"/>
          <w:color w:val="auto"/>
        </w:rPr>
      </w:pPr>
    </w:p>
    <w:p>
      <w:pPr>
        <w:ind w:left="332" w:right="60" w:hanging="332"/>
        <w:spacing w:after="0" w:line="228" w:lineRule="auto"/>
        <w:tabs>
          <w:tab w:leader="none" w:pos="332"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 Except as provided in paragraphs 1 through 2 above and 5 below, Employee must be an employee of WM continuously from the Grant Date through the close of business on last day of the Restriction Period to be entitled to receive payment of any RSU Awards. Upon Termination of Employment on or before the lapse of the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198" w:lineRule="exact"/>
        <w:rPr>
          <w:rFonts w:ascii="Arial" w:cs="Arial" w:eastAsia="Arial" w:hAnsi="Arial"/>
          <w:sz w:val="20"/>
          <w:szCs w:val="20"/>
          <w:color w:val="auto"/>
        </w:rPr>
      </w:pPr>
    </w:p>
    <w:p>
      <w:pPr>
        <w:ind w:left="332" w:hanging="332"/>
        <w:spacing w:after="0"/>
        <w:tabs>
          <w:tab w:leader="none" w:pos="332"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Repayment of RSU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52" w:right="80" w:hanging="328"/>
        <w:spacing w:after="0" w:line="227" w:lineRule="auto"/>
        <w:tabs>
          <w:tab w:leader="none" w:pos="652"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 xml:space="preserve">Misconduct </w:t>
      </w:r>
      <w:r>
        <w:rPr>
          <w:rFonts w:ascii="Arial" w:cs="Arial" w:eastAsia="Arial" w:hAnsi="Arial"/>
          <w:sz w:val="20"/>
          <w:szCs w:val="20"/>
          <w:color w:val="auto"/>
        </w:rPr>
        <w:t>means any act or failure to act by any employee of WM that (i) caused or was intended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cause a violation of WM’s policies or the WM code of conduct, generally accepted accounting principles or any applicable laws in effect at the time of the act or failure to act in question and that (i)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199" w:lineRule="exact"/>
        <w:rPr>
          <w:rFonts w:ascii="Arial" w:cs="Arial" w:eastAsia="Arial" w:hAnsi="Arial"/>
          <w:sz w:val="20"/>
          <w:szCs w:val="20"/>
          <w:color w:val="auto"/>
        </w:rPr>
      </w:pPr>
    </w:p>
    <w:p>
      <w:pPr>
        <w:ind w:left="652" w:right="260" w:hanging="328"/>
        <w:spacing w:after="0" w:line="244" w:lineRule="auto"/>
        <w:tabs>
          <w:tab w:leader="none" w:pos="652" w:val="left"/>
        </w:tabs>
        <w:numPr>
          <w:ilvl w:val="1"/>
          <w:numId w:val="96"/>
        </w:numPr>
        <w:rPr>
          <w:rFonts w:ascii="Arial" w:cs="Arial" w:eastAsia="Arial" w:hAnsi="Arial"/>
          <w:sz w:val="19"/>
          <w:szCs w:val="19"/>
          <w:color w:val="auto"/>
        </w:rPr>
      </w:pPr>
      <w:r>
        <w:rPr>
          <w:rFonts w:ascii="Arial" w:cs="Arial" w:eastAsia="Arial" w:hAnsi="Arial"/>
          <w:sz w:val="19"/>
          <w:szCs w:val="19"/>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191" w:lineRule="exact"/>
        <w:rPr>
          <w:rFonts w:ascii="Arial" w:cs="Arial" w:eastAsia="Arial" w:hAnsi="Arial"/>
          <w:sz w:val="19"/>
          <w:szCs w:val="19"/>
          <w:color w:val="auto"/>
        </w:rPr>
      </w:pPr>
    </w:p>
    <w:p>
      <w:pPr>
        <w:ind w:left="652" w:right="200" w:hanging="328"/>
        <w:spacing w:after="0" w:line="236" w:lineRule="auto"/>
        <w:tabs>
          <w:tab w:leader="none" w:pos="652" w:val="left"/>
        </w:tabs>
        <w:numPr>
          <w:ilvl w:val="1"/>
          <w:numId w:val="96"/>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4 by the earliest of (i) one year after discovery of alleged Misconduct, or (ii) the second anniversary of Employee’s Termination of Employment.</w:t>
      </w:r>
    </w:p>
    <w:p>
      <w:pPr>
        <w:spacing w:after="0" w:line="195" w:lineRule="exact"/>
        <w:rPr>
          <w:rFonts w:ascii="Arial" w:cs="Arial" w:eastAsia="Arial" w:hAnsi="Arial"/>
          <w:sz w:val="20"/>
          <w:szCs w:val="20"/>
          <w:color w:val="auto"/>
        </w:rPr>
      </w:pPr>
    </w:p>
    <w:p>
      <w:pPr>
        <w:ind w:left="652" w:right="160" w:hanging="328"/>
        <w:spacing w:after="0" w:line="237" w:lineRule="auto"/>
        <w:tabs>
          <w:tab w:leader="none" w:pos="652"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provisions of this paragraph 4, without any implication as to any other provision of this Agreement, shall survive the expiration or termination of this Agreement and Employee’s employment.</w:t>
      </w:r>
    </w:p>
    <w:p>
      <w:pPr>
        <w:jc w:val="center"/>
        <w:ind w:right="-5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772"/>
          </w:cols>
          <w:pgMar w:left="1028" w:top="1040" w:right="1099" w:bottom="1440" w:gutter="0" w:footer="0" w:header="0"/>
        </w:sectPr>
      </w:pPr>
    </w:p>
    <w:bookmarkStart w:id="136" w:name="page137"/>
    <w:bookmarkEnd w:id="136"/>
    <w:p>
      <w:pPr>
        <w:ind w:left="340" w:hanging="332"/>
        <w:spacing w:after="0" w:line="227" w:lineRule="auto"/>
        <w:tabs>
          <w:tab w:leader="none" w:pos="3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07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6501765" cy="7907655"/>
                    </a:xfrm>
                    <a:prstGeom prst="rect">
                      <a:avLst/>
                    </a:prstGeom>
                    <a:noFill/>
                  </pic:spPr>
                </pic:pic>
              </a:graphicData>
            </a:graphic>
          </wp:anchor>
        </w:drawing>
        <w:t>Acceleration of Vesting upon Change in Control</w:t>
      </w:r>
      <w:r>
        <w:rPr>
          <w:rFonts w:ascii="Arial" w:cs="Arial" w:eastAsia="Arial" w:hAnsi="Arial"/>
          <w:sz w:val="20"/>
          <w:szCs w:val="20"/>
          <w:color w:val="auto"/>
        </w:rPr>
        <w:t>. If there is Change in Control prior to the close of the Restriction Period, all outstanding but unvested RSUs will be immediately vested in full and, along with all associated Dividend Equivalents up to the original Vesting Date, will be due and payable within 74 days following such original Vesting Date, unless the successor entity assumes all RSU Awards granted under the Plan and converts the awards to equivalent grants in the successor effective as of the Change in Control. If the successor entity so assumes and converts all RSU Awards granted under the Plan, upon Employee’s involuntary Termination of Employment without Cause during the Window Period or upon Employee’s Retirement, death or Disability, then all outstanding but unvested RSUs (or the equivalent grant in the successor entity) and the associated Dividend Equivalents through such date will become immediately vested in full as of such event and paid (i) in the case of death or Disability, within 74 days of such time or (ii) in the case of Retirement or involuntary Termination of Employment without Cause, within 74 days following the original Vesting Date.</w:t>
      </w:r>
    </w:p>
    <w:p>
      <w:pPr>
        <w:spacing w:after="0" w:line="197"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a.  The following terms shall have the meanings set forth below for purposes of this Agreement:</w:t>
      </w:r>
    </w:p>
    <w:p>
      <w:pPr>
        <w:spacing w:after="0" w:line="178" w:lineRule="exact"/>
        <w:rPr>
          <w:rFonts w:ascii="Arial" w:cs="Arial" w:eastAsia="Arial" w:hAnsi="Arial"/>
          <w:sz w:val="20"/>
          <w:szCs w:val="20"/>
          <w:color w:val="auto"/>
        </w:rPr>
      </w:pPr>
    </w:p>
    <w:p>
      <w:pPr>
        <w:ind w:left="1140" w:hanging="322"/>
        <w:spacing w:after="0"/>
        <w:tabs>
          <w:tab w:leader="none" w:pos="1140" w:val="left"/>
        </w:tabs>
        <w:numPr>
          <w:ilvl w:val="2"/>
          <w:numId w:val="9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means the first to occur of any of the following:</w:t>
      </w:r>
    </w:p>
    <w:p>
      <w:pPr>
        <w:spacing w:after="0" w:line="226" w:lineRule="exact"/>
        <w:rPr>
          <w:rFonts w:ascii="Arial" w:cs="Arial" w:eastAsia="Arial" w:hAnsi="Arial"/>
          <w:sz w:val="20"/>
          <w:szCs w:val="20"/>
          <w:color w:val="auto"/>
        </w:rPr>
      </w:pPr>
    </w:p>
    <w:p>
      <w:pPr>
        <w:ind w:left="1620" w:right="160" w:hanging="316"/>
        <w:spacing w:after="0" w:line="229" w:lineRule="auto"/>
        <w:tabs>
          <w:tab w:leader="none" w:pos="1620" w:val="left"/>
        </w:tabs>
        <w:numPr>
          <w:ilvl w:val="3"/>
          <w:numId w:val="97"/>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85" w:lineRule="exact"/>
        <w:rPr>
          <w:rFonts w:ascii="Arial" w:cs="Arial" w:eastAsia="Arial" w:hAnsi="Arial"/>
          <w:sz w:val="20"/>
          <w:szCs w:val="20"/>
          <w:color w:val="auto"/>
        </w:rPr>
      </w:pPr>
    </w:p>
    <w:p>
      <w:pPr>
        <w:ind w:left="1620" w:right="60" w:hanging="316"/>
        <w:spacing w:after="0" w:line="242" w:lineRule="auto"/>
        <w:tabs>
          <w:tab w:leader="none" w:pos="1620" w:val="left"/>
        </w:tabs>
        <w:numPr>
          <w:ilvl w:val="3"/>
          <w:numId w:val="97"/>
        </w:numPr>
        <w:rPr>
          <w:rFonts w:ascii="Arial" w:cs="Arial" w:eastAsia="Arial" w:hAnsi="Arial"/>
          <w:sz w:val="19"/>
          <w:szCs w:val="19"/>
          <w:color w:val="auto"/>
        </w:rPr>
      </w:pPr>
      <w:r>
        <w:rPr>
          <w:rFonts w:ascii="Arial" w:cs="Arial" w:eastAsia="Arial" w:hAnsi="Arial"/>
          <w:sz w:val="19"/>
          <w:szCs w:val="19"/>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80" w:lineRule="exact"/>
        <w:rPr>
          <w:rFonts w:ascii="Arial" w:cs="Arial" w:eastAsia="Arial" w:hAnsi="Arial"/>
          <w:sz w:val="19"/>
          <w:szCs w:val="19"/>
          <w:color w:val="auto"/>
        </w:rPr>
      </w:pPr>
    </w:p>
    <w:p>
      <w:pPr>
        <w:ind w:left="1620" w:right="20" w:hanging="316"/>
        <w:spacing w:after="0" w:line="227" w:lineRule="auto"/>
        <w:tabs>
          <w:tab w:leader="none" w:pos="1620" w:val="left"/>
        </w:tabs>
        <w:numPr>
          <w:ilvl w:val="3"/>
          <w:numId w:val="97"/>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88" w:lineRule="exact"/>
        <w:rPr>
          <w:rFonts w:ascii="Arial" w:cs="Arial" w:eastAsia="Arial" w:hAnsi="Arial"/>
          <w:sz w:val="20"/>
          <w:szCs w:val="20"/>
          <w:color w:val="auto"/>
        </w:rPr>
      </w:pPr>
    </w:p>
    <w:p>
      <w:pPr>
        <w:ind w:left="1620" w:right="20" w:hanging="316"/>
        <w:spacing w:after="0" w:line="227" w:lineRule="auto"/>
        <w:tabs>
          <w:tab w:leader="none" w:pos="1620" w:val="left"/>
        </w:tabs>
        <w:numPr>
          <w:ilvl w:val="3"/>
          <w:numId w:val="97"/>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84" w:lineRule="exact"/>
        <w:rPr>
          <w:sz w:val="20"/>
          <w:szCs w:val="20"/>
          <w:color w:val="auto"/>
        </w:rPr>
      </w:pPr>
    </w:p>
    <w:p>
      <w:pPr>
        <w:ind w:right="180"/>
        <w:spacing w:after="0" w:line="225"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in each of cases 1 through 4, that in the event the award or portion of the award is determined to constitute a non-exempt “deferral of compensation” pursuant to Section 409A, to the extent necessary to avoid the imposition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824" w:right="1039" w:bottom="1440" w:gutter="0" w:footer="0" w:header="0"/>
        </w:sectPr>
      </w:pPr>
    </w:p>
    <w:bookmarkStart w:id="137" w:name="page138"/>
    <w:bookmarkEnd w:id="137"/>
    <w:p>
      <w:pPr>
        <w:ind w:right="160"/>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019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6501765" cy="8019415"/>
                    </a:xfrm>
                    <a:prstGeom prst="rect">
                      <a:avLst/>
                    </a:prstGeom>
                    <a:noFill/>
                  </pic:spPr>
                </pic:pic>
              </a:graphicData>
            </a:graphic>
          </wp:anchor>
        </w:drawing>
        <w:t>any penalties or additional tax under Section 409A, with respect to such award or portion of award the Change of Control event must also constitute a “change in the ownership of a corporation,” a “change in the effective control of a corporation,” or a “change in the ownership of a substantial portion of a corporation’s assets,” in each case, within the meaning of Section 409A.</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178" w:lineRule="exact"/>
        <w:rPr>
          <w:sz w:val="20"/>
          <w:szCs w:val="20"/>
          <w:color w:val="auto"/>
        </w:rPr>
      </w:pPr>
    </w:p>
    <w:p>
      <w:pPr>
        <w:ind w:left="1960" w:right="500" w:firstLine="640"/>
        <w:spacing w:after="0" w:line="257" w:lineRule="auto"/>
        <w:tabs>
          <w:tab w:leader="none" w:pos="3285" w:val="left"/>
        </w:tabs>
        <w:numPr>
          <w:ilvl w:val="2"/>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 time to time; and</w:t>
      </w:r>
    </w:p>
    <w:p>
      <w:pPr>
        <w:spacing w:after="0" w:line="155" w:lineRule="exact"/>
        <w:rPr>
          <w:rFonts w:ascii="Arial" w:cs="Arial" w:eastAsia="Arial" w:hAnsi="Arial"/>
          <w:sz w:val="20"/>
          <w:szCs w:val="20"/>
          <w:color w:val="auto"/>
        </w:rPr>
      </w:pPr>
    </w:p>
    <w:p>
      <w:pPr>
        <w:ind w:left="1960" w:firstLine="640"/>
        <w:spacing w:after="0" w:line="231" w:lineRule="auto"/>
        <w:tabs>
          <w:tab w:leader="none" w:pos="3292" w:val="left"/>
        </w:tabs>
        <w:numPr>
          <w:ilvl w:val="2"/>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73" w:lineRule="exact"/>
        <w:rPr>
          <w:rFonts w:ascii="Arial" w:cs="Arial" w:eastAsia="Arial" w:hAnsi="Arial"/>
          <w:sz w:val="20"/>
          <w:szCs w:val="20"/>
          <w:color w:val="auto"/>
        </w:rPr>
      </w:pPr>
    </w:p>
    <w:p>
      <w:pPr>
        <w:ind w:left="980" w:right="100" w:hanging="162"/>
        <w:spacing w:after="0" w:line="232" w:lineRule="auto"/>
        <w:tabs>
          <w:tab w:leader="none" w:pos="980" w:val="left"/>
        </w:tabs>
        <w:numPr>
          <w:ilvl w:val="1"/>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1" w:lineRule="exact"/>
        <w:rPr>
          <w:rFonts w:ascii="Arial" w:cs="Arial" w:eastAsia="Arial" w:hAnsi="Arial"/>
          <w:sz w:val="20"/>
          <w:szCs w:val="20"/>
          <w:color w:val="auto"/>
        </w:rPr>
      </w:pPr>
    </w:p>
    <w:p>
      <w:pPr>
        <w:ind w:left="1000" w:right="60" w:hanging="176"/>
        <w:spacing w:after="0" w:line="229" w:lineRule="auto"/>
        <w:tabs>
          <w:tab w:leader="none" w:pos="1311" w:val="left"/>
        </w:tabs>
        <w:numPr>
          <w:ilvl w:val="1"/>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to, any felony; (4) Employee willfully or intentionally caused material injury to WM, its property, or its assets; (5) Employee disclosed to unauthorized person(s) proprietary or confidential information of WM that causes a material injury to WM; (6) any material violation or a repeated and willful violation of WM’s policies or procedures, including but not limited to, WM’s Code of Business Conduct and Ethics (or any successor policy) then in effect.</w:t>
      </w:r>
    </w:p>
    <w:p>
      <w:pPr>
        <w:spacing w:after="0" w:line="178" w:lineRule="exact"/>
        <w:rPr>
          <w:rFonts w:ascii="Arial" w:cs="Arial" w:eastAsia="Arial" w:hAnsi="Arial"/>
          <w:sz w:val="20"/>
          <w:szCs w:val="20"/>
          <w:color w:val="auto"/>
        </w:rPr>
      </w:pPr>
    </w:p>
    <w:p>
      <w:pPr>
        <w:ind w:left="980" w:right="160" w:hanging="162"/>
        <w:spacing w:after="0" w:line="241" w:lineRule="auto"/>
        <w:tabs>
          <w:tab w:leader="none" w:pos="1304" w:val="left"/>
        </w:tabs>
        <w:numPr>
          <w:ilvl w:val="1"/>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 to the date on which a Change in Control first occurs and ending on the second anniversary of the date on which a Change in Control occurs.</w:t>
      </w:r>
    </w:p>
    <w:p>
      <w:pPr>
        <w:spacing w:after="0" w:line="171" w:lineRule="exact"/>
        <w:rPr>
          <w:rFonts w:ascii="Arial" w:cs="Arial" w:eastAsia="Arial" w:hAnsi="Arial"/>
          <w:sz w:val="20"/>
          <w:szCs w:val="20"/>
          <w:color w:val="auto"/>
        </w:rPr>
      </w:pPr>
    </w:p>
    <w:p>
      <w:pPr>
        <w:ind w:left="340" w:right="80" w:hanging="332"/>
        <w:spacing w:after="0" w:line="230" w:lineRule="auto"/>
        <w:tabs>
          <w:tab w:leader="none" w:pos="34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RSUs as soon as administratively feasible (and no later than 74 days) following the original Vesting Date. The Company will make such payment in a lump sum cash amount for RSU Award Dividend Equivalents based on the number of RSUs vested multiplied by the per share quarterly dividend payments made to stockholders of the Company’s Common Stock during the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20"/>
          </w:cols>
          <w:pgMar w:left="1020" w:top="1040" w:right="1059" w:bottom="1440" w:gutter="0" w:footer="0" w:header="0"/>
        </w:sectPr>
      </w:pPr>
    </w:p>
    <w:bookmarkStart w:id="138" w:name="page139"/>
    <w:bookmarkEnd w:id="138"/>
    <w:p>
      <w:pPr>
        <w:jc w:val="center"/>
        <w:ind w:right="-11"/>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59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6501765" cy="7959090"/>
                    </a:xfrm>
                    <a:prstGeom prst="rect">
                      <a:avLst/>
                    </a:prstGeom>
                    <a:noFill/>
                  </pic:spPr>
                </pic:pic>
              </a:graphicData>
            </a:graphic>
          </wp:anchor>
        </w:drawing>
        <w:t>General Terms</w:t>
      </w:r>
    </w:p>
    <w:p>
      <w:pPr>
        <w:spacing w:after="0" w:line="207" w:lineRule="exact"/>
        <w:rPr>
          <w:sz w:val="20"/>
          <w:szCs w:val="20"/>
          <w:color w:val="auto"/>
        </w:rPr>
      </w:pPr>
    </w:p>
    <w:p>
      <w:pPr>
        <w:ind w:left="332" w:hanging="332"/>
        <w:spacing w:after="0"/>
        <w:tabs>
          <w:tab w:leader="none" w:pos="332"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52" w:right="160" w:hanging="328"/>
        <w:spacing w:after="0" w:line="229" w:lineRule="auto"/>
        <w:tabs>
          <w:tab w:leader="none" w:pos="65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185" w:lineRule="exact"/>
        <w:rPr>
          <w:rFonts w:ascii="Arial" w:cs="Arial" w:eastAsia="Arial" w:hAnsi="Arial"/>
          <w:sz w:val="20"/>
          <w:szCs w:val="20"/>
          <w:color w:val="auto"/>
        </w:rPr>
      </w:pPr>
    </w:p>
    <w:p>
      <w:pPr>
        <w:ind w:left="652" w:right="80" w:hanging="328"/>
        <w:spacing w:after="0" w:line="227" w:lineRule="auto"/>
        <w:tabs>
          <w:tab w:leader="none" w:pos="65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87" w:lineRule="exact"/>
        <w:rPr>
          <w:rFonts w:ascii="Arial" w:cs="Arial" w:eastAsia="Arial" w:hAnsi="Arial"/>
          <w:sz w:val="20"/>
          <w:szCs w:val="20"/>
          <w:color w:val="auto"/>
        </w:rPr>
      </w:pPr>
    </w:p>
    <w:p>
      <w:pPr>
        <w:ind w:left="332" w:hanging="332"/>
        <w:spacing w:after="0"/>
        <w:tabs>
          <w:tab w:leader="none" w:pos="332"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188" w:lineRule="exact"/>
        <w:rPr>
          <w:rFonts w:ascii="Arial" w:cs="Arial" w:eastAsia="Arial" w:hAnsi="Arial"/>
          <w:sz w:val="20"/>
          <w:szCs w:val="20"/>
          <w:color w:val="auto"/>
        </w:rPr>
      </w:pPr>
    </w:p>
    <w:p>
      <w:pPr>
        <w:ind w:left="332" w:right="120" w:hanging="332"/>
        <w:spacing w:after="0" w:line="228" w:lineRule="auto"/>
        <w:tabs>
          <w:tab w:leader="none" w:pos="332"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RSU Awards (and any associated Dividend Equivalents) under this Agreement. Upon the occurrence of a taxable event with respect to any RSU Award under this Agreement, Employee shall deliver to WM at such time, 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82" w:lineRule="exact"/>
        <w:rPr>
          <w:rFonts w:ascii="Arial" w:cs="Arial" w:eastAsia="Arial" w:hAnsi="Arial"/>
          <w:sz w:val="20"/>
          <w:szCs w:val="20"/>
          <w:color w:val="auto"/>
        </w:rPr>
      </w:pPr>
    </w:p>
    <w:p>
      <w:pPr>
        <w:ind w:left="332" w:right="40" w:hanging="332"/>
        <w:spacing w:after="0" w:line="228" w:lineRule="auto"/>
        <w:tabs>
          <w:tab w:leader="none" w:pos="332"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RSU Award are being acquired for investment and not with a view to sale or distribution.</w:t>
      </w:r>
    </w:p>
    <w:p>
      <w:pPr>
        <w:spacing w:after="0" w:line="182" w:lineRule="exact"/>
        <w:rPr>
          <w:rFonts w:ascii="Arial" w:cs="Arial" w:eastAsia="Arial" w:hAnsi="Arial"/>
          <w:sz w:val="20"/>
          <w:szCs w:val="20"/>
          <w:color w:val="auto"/>
        </w:rPr>
      </w:pPr>
    </w:p>
    <w:p>
      <w:pPr>
        <w:ind w:left="332"/>
        <w:spacing w:after="0" w:line="228" w:lineRule="auto"/>
        <w:rPr>
          <w:rFonts w:ascii="Arial" w:cs="Arial" w:eastAsia="Arial" w:hAnsi="Arial"/>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RSU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85" w:lineRule="exact"/>
        <w:rPr>
          <w:rFonts w:ascii="Arial" w:cs="Arial" w:eastAsia="Arial" w:hAnsi="Arial"/>
          <w:sz w:val="20"/>
          <w:szCs w:val="20"/>
          <w:color w:val="auto"/>
        </w:rPr>
      </w:pPr>
    </w:p>
    <w:p>
      <w:pPr>
        <w:ind w:left="332" w:right="80" w:hanging="332"/>
        <w:spacing w:after="0" w:line="237" w:lineRule="auto"/>
        <w:tabs>
          <w:tab w:leader="none" w:pos="33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Employee to Have no Rights as a Stockholder.</w:t>
      </w:r>
      <w:r>
        <w:rPr>
          <w:rFonts w:ascii="Arial" w:cs="Arial" w:eastAsia="Arial" w:hAnsi="Arial"/>
          <w:sz w:val="19"/>
          <w:szCs w:val="19"/>
          <w:color w:val="auto"/>
        </w:rPr>
        <w:t xml:space="preserve"> Employee shall have no rights as a stockholder with respect to any shares of Common Stock subject to this RSU Award prior to the date on which Employee is recorded as the holder of such shares of Common Stock on the records of the Company, including no right to dividends declared on the Common Stock underlying the RSU Award. Notwithstanding the foregoing,</w:t>
      </w:r>
    </w:p>
    <w:p>
      <w:pPr>
        <w:spacing w:after="0" w:line="1" w:lineRule="exact"/>
        <w:rPr>
          <w:sz w:val="20"/>
          <w:szCs w:val="20"/>
          <w:color w:val="auto"/>
        </w:rPr>
      </w:pPr>
    </w:p>
    <w:p>
      <w:pPr>
        <w:ind w:left="332" w:right="140"/>
        <w:spacing w:after="0" w:line="225" w:lineRule="auto"/>
        <w:rPr>
          <w:sz w:val="20"/>
          <w:szCs w:val="20"/>
          <w:color w:val="auto"/>
        </w:rPr>
      </w:pPr>
      <w:r>
        <w:rPr>
          <w:rFonts w:ascii="Arial" w:cs="Arial" w:eastAsia="Arial" w:hAnsi="Arial"/>
          <w:sz w:val="20"/>
          <w:szCs w:val="20"/>
          <w:color w:val="auto"/>
        </w:rPr>
        <w:t>Dividend Equivalents shall be paid to Employee in accordance with and subject to the terms of paragraph 7 under “Important Award Details.”</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32"/>
          </w:cols>
          <w:pgMar w:left="1028" w:top="824" w:right="1039" w:bottom="1440" w:gutter="0" w:footer="0" w:header="0"/>
        </w:sectPr>
      </w:pPr>
    </w:p>
    <w:bookmarkStart w:id="139" w:name="page140"/>
    <w:bookmarkEnd w:id="139"/>
    <w:p>
      <w:pPr>
        <w:jc w:val="both"/>
        <w:ind w:left="332" w:right="20" w:hanging="332"/>
        <w:spacing w:after="0"/>
        <w:tabs>
          <w:tab w:leader="none" w:pos="332"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216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6501765" cy="8216265"/>
                    </a:xfrm>
                    <a:prstGeom prst="rect">
                      <a:avLst/>
                    </a:prstGeom>
                    <a:noFill/>
                  </pic:spPr>
                </pic:pic>
              </a:graphicData>
            </a:graphic>
          </wp:anchor>
        </w:drawing>
        <w:t>Successors and Assigns</w:t>
      </w:r>
      <w:r>
        <w:rPr>
          <w:rFonts w:ascii="Arial" w:cs="Arial" w:eastAsia="Arial" w:hAnsi="Arial"/>
          <w:sz w:val="19"/>
          <w:szCs w:val="19"/>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 under “Important Award Details.”</w:t>
      </w:r>
    </w:p>
    <w:p>
      <w:pPr>
        <w:spacing w:after="0" w:line="196" w:lineRule="exact"/>
        <w:rPr>
          <w:rFonts w:ascii="Arial" w:cs="Arial" w:eastAsia="Arial" w:hAnsi="Arial"/>
          <w:sz w:val="19"/>
          <w:szCs w:val="19"/>
          <w:color w:val="auto"/>
        </w:rPr>
      </w:pPr>
    </w:p>
    <w:p>
      <w:pPr>
        <w:ind w:left="332" w:hanging="332"/>
        <w:spacing w:after="0"/>
        <w:tabs>
          <w:tab w:leader="none" w:pos="332"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652" w:hanging="328"/>
        <w:spacing w:after="0" w:line="236" w:lineRule="auto"/>
        <w:tabs>
          <w:tab w:leader="none" w:pos="65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RSU Awards other than in the sole discretion of the Committee;</w:t>
      </w:r>
    </w:p>
    <w:p>
      <w:pPr>
        <w:spacing w:after="0" w:line="195" w:lineRule="exact"/>
        <w:rPr>
          <w:rFonts w:ascii="Arial" w:cs="Arial" w:eastAsia="Arial" w:hAnsi="Arial"/>
          <w:sz w:val="20"/>
          <w:szCs w:val="20"/>
          <w:color w:val="auto"/>
        </w:rPr>
      </w:pPr>
    </w:p>
    <w:p>
      <w:pPr>
        <w:jc w:val="both"/>
        <w:ind w:left="652" w:right="20" w:hanging="328"/>
        <w:spacing w:after="0" w:line="230" w:lineRule="auto"/>
        <w:tabs>
          <w:tab w:leader="none" w:pos="65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RSU Awards made by this Agreement, the related Dividend Equivalents awarded under this Agreement, and any Common Stock issuable under the terms and conditions of such RSU Awards); or</w:t>
      </w:r>
    </w:p>
    <w:p>
      <w:pPr>
        <w:spacing w:after="0" w:line="90" w:lineRule="exact"/>
        <w:rPr>
          <w:rFonts w:ascii="Arial" w:cs="Arial" w:eastAsia="Arial" w:hAnsi="Arial"/>
          <w:sz w:val="20"/>
          <w:szCs w:val="20"/>
          <w:color w:val="auto"/>
        </w:rPr>
      </w:pPr>
    </w:p>
    <w:p>
      <w:pPr>
        <w:ind w:left="652" w:hanging="328"/>
        <w:spacing w:after="0"/>
        <w:tabs>
          <w:tab w:leader="none" w:pos="65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94" w:lineRule="exact"/>
        <w:rPr>
          <w:rFonts w:ascii="Arial" w:cs="Arial" w:eastAsia="Arial" w:hAnsi="Arial"/>
          <w:sz w:val="20"/>
          <w:szCs w:val="20"/>
          <w:color w:val="auto"/>
        </w:rPr>
      </w:pPr>
    </w:p>
    <w:p>
      <w:pPr>
        <w:ind w:left="332" w:right="180" w:hanging="332"/>
        <w:spacing w:after="0" w:line="236" w:lineRule="auto"/>
        <w:tabs>
          <w:tab w:leader="none" w:pos="393"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95" w:lineRule="exact"/>
        <w:rPr>
          <w:rFonts w:ascii="Arial" w:cs="Arial" w:eastAsia="Arial" w:hAnsi="Arial"/>
          <w:sz w:val="20"/>
          <w:szCs w:val="20"/>
          <w:color w:val="auto"/>
        </w:rPr>
      </w:pPr>
    </w:p>
    <w:p>
      <w:pPr>
        <w:ind w:left="332" w:right="120" w:hanging="332"/>
        <w:spacing w:after="0" w:line="236" w:lineRule="auto"/>
        <w:tabs>
          <w:tab w:leader="none" w:pos="283"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95" w:lineRule="exact"/>
        <w:rPr>
          <w:rFonts w:ascii="Arial" w:cs="Arial" w:eastAsia="Arial" w:hAnsi="Arial"/>
          <w:sz w:val="20"/>
          <w:szCs w:val="20"/>
          <w:color w:val="auto"/>
        </w:rPr>
      </w:pPr>
    </w:p>
    <w:p>
      <w:pPr>
        <w:ind w:left="652" w:right="200" w:hanging="328"/>
        <w:spacing w:after="0" w:line="227" w:lineRule="auto"/>
        <w:tabs>
          <w:tab w:leader="none" w:pos="65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Employee understands and agrees that the RSU Awards granted under this Agreement are granted under the authority of the Plan and these RSU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99" w:lineRule="exact"/>
        <w:rPr>
          <w:rFonts w:ascii="Arial" w:cs="Arial" w:eastAsia="Arial" w:hAnsi="Arial"/>
          <w:sz w:val="20"/>
          <w:szCs w:val="20"/>
          <w:color w:val="auto"/>
        </w:rPr>
      </w:pPr>
    </w:p>
    <w:p>
      <w:pPr>
        <w:jc w:val="both"/>
        <w:ind w:left="652" w:hanging="328"/>
        <w:spacing w:after="0" w:line="232" w:lineRule="auto"/>
        <w:tabs>
          <w:tab w:leader="none" w:pos="65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97" w:lineRule="exact"/>
        <w:rPr>
          <w:rFonts w:ascii="Arial" w:cs="Arial" w:eastAsia="Arial" w:hAnsi="Arial"/>
          <w:sz w:val="20"/>
          <w:szCs w:val="20"/>
          <w:color w:val="auto"/>
        </w:rPr>
      </w:pPr>
    </w:p>
    <w:p>
      <w:pPr>
        <w:jc w:val="both"/>
        <w:ind w:left="652" w:hanging="328"/>
        <w:spacing w:after="0" w:line="230" w:lineRule="auto"/>
        <w:tabs>
          <w:tab w:leader="none" w:pos="65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98" w:lineRule="exact"/>
        <w:rPr>
          <w:rFonts w:ascii="Arial" w:cs="Arial" w:eastAsia="Arial" w:hAnsi="Arial"/>
          <w:sz w:val="20"/>
          <w:szCs w:val="20"/>
          <w:color w:val="auto"/>
        </w:rPr>
      </w:pPr>
    </w:p>
    <w:p>
      <w:pPr>
        <w:jc w:val="both"/>
        <w:ind w:left="332" w:right="180" w:hanging="332"/>
        <w:spacing w:after="0" w:line="232" w:lineRule="auto"/>
        <w:tabs>
          <w:tab w:leader="none" w:pos="393"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97" w:lineRule="exact"/>
        <w:rPr>
          <w:rFonts w:ascii="Arial" w:cs="Arial" w:eastAsia="Arial" w:hAnsi="Arial"/>
          <w:sz w:val="20"/>
          <w:szCs w:val="20"/>
          <w:color w:val="auto"/>
        </w:rPr>
      </w:pPr>
    </w:p>
    <w:p>
      <w:pPr>
        <w:ind w:left="332" w:hanging="332"/>
        <w:spacing w:after="0" w:line="229" w:lineRule="auto"/>
        <w:tabs>
          <w:tab w:leader="none" w:pos="393"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RSU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RSU Award under this Agreement, is that Employee must also have entered into an agreement containing restrictive covenants concerning limitations on Employee’s behavior following termination of employment that is satisfactory to WM.</w:t>
      </w:r>
    </w:p>
    <w:p>
      <w:pPr>
        <w:spacing w:after="0" w:line="19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32"/>
          </w:cols>
          <w:pgMar w:left="1028" w:top="824" w:right="1039" w:bottom="1440" w:gutter="0" w:footer="0" w:header="0"/>
        </w:sectPr>
      </w:pPr>
    </w:p>
    <w:bookmarkStart w:id="140" w:name="page141"/>
    <w:bookmarkEnd w:id="140"/>
    <w:p>
      <w:pPr>
        <w:ind w:left="392" w:hanging="392"/>
        <w:spacing w:after="0"/>
        <w:tabs>
          <w:tab w:leader="none" w:pos="39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419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6501765" cy="7941945"/>
                    </a:xfrm>
                    <a:prstGeom prst="rect">
                      <a:avLst/>
                    </a:prstGeom>
                    <a:noFill/>
                  </pic:spPr>
                </pic:pic>
              </a:graphicData>
            </a:graphic>
          </wp:anchor>
        </w:drawing>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32" w:hanging="332"/>
        <w:spacing w:after="0"/>
        <w:tabs>
          <w:tab w:leader="none" w:pos="33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384" w:lineRule="exact"/>
        <w:rPr>
          <w:rFonts w:ascii="Arial" w:cs="Arial" w:eastAsia="Arial" w:hAnsi="Arial"/>
          <w:sz w:val="19"/>
          <w:szCs w:val="19"/>
          <w:color w:val="auto"/>
        </w:rPr>
      </w:pPr>
    </w:p>
    <w:p>
      <w:pPr>
        <w:ind w:left="332" w:right="100" w:hanging="332"/>
        <w:spacing w:after="0" w:line="226" w:lineRule="auto"/>
        <w:tabs>
          <w:tab w:leader="none" w:pos="33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208" w:lineRule="exact"/>
        <w:rPr>
          <w:rFonts w:ascii="Arial" w:cs="Arial" w:eastAsia="Arial" w:hAnsi="Arial"/>
          <w:sz w:val="20"/>
          <w:szCs w:val="20"/>
          <w:color w:val="auto"/>
        </w:rPr>
      </w:pPr>
    </w:p>
    <w:p>
      <w:pPr>
        <w:ind w:left="332" w:right="100" w:hanging="332"/>
        <w:spacing w:after="0" w:line="230" w:lineRule="auto"/>
        <w:tabs>
          <w:tab w:leader="none" w:pos="33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98" w:lineRule="exact"/>
        <w:rPr>
          <w:rFonts w:ascii="Arial" w:cs="Arial" w:eastAsia="Arial" w:hAnsi="Arial"/>
          <w:sz w:val="20"/>
          <w:szCs w:val="20"/>
          <w:color w:val="auto"/>
        </w:rPr>
      </w:pPr>
    </w:p>
    <w:p>
      <w:pPr>
        <w:ind w:left="332" w:right="20" w:hanging="332"/>
        <w:spacing w:after="0" w:line="229" w:lineRule="auto"/>
        <w:tabs>
          <w:tab w:leader="none" w:pos="33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95" w:lineRule="exact"/>
        <w:rPr>
          <w:rFonts w:ascii="Arial" w:cs="Arial" w:eastAsia="Arial" w:hAnsi="Arial"/>
          <w:sz w:val="20"/>
          <w:szCs w:val="20"/>
          <w:color w:val="auto"/>
        </w:rPr>
      </w:pPr>
    </w:p>
    <w:p>
      <w:pPr>
        <w:ind w:left="332" w:right="120" w:hanging="332"/>
        <w:spacing w:after="0" w:line="230" w:lineRule="auto"/>
        <w:tabs>
          <w:tab w:leader="none" w:pos="33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824" w:right="1059" w:bottom="1440" w:gutter="0" w:footer="0" w:header="0"/>
        </w:sectPr>
      </w:pPr>
    </w:p>
    <w:bookmarkStart w:id="141" w:name="page142"/>
    <w:bookmarkEnd w:id="141"/>
    <w:p>
      <w:pPr>
        <w:ind w:left="340" w:right="50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5233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6501765" cy="5233035"/>
                    </a:xfrm>
                    <a:prstGeom prst="rect">
                      <a:avLst/>
                    </a:prstGeom>
                    <a:noFill/>
                  </pic:spPr>
                </pic:pic>
              </a:graphicData>
            </a:graphic>
          </wp:anchor>
        </w:drawing>
        <w:t>without limitation, any such policy adopted in accordance with the requirements of the Dodd-Frank Wall Street Reform and Consumer Protection Act of 2010 or any SEC rule.</w:t>
      </w:r>
    </w:p>
    <w:p>
      <w:pPr>
        <w:spacing w:after="0" w:line="196" w:lineRule="exact"/>
        <w:rPr>
          <w:sz w:val="20"/>
          <w:szCs w:val="20"/>
          <w:color w:val="auto"/>
        </w:rPr>
      </w:pPr>
    </w:p>
    <w:p>
      <w:pPr>
        <w:ind w:left="340" w:right="40" w:hanging="332"/>
        <w:spacing w:after="0" w:line="239" w:lineRule="auto"/>
        <w:tabs>
          <w:tab w:leader="none" w:pos="401"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Binding Arbitration</w:t>
      </w:r>
      <w:r>
        <w:rPr>
          <w:rFonts w:ascii="Arial" w:cs="Arial" w:eastAsia="Arial" w:hAnsi="Arial"/>
          <w:sz w:val="19"/>
          <w:szCs w:val="19"/>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the Company and Employee agree that such dispute shall be settled exclusively by final and binding arbitration, as governed by the Federal Arbitration Act (9 U.S.C. 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9"/>
          <w:szCs w:val="19"/>
          <w:b w:val="1"/>
          <w:bCs w:val="1"/>
          <w:color w:val="000099"/>
        </w:rPr>
        <w:t>www.jamsadr.com</w:t>
      </w:r>
      <w:r>
        <w:rPr>
          <w:rFonts w:ascii="Arial" w:cs="Arial" w:eastAsia="Arial" w:hAnsi="Arial"/>
          <w:sz w:val="19"/>
          <w:szCs w:val="19"/>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98" w:lineRule="exact"/>
        <w:rPr>
          <w:rFonts w:ascii="Arial" w:cs="Arial" w:eastAsia="Arial" w:hAnsi="Arial"/>
          <w:sz w:val="19"/>
          <w:szCs w:val="19"/>
          <w:color w:val="auto"/>
        </w:rPr>
      </w:pPr>
    </w:p>
    <w:p>
      <w:pPr>
        <w:ind w:left="340" w:right="20" w:hanging="332"/>
        <w:spacing w:after="0" w:line="236" w:lineRule="auto"/>
        <w:tabs>
          <w:tab w:leader="none" w:pos="34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Execution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w:t>
      </w:r>
    </w:p>
    <w:p>
      <w:pPr>
        <w:sectPr>
          <w:pgSz w:w="11900" w:h="16838" w:orient="portrait"/>
          <w:cols w:equalWidth="0" w:num="1">
            <w:col w:w="9840"/>
          </w:cols>
          <w:pgMar w:left="1020" w:top="1040" w:right="10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thereunto duly authorized and Employee has executed this Agreement, effective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7660" w:space="720"/>
            <w:col w:w="1460"/>
          </w:cols>
          <w:pgMar w:left="1020" w:top="1040" w:right="10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WASTE MANAGEMENT, INC.</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w:t>
      </w:r>
    </w:p>
    <w:p>
      <w:pPr>
        <w:spacing w:after="0" w:line="200" w:lineRule="exact"/>
        <w:rPr>
          <w:sz w:val="20"/>
          <w:szCs w:val="20"/>
          <w:color w:val="auto"/>
        </w:rPr>
      </w:pPr>
    </w:p>
    <w:p>
      <w:pPr>
        <w:sectPr>
          <w:pgSz w:w="11900" w:h="16838" w:orient="portrait"/>
          <w:cols w:equalWidth="0" w:num="2">
            <w:col w:w="4220" w:space="720"/>
            <w:col w:w="4900"/>
          </w:cols>
          <w:pgMar w:left="1020" w:top="1040" w:right="1039" w:bottom="1440" w:gutter="0" w:footer="0" w:header="0"/>
          <w:type w:val="continuous"/>
        </w:sect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9"/>
          <w:szCs w:val="19"/>
          <w:i w:val="1"/>
          <w:iCs w:val="1"/>
          <w:color w:val="auto"/>
        </w:rPr>
        <w:t>Accepted by Electronic Communication</w:t>
      </w:r>
    </w:p>
    <w:p>
      <w:pPr>
        <w:sectPr>
          <w:pgSz w:w="11900" w:h="16838" w:orient="portrait"/>
          <w:cols w:equalWidth="0" w:num="1">
            <w:col w:w="9840"/>
          </w:cols>
          <w:pgMar w:left="1020" w:top="10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40"/>
          </w:cols>
          <w:pgMar w:left="1020" w:top="1040" w:right="1039" w:bottom="1440" w:gutter="0" w:footer="0" w:header="0"/>
          <w:type w:val="continuous"/>
        </w:sectPr>
      </w:pPr>
    </w:p>
    <w:bookmarkStart w:id="142" w:name="page143"/>
    <w:bookmarkEnd w:id="142"/>
    <w:tbl>
      <w:tblPr>
        <w:tblLayout w:type="fixed"/>
        <w:tblInd w:w="4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2"/>
          </w:tcPr>
          <w:p>
            <w:pPr>
              <w:ind w:left="2460"/>
              <w:spacing w:after="0"/>
              <w:rPr>
                <w:sz w:val="20"/>
                <w:szCs w:val="20"/>
                <w:color w:val="auto"/>
              </w:rPr>
            </w:pPr>
            <w:r>
              <w:rPr>
                <w:rFonts w:ascii="Arial" w:cs="Arial" w:eastAsia="Arial" w:hAnsi="Arial"/>
                <w:sz w:val="18"/>
                <w:szCs w:val="18"/>
                <w:b w:val="1"/>
                <w:bCs w:val="1"/>
                <w:color w:val="auto"/>
                <w:w w:val="91"/>
              </w:rPr>
              <w:t>Exhibit 21.1</w:t>
            </w:r>
          </w:p>
        </w:tc>
      </w:tr>
      <w:tr>
        <w:trPr>
          <w:trHeight w:val="405"/>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635952 Ontario Inc.</w:t>
            </w:r>
          </w:p>
        </w:tc>
        <w:tc>
          <w:tcPr>
            <w:tcW w:w="1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Ontario</w:t>
            </w:r>
          </w:p>
        </w:tc>
        <w:tc>
          <w:tcPr>
            <w:tcW w:w="20" w:type="dxa"/>
            <w:vAlign w:val="bottom"/>
          </w:tcPr>
          <w:p>
            <w:pPr>
              <w:spacing w:after="0"/>
              <w:rPr>
                <w:sz w:val="13"/>
                <w:szCs w:val="13"/>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ADS Renewable Energy - Stones Throw,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ADS Renewable Energy - Wolf Creek,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ADS Solid Waste of NJ, Inc.</w:t>
            </w:r>
          </w:p>
        </w:tc>
        <w:tc>
          <w:tcPr>
            <w:tcW w:w="338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Acquisition Sub,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Recycling Services Atlanta,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Recycling Services Gulf Coast,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Alabama Holdings,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Alabama,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Biloxi MRF,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Birmingham,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Blackfoot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Blue Ridge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Kentucky</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Carolinas,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Cedar Hill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Central Florida,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Cobb County Recycling Facility,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Cranberry Creek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Cypress Acres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East,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Evergreen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Grand Bahama Limited</w:t>
            </w:r>
          </w:p>
        </w:tc>
        <w:tc>
          <w:tcPr>
            <w:tcW w:w="3380" w:type="dxa"/>
            <w:vAlign w:val="bottom"/>
          </w:tcPr>
          <w:p>
            <w:pPr>
              <w:ind w:left="20"/>
              <w:spacing w:after="0"/>
              <w:rPr>
                <w:sz w:val="20"/>
                <w:szCs w:val="20"/>
                <w:color w:val="auto"/>
              </w:rPr>
            </w:pPr>
            <w:r>
              <w:rPr>
                <w:rFonts w:ascii="Arial" w:cs="Arial" w:eastAsia="Arial" w:hAnsi="Arial"/>
                <w:sz w:val="14"/>
                <w:szCs w:val="14"/>
                <w:color w:val="auto"/>
              </w:rPr>
              <w:t>New Providence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Hancock County,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Jackson,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Jones Road,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Lancaster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Lithonia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Macon, LLC</w:t>
            </w:r>
          </w:p>
        </w:tc>
        <w:tc>
          <w:tcPr>
            <w:tcW w:w="3380" w:type="dxa"/>
            <w:vAlign w:val="bottom"/>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Magnolia Ridge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Maple Hill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Middle Georgia,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Midwest, LLC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Milledgeville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Mississippi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Mississippi,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Morehead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Kentucky</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National Accounts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National Accounts, Inc.</w:t>
            </w:r>
          </w:p>
        </w:tc>
        <w:tc>
          <w:tcPr>
            <w:tcW w:w="3380" w:type="dxa"/>
            <w:vAlign w:val="bottom"/>
          </w:tcPr>
          <w:p>
            <w:pPr>
              <w:ind w:left="20"/>
              <w:spacing w:after="0"/>
              <w:rPr>
                <w:sz w:val="20"/>
                <w:szCs w:val="20"/>
                <w:color w:val="auto"/>
              </w:rPr>
            </w:pPr>
            <w:r>
              <w:rPr>
                <w:rFonts w:ascii="Arial" w:cs="Arial" w:eastAsia="Arial" w:hAnsi="Arial"/>
                <w:sz w:val="14"/>
                <w:szCs w:val="14"/>
                <w:color w:val="auto"/>
              </w:rPr>
              <w:t>North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North Alabama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North Georgia,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Oak Ridge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Orchard Hills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Pasco County,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Pecan Row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Pontiac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Renewable Energy,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Rogers Lake,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Selma Transfer Station,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Solid Waste Leasing Corp.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Solid Waste Midwest, LLC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Solid Waste Southeast,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South,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Star Ridge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Sumner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Taylor County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Tennessee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Transport,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Valley Meadows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Valley View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Vasko Rubbish Removal, Inc.</w:t>
            </w:r>
          </w:p>
        </w:tc>
        <w:tc>
          <w:tcPr>
            <w:tcW w:w="3380" w:type="dxa"/>
            <w:vAlign w:val="bottom"/>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Vasko Solid Waste,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Advanced Disposal Services Wayne County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Disposal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56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3" w:name="page144"/>
    <w:bookmarkEnd w:id="14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6"/>
        </w:trPr>
        <w:tc>
          <w:tcPr>
            <w:tcW w:w="53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Advanced Disposal Subsidiary Holding Company, LLC</w:t>
            </w:r>
          </w:p>
        </w:tc>
        <w:tc>
          <w:tcPr>
            <w:tcW w:w="180" w:type="dxa"/>
            <w:vAlign w:val="bottom"/>
          </w:tcPr>
          <w:p>
            <w:pPr>
              <w:spacing w:after="0"/>
              <w:rPr>
                <w:sz w:val="13"/>
                <w:szCs w:val="13"/>
                <w:color w:val="auto"/>
              </w:rPr>
            </w:pPr>
          </w:p>
        </w:tc>
        <w:tc>
          <w:tcPr>
            <w:tcW w:w="3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3"/>
                <w:szCs w:val="13"/>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Advanced Environmental Technical Services,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Akron Regional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Alabama Waste Disposal Solutions,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Alliance Sanitary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Alpharetta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American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Ameriwaste,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Anderson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Antelope Valley Recycling and Disposal Facility,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Arden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Atlantic Waste Disposal,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Automated Salvage Transport Co.,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Avalon South,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Azusa Land Reclamation,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B&amp;B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Baton Rouge Renewable Energy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Big Dipper Enterprises,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Bluegrass Containment,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Burlington Transfer Station,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Burney Disposal,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Burnsville Sanitary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CA Newco,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 Sierra Disposal</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Caldwell Partnership, LLC</w:t>
            </w:r>
          </w:p>
        </w:tc>
        <w:tc>
          <w:tcPr>
            <w:tcW w:w="3380" w:type="dxa"/>
            <w:vAlign w:val="bottom"/>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 Asbestos Monofill,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Canadian Waste Services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Ontario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Capels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Capital Sanitation Company</w:t>
            </w:r>
          </w:p>
        </w:tc>
        <w:tc>
          <w:tcPr>
            <w:tcW w:w="3380" w:type="dxa"/>
            <w:vAlign w:val="bottom"/>
          </w:tcPr>
          <w:p>
            <w:pPr>
              <w:ind w:left="20"/>
              <w:spacing w:after="0"/>
              <w:rPr>
                <w:sz w:val="20"/>
                <w:szCs w:val="20"/>
                <w:color w:val="auto"/>
              </w:rPr>
            </w:pPr>
            <w:r>
              <w:rPr>
                <w:rFonts w:ascii="Arial" w:cs="Arial" w:eastAsia="Arial" w:hAnsi="Arial"/>
                <w:sz w:val="14"/>
                <w:szCs w:val="14"/>
                <w:color w:val="auto"/>
              </w:rPr>
              <w:t>Nevada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Capitol Disposal,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Alaska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Carolina Grading, Inc.</w:t>
            </w:r>
          </w:p>
        </w:tc>
        <w:tc>
          <w:tcPr>
            <w:tcW w:w="338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Cartersville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Caruthers Mill C&amp;D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Cedar Ridge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Central Disposal Systems, Inc.</w:t>
            </w:r>
          </w:p>
        </w:tc>
        <w:tc>
          <w:tcPr>
            <w:tcW w:w="3380" w:type="dxa"/>
            <w:vAlign w:val="bottom"/>
          </w:tcPr>
          <w:p>
            <w:pPr>
              <w:ind w:left="20"/>
              <w:spacing w:after="0"/>
              <w:rPr>
                <w:sz w:val="20"/>
                <w:szCs w:val="20"/>
                <w:color w:val="auto"/>
              </w:rPr>
            </w:pPr>
            <w:r>
              <w:rPr>
                <w:rFonts w:ascii="Arial" w:cs="Arial" w:eastAsia="Arial" w:hAnsi="Arial"/>
                <w:sz w:val="14"/>
                <w:szCs w:val="14"/>
                <w:color w:val="auto"/>
              </w:rPr>
              <w:t>Iowa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CGS Leasing,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CGS Services,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Chadwick Road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Chambers Clearview Environmental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Chambers Development Company,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Chambers Development of Ohio, Inc.</w:t>
            </w:r>
          </w:p>
        </w:tc>
        <w:tc>
          <w:tcPr>
            <w:tcW w:w="3380" w:type="dxa"/>
            <w:vAlign w:val="bottom"/>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Chambers of Georgia,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Chambers of Mississippi, Inc.</w:t>
            </w:r>
          </w:p>
        </w:tc>
        <w:tc>
          <w:tcPr>
            <w:tcW w:w="3380" w:type="dxa"/>
            <w:vAlign w:val="bottom"/>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Champion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Chemical Waste Management of Indiana,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Chemical Waste Management of the Northwest,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Chemical Waste Management,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Chesser Island Road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City Environmental Services, Inc. of Waters</w:t>
            </w:r>
          </w:p>
        </w:tc>
        <w:tc>
          <w:tcPr>
            <w:tcW w:w="3380" w:type="dxa"/>
            <w:vAlign w:val="bottom"/>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Cleburne Landfill Company Corp.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Coast Waste Management,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Coastal Recyclers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Community Refuse Service, LLC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Valley Sanitary Waste Disposal,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Conservation Services,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Continuus Materials Group,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Continuus Materials HoldCo,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Continuus Materials Intellectual Property,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Continuus Materials of Fairless Hills,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Continuus Materials of Iowa,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Continuus Materials of PA,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Continuus Materials,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Coshocton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Cougar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8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Countryside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5"/>
                <w:szCs w:val="15"/>
                <w:color w:val="auto"/>
              </w:rPr>
            </w:pPr>
          </w:p>
        </w:tc>
      </w:tr>
      <w:tr>
        <w:trPr>
          <w:trHeight w:val="54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44" w:name="page145"/>
    <w:bookmarkEnd w:id="14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CR Group, LLC</w:t>
            </w:r>
          </w:p>
        </w:tc>
        <w:tc>
          <w:tcPr>
            <w:tcW w:w="1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Utah</w:t>
            </w:r>
          </w:p>
        </w:tc>
        <w:tc>
          <w:tcPr>
            <w:tcW w:w="20" w:type="dxa"/>
            <w:vAlign w:val="bottom"/>
          </w:tcPr>
          <w:p>
            <w:pPr>
              <w:spacing w:after="0"/>
              <w:rPr>
                <w:sz w:val="13"/>
                <w:szCs w:val="13"/>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Curtis Creek Recovery Systems, Inc.</w:t>
            </w:r>
          </w:p>
        </w:tc>
        <w:tc>
          <w:tcPr>
            <w:tcW w:w="3380" w:type="dxa"/>
            <w:vAlign w:val="bottom"/>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Cuyahoga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CWM Chemical Services,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Dauphin Meadows,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Deep Valley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Deer Track Park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Deffenbaugh Disposal,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Deffenbaugh Group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Deffenbaugh Industries, Inc.</w:t>
            </w:r>
          </w:p>
        </w:tc>
        <w:tc>
          <w:tcPr>
            <w:tcW w:w="3380" w:type="dxa"/>
            <w:vAlign w:val="bottom"/>
          </w:tcPr>
          <w:p>
            <w:pPr>
              <w:ind w:left="20"/>
              <w:spacing w:after="0"/>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Deffenbaugh of Arkansas,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Kansas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Deffenbaugh Recycling Company, L.L.C.</w:t>
            </w:r>
          </w:p>
        </w:tc>
        <w:tc>
          <w:tcPr>
            <w:tcW w:w="3380" w:type="dxa"/>
            <w:vAlign w:val="bottom"/>
          </w:tcPr>
          <w:p>
            <w:pPr>
              <w:ind w:left="20"/>
              <w:spacing w:after="0"/>
              <w:rPr>
                <w:sz w:val="20"/>
                <w:szCs w:val="20"/>
                <w:color w:val="auto"/>
              </w:rPr>
            </w:pPr>
            <w:r>
              <w:rPr>
                <w:rFonts w:ascii="Arial" w:cs="Arial" w:eastAsia="Arial" w:hAnsi="Arial"/>
                <w:sz w:val="14"/>
                <w:szCs w:val="14"/>
                <w:color w:val="auto"/>
              </w:rPr>
              <w:t>Kansas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Del Almo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Delaware Basin Landfills,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Delaware Recyclable Products,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DHC Land,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Dickinson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Disposal Service, Incorporated</w:t>
            </w:r>
          </w:p>
        </w:tc>
        <w:tc>
          <w:tcPr>
            <w:tcW w:w="3380" w:type="dxa"/>
            <w:vAlign w:val="bottom"/>
          </w:tcPr>
          <w:p>
            <w:pPr>
              <w:ind w:left="20"/>
              <w:spacing w:after="0"/>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DLD Limited Partnership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Dolphin Services &amp; Chemicals,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Dolphin-One,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Doraville Transfer Station,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Earthmovers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East Liverpool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Eastern One Land Corporation</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Eco-Safe Systems, LLC</w:t>
            </w:r>
          </w:p>
        </w:tc>
        <w:tc>
          <w:tcPr>
            <w:tcW w:w="3380" w:type="dxa"/>
            <w:vAlign w:val="bottom"/>
          </w:tcPr>
          <w:p>
            <w:pPr>
              <w:ind w:left="20"/>
              <w:spacing w:after="0"/>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Eco-Vista,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Arkansas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eCycling Services,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ELDA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Elk River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 Injection Services of Mississippi,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Envirofil of Illinois, Inc.</w:t>
            </w:r>
          </w:p>
        </w:tc>
        <w:tc>
          <w:tcPr>
            <w:tcW w:w="3380" w:type="dxa"/>
            <w:vAlign w:val="bottom"/>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EnviroSolutions Dulles,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EnviroSolutions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EnviroSolutions Real Property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Evergreen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Evergreen Recycling and Disposal Facility,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Farm Properties LLC</w:t>
            </w:r>
          </w:p>
        </w:tc>
        <w:tc>
          <w:tcPr>
            <w:tcW w:w="3380" w:type="dxa"/>
            <w:vAlign w:val="bottom"/>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FDS Disposal II,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Firetower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Fred J. Eckert Sanitary Service,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Furnace Associates, Inc.</w:t>
            </w:r>
          </w:p>
        </w:tc>
        <w:tc>
          <w:tcPr>
            <w:tcW w:w="3380" w:type="dxa"/>
            <w:vAlign w:val="bottom"/>
          </w:tcPr>
          <w:p>
            <w:pPr>
              <w:ind w:left="20"/>
              <w:spacing w:after="0"/>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G.I. Industries</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GA Landfills,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Gallia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Garnet of Maryland, Inc.</w:t>
            </w:r>
          </w:p>
        </w:tc>
        <w:tc>
          <w:tcPr>
            <w:tcW w:w="3380" w:type="dxa"/>
            <w:vAlign w:val="bottom"/>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Gateway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Georgia Waste Systems, LLC</w:t>
            </w:r>
          </w:p>
        </w:tc>
        <w:tc>
          <w:tcPr>
            <w:tcW w:w="3380" w:type="dxa"/>
            <w:vAlign w:val="bottom"/>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Giordano Recycling,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Glades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Glen's Sanitary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Grand Central Sanitary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Greenbow,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Greenstar Allentown,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Greenstar Georgia,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Greenstar Managed Services - Connecticut,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Greenstar Managed Services - RLWM,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Greenstar Mid-America,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Greenstar New Jersey,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Greenstar Ohio,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Greenstar Paterson,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Greenstar Pittsburgh,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Greenstar Recycled Holdings,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Greenstar,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Guadalupe Mines Mutual Water Company</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561"/>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45" w:name="page146"/>
    <w:bookmarkEnd w:id="14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Guadalupe Rubbish Disposal Co., Inc.</w:t>
            </w:r>
          </w:p>
        </w:tc>
        <w:tc>
          <w:tcPr>
            <w:tcW w:w="180" w:type="dxa"/>
            <w:vAlign w:val="bottom"/>
          </w:tcPr>
          <w:p>
            <w:pPr>
              <w:spacing w:after="0"/>
              <w:rPr>
                <w:sz w:val="13"/>
                <w:szCs w:val="13"/>
                <w:color w:val="auto"/>
              </w:rPr>
            </w:pPr>
          </w:p>
        </w:tc>
        <w:tc>
          <w:tcPr>
            <w:tcW w:w="3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3"/>
                <w:szCs w:val="13"/>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Hall County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Ham Lake Haulers, Inc.</w:t>
            </w:r>
          </w:p>
        </w:tc>
        <w:tc>
          <w:tcPr>
            <w:tcW w:w="3380" w:type="dxa"/>
            <w:vAlign w:val="bottom"/>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Harmony Landfill, LP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Harris Sanitation, Inc.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Harwood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Hedco Landfill Limited</w:t>
            </w:r>
          </w:p>
        </w:tc>
        <w:tc>
          <w:tcPr>
            <w:tcW w:w="3380" w:type="dxa"/>
            <w:vAlign w:val="bottom"/>
          </w:tcPr>
          <w:p>
            <w:pPr>
              <w:ind w:left="20"/>
              <w:spacing w:after="0"/>
              <w:rPr>
                <w:sz w:val="20"/>
                <w:szCs w:val="20"/>
                <w:color w:val="auto"/>
              </w:rPr>
            </w:pPr>
            <w:r>
              <w:rPr>
                <w:rFonts w:ascii="Arial" w:cs="Arial" w:eastAsia="Arial" w:hAnsi="Arial"/>
                <w:sz w:val="14"/>
                <w:szCs w:val="14"/>
                <w:color w:val="auto"/>
              </w:rPr>
              <w:t>England</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High Mountain Fuels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Highstar Royal Oaks I,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Highstar Royal Oaks II,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Hillsboro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Oregon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Hinkle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Holyoke Sanitary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HWStar Holdings Corp.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IN Landfills,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IWStar Waste Holdings Corp.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Jahner Sanitation, Inc.</w:t>
            </w:r>
          </w:p>
        </w:tc>
        <w:tc>
          <w:tcPr>
            <w:tcW w:w="3380" w:type="dxa"/>
            <w:vAlign w:val="bottom"/>
          </w:tcPr>
          <w:p>
            <w:pPr>
              <w:ind w:left="20"/>
              <w:spacing w:after="0"/>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Jay County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Jones Road Landfill and Recycling, Ltd.</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 and W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Keene Road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Kelly Run Sanitation,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King George Landfill Properties, LLC</w:t>
            </w:r>
          </w:p>
        </w:tc>
        <w:tc>
          <w:tcPr>
            <w:tcW w:w="3380" w:type="dxa"/>
            <w:vAlign w:val="bottom"/>
          </w:tcPr>
          <w:p>
            <w:pPr>
              <w:ind w:left="20"/>
              <w:spacing w:after="0"/>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King George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Kirby Canyon Holdings, LLC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L&amp;K Group Holdings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Kansas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Lakeville Recycling, L.P.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 South Holdings,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Landfill Services of Charleston, Inc.</w:t>
            </w:r>
          </w:p>
        </w:tc>
        <w:tc>
          <w:tcPr>
            <w:tcW w:w="3380" w:type="dxa"/>
            <w:vAlign w:val="bottom"/>
          </w:tcPr>
          <w:p>
            <w:pPr>
              <w:ind w:left="20"/>
              <w:spacing w:after="0"/>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Landsouth,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Laurel Highlands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LCS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Liberty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Liquid Waste Management,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Longleaf C&amp;D Disposal Facility, Inc.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Looney Bins,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Mac Land Disposal, Inc. II</w:t>
            </w:r>
          </w:p>
        </w:tc>
        <w:tc>
          <w:tcPr>
            <w:tcW w:w="3380" w:type="dxa"/>
            <w:vAlign w:val="bottom"/>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Mahoning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Mass Gravel Inc.</w:t>
            </w:r>
          </w:p>
        </w:tc>
        <w:tc>
          <w:tcPr>
            <w:tcW w:w="338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Mc Ginnes Industrial Maintenance Corporation</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McDaniel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McGill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Meadowfill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Michigan Environs,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Midwest One Land Corporation</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Modesto Garbage Co.,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Moor Refuse,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Moretown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Mostoller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Mountain Indemnity Insurance Company</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Mountainview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Utah</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Nassau County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Nassau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National Guaranty Insurance Company of Vermont</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Vermont</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New England CR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Milford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New Orleans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NEWS MA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NEWS Mid-Atlantic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NEWS North East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NEWStar Waste Holdings Corp.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East Waste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North East Waste Transport, Inc.</w:t>
            </w:r>
          </w:p>
        </w:tc>
        <w:tc>
          <w:tcPr>
            <w:tcW w:w="338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Manatee Recycling and Disposal Facility,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8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Northwestern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5"/>
                <w:szCs w:val="15"/>
                <w:color w:val="auto"/>
              </w:rPr>
            </w:pPr>
          </w:p>
        </w:tc>
      </w:tr>
      <w:tr>
        <w:trPr>
          <w:trHeight w:val="54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46" w:name="page147"/>
    <w:bookmarkEnd w:id="14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Nu-Way Live Oak Reclamation, Inc.</w:t>
            </w:r>
          </w:p>
        </w:tc>
        <w:tc>
          <w:tcPr>
            <w:tcW w:w="1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3"/>
                <w:szCs w:val="13"/>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Oak Grove Disposal Co., Inc.</w:t>
            </w:r>
          </w:p>
        </w:tc>
        <w:tc>
          <w:tcPr>
            <w:tcW w:w="3380" w:type="dxa"/>
            <w:vAlign w:val="bottom"/>
          </w:tcPr>
          <w:p>
            <w:pPr>
              <w:ind w:left="20"/>
              <w:spacing w:after="0"/>
              <w:rPr>
                <w:sz w:val="20"/>
                <w:szCs w:val="20"/>
                <w:color w:val="auto"/>
              </w:rPr>
            </w:pPr>
            <w:r>
              <w:rPr>
                <w:rFonts w:ascii="Arial" w:cs="Arial" w:eastAsia="Arial" w:hAnsi="Arial"/>
                <w:sz w:val="14"/>
                <w:szCs w:val="14"/>
                <w:color w:val="auto"/>
              </w:rPr>
              <w:t>Oregon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Oakleaf Global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Oakleaf Waste Management,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Oakleaf Waste Management,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Connecticut</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Oakridge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Oakwood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OGH Acquisition Corporation</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Okeechobee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Old Kings Road Solid Waste,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Old Kings Road,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Orla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Ozark Ridge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Arkansas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 &amp; R Environmental Industries, L.L.C.</w:t>
            </w:r>
          </w:p>
        </w:tc>
        <w:tc>
          <w:tcPr>
            <w:tcW w:w="3380" w:type="dxa"/>
            <w:vAlign w:val="bottom"/>
          </w:tcPr>
          <w:p>
            <w:pPr>
              <w:ind w:left="20"/>
              <w:spacing w:after="0"/>
              <w:rPr>
                <w:sz w:val="20"/>
                <w:szCs w:val="20"/>
                <w:color w:val="auto"/>
              </w:rPr>
            </w:pPr>
            <w:r>
              <w:rPr>
                <w:rFonts w:ascii="Arial" w:cs="Arial" w:eastAsia="Arial" w:hAnsi="Arial"/>
                <w:sz w:val="14"/>
                <w:szCs w:val="14"/>
                <w:color w:val="auto"/>
              </w:rPr>
              <w:t>North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Waste Management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Pappy, Inc.</w:t>
            </w:r>
          </w:p>
        </w:tc>
        <w:tc>
          <w:tcPr>
            <w:tcW w:w="3380" w:type="dxa"/>
            <w:vAlign w:val="bottom"/>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Parker Sanitation II,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Pasco Lakes Inc.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PDC Disposal Co.,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Peltz H.C., LLC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Pen-Rob,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People's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Peterson Demolition,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Petro Waste DeWitt-Hohn Disposal Facility LP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Petro Waste Disposal GP,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Petro Waste Environmental LP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Petro Waste Holdings LP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Petro Waste Howard County Disposal Facility LP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Petro Waste McMullen County Disposal Facility LP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Petro Waste Pecos County Disposal Facility LP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Petro Waste Reagan County Disposal Facility LP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Phoenix Resources,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Pine Grove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Pine Tree Acres, Inc.</w:t>
            </w:r>
          </w:p>
        </w:tc>
        <w:tc>
          <w:tcPr>
            <w:tcW w:w="3380" w:type="dxa"/>
            <w:vAlign w:val="bottom"/>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Precision Waste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Prime Westport, LLC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Quail Hollow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Questquill Limited</w:t>
            </w:r>
          </w:p>
        </w:tc>
        <w:tc>
          <w:tcPr>
            <w:tcW w:w="3380" w:type="dxa"/>
            <w:vAlign w:val="bottom"/>
          </w:tcPr>
          <w:p>
            <w:pPr>
              <w:ind w:left="20"/>
              <w:spacing w:after="0"/>
              <w:rPr>
                <w:sz w:val="20"/>
                <w:szCs w:val="20"/>
                <w:color w:val="auto"/>
              </w:rPr>
            </w:pPr>
            <w:r>
              <w:rPr>
                <w:rFonts w:ascii="Arial" w:cs="Arial" w:eastAsia="Arial" w:hAnsi="Arial"/>
                <w:sz w:val="14"/>
                <w:szCs w:val="14"/>
                <w:color w:val="auto"/>
              </w:rPr>
              <w:t>England</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 &amp; B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RAA Colorado, L.L.C.</w:t>
            </w:r>
          </w:p>
        </w:tc>
        <w:tc>
          <w:tcPr>
            <w:tcW w:w="3380" w:type="dxa"/>
            <w:vAlign w:val="bottom"/>
          </w:tcPr>
          <w:p>
            <w:pPr>
              <w:ind w:left="20"/>
              <w:spacing w:after="0"/>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RAA Trucking,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RCI Hudson, Inc.</w:t>
            </w:r>
          </w:p>
        </w:tc>
        <w:tc>
          <w:tcPr>
            <w:tcW w:w="338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Recycle America Co.,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Recycle America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Redwood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Refuse Services,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Refuse,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Nevada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Reliable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Remote Landfill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Reno Disposal Co.</w:t>
            </w:r>
          </w:p>
        </w:tc>
        <w:tc>
          <w:tcPr>
            <w:tcW w:w="3380" w:type="dxa"/>
            <w:vAlign w:val="bottom"/>
          </w:tcPr>
          <w:p>
            <w:pPr>
              <w:ind w:left="20"/>
              <w:spacing w:after="0"/>
              <w:rPr>
                <w:sz w:val="20"/>
                <w:szCs w:val="20"/>
                <w:color w:val="auto"/>
              </w:rPr>
            </w:pPr>
            <w:r>
              <w:rPr>
                <w:rFonts w:ascii="Arial" w:cs="Arial" w:eastAsia="Arial" w:hAnsi="Arial"/>
                <w:sz w:val="14"/>
                <w:szCs w:val="14"/>
                <w:color w:val="auto"/>
              </w:rPr>
              <w:t>Nevada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Resco Holdings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Resource Control Composting, Inc.</w:t>
            </w:r>
          </w:p>
        </w:tc>
        <w:tc>
          <w:tcPr>
            <w:tcW w:w="338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Resource Control,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Richland County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Riverbend Landfill Co.</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RTS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Rust Engineering &amp; Construction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Rust International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 &amp; J Landfill Limited Partnership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 &amp; S Grading, Inc.</w:t>
            </w:r>
          </w:p>
        </w:tc>
        <w:tc>
          <w:tcPr>
            <w:tcW w:w="3380" w:type="dxa"/>
            <w:vAlign w:val="bottom"/>
          </w:tcPr>
          <w:p>
            <w:pPr>
              <w:ind w:left="20"/>
              <w:spacing w:after="0"/>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S&amp;T Materials,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Sanifill de Mexico (US),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Sanitation Services Company Limited</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Bahamas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SC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Shade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56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47" w:name="page148"/>
    <w:bookmarkEnd w:id="14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Shawnee Rock Company</w:t>
            </w:r>
          </w:p>
        </w:tc>
        <w:tc>
          <w:tcPr>
            <w:tcW w:w="180" w:type="dxa"/>
            <w:vAlign w:val="bottom"/>
          </w:tcPr>
          <w:p>
            <w:pPr>
              <w:spacing w:after="0"/>
              <w:rPr>
                <w:sz w:val="13"/>
                <w:szCs w:val="13"/>
                <w:color w:val="auto"/>
              </w:rPr>
            </w:pPr>
          </w:p>
        </w:tc>
        <w:tc>
          <w:tcPr>
            <w:tcW w:w="3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3"/>
                <w:szCs w:val="13"/>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Sierra Estrella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Sister's Sanitation Services,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Hadley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South Suburban, LLC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One Land Corporation</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Southern Waste Services,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Spruce Ridge,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SSI Southland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 Johnsbury Transfer Station,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St. Paul Haulers, LLC</w:t>
            </w:r>
          </w:p>
        </w:tc>
        <w:tc>
          <w:tcPr>
            <w:tcW w:w="3380" w:type="dxa"/>
            <w:vAlign w:val="bottom"/>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Stony Hollow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Suburban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Summit Disposal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Summit, Inc.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Superior Waste Services of New York City,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T2L Trucking,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Texarkana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Texas Pack Rat - Austin #1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Texas Pack Rat - Dallas #1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Texas Pack Rat - Houston #1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Texas Pack Rat - Houston #2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Texas Pack Rat - Houston #3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Texas Pack Rat - San Antonio #1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Texas Pack Rat Service Company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Peltz Group,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The Waste Management Charitable Foundation</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Woodlands of Van Buren,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TN'T Sands, Inc.</w:t>
            </w:r>
          </w:p>
        </w:tc>
        <w:tc>
          <w:tcPr>
            <w:tcW w:w="338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Trail Ridge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Transamerican Waste Central Landfill,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Trash Hunters,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TW PWE GP,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Twin Bridges Golf Club, L.P.</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TX Newco,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Waste Systems Leasing,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Urban Sanitation Limited</w:t>
            </w:r>
          </w:p>
        </w:tc>
        <w:tc>
          <w:tcPr>
            <w:tcW w:w="3380" w:type="dxa"/>
            <w:vAlign w:val="bottom"/>
          </w:tcPr>
          <w:p>
            <w:pPr>
              <w:ind w:left="20"/>
              <w:spacing w:after="0"/>
              <w:rPr>
                <w:sz w:val="20"/>
                <w:szCs w:val="20"/>
                <w:color w:val="auto"/>
              </w:rPr>
            </w:pPr>
            <w:r>
              <w:rPr>
                <w:rFonts w:ascii="Arial" w:cs="Arial" w:eastAsia="Arial" w:hAnsi="Arial"/>
                <w:sz w:val="14"/>
                <w:szCs w:val="14"/>
                <w:color w:val="auto"/>
              </w:rPr>
              <w:t>Bahamas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USA South Hills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USA Valley Facility,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USA Waste Geneva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USA Waste Landfill Operations and Transfer, Inc.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USA Waste of California,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USA Waste of Texas Landfills,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USA Waste of Virginia Landfills,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USA Waste Services of NYC,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USA Waste-Management Resources,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USA-Crinc,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USB LIHTC Fund 2010-1,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USB LIHTC-NMTC FUND 2018-2,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USB LIHTC-NMTC FUND 2019-1,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UWS Barre, Inc.</w:t>
            </w:r>
          </w:p>
        </w:tc>
        <w:tc>
          <w:tcPr>
            <w:tcW w:w="338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Valley Garbage and Rubbish Company,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Vermont Hauling,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Vern's Refuse Service,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Vickery Environmental, Inc.</w:t>
            </w:r>
          </w:p>
        </w:tc>
        <w:tc>
          <w:tcPr>
            <w:tcW w:w="3380" w:type="dxa"/>
            <w:vAlign w:val="bottom"/>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Vista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Voyageur Disposal Processing, Inc.</w:t>
            </w:r>
          </w:p>
        </w:tc>
        <w:tc>
          <w:tcPr>
            <w:tcW w:w="3380" w:type="dxa"/>
            <w:vAlign w:val="bottom"/>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Waitsfield Transfer Station,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Warner Company</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Away Group,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Arizona Landfills,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Buckeye,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Collection and Recycling,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Disposal Services of Colorado,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4"/>
                <w:szCs w:val="14"/>
                <w:color w:val="auto"/>
              </w:rPr>
            </w:pPr>
          </w:p>
        </w:tc>
      </w:tr>
      <w:tr>
        <w:trPr>
          <w:trHeight w:val="18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Disposal Services of Maine, Inc.</w:t>
            </w:r>
          </w:p>
        </w:tc>
        <w:tc>
          <w:tcPr>
            <w:tcW w:w="3380" w:type="dxa"/>
            <w:vAlign w:val="bottom"/>
          </w:tcPr>
          <w:p>
            <w:pPr>
              <w:ind w:left="20"/>
              <w:spacing w:after="0"/>
              <w:rPr>
                <w:sz w:val="20"/>
                <w:szCs w:val="20"/>
                <w:color w:val="auto"/>
              </w:rPr>
            </w:pPr>
            <w:r>
              <w:rPr>
                <w:rFonts w:ascii="Arial" w:cs="Arial" w:eastAsia="Arial" w:hAnsi="Arial"/>
                <w:sz w:val="14"/>
                <w:szCs w:val="14"/>
                <w:color w:val="auto"/>
              </w:rPr>
              <w:t>Maine</w:t>
            </w:r>
          </w:p>
        </w:tc>
        <w:tc>
          <w:tcPr>
            <w:tcW w:w="20" w:type="dxa"/>
            <w:vAlign w:val="bottom"/>
          </w:tcPr>
          <w:p>
            <w:pPr>
              <w:spacing w:after="0"/>
              <w:rPr>
                <w:sz w:val="15"/>
                <w:szCs w:val="15"/>
                <w:color w:val="auto"/>
              </w:rPr>
            </w:pPr>
          </w:p>
        </w:tc>
      </w:tr>
      <w:tr>
        <w:trPr>
          <w:trHeight w:val="54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48" w:name="page149"/>
    <w:bookmarkEnd w:id="14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Waste Management Disposal Services of Maryland, Inc.</w:t>
            </w:r>
          </w:p>
        </w:tc>
        <w:tc>
          <w:tcPr>
            <w:tcW w:w="1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3"/>
                <w:szCs w:val="13"/>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Disposal Services of Massachusetts, Inc.</w:t>
            </w:r>
          </w:p>
        </w:tc>
        <w:tc>
          <w:tcPr>
            <w:tcW w:w="3380" w:type="dxa"/>
            <w:vAlign w:val="bottom"/>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Disposal Services of Oregon,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Disposal Services of Pennsylvania, Inc.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Disposal Services of Virginia,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Energy Services of Texas, LLC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Inc. of Florida</w:t>
            </w:r>
          </w:p>
        </w:tc>
        <w:tc>
          <w:tcPr>
            <w:tcW w:w="3380" w:type="dxa"/>
            <w:vAlign w:val="bottom"/>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Indycoke,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International,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Milam Property,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National Services,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National Transportation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Alameda County,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Alaska,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Arizona,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Arkansas,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California, Inc.</w:t>
            </w:r>
          </w:p>
        </w:tc>
        <w:tc>
          <w:tcPr>
            <w:tcW w:w="33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Canada Corporation</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Nova Scotia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Carolinas, Inc.</w:t>
            </w:r>
          </w:p>
        </w:tc>
        <w:tc>
          <w:tcPr>
            <w:tcW w:w="3380" w:type="dxa"/>
            <w:vAlign w:val="bottom"/>
          </w:tcPr>
          <w:p>
            <w:pPr>
              <w:ind w:left="20"/>
              <w:spacing w:after="0"/>
              <w:rPr>
                <w:sz w:val="20"/>
                <w:szCs w:val="20"/>
                <w:color w:val="auto"/>
              </w:rPr>
            </w:pPr>
            <w:r>
              <w:rPr>
                <w:rFonts w:ascii="Arial" w:cs="Arial" w:eastAsia="Arial" w:hAnsi="Arial"/>
                <w:sz w:val="14"/>
                <w:szCs w:val="14"/>
                <w:color w:val="auto"/>
              </w:rPr>
              <w:t>North Carolina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Colorado,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Connecticut,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Delaware,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Fairless,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Five Oaks Recycling and Disposal Facility,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Georgia, Inc.</w:t>
            </w:r>
          </w:p>
        </w:tc>
        <w:tc>
          <w:tcPr>
            <w:tcW w:w="3380" w:type="dxa"/>
            <w:vAlign w:val="bottom"/>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Hawaii,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Idaho, Inc.</w:t>
            </w:r>
          </w:p>
        </w:tc>
        <w:tc>
          <w:tcPr>
            <w:tcW w:w="3380" w:type="dxa"/>
            <w:vAlign w:val="bottom"/>
          </w:tcPr>
          <w:p>
            <w:pPr>
              <w:ind w:left="20"/>
              <w:spacing w:after="0"/>
              <w:rPr>
                <w:sz w:val="20"/>
                <w:szCs w:val="20"/>
                <w:color w:val="auto"/>
              </w:rPr>
            </w:pPr>
            <w:r>
              <w:rPr>
                <w:rFonts w:ascii="Arial" w:cs="Arial" w:eastAsia="Arial" w:hAnsi="Arial"/>
                <w:sz w:val="14"/>
                <w:szCs w:val="14"/>
                <w:color w:val="auto"/>
              </w:rPr>
              <w:t>Idaho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Illinois,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Indiana Holdings One,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Indiana Holdings Two,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Indiana,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Iowa,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Iowa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Kansas, Inc.</w:t>
            </w:r>
          </w:p>
        </w:tc>
        <w:tc>
          <w:tcPr>
            <w:tcW w:w="3380" w:type="dxa"/>
            <w:vAlign w:val="bottom"/>
          </w:tcPr>
          <w:p>
            <w:pPr>
              <w:ind w:left="20"/>
              <w:spacing w:after="0"/>
              <w:rPr>
                <w:sz w:val="20"/>
                <w:szCs w:val="20"/>
                <w:color w:val="auto"/>
              </w:rPr>
            </w:pPr>
            <w:r>
              <w:rPr>
                <w:rFonts w:ascii="Arial" w:cs="Arial" w:eastAsia="Arial" w:hAnsi="Arial"/>
                <w:sz w:val="14"/>
                <w:szCs w:val="14"/>
                <w:color w:val="auto"/>
              </w:rPr>
              <w:t>Kansas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Kentucky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Kentucky,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Leon County,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Londonderry,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Louisiana Holdings One,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Louisiana,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Maine,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Maryland, Inc.</w:t>
            </w:r>
          </w:p>
        </w:tc>
        <w:tc>
          <w:tcPr>
            <w:tcW w:w="3380" w:type="dxa"/>
            <w:vAlign w:val="bottom"/>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Massachusetts,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Metro Atlanta, Inc.</w:t>
            </w:r>
          </w:p>
        </w:tc>
        <w:tc>
          <w:tcPr>
            <w:tcW w:w="3380" w:type="dxa"/>
            <w:vAlign w:val="bottom"/>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Michigan,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Minnesota, Inc.</w:t>
            </w:r>
          </w:p>
        </w:tc>
        <w:tc>
          <w:tcPr>
            <w:tcW w:w="3380" w:type="dxa"/>
            <w:vAlign w:val="bottom"/>
          </w:tcPr>
          <w:p>
            <w:pPr>
              <w:ind w:left="20"/>
              <w:spacing w:after="0"/>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Mississippi,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Missouri,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Montana,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Nebraska,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Nevada,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Nevada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New Hampshire, Inc.</w:t>
            </w:r>
          </w:p>
        </w:tc>
        <w:tc>
          <w:tcPr>
            <w:tcW w:w="3380" w:type="dxa"/>
            <w:vAlign w:val="bottom"/>
          </w:tcPr>
          <w:p>
            <w:pPr>
              <w:ind w:left="20"/>
              <w:spacing w:after="0"/>
              <w:rPr>
                <w:sz w:val="20"/>
                <w:szCs w:val="20"/>
                <w:color w:val="auto"/>
              </w:rPr>
            </w:pPr>
            <w:r>
              <w:rPr>
                <w:rFonts w:ascii="Arial" w:cs="Arial" w:eastAsia="Arial" w:hAnsi="Arial"/>
                <w:sz w:val="14"/>
                <w:szCs w:val="14"/>
                <w:color w:val="auto"/>
              </w:rPr>
              <w:t>Connecticut</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New Jersey,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New Mexico, Inc.</w:t>
            </w:r>
          </w:p>
        </w:tc>
        <w:tc>
          <w:tcPr>
            <w:tcW w:w="3380" w:type="dxa"/>
            <w:vAlign w:val="bottom"/>
          </w:tcPr>
          <w:p>
            <w:pPr>
              <w:ind w:left="20"/>
              <w:spacing w:after="0"/>
              <w:rPr>
                <w:sz w:val="20"/>
                <w:szCs w:val="20"/>
                <w:color w:val="auto"/>
              </w:rPr>
            </w:pPr>
            <w:r>
              <w:rPr>
                <w:rFonts w:ascii="Arial" w:cs="Arial" w:eastAsia="Arial" w:hAnsi="Arial"/>
                <w:sz w:val="14"/>
                <w:szCs w:val="14"/>
                <w:color w:val="auto"/>
              </w:rPr>
              <w:t>New Mexico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New York,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North Dakota,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Ohio,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Oklahoma, Inc.</w:t>
            </w:r>
          </w:p>
        </w:tc>
        <w:tc>
          <w:tcPr>
            <w:tcW w:w="3380" w:type="dxa"/>
            <w:vAlign w:val="bottom"/>
          </w:tcPr>
          <w:p>
            <w:pPr>
              <w:ind w:left="20"/>
              <w:spacing w:after="0"/>
              <w:rPr>
                <w:sz w:val="20"/>
                <w:szCs w:val="20"/>
                <w:color w:val="auto"/>
              </w:rPr>
            </w:pPr>
            <w:r>
              <w:rPr>
                <w:rFonts w:ascii="Arial" w:cs="Arial" w:eastAsia="Arial" w:hAnsi="Arial"/>
                <w:sz w:val="14"/>
                <w:szCs w:val="14"/>
                <w:color w:val="auto"/>
              </w:rPr>
              <w:t>Oklahoma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Oregon,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Pennsylvania Gas Recovery,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Pennsylvania,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Rhode Island,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South Carolina,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South Dakota, Inc.</w:t>
            </w:r>
          </w:p>
        </w:tc>
        <w:tc>
          <w:tcPr>
            <w:tcW w:w="3380" w:type="dxa"/>
            <w:vAlign w:val="bottom"/>
          </w:tcPr>
          <w:p>
            <w:pPr>
              <w:ind w:left="20"/>
              <w:spacing w:after="0"/>
              <w:rPr>
                <w:sz w:val="20"/>
                <w:szCs w:val="20"/>
                <w:color w:val="auto"/>
              </w:rPr>
            </w:pPr>
            <w:r>
              <w:rPr>
                <w:rFonts w:ascii="Arial" w:cs="Arial" w:eastAsia="Arial" w:hAnsi="Arial"/>
                <w:sz w:val="14"/>
                <w:szCs w:val="14"/>
                <w:color w:val="auto"/>
              </w:rPr>
              <w:t>South Dakota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Texas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56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49" w:name="page150"/>
    <w:bookmarkEnd w:id="1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Waste Management of Texas, Inc.</w:t>
            </w:r>
          </w:p>
        </w:tc>
        <w:tc>
          <w:tcPr>
            <w:tcW w:w="180" w:type="dxa"/>
            <w:vAlign w:val="bottom"/>
          </w:tcPr>
          <w:p>
            <w:pPr>
              <w:spacing w:after="0"/>
              <w:rPr>
                <w:sz w:val="13"/>
                <w:szCs w:val="13"/>
                <w:color w:val="auto"/>
              </w:rPr>
            </w:pPr>
          </w:p>
        </w:tc>
        <w:tc>
          <w:tcPr>
            <w:tcW w:w="3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3"/>
                <w:szCs w:val="13"/>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Tunica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Utah, Inc.</w:t>
            </w:r>
          </w:p>
        </w:tc>
        <w:tc>
          <w:tcPr>
            <w:tcW w:w="3380" w:type="dxa"/>
            <w:vAlign w:val="bottom"/>
          </w:tcPr>
          <w:p>
            <w:pPr>
              <w:ind w:left="20"/>
              <w:spacing w:after="0"/>
              <w:rPr>
                <w:sz w:val="20"/>
                <w:szCs w:val="20"/>
                <w:color w:val="auto"/>
              </w:rPr>
            </w:pPr>
            <w:r>
              <w:rPr>
                <w:rFonts w:ascii="Arial" w:cs="Arial" w:eastAsia="Arial" w:hAnsi="Arial"/>
                <w:sz w:val="14"/>
                <w:szCs w:val="14"/>
                <w:color w:val="auto"/>
              </w:rPr>
              <w:t>Utah</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Virginia,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Washington,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West Virginia,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of Wisconsin, Inc.</w:t>
            </w:r>
          </w:p>
        </w:tc>
        <w:tc>
          <w:tcPr>
            <w:tcW w:w="33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of Wyoming,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Partners,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Recycling and Disposal Services of California,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Recycling of New Jersey,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 Service Center,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Waste Management, Inc. of Tennessee</w:t>
            </w:r>
          </w:p>
        </w:tc>
        <w:tc>
          <w:tcPr>
            <w:tcW w:w="3380" w:type="dxa"/>
            <w:vAlign w:val="bottom"/>
          </w:tcPr>
          <w:p>
            <w:pPr>
              <w:ind w:left="20"/>
              <w:spacing w:after="0"/>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Waste Management-Green Ridge RDF,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WBLF Acquisition Company, LLC</w:t>
            </w:r>
          </w:p>
        </w:tc>
        <w:tc>
          <w:tcPr>
            <w:tcW w:w="338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Western Maryland Waste Systems,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Western One Land Corporation</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Western Waste Industries</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Western Waste of Texas,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Westminster Land Acquisition,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Wheelabrator Technologies International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White Lake Landfill,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Willow Oak Landfill, LLC</w:t>
            </w:r>
          </w:p>
        </w:tc>
        <w:tc>
          <w:tcPr>
            <w:tcW w:w="3380" w:type="dxa"/>
            <w:vAlign w:val="bottom"/>
          </w:tcPr>
          <w:p>
            <w:pPr>
              <w:ind w:left="20"/>
              <w:spacing w:after="0"/>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Avon,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Bagco,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Billerica,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Biloxi Hauling, LLC</w:t>
            </w:r>
          </w:p>
        </w:tc>
        <w:tc>
          <w:tcPr>
            <w:tcW w:w="3380" w:type="dxa"/>
            <w:vAlign w:val="bottom"/>
          </w:tcPr>
          <w:p>
            <w:pPr>
              <w:ind w:left="20"/>
              <w:spacing w:after="0"/>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Biloxi Transfer Station,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Boston CORE,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CCP Solutions,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Compactor Solutions, Inc.</w:t>
            </w:r>
          </w:p>
        </w:tc>
        <w:tc>
          <w:tcPr>
            <w:tcW w:w="3380" w:type="dxa"/>
            <w:vAlign w:val="bottom"/>
          </w:tcPr>
          <w:p>
            <w:pPr>
              <w:ind w:left="20"/>
              <w:spacing w:after="0"/>
              <w:rPr>
                <w:sz w:val="20"/>
                <w:szCs w:val="20"/>
                <w:color w:val="auto"/>
              </w:rPr>
            </w:pPr>
            <w:r>
              <w:rPr>
                <w:rFonts w:ascii="Arial" w:cs="Arial" w:eastAsia="Arial" w:hAnsi="Arial"/>
                <w:sz w:val="14"/>
                <w:szCs w:val="14"/>
                <w:color w:val="auto"/>
              </w:rPr>
              <w:t>Arizona</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Conversion Fund,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Corporate Services,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Curbside,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DC 1,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Emergency Employee Support Fund,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Energy Resources,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Energy Services Holdings,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Energy Services of Ohio, LLC</w:t>
            </w:r>
          </w:p>
        </w:tc>
        <w:tc>
          <w:tcPr>
            <w:tcW w:w="3380" w:type="dxa"/>
            <w:vAlign w:val="bottom"/>
          </w:tcPr>
          <w:p>
            <w:pPr>
              <w:ind w:left="20"/>
              <w:spacing w:after="0"/>
              <w:rPr>
                <w:sz w:val="20"/>
                <w:szCs w:val="20"/>
                <w:color w:val="auto"/>
              </w:rPr>
            </w:pPr>
            <w:r>
              <w:rPr>
                <w:rFonts w:ascii="Arial" w:cs="Arial" w:eastAsia="Arial" w:hAnsi="Arial"/>
                <w:sz w:val="14"/>
                <w:szCs w:val="14"/>
                <w:color w:val="auto"/>
              </w:rPr>
              <w:t>Ohio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Energy Solutions,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Green Squad,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GreenOps,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GTL JV Holdings,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GTL,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GTL,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Healthcare Solutions,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Illinois Renewable Energy,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Intellectual Property Holdings,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International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KS Energy Resources,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LampTracker,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Landfills of Ohio,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Landfills of Tennessee,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Leasing of Arizona,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Leasing of Texas, L.P.</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Leasing Services of Texas,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LNG,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Logistics,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Middle Tennessee Environmental Center,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Mobile Bay Environmental Center,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National Field Services,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ND Energy Resources II,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ND Energy Resources,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Nevada Renewable Energy,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8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North Broward,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5"/>
                <w:szCs w:val="15"/>
                <w:color w:val="auto"/>
              </w:rPr>
            </w:pPr>
          </w:p>
        </w:tc>
      </w:tr>
      <w:tr>
        <w:trPr>
          <w:trHeight w:val="540"/>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50" w:name="page151"/>
    <w:bookmarkEnd w:id="15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55"/>
        </w:trPr>
        <w:tc>
          <w:tcPr>
            <w:tcW w:w="53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WM of North Dakota Energy Disposal Solutions, LLC</w:t>
            </w:r>
          </w:p>
        </w:tc>
        <w:tc>
          <w:tcPr>
            <w:tcW w:w="1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3"/>
                <w:szCs w:val="13"/>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Organic Growth,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Organics,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PA Holdings,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Pack-Rat of California,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Pack-Rat of Illinois,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Pack-Rat of Kentucky,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Pack-Rat of Maryland,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Pack-Rat of Massachusetts,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Pack-Rat of Michigan,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Pack-Rat of Nevada,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Pack-Rat of Ohio,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Pack-Rat of Rhode Island,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Pack-Rat,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Partnership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Phoenix Energy Resources,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PRG,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Propane,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Quebec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Federally Chartered</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RA Canada Inc.</w:t>
            </w:r>
          </w:p>
        </w:tc>
        <w:tc>
          <w:tcPr>
            <w:tcW w:w="3380" w:type="dxa"/>
            <w:vAlign w:val="bottom"/>
          </w:tcPr>
          <w:p>
            <w:pPr>
              <w:ind w:left="20"/>
              <w:spacing w:after="0"/>
              <w:rPr>
                <w:sz w:val="20"/>
                <w:szCs w:val="20"/>
                <w:color w:val="auto"/>
              </w:rPr>
            </w:pPr>
            <w:r>
              <w:rPr>
                <w:rFonts w:ascii="Arial" w:cs="Arial" w:eastAsia="Arial" w:hAnsi="Arial"/>
                <w:sz w:val="14"/>
                <w:szCs w:val="14"/>
                <w:color w:val="auto"/>
              </w:rPr>
              <w:t>Ontario</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Recycle America,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Recycle Europe,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Recycling Latin America,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Refined Coal,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Renewable Energy,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Resource Recovery &amp; Recycling Center,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Resources,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Safety Services,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Security Services,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Storage II,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Storage,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Texas Pack Rat,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Transport of Indiana,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Trash Monitor Plus,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TX Energy Resources II,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TX Energy Resources,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Universal Solutions Private Limited</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Waste,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WY Energy Resources II,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 WY Energy Resources III,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 WY Energy Resources,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WMI Mexico Holdings,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WMNA Container Recycling,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WMRE of Kentucky,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WMRE of Michigan,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WMRE of Ohio, LLC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WMRE of Ohio-American,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WMSALSA, Inc.</w:t>
            </w:r>
          </w:p>
        </w:tc>
        <w:tc>
          <w:tcPr>
            <w:tcW w:w="338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Wolf Creek Landfill, LLC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WSI Medical Waste Systems,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WSI of New York,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WTI Air Pollution Control Inc.</w:t>
            </w:r>
          </w:p>
        </w:tc>
        <w:tc>
          <w:tcPr>
            <w:tcW w:w="338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1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WTI Rust Holdings Inc.</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4"/>
                <w:szCs w:val="14"/>
                <w:color w:val="auto"/>
              </w:rPr>
            </w:pPr>
          </w:p>
        </w:tc>
      </w:tr>
      <w:tr>
        <w:trPr>
          <w:trHeight w:val="776"/>
        </w:trPr>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1"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December 31, 2021,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9/15/2022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52" w:name="page153"/>
    <w:bookmarkEnd w:id="152"/>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80" w:right="59" w:hanging="9"/>
        <w:spacing w:after="0" w:line="308" w:lineRule="auto"/>
        <w:tabs>
          <w:tab w:leader="none" w:pos="54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Registration Statement (Form S-8 No. 333-240211) of Waste Management, Inc. pertaining to the issuance of shares of common stock pursuant to the Waste Management, Inc. Employee Stock Purchase Plan,</w:t>
      </w:r>
    </w:p>
    <w:p>
      <w:pPr>
        <w:spacing w:after="0" w:line="146" w:lineRule="exact"/>
        <w:rPr>
          <w:rFonts w:ascii="Arial" w:cs="Arial" w:eastAsia="Arial" w:hAnsi="Arial"/>
          <w:sz w:val="17"/>
          <w:szCs w:val="17"/>
          <w:color w:val="auto"/>
        </w:rPr>
      </w:pPr>
    </w:p>
    <w:p>
      <w:pPr>
        <w:ind w:left="280" w:right="59" w:hanging="9"/>
        <w:spacing w:after="0" w:line="277" w:lineRule="auto"/>
        <w:tabs>
          <w:tab w:leader="none" w:pos="5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170" w:lineRule="exact"/>
        <w:rPr>
          <w:rFonts w:ascii="Arial" w:cs="Arial" w:eastAsia="Arial" w:hAnsi="Arial"/>
          <w:sz w:val="18"/>
          <w:szCs w:val="18"/>
          <w:color w:val="auto"/>
        </w:rPr>
      </w:pPr>
    </w:p>
    <w:p>
      <w:pPr>
        <w:ind w:left="280" w:right="59" w:hanging="9"/>
        <w:spacing w:after="0" w:line="277" w:lineRule="auto"/>
        <w:tabs>
          <w:tab w:leader="none" w:pos="5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S-8 No. 333-253683) of Waste Management, Inc. pertaining to the issuance of shares of common stock pursuant to the Waste Management Retirement Savings Plan,</w:t>
      </w:r>
    </w:p>
    <w:p>
      <w:pPr>
        <w:spacing w:after="0" w:line="170" w:lineRule="exact"/>
        <w:rPr>
          <w:rFonts w:ascii="Arial" w:cs="Arial" w:eastAsia="Arial" w:hAnsi="Arial"/>
          <w:sz w:val="18"/>
          <w:szCs w:val="18"/>
          <w:color w:val="auto"/>
        </w:rPr>
      </w:pPr>
    </w:p>
    <w:p>
      <w:pPr>
        <w:ind w:left="280" w:right="59" w:hanging="9"/>
        <w:spacing w:after="0" w:line="277" w:lineRule="auto"/>
        <w:tabs>
          <w:tab w:leader="none" w:pos="59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170" w:lineRule="exact"/>
        <w:rPr>
          <w:rFonts w:ascii="Arial" w:cs="Arial" w:eastAsia="Arial" w:hAnsi="Arial"/>
          <w:sz w:val="18"/>
          <w:szCs w:val="18"/>
          <w:color w:val="auto"/>
        </w:rPr>
      </w:pPr>
    </w:p>
    <w:p>
      <w:pPr>
        <w:ind w:left="280" w:right="79" w:hanging="9"/>
        <w:spacing w:after="0" w:line="342" w:lineRule="auto"/>
        <w:tabs>
          <w:tab w:leader="none" w:pos="58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Registration Statement (Form S-8 No. 333-159476 and Post-Effective Amendment No. 1 thereto) of Waste Management, Inc. pertaining to the issuance of shares of common stock pursuant to the 2009 Stock Incentive Plan, and</w:t>
      </w:r>
    </w:p>
    <w:p>
      <w:pPr>
        <w:spacing w:after="0" w:line="123" w:lineRule="exact"/>
        <w:rPr>
          <w:rFonts w:ascii="Arial" w:cs="Arial" w:eastAsia="Arial" w:hAnsi="Arial"/>
          <w:sz w:val="16"/>
          <w:szCs w:val="16"/>
          <w:color w:val="auto"/>
        </w:rPr>
      </w:pPr>
    </w:p>
    <w:p>
      <w:pPr>
        <w:ind w:left="520" w:hanging="249"/>
        <w:spacing w:after="0"/>
        <w:tabs>
          <w:tab w:leader="none" w:pos="5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Registration Statement (Form S-3 Automatic Shelf Registration No. 333-231027) of Waste Management, Inc.,</w:t>
      </w:r>
    </w:p>
    <w:p>
      <w:pPr>
        <w:spacing w:after="0" w:line="23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of our reports dated February 15, 2022, with respect to the consolidated financial statements of Waste Management, Inc. and the effectiveness of internal control over financial reporting of Waste Management, Inc. included in this Annual Report (Form 10-K) of Waste Management, Inc. for the year ended December 31, 2021.</w:t>
      </w: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3" w:name="page154"/>
    <w:bookmarkEnd w:id="15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20" w:hanging="229"/>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6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75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79" w:firstLine="431"/>
        <w:spacing w:after="0" w:line="286" w:lineRule="auto"/>
        <w:tabs>
          <w:tab w:leader="none" w:pos="75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1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6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59" w:firstLine="431"/>
        <w:spacing w:after="0" w:line="263" w:lineRule="auto"/>
        <w:tabs>
          <w:tab w:leader="none" w:pos="125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1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3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C. FISH, JR.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54" w:name="page155"/>
    <w:bookmarkEnd w:id="15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20" w:hanging="229"/>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left="60" w:right="59" w:firstLine="431"/>
        <w:spacing w:after="0" w:line="263" w:lineRule="auto"/>
        <w:tabs>
          <w:tab w:leader="none" w:pos="7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79" w:firstLine="431"/>
        <w:spacing w:after="0" w:line="286" w:lineRule="auto"/>
        <w:tabs>
          <w:tab w:leader="none" w:pos="75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1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500" w:right="59" w:firstLine="431"/>
        <w:spacing w:after="0" w:line="259" w:lineRule="auto"/>
        <w:tabs>
          <w:tab w:leader="none" w:pos="126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59" w:firstLine="431"/>
        <w:spacing w:after="0" w:line="263" w:lineRule="auto"/>
        <w:tabs>
          <w:tab w:leader="none" w:pos="125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1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0" w:right="79" w:firstLine="431"/>
        <w:spacing w:after="0" w:line="263" w:lineRule="auto"/>
        <w:tabs>
          <w:tab w:leader="none" w:pos="7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3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0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5" w:name="page156"/>
    <w:bookmarkEnd w:id="15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2021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56" w:name="page157"/>
    <w:bookmarkEnd w:id="15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2021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7" w:name="page158"/>
    <w:bookmarkEnd w:id="157"/>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the year ended December 31, 2021, CGS Services, Inc., an indirect wholly-owned subsidiary of Waste Management, Inc. (“CGS”), received three citations in connection with the Caldwell PT &amp; ML mine in Indiana (the “Caldwell mine”) from the U.S. Mine Safety and Health Administration (“MSHA”) that the MSHA deemed to be violations of mandatory health or safety standards that could significantly and substantially contribute to the cause and effect of a coal or other mine safety or health hazard under section 104 of the Federal Mine Safety and Health Act of 1977 (the “Mine Safety Act”). CGS was assessed penalties totaling $835 by the MSHA on account of these three citations. CGS was assessed total penalties of $1,210 by the MSHA in 2021 in connection with the Caldwell mine.</w:t>
      </w:r>
    </w:p>
    <w:p>
      <w:pPr>
        <w:spacing w:after="0" w:line="17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year ended December 31, 2021, we did not receive any of the following: (a) an order issued under section 104(b) of the Mine Safety Act; (b) a citation or order for unwarrantable failure of the mine operator to comply with mandatory health or safety standards under section 104(d) of the Mine Safety Act; (c) a flagrant violation under section 110(b)(2) of the Mine Safety Act; or (d) an imminent danger order under section 107(a) of the Mine Safety Act.</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during the year ended December 31, 2021,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lowerRoman"/>
      <w:start w:val="1"/>
    </w:lvl>
  </w:abstractNum>
  <w:abstractNum w:abstractNumId="5">
    <w:nsid w:val="180115BE"/>
    <w:multiLevelType w:val="hybridMultilevel"/>
    <w:lvl w:ilvl="0">
      <w:lvlJc w:val="left"/>
      <w:lvlText w:val="(%1)"/>
      <w:numFmt w:val="lowerRoman"/>
      <w:start w:val="3"/>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1)"/>
      <w:numFmt w:val="lowerLetter"/>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Letter"/>
      <w:start w:val="1"/>
    </w:lvl>
  </w:abstractNum>
  <w:abstractNum w:abstractNumId="21">
    <w:nsid w:val="25A70BF7"/>
    <w:multiLevelType w:val="hybridMultilevel"/>
    <w:lvl w:ilvl="0">
      <w:lvlJc w:val="left"/>
      <w:lvlText w:val="(%1)"/>
      <w:numFmt w:val="lowerRoman"/>
      <w:start w:val="1"/>
    </w:lvl>
  </w:abstractNum>
  <w:abstractNum w:abstractNumId="22">
    <w:nsid w:val="1DBABF00"/>
    <w:multiLevelType w:val="hybridMultilevel"/>
    <w:lvl w:ilvl="0">
      <w:lvlJc w:val="left"/>
      <w:lvlText w:val="(%1)"/>
      <w:numFmt w:val="lowerRoman"/>
      <w:start w:val="3"/>
    </w:lvl>
  </w:abstractNum>
  <w:abstractNum w:abstractNumId="23">
    <w:nsid w:val="4AD084E9"/>
    <w:multiLevelType w:val="hybridMultilevel"/>
    <w:lvl w:ilvl="0">
      <w:lvlJc w:val="left"/>
      <w:lvlText w:val="(%1)"/>
      <w:numFmt w:val="lowerRoman"/>
      <w:start w:val="2"/>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
      <w:numFmt w:val="bullet"/>
      <w:start w:val="1"/>
    </w:lvl>
    <w:lvl w:ilvl="1">
      <w:lvlJc w:val="left"/>
      <w:lvlText w:val="(%2)"/>
      <w:numFmt w:val="lowerRoman"/>
      <w:start w:val="1"/>
    </w:lvl>
  </w:abstractNum>
  <w:abstractNum w:abstractNumId="26">
    <w:nsid w:val="5DB70AE5"/>
    <w:multiLevelType w:val="hybridMultilevel"/>
    <w:lvl w:ilvl="0">
      <w:lvlJc w:val="left"/>
      <w:lvlText w:val="(%1)"/>
      <w:numFmt w:val="lowerRoman"/>
      <w:start w:val="1"/>
    </w:lvl>
  </w:abstractNum>
  <w:abstractNum w:abstractNumId="27">
    <w:nsid w:val="100F8FCA"/>
    <w:multiLevelType w:val="hybridMultilevel"/>
    <w:lvl w:ilvl="0">
      <w:lvlJc w:val="left"/>
      <w:lvlText w:val="●"/>
      <w:numFmt w:val="bullet"/>
      <w:start w:val="1"/>
    </w:lvl>
    <w:lvl w:ilvl="1">
      <w:lvlJc w:val="left"/>
      <w:lvlText w:val="(%2)"/>
      <w:numFmt w:val="lowerRoman"/>
      <w:start w:val="2"/>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lowerLetter"/>
      <w:start w:val="1"/>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lowerLetter"/>
      <w:start w:val="2"/>
    </w:lvl>
  </w:abstractNum>
  <w:abstractNum w:abstractNumId="32">
    <w:nsid w:val="799D0247"/>
    <w:multiLevelType w:val="hybridMultilevel"/>
    <w:lvl w:ilvl="0">
      <w:lvlJc w:val="left"/>
      <w:lvlText w:val="(%1)"/>
      <w:numFmt w:val="lowerLetter"/>
      <w:start w:val="1"/>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
      <w:numFmt w:val="bullet"/>
      <w:start w:val="1"/>
    </w:lvl>
    <w:lvl w:ilvl="1">
      <w:lvlJc w:val="left"/>
      <w:lvlText w:val="(%2)"/>
      <w:numFmt w:val="lowerRoman"/>
      <w:start w:val="2"/>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abstractNum>
  <w:abstractNum w:abstractNumId="38">
    <w:nsid w:val="5DC79EA8"/>
    <w:multiLevelType w:val="hybridMultilevel"/>
    <w:lvl w:ilvl="0">
      <w:lvlJc w:val="left"/>
      <w:lvlText w:val="(%1)"/>
      <w:numFmt w:val="lowerRoman"/>
      <w:start w:val="4"/>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2"/>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lvl w:ilvl="1">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1)"/>
      <w:numFmt w:val="lowerRoman"/>
      <w:start w:val="1"/>
    </w:lvl>
  </w:abstractNum>
  <w:abstractNum w:abstractNumId="55">
    <w:nsid w:val="7FFFCA11"/>
    <w:multiLevelType w:val="hybridMultilevel"/>
    <w:lvl w:ilvl="0">
      <w:lvlJc w:val="left"/>
      <w:lvlText w:val="%1."/>
      <w:numFmt w:val="decimal"/>
      <w:start w:val="3"/>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decimal"/>
      <w:start w:val="4"/>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decimal"/>
      <w:start w:val="5"/>
    </w:lvl>
  </w:abstractNum>
  <w:abstractNum w:abstractNumId="60">
    <w:nsid w:val="6EB5BD4"/>
    <w:multiLevelType w:val="hybridMultilevel"/>
    <w:lvl w:ilvl="0">
      <w:lvlJc w:val="left"/>
      <w:lvlText w:val="%1."/>
      <w:numFmt w:val="decimal"/>
      <w:start w:val="6"/>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decimal"/>
      <w:start w:val="7"/>
    </w:lvl>
  </w:abstractNum>
  <w:abstractNum w:abstractNumId="63">
    <w:nsid w:val="885E1B"/>
    <w:multiLevelType w:val="hybridMultilevel"/>
    <w:lvl w:ilvl="0">
      <w:lvlJc w:val="left"/>
      <w:lvlText w:val="%1."/>
      <w:numFmt w:val="decimal"/>
      <w:start w:val="8"/>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2"/>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Roman"/>
      <w:start w:val="2"/>
    </w:lvl>
  </w:abstractNum>
  <w:abstractNum w:abstractNumId="76">
    <w:nsid w:val="CC1016F"/>
    <w:multiLevelType w:val="hybridMultilevel"/>
    <w:lvl w:ilvl="0">
      <w:lvlJc w:val="left"/>
      <w:lvlText w:val="(%1)"/>
      <w:numFmt w:val="lowerLetter"/>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lowerLetter"/>
      <w:start w:val="1"/>
    </w:lvl>
  </w:abstractNum>
  <w:abstractNum w:abstractNumId="79">
    <w:nsid w:val="26F324BA"/>
    <w:multiLevelType w:val="hybridMultilevel"/>
    <w:lvl w:ilvl="0">
      <w:lvlJc w:val="left"/>
      <w:lvlText w:val="(%1)"/>
      <w:numFmt w:val="lowerRoman"/>
      <w:start w:val="1"/>
    </w:lvl>
  </w:abstractNum>
  <w:abstractNum w:abstractNumId="80">
    <w:nsid w:val="7F01579B"/>
    <w:multiLevelType w:val="hybridMultilevel"/>
    <w:lvl w:ilvl="0">
      <w:lvlJc w:val="left"/>
      <w:lvlText w:val="(%1)"/>
      <w:numFmt w:val="lowerRoman"/>
      <w:start w:val="3"/>
    </w:lvl>
  </w:abstractNum>
  <w:abstractNum w:abstractNumId="81">
    <w:nsid w:val="49DA307D"/>
    <w:multiLevelType w:val="hybridMultilevel"/>
    <w:lvl w:ilvl="0">
      <w:lvlJc w:val="left"/>
      <w:lvlText w:val="(%1)"/>
      <w:numFmt w:val="lowerLetter"/>
      <w:start w:val="2"/>
    </w:lvl>
  </w:abstractNum>
  <w:abstractNum w:abstractNumId="82">
    <w:nsid w:val="7055A5F5"/>
    <w:multiLevelType w:val="hybridMultilevel"/>
    <w:lvl w:ilvl="0">
      <w:lvlJc w:val="left"/>
      <w:lvlText w:val="%1"/>
      <w:numFmt w:val="lowerLetter"/>
      <w:start w:val="1"/>
    </w:lvl>
    <w:lvl w:ilvl="1">
      <w:lvlJc w:val="left"/>
      <w:lvlText w:val="(%2)"/>
      <w:numFmt w:val="lowerLetter"/>
      <w:start w:val="61"/>
    </w:lvl>
  </w:abstractNum>
  <w:abstractNum w:abstractNumId="83">
    <w:nsid w:val="5FB8370B"/>
    <w:multiLevelType w:val="hybridMultilevel"/>
    <w:lvl w:ilvl="0">
      <w:lvlJc w:val="left"/>
      <w:lvlText w:val="(%1)"/>
      <w:numFmt w:val="lowerLetter"/>
      <w:start w:val="4"/>
    </w:lvl>
    <w:lvl w:ilvl="1">
      <w:lvlJc w:val="left"/>
      <w:lvlText w:val="%2"/>
      <w:numFmt w:val="lowerLetter"/>
      <w:start w:val="1"/>
    </w:lvl>
  </w:abstractNum>
  <w:abstractNum w:abstractNumId="84">
    <w:nsid w:val="50801EE1"/>
    <w:multiLevelType w:val="hybridMultilevel"/>
    <w:lvl w:ilvl="0">
      <w:lvlJc w:val="left"/>
      <w:lvlText w:val="(%1)"/>
      <w:numFmt w:val="lowerLetter"/>
      <w:start w:val="8"/>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lowerRoman"/>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1."/>
      <w:numFmt w:val="decimal"/>
      <w:start w:val="2"/>
    </w:lvl>
  </w:abstractNum>
  <w:abstractNum w:abstractNumId="92">
    <w:nsid w:val="5F3534A4"/>
    <w:multiLevelType w:val="hybridMultilevel"/>
    <w:lvl w:ilvl="0">
      <w:lvlJc w:val="left"/>
      <w:lvlText w:val="%1."/>
      <w:numFmt w:val="decimal"/>
      <w:start w:val="3"/>
    </w:lvl>
  </w:abstractNum>
  <w:abstractNum w:abstractNumId="93">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94">
    <w:nsid w:val="7DE6771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5">
    <w:nsid w:val="555C55B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6">
    <w:nsid w:val="3FA62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7">
    <w:nsid w:val="14FCE74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98">
    <w:nsid w:val="6A3DD3E8"/>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99">
    <w:nsid w:val="71C91298"/>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100">
    <w:nsid w:val="9DAF632"/>
    <w:multiLevelType w:val="hybridMultilevel"/>
    <w:lvl w:ilvl="0">
      <w:lvlJc w:val="left"/>
      <w:lvlText w:val="%1."/>
      <w:numFmt w:val="decimal"/>
      <w:start w:val="1"/>
    </w:lvl>
    <w:lvl w:ilvl="1">
      <w:lvlJc w:val="left"/>
      <w:lvlText w:val="%2."/>
      <w:numFmt w:val="lowerLetter"/>
      <w:start w:val="1"/>
    </w:lvl>
  </w:abstractNum>
  <w:abstractNum w:abstractNumId="101">
    <w:nsid w:val="53299938"/>
    <w:multiLevelType w:val="hybridMultilevel"/>
    <w:lvl w:ilvl="0">
      <w:lvlJc w:val="left"/>
      <w:lvlText w:val="%1."/>
      <w:numFmt w:val="decimal"/>
      <w:start w:val="6"/>
    </w:lvl>
    <w:lvl w:ilvl="1">
      <w:lvlJc w:val="left"/>
      <w:lvlText w:val="%2."/>
      <w:numFmt w:val="lowerLetter"/>
      <w:start w:val="1"/>
    </w:lvl>
  </w:abstractNum>
  <w:abstractNum w:abstractNumId="102">
    <w:nsid w:val="1FBFE8E0"/>
    <w:multiLevelType w:val="hybridMultilevel"/>
    <w:lvl w:ilvl="0">
      <w:lvlJc w:val="left"/>
      <w:lvlText w:val="%1."/>
      <w:numFmt w:val="decimal"/>
      <w:start w:val="12"/>
    </w:lvl>
  </w:abstractNum>
  <w:abstractNum w:abstractNumId="103">
    <w:nsid w:val="5092CA79"/>
    <w:multiLevelType w:val="hybridMultilevel"/>
    <w:lvl w:ilvl="0">
      <w:lvlJc w:val="left"/>
      <w:lvlText w:val="%1."/>
      <w:numFmt w:val="decimal"/>
      <w:start w:val="18"/>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lowerRoman"/>
      <w:start w:val="1"/>
    </w:lvl>
    <w:lvl w:ilvl="1">
      <w:lvlJc w:val="left"/>
      <w:lvlText w:val="%2."/>
      <w:numFmt w:val="upperLetter"/>
      <w:start w:val="1"/>
    </w:lvl>
  </w:abstractNum>
  <w:abstractNum w:abstractNumId="106">
    <w:nsid w:val="288F1A34"/>
    <w:multiLevelType w:val="hybridMultilevel"/>
    <w:lvl w:ilvl="0">
      <w:lvlJc w:val="left"/>
      <w:lvlText w:val="%1."/>
      <w:numFmt w:val="lowerRoman"/>
      <w:start w:val="1"/>
    </w:lvl>
    <w:lvl w:ilvl="1">
      <w:lvlJc w:val="left"/>
      <w:lvlText w:val="%2."/>
      <w:numFmt w:val="upp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7"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37" Type="http://schemas.openxmlformats.org/officeDocument/2006/relationships/hyperlink" Target="http://www.sec.gov/Archives/edgar/data/823768/000095012310070947/h74168exv3w1.htm" TargetMode="External"/><Relationship Id="rId138" Type="http://schemas.openxmlformats.org/officeDocument/2006/relationships/hyperlink" Target="https://www.sec.gov/Archives/edgar/data/823768/000110465920126928/tm2036284d1_ex3-2.htm" TargetMode="External"/><Relationship Id="rId139" Type="http://schemas.openxmlformats.org/officeDocument/2006/relationships/hyperlink" Target="http://www.sec.gov/Archives/edgar/data/823768/0000950129-99-001268.txt" TargetMode="External"/><Relationship Id="rId140" Type="http://schemas.openxmlformats.org/officeDocument/2006/relationships/hyperlink" Target="http://www.sec.gov/Archives/edgar/data/823768/000095012315002550/d793975dex42.htm" TargetMode="External"/><Relationship Id="rId141" Type="http://schemas.openxmlformats.org/officeDocument/2006/relationships/hyperlink" Target="http://www.sec.gov/Archives/edgar/data/823768/000119312514283972/d740524dex43.htm" TargetMode="External"/><Relationship Id="rId142" Type="http://schemas.openxmlformats.org/officeDocument/2006/relationships/hyperlink" Target="http://www.sec.gov/Archives/edgar/data/823768/0000950129-97-000380.txt" TargetMode="External"/><Relationship Id="rId143" Type="http://schemas.openxmlformats.org/officeDocument/2006/relationships/hyperlink" Target="http://www.sec.gov/Archives/edgar/data/823768/0000950129-97-003909.txt" TargetMode="External"/><Relationship Id="rId144" Type="http://schemas.openxmlformats.org/officeDocument/2006/relationships/hyperlink" Target="https://www.sec.gov/Archives/edgar/data/823768/000155837020000762/ex-4d9.htm" TargetMode="External"/><Relationship Id="rId145" Type="http://schemas.openxmlformats.org/officeDocument/2006/relationships/hyperlink" Target="https://www.sec.gov/Archives/edgar/data/0000823768/000155837021009319/wm-20210630ex410a8a250.htm" TargetMode="External"/><Relationship Id="rId146" Type="http://schemas.openxmlformats.org/officeDocument/2006/relationships/hyperlink" Target="https://www.sec.gov/Archives/edgar/data/0000823768/000155837021009319/wm-20210630ex43ccc6c08.htm" TargetMode="External"/><Relationship Id="rId148" Type="http://schemas.openxmlformats.org/officeDocument/2006/relationships/hyperlink" Target="http://www.sec.gov/Archives/edgar/data/823768/000119312514200494/d726417dex101.htm" TargetMode="External"/><Relationship Id="rId149" Type="http://schemas.openxmlformats.org/officeDocument/2006/relationships/hyperlink" Target="https://www.sec.gov/Archives/edgar/data/823768/000110465920062449/tm2018602d2_ex10-2.htm" TargetMode="External"/><Relationship Id="rId150" Type="http://schemas.openxmlformats.org/officeDocument/2006/relationships/hyperlink" Target="https://www.sec.gov/Archives/edgar/data/823768/000119312509062520/ddef14a.htm" TargetMode="External"/><Relationship Id="rId151" Type="http://schemas.openxmlformats.org/officeDocument/2006/relationships/hyperlink" Target="https://www.sec.gov/Archives/edgar/data/823768/000119312504059008/ddef14a.htm" TargetMode="External"/><Relationship Id="rId152" Type="http://schemas.openxmlformats.org/officeDocument/2006/relationships/hyperlink" Target="https://www.sec.gov/Archives/edgar/data/823768/000110465920062449/tm2018602d2_ex10-1.htm" TargetMode="External"/><Relationship Id="rId153" Type="http://schemas.openxmlformats.org/officeDocument/2006/relationships/hyperlink" Target="http://www.sec.gov/Archives/edgar/data/823768/000119312514156430/d690567dex102.htm" TargetMode="External"/><Relationship Id="rId154" Type="http://schemas.openxmlformats.org/officeDocument/2006/relationships/hyperlink" Target="http://www.sec.gov/Archives/edgar/data/823768/000110465919062660/tm1920691d2_ex10-1.htm" TargetMode="External"/><Relationship Id="rId155" Type="http://schemas.openxmlformats.org/officeDocument/2006/relationships/hyperlink" Target="http://www.sec.gov/Archives/edgar/data/823768/000119312517046480/d252547dex1011.htm" TargetMode="External"/><Relationship Id="rId156" Type="http://schemas.openxmlformats.org/officeDocument/2006/relationships/hyperlink" Target="http://www.sec.gov/Archives/edgar/data/823768/000119312517046480/d252547dex1012.htm" TargetMode="External"/><Relationship Id="rId157" Type="http://schemas.openxmlformats.org/officeDocument/2006/relationships/hyperlink" Target="http://www.sec.gov/Archives/edgar/data/823768/000110465917075030/a17-28786_1ex10d2.htm" TargetMode="External"/><Relationship Id="rId158" Type="http://schemas.openxmlformats.org/officeDocument/2006/relationships/hyperlink" Target="http://www.sec.gov/Archives/edgar/data/823768/000110465917075030/a17-28786_1ex10d3.htm" TargetMode="External"/><Relationship Id="rId159" Type="http://schemas.openxmlformats.org/officeDocument/2006/relationships/hyperlink" Target="http://www.sec.gov/Archives/edgar/data/823768/000110465917075030/a17-28786_1ex10d4.htm" TargetMode="External"/><Relationship Id="rId160" Type="http://schemas.openxmlformats.org/officeDocument/2006/relationships/hyperlink" Target="http://www.sec.gov/Archives/edgar/data/823768/000155837018000716/wm-20171231ex10236fa05.htm" TargetMode="External"/><Relationship Id="rId161" Type="http://schemas.openxmlformats.org/officeDocument/2006/relationships/hyperlink" Target="http://www.sec.gov/Archives/edgar/data/823768/000119312513058892/d413187dex1043.htm" TargetMode="External"/><Relationship Id="rId162" Type="http://schemas.openxmlformats.org/officeDocument/2006/relationships/hyperlink" Target="http://www.sec.gov/Archives/edgar/data/823768/000110465917075030/a17-28786_1ex10d1.htm" TargetMode="External"/><Relationship Id="rId163" Type="http://schemas.openxmlformats.org/officeDocument/2006/relationships/hyperlink" Target="https://www.sec.gov/Archives/edgar/data/0000823768/000110465919010295/a19-5282_1ex10d1.htm#EXHIBIT10_1_092649" TargetMode="External"/><Relationship Id="rId164" Type="http://schemas.openxmlformats.org/officeDocument/2006/relationships/hyperlink" Target="https://www.sec.gov/Archives/edgar/data/823768/000110465920024590/tm207498d2_ex10-1.htm" TargetMode="External"/><Relationship Id="rId165" Type="http://schemas.openxmlformats.org/officeDocument/2006/relationships/hyperlink" Target="https://www.sec.gov/Archives/edgar/data/0000823768/000110465921029723/tm216945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2022-02-15T13:28:08Z</dcterms:created>
  <dcterms:modified xsi:type="dcterms:W3CDTF">2022-02-15T13:28:08Z</dcterms:modified>
</cp:coreProperties>
</file>