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auto"/>
              </w:rPr>
              <w:t>Issuer Free Writing Prospectus dated July 27, 2023 relating to the</w:t>
            </w:r>
          </w:p>
        </w:tc>
      </w:t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July 27, 2023</w:t>
            </w:r>
          </w:p>
        </w:tc>
      </w:t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auto"/>
              </w:rPr>
              <w:t>to Prospectus dated April 26, 2022</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auto"/>
              </w:rPr>
              <w:t>Registration Statement No. 333-264493</w:t>
            </w:r>
          </w:p>
        </w:tc>
      </w:tr>
      <w:tr>
        <w:trPr>
          <w:trHeight w:val="432"/>
        </w:trPr>
        <w:tc>
          <w:tcPr>
            <w:tcW w:w="3300" w:type="dxa"/>
            <w:vAlign w:val="bottom"/>
          </w:tcPr>
          <w:p>
            <w:pPr>
              <w:spacing w:after="0"/>
              <w:rPr>
                <w:sz w:val="24"/>
                <w:szCs w:val="24"/>
                <w:color w:val="auto"/>
              </w:rPr>
            </w:pPr>
          </w:p>
        </w:tc>
        <w:tc>
          <w:tcPr>
            <w:tcW w:w="794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90"/>
              </w:rPr>
              <w:t>Pricing Term Sheet</w:t>
            </w:r>
          </w:p>
        </w:tc>
      </w:tr>
      <w:tr>
        <w:trPr>
          <w:trHeight w:val="414"/>
        </w:trPr>
        <w:tc>
          <w:tcPr>
            <w:tcW w:w="3300" w:type="dxa"/>
            <w:vAlign w:val="bottom"/>
          </w:tcPr>
          <w:p>
            <w:pPr>
              <w:spacing w:after="0"/>
              <w:rPr>
                <w:sz w:val="24"/>
                <w:szCs w:val="24"/>
                <w:color w:val="auto"/>
              </w:rPr>
            </w:pPr>
          </w:p>
        </w:tc>
        <w:tc>
          <w:tcPr>
            <w:tcW w:w="794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89"/>
              </w:rPr>
              <w:t>$750,000,000 4.875% Senior Notes due 2029</w:t>
            </w:r>
          </w:p>
        </w:tc>
      </w:tr>
      <w:tr>
        <w:trPr>
          <w:trHeight w:val="234"/>
        </w:trPr>
        <w:tc>
          <w:tcPr>
            <w:tcW w:w="3300" w:type="dxa"/>
            <w:vAlign w:val="bottom"/>
          </w:tcPr>
          <w:p>
            <w:pPr>
              <w:spacing w:after="0"/>
              <w:rPr>
                <w:sz w:val="20"/>
                <w:szCs w:val="20"/>
                <w:color w:val="auto"/>
              </w:rPr>
            </w:pPr>
          </w:p>
        </w:tc>
        <w:tc>
          <w:tcPr>
            <w:tcW w:w="794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89"/>
              </w:rPr>
              <w:t>$1,250,000,000 4.875% Senior Notes due 2034</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Waste Management,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Guarantor:</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Ratings:*</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Moody’s: Baa1</w:t>
            </w:r>
          </w:p>
        </w:tc>
      </w:tr>
      <w:tr>
        <w:trPr>
          <w:trHeight w:val="216"/>
        </w:trPr>
        <w:tc>
          <w:tcPr>
            <w:tcW w:w="3300" w:type="dxa"/>
            <w:vAlign w:val="bottom"/>
          </w:tcPr>
          <w:p>
            <w:pPr>
              <w:spacing w:after="0"/>
              <w:rPr>
                <w:sz w:val="18"/>
                <w:szCs w:val="18"/>
                <w:color w:val="auto"/>
              </w:rPr>
            </w:pP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S&amp;P: A-</w:t>
            </w:r>
          </w:p>
        </w:tc>
      </w:tr>
      <w:tr>
        <w:trPr>
          <w:trHeight w:val="230"/>
        </w:trPr>
        <w:tc>
          <w:tcPr>
            <w:tcW w:w="3300" w:type="dxa"/>
            <w:vAlign w:val="bottom"/>
          </w:tcPr>
          <w:p>
            <w:pPr>
              <w:spacing w:after="0"/>
              <w:rPr>
                <w:sz w:val="20"/>
                <w:szCs w:val="20"/>
                <w:color w:val="auto"/>
              </w:rPr>
            </w:pP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Fitch: BBB+</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Trade Date:</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July 27, 2023</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Settlement Date:**</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T+5; August 3, 2023</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Principal Amount:</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$750,000,000</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$1,250,000,000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Maturity Date:</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February 15, 2029</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February 15, 2034</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Coupon:</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4.875%</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4.875%</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Benchmark Treasury:</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4.000% due June 30, 2028</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3.375% due May 15, 2033</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98-26 1/4 / 4.268%</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94-28+ / 4.010%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+75 basis points</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+105 basis points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Yield to Maturity:</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5.018%</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5.060%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Price to Public:</w:t>
            </w: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2029</w:t>
            </w:r>
          </w:p>
        </w:tc>
        <w:tc>
          <w:tcPr>
            <w:tcW w:w="6140" w:type="dxa"/>
            <w:vAlign w:val="bottom"/>
          </w:tcPr>
          <w:p>
            <w:pPr>
              <w:ind w:left="40"/>
              <w:spacing w:after="0"/>
              <w:rPr>
                <w:sz w:val="20"/>
                <w:szCs w:val="20"/>
                <w:color w:val="auto"/>
              </w:rPr>
            </w:pPr>
            <w:r>
              <w:rPr>
                <w:rFonts w:ascii="Arial" w:cs="Arial" w:eastAsia="Arial" w:hAnsi="Arial"/>
                <w:sz w:val="18"/>
                <w:szCs w:val="18"/>
                <w:color w:val="auto"/>
              </w:rPr>
              <w:t>Notes: 99.314% of face amount</w:t>
            </w:r>
          </w:p>
        </w:tc>
      </w:tr>
      <w:tr>
        <w:trPr>
          <w:trHeight w:val="230"/>
        </w:trPr>
        <w:tc>
          <w:tcPr>
            <w:tcW w:w="3300" w:type="dxa"/>
            <w:vAlign w:val="bottom"/>
          </w:tcPr>
          <w:p>
            <w:pPr>
              <w:spacing w:after="0"/>
              <w:rPr>
                <w:sz w:val="20"/>
                <w:szCs w:val="20"/>
                <w:color w:val="auto"/>
              </w:rPr>
            </w:pPr>
          </w:p>
        </w:tc>
        <w:tc>
          <w:tcPr>
            <w:tcW w:w="1800" w:type="dxa"/>
            <w:vAlign w:val="bottom"/>
          </w:tcPr>
          <w:p>
            <w:pPr>
              <w:ind w:left="1420"/>
              <w:spacing w:after="0"/>
              <w:rPr>
                <w:sz w:val="20"/>
                <w:szCs w:val="20"/>
                <w:color w:val="auto"/>
              </w:rPr>
            </w:pPr>
            <w:r>
              <w:rPr>
                <w:rFonts w:ascii="Arial" w:cs="Arial" w:eastAsia="Arial" w:hAnsi="Arial"/>
                <w:sz w:val="18"/>
                <w:szCs w:val="18"/>
                <w:color w:val="auto"/>
                <w:w w:val="89"/>
              </w:rPr>
              <w:t>2034</w:t>
            </w:r>
          </w:p>
        </w:tc>
        <w:tc>
          <w:tcPr>
            <w:tcW w:w="6140" w:type="dxa"/>
            <w:vAlign w:val="bottom"/>
          </w:tcPr>
          <w:p>
            <w:pPr>
              <w:ind w:left="40"/>
              <w:spacing w:after="0"/>
              <w:rPr>
                <w:sz w:val="20"/>
                <w:szCs w:val="20"/>
                <w:color w:val="auto"/>
              </w:rPr>
            </w:pPr>
            <w:r>
              <w:rPr>
                <w:rFonts w:ascii="Arial" w:cs="Arial" w:eastAsia="Arial" w:hAnsi="Arial"/>
                <w:sz w:val="18"/>
                <w:szCs w:val="18"/>
                <w:color w:val="auto"/>
              </w:rPr>
              <w:t>Notes: 98.502% of face amount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7940" w:type="dxa"/>
            <w:vAlign w:val="bottom"/>
            <w:gridSpan w:val="2"/>
          </w:tcPr>
          <w:p>
            <w:pPr>
              <w:ind w:left="1420"/>
              <w:spacing w:after="0"/>
              <w:rPr>
                <w:sz w:val="20"/>
                <w:szCs w:val="20"/>
                <w:color w:val="auto"/>
              </w:rPr>
            </w:pPr>
            <w:r>
              <w:rPr>
                <w:rFonts w:ascii="Arial" w:cs="Arial" w:eastAsia="Arial" w:hAnsi="Arial"/>
                <w:sz w:val="18"/>
                <w:szCs w:val="18"/>
                <w:color w:val="auto"/>
              </w:rPr>
              <w:t>$1,965,380,000</w:t>
            </w:r>
          </w:p>
        </w:tc>
      </w:tr>
      <w:tr>
        <w:trPr>
          <w:trHeight w:val="675"/>
        </w:trPr>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20" w:type="dxa"/>
            <w:vAlign w:val="bottom"/>
          </w:tcPr>
          <w:p>
            <w:pPr>
              <w:ind w:left="1500"/>
              <w:spacing w:after="0"/>
              <w:rPr>
                <w:sz w:val="20"/>
                <w:szCs w:val="20"/>
                <w:color w:val="auto"/>
              </w:rPr>
            </w:pPr>
            <w:r>
              <w:rPr>
                <w:rFonts w:ascii="Arial" w:cs="Arial" w:eastAsia="Arial" w:hAnsi="Arial"/>
                <w:sz w:val="18"/>
                <w:szCs w:val="18"/>
                <w:color w:val="auto"/>
                <w:w w:val="91"/>
              </w:rPr>
              <w:t>2029 Notes: Semi-annually on February 15 and August 15, commencing on February 15,</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2024</w:t>
            </w:r>
          </w:p>
        </w:tc>
      </w:tr>
      <w:tr>
        <w:trPr>
          <w:trHeight w:val="418"/>
        </w:trPr>
        <w:tc>
          <w:tcPr>
            <w:tcW w:w="3220" w:type="dxa"/>
            <w:vAlign w:val="bottom"/>
          </w:tcPr>
          <w:p>
            <w:pPr>
              <w:spacing w:after="0"/>
              <w:rPr>
                <w:sz w:val="24"/>
                <w:szCs w:val="24"/>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1"/>
              </w:rPr>
              <w:t>2034 Notes: Semi-annually on February 15 and August 15, commencing on February 15,</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2024</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Optional Redemption:</w:t>
            </w:r>
          </w:p>
        </w:tc>
        <w:tc>
          <w:tcPr>
            <w:tcW w:w="8020" w:type="dxa"/>
            <w:vAlign w:val="bottom"/>
          </w:tcPr>
          <w:p>
            <w:pPr>
              <w:ind w:left="1500"/>
              <w:spacing w:after="0"/>
              <w:rPr>
                <w:sz w:val="20"/>
                <w:szCs w:val="20"/>
                <w:color w:val="auto"/>
              </w:rPr>
            </w:pPr>
            <w:r>
              <w:rPr>
                <w:rFonts w:ascii="Arial" w:cs="Arial" w:eastAsia="Arial" w:hAnsi="Arial"/>
                <w:sz w:val="18"/>
                <w:szCs w:val="18"/>
                <w:color w:val="auto"/>
                <w:w w:val="94"/>
              </w:rPr>
              <w:t>2029 Notes: Prior to January 15, 2029 (one month prior to the maturity date), the 2029</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1"/>
              </w:rPr>
              <w:t>Notes are redeemable at the option of the issuer, in whole or in part, at any time and from</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3"/>
              </w:rPr>
              <w:t>time to time, at a redemption price equal to the greater of: (1) (a) the sum of the present</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values of the remaining scheduled payments of principal and interest thereon discounted</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5"/>
              </w:rPr>
              <w:t>to the redemption date (assuming the 2029 Notes matured on January 15, 2029) on a</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semi-annual basis (assuming a 360-day year consisting of twelve 30-day months) at the</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Treasury Rate plus 15 basis points, less (b) interest accrued to the redemption date, and</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(2) 100% of the principal amount of the 2029 Notes to be redeemed, plus, in either case,</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accrued and unpaid interest thereon to the redemption date.</w:t>
            </w:r>
          </w:p>
        </w:tc>
      </w:tr>
      <w:tr>
        <w:trPr>
          <w:trHeight w:val="418"/>
        </w:trPr>
        <w:tc>
          <w:tcPr>
            <w:tcW w:w="3220" w:type="dxa"/>
            <w:vAlign w:val="bottom"/>
          </w:tcPr>
          <w:p>
            <w:pPr>
              <w:spacing w:after="0"/>
              <w:rPr>
                <w:sz w:val="24"/>
                <w:szCs w:val="24"/>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3"/>
              </w:rPr>
              <w:t>On or after January 15, 2029 (one month prior to the maturity date), the 2029 Notes are</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4"/>
              </w:rPr>
              <w:t>redeemable at the option of the issuer, in whole or in part, at any time and from time to</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1"/>
              </w:rPr>
              <w:t>time, at a redemption price equal to 100% of the principal amount of the 2029 Notes to be</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redeemed, plus accrued and unpaid interest thereon to the redemption date.</w:t>
            </w:r>
          </w:p>
        </w:tc>
      </w:tr>
      <w:tr>
        <w:trPr>
          <w:trHeight w:val="418"/>
        </w:trPr>
        <w:tc>
          <w:tcPr>
            <w:tcW w:w="3220" w:type="dxa"/>
            <w:vAlign w:val="bottom"/>
          </w:tcPr>
          <w:p>
            <w:pPr>
              <w:spacing w:after="0"/>
              <w:rPr>
                <w:sz w:val="24"/>
                <w:szCs w:val="24"/>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5"/>
              </w:rPr>
              <w:t>2034 Notes: Prior to November 15, 2033 (three months prior to the maturity date), the</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0"/>
              </w:rPr>
              <w:t>2034 Notes are redeemable at the option of the issuer, in whole or in part, at any time and</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6"/>
              </w:rPr>
              <w:t>from time to time, at a redemption price equal to the greater of: (1) (a) the sum of the</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5"/>
              </w:rPr>
              <w:t>present values of the remaining scheduled payments of principal and interest thereon</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discounted to the redemption date (assuming the 2034 Notes matured on November 15,</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6"/>
              </w:rPr>
              <w:t>2033) on a semi-annual basis (assuming a 360-day year consisting of twelve 30-day</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months) at the Treasury Rate plus 20 basis points, less (b) interest accrued to the</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0"/>
              </w:rPr>
              <w:t>redemption date, and (2) 100% of the principal amount of the 2034 Notes to be redeemed,</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plus, in either case, accrued and unpaid interest thereon to the redemption date.</w:t>
            </w:r>
          </w:p>
        </w:tc>
      </w:tr>
      <w:tr>
        <w:trPr>
          <w:trHeight w:val="418"/>
        </w:trPr>
        <w:tc>
          <w:tcPr>
            <w:tcW w:w="3220" w:type="dxa"/>
            <w:vAlign w:val="bottom"/>
          </w:tcPr>
          <w:p>
            <w:pPr>
              <w:spacing w:after="0"/>
              <w:rPr>
                <w:sz w:val="24"/>
                <w:szCs w:val="24"/>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2"/>
              </w:rPr>
              <w:t>On or after November 15, 2033 (three months prior to the maturity date), the 2034 Notes</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0"/>
              </w:rPr>
              <w:t>are redeemable at the option of the issuer, in whole or in part, at any time and from time to</w:t>
            </w:r>
          </w:p>
        </w:tc>
      </w:tr>
      <w:tr>
        <w:trPr>
          <w:trHeight w:val="216"/>
        </w:trPr>
        <w:tc>
          <w:tcPr>
            <w:tcW w:w="3220" w:type="dxa"/>
            <w:vAlign w:val="bottom"/>
          </w:tcPr>
          <w:p>
            <w:pPr>
              <w:spacing w:after="0"/>
              <w:rPr>
                <w:sz w:val="18"/>
                <w:szCs w:val="18"/>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w w:val="91"/>
              </w:rPr>
              <w:t>time, at a redemption price equal to 100% of the principal amount of the 2034 Notes to be</w:t>
            </w:r>
          </w:p>
        </w:tc>
      </w:tr>
      <w:tr>
        <w:trPr>
          <w:trHeight w:val="230"/>
        </w:trPr>
        <w:tc>
          <w:tcPr>
            <w:tcW w:w="3220" w:type="dxa"/>
            <w:vAlign w:val="bottom"/>
          </w:tcPr>
          <w:p>
            <w:pPr>
              <w:spacing w:after="0"/>
              <w:rPr>
                <w:sz w:val="20"/>
                <w:szCs w:val="20"/>
                <w:color w:val="auto"/>
              </w:rPr>
            </w:pPr>
          </w:p>
        </w:tc>
        <w:tc>
          <w:tcPr>
            <w:tcW w:w="8020" w:type="dxa"/>
            <w:vAlign w:val="bottom"/>
          </w:tcPr>
          <w:p>
            <w:pPr>
              <w:ind w:left="1500"/>
              <w:spacing w:after="0"/>
              <w:rPr>
                <w:sz w:val="20"/>
                <w:szCs w:val="20"/>
                <w:color w:val="auto"/>
              </w:rPr>
            </w:pPr>
            <w:r>
              <w:rPr>
                <w:rFonts w:ascii="Arial" w:cs="Arial" w:eastAsia="Arial" w:hAnsi="Arial"/>
                <w:sz w:val="18"/>
                <w:szCs w:val="18"/>
                <w:color w:val="auto"/>
              </w:rPr>
              <w:t>redeemed, plus accrued and unpaid interest thereon to the redemption date.</w:t>
            </w:r>
          </w:p>
        </w:tc>
      </w:tr>
      <w:tr>
        <w:trPr>
          <w:trHeight w:val="675"/>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2029 Notes: 94106L BV0 / US94106LBV09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2034 Notes: 94106L BW8 / US94106LBW81</w:t>
      </w:r>
    </w:p>
    <w:p>
      <w:pPr>
        <w:spacing w:after="0" w:line="200" w:lineRule="exact"/>
        <w:rPr>
          <w:sz w:val="20"/>
          <w:szCs w:val="20"/>
          <w:color w:val="auto"/>
        </w:rPr>
      </w:pPr>
    </w:p>
    <w:p>
      <w:pPr>
        <w:sectPr>
          <w:pgSz w:w="11900" w:h="16838" w:orient="portrait"/>
          <w:cols w:equalWidth="0" w:num="2">
            <w:col w:w="4000" w:space="720"/>
            <w:col w:w="6520"/>
          </w:cols>
          <w:pgMar w:left="320" w:top="908" w:right="3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BNP Paribas Securities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00" w:lineRule="exact"/>
        <w:rPr>
          <w:sz w:val="20"/>
          <w:szCs w:val="20"/>
          <w:color w:val="auto"/>
        </w:rPr>
      </w:pPr>
    </w:p>
    <w:p>
      <w:pPr>
        <w:sectPr>
          <w:pgSz w:w="11900" w:h="16838" w:orient="portrait"/>
          <w:cols w:equalWidth="0" w:num="2">
            <w:col w:w="4000" w:space="720"/>
            <w:col w:w="652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CAVU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000" w:space="720"/>
            <w:col w:w="652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96"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August 3,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July 27, 2023.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1-888-603-5847; (2) BofA Securities, Inc. toll-free at 1 (800) 294-1322; (3) Deutsche Bank Securities Inc. toll-free at 1-800-503-4611; (4) Goldman Sachs &amp; Co. LLC toll-free at 1-866-471-2526; or (5) Scotia Capital (USA) Inc. toll-free at 1 (800) 372-3930.</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2023-07-27T16:33:32Z</dcterms:created>
  <dcterms:modified xsi:type="dcterms:W3CDTF">2023-07-27T16:33:32Z</dcterms:modified>
</cp:coreProperties>
</file>