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216535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2007</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300"/>
          </w:cols>
          <w:pgMar w:left="240" w:top="921" w:right="359" w:bottom="1440" w:gutter="0" w:footer="0" w:header="0"/>
        </w:sectPr>
      </w:pPr>
    </w:p>
    <w:p>
      <w:pPr>
        <w:spacing w:after="0" w:line="2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1-12154</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73-1309529</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1" w:right="359" w:bottom="1440" w:gutter="0" w:footer="0" w:header="0"/>
          <w:type w:val="continuous"/>
        </w:sectPr>
      </w:pPr>
    </w:p>
    <w:p>
      <w:pPr>
        <w:spacing w:after="0" w:line="18"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8"/>
          <w:szCs w:val="18"/>
          <w:color w:val="auto"/>
        </w:rPr>
        <w:t>1001 Fannin, Suite 4000 Houston, Texas</w:t>
      </w:r>
    </w:p>
    <w:p>
      <w:pPr>
        <w:spacing w:after="0" w:line="27"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Times New Roman" w:cs="Times New Roman" w:eastAsia="Times New Roman" w:hAnsi="Times New Roman"/>
          <w:sz w:val="18"/>
          <w:szCs w:val="18"/>
          <w:color w:val="auto"/>
        </w:rPr>
        <w:t>77002</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0"/>
          <w:szCs w:val="20"/>
          <w:color w:val="auto"/>
        </w:rPr>
      </w:pPr>
    </w:p>
    <w:p>
      <w:pPr>
        <w:sectPr>
          <w:pgSz w:w="11900" w:h="16838" w:orient="portrait"/>
          <w:cols w:equalWidth="0" w:num="2">
            <w:col w:w="8580" w:space="720"/>
            <w:col w:w="2000"/>
          </w:cols>
          <w:pgMar w:left="240" w:top="921" w:right="359" w:bottom="1440" w:gutter="0" w:footer="0" w:header="0"/>
          <w:type w:val="continuous"/>
        </w:sectPr>
      </w:pPr>
    </w:p>
    <w:p>
      <w:pPr>
        <w:spacing w:after="0" w:line="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1"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60" w:firstLine="222"/>
        <w:spacing w:after="0" w:line="282" w:lineRule="auto"/>
        <w:rPr>
          <w:sz w:val="20"/>
          <w:szCs w:val="20"/>
          <w:color w:val="auto"/>
        </w:rPr>
      </w:pPr>
      <w:r>
        <w:rPr>
          <w:rFonts w:ascii="Times New Roman" w:cs="Times New Roman" w:eastAsia="Times New Roman" w:hAnsi="Times New Roman"/>
          <w:sz w:val="18"/>
          <w:szCs w:val="18"/>
          <w:color w:val="auto"/>
        </w:rPr>
        <w:t>Waste Management, Inc. (the “Company”) issued a press release this morning, October 26, 2007, announcing its earnings for the quarter ended September 30, 2007. A copy of the press release is attached hereto as exhibit 99.1.</w:t>
      </w:r>
    </w:p>
    <w:p>
      <w:pPr>
        <w:spacing w:after="0" w:line="54" w:lineRule="exact"/>
        <w:rPr>
          <w:sz w:val="20"/>
          <w:szCs w:val="20"/>
          <w:color w:val="auto"/>
        </w:rPr>
      </w:pPr>
    </w:p>
    <w:p>
      <w:pPr>
        <w:ind w:right="40" w:firstLine="215"/>
        <w:spacing w:after="0" w:line="258" w:lineRule="auto"/>
        <w:rPr>
          <w:sz w:val="20"/>
          <w:szCs w:val="20"/>
          <w:color w:val="auto"/>
        </w:rPr>
      </w:pPr>
      <w:r>
        <w:rPr>
          <w:rFonts w:ascii="Times New Roman" w:cs="Times New Roman" w:eastAsia="Times New Roman" w:hAnsi="Times New Roman"/>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The call may also be listened to live by calling (877) 710-6139 and asking for the “Waste Management Conference Call – Call ID 16948617.” A replay of the conference call will be available through 4:00 p.m. Central time on November 9, 2007. The replay of the call may be heard over the Internet, by accessing the Company’s website at www.wm.com, or by telephone by dialing 800-642-1687 and entering conference code 16948617.</w:t>
      </w:r>
    </w:p>
    <w:p>
      <w:pPr>
        <w:spacing w:after="0" w:line="76"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On the call, management of the Company is expected to discuss its results of operations using certain non-GAAP financial measures, including: free cash flow; adjusted operating expenses; and adjusted operating expenses as a percentage of revenue. Management is also expected to discuss certain non-GAAP projections of its future performance, including adjusted earnings per diluted share and free cash flow. The Company has provided an explanation of its use of these non-GAAP measures and has reconciled them to the most comparable GAAP measures in the press release, which is attached to this Form 8-K as exhibit 99.1, and the schedules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Press Release dated October 26,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2007</w:t>
            </w:r>
          </w:p>
        </w:tc>
        <w:tc>
          <w:tcPr>
            <w:tcW w:w="62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Rick L Wittenbraker</w:t>
            </w:r>
          </w:p>
        </w:tc>
        <w:tc>
          <w:tcPr>
            <w:tcW w:w="1680" w:type="dxa"/>
            <w:vAlign w:val="bottom"/>
          </w:tcPr>
          <w:p>
            <w:pPr>
              <w:spacing w:after="0"/>
              <w:rPr>
                <w:sz w:val="24"/>
                <w:szCs w:val="24"/>
                <w:color w:val="auto"/>
              </w:rPr>
            </w:pPr>
          </w:p>
        </w:tc>
      </w:tr>
      <w:tr>
        <w:trPr>
          <w:trHeight w:val="191"/>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L Wittenbraker</w:t>
            </w:r>
          </w:p>
        </w:tc>
        <w:tc>
          <w:tcPr>
            <w:tcW w:w="1680" w:type="dxa"/>
            <w:vAlign w:val="bottom"/>
          </w:tcPr>
          <w:p>
            <w:pPr>
              <w:spacing w:after="0"/>
              <w:rPr>
                <w:sz w:val="16"/>
                <w:szCs w:val="16"/>
                <w:color w:val="auto"/>
              </w:rPr>
            </w:pPr>
          </w:p>
        </w:tc>
      </w:tr>
      <w:tr>
        <w:trPr>
          <w:trHeight w:val="234"/>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9"/>
                <w:szCs w:val="19"/>
                <w:color w:val="auto"/>
              </w:rPr>
            </w:pPr>
          </w:p>
        </w:tc>
        <w:tc>
          <w:tcPr>
            <w:tcW w:w="9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October 26, 2007</w:t>
            </w:r>
          </w:p>
        </w:tc>
      </w:tr>
    </w:tbl>
    <w:p>
      <w:pPr>
        <w:sectPr>
          <w:pgSz w:w="11900" w:h="16838" w:orient="portrait"/>
          <w:cols w:equalWidth="0" w:num="1">
            <w:col w:w="11420"/>
          </w:cols>
          <w:pgMar w:left="240" w:top="954"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223520</wp:posOffset>
            </wp:positionV>
            <wp:extent cx="1724025"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Web site: http://www.wm.com</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WMI #07-14</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Waste Management Announces Third Quarter 2007 Earnings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Generates Cash from Operations of $771 Million in Third Quarter 2007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Raises Full-Year Free Cash Flow Guidance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Income from Operations as a Percent of Revenue Expands</w:t>
      </w:r>
    </w:p>
    <w:p>
      <w:pPr>
        <w:spacing w:after="0" w:line="323"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 October 26, 2007 — </w:t>
      </w:r>
      <w:r>
        <w:rPr>
          <w:rFonts w:ascii="Times New Roman" w:cs="Times New Roman" w:eastAsia="Times New Roman" w:hAnsi="Times New Roman"/>
          <w:sz w:val="18"/>
          <w:szCs w:val="18"/>
          <w:color w:val="auto"/>
        </w:rPr>
        <w:t>Waste Management, Inc. (NYSE: WMI) today announced financial results for its third quarter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Revenues for the quarter were $3.40 billion as compared with $3.44 billion in the year ago period. Net income for the quarter was $278 million, or $0.54 per diluted share, compared with $300 million, or $0.55 per diluted share, in the prior year period.</w:t>
      </w:r>
    </w:p>
    <w:p>
      <w:pPr>
        <w:spacing w:after="0" w:line="67"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The Company noted a $16 million after-tax decrease, or approximately $0.03 per diluted share, in the current quarter’s net income related primarily to the cost of the labor disruption in the Oakland, California area.</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Income from operations as a percent of revenue was 16.6% in the third quarter of 2007. Income from operations as a percent of revenue, as adjusted for the item noted above, was 17.4% in the current year’s quarter.</w:t>
      </w:r>
      <w:r>
        <w:rPr>
          <w:rFonts w:ascii="Times New Roman" w:cs="Times New Roman" w:eastAsia="Times New Roman" w:hAnsi="Times New Roman"/>
          <w:sz w:val="15"/>
          <w:szCs w:val="15"/>
          <w:color w:val="auto"/>
        </w:rPr>
        <w:t>(a)</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overcame a number of challenges during the third quarter of 2007. We successfully responded to the labor disruption in Oakland, but at a cost of $0.03 per diluted share. We also saw a sharp run-up in crude oil prices, which eliminated our expected earnings per diluted share benefit from Section 45K tax credits in the quarter. We had expected to receive a $0.02 per share benefit coming into the third quarter. I would note that the $0.55 per diluted share earnings in the third quarter of 2006 included a $0.05 per diluted share benefit from Section 45K tax credits,” said David P. Steiner, Chief Executive Officer of Waste Management.</w:t>
      </w:r>
    </w:p>
    <w:p>
      <w:pPr>
        <w:spacing w:after="0" w:line="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compared to our expectations for the quarter, third party volumes were weaker than we anticipated. Our earnings were also below the expectations that we had entering the quarter. But we don’t believe that the 5.0% reduction in volumes in the third quarter was the primary driver of that result. There are certain types of costs, such as health and welfare, litigation settlement costs and bad debt expense, that tend to be uneven through the year. The fluctuation in these costs and Section 45K tax credits were benefits in the first and second quarter of the year,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worked against us in the third quarter. These items were the primary reason earnings did not meet our expectations for the third quarter.”</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“Despite these challenges, we expanded our operating margins and generated very strong free cash flow, which was $1.36 billion for the first nine months of the year. Because of this, we are raising our free cash flow projection for the full-year to approximately $1.5 billion, which is $100 million above the high end of our previously projected range.</w:t>
      </w:r>
      <w:r>
        <w:rPr>
          <w:rFonts w:ascii="Times New Roman" w:cs="Times New Roman" w:eastAsia="Times New Roman" w:hAnsi="Times New Roman"/>
          <w:sz w:val="15"/>
          <w:szCs w:val="15"/>
          <w:color w:val="auto"/>
        </w:rPr>
        <w:t>(a)</w:t>
      </w:r>
      <w:r>
        <w:rPr>
          <w:rFonts w:ascii="Times New Roman" w:cs="Times New Roman" w:eastAsia="Times New Roman" w:hAnsi="Times New Roman"/>
          <w:sz w:val="18"/>
          <w:szCs w:val="18"/>
          <w:color w:val="auto"/>
        </w:rPr>
        <w:t xml:space="preserve"> Our internal revenue growth due to yield on base business was strong at 3.3% and, on a year-over-year basis, we lowered operating costs as a percent of revenue for the ninth consecutive quarter. These accomplishments are evidence of the success of our pricing and operational excellence programs.</w:t>
      </w:r>
    </w:p>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collection line of business continues to perform very well despite lower volumes. The combined internal revenue growth from yield in our commercial, industrial and residential lines of business was 4.5%. The driving factor behind this was internal revenue growth from yield in our commercial collection line of business of 6.0% in the quarter, which is the highest level we have achieved in the recent past. The volume loss in our collection business was 5.4% and was driven in part by our strategy to review low margin accounts and either increase prices or cull those accounts. Our collection volumes were also impacted by lower roll-off activity related mainly to the downturn in residential construction. Our ability to flex down costs as we have lost volumes, combined with the success of our pricing program, led to a 14% growth in income from operations in our collection business.”</w:t>
      </w:r>
    </w:p>
    <w:p>
      <w:pPr>
        <w:spacing w:after="0" w:line="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Steiner continued, “Internal revenue growth from volumes was a decrease of 4.5% at our landfills due mainly to the decline in third party construction and demolition tons, which is largely a result of the weakness in residential construction. We did achieve positive internal revenue growth from yield at our landfills and transfer stations during the third quarter of 2007, marking the ninth consecutive quarter in which we have shown year-over-year improvement.”</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Steiner also highlighted the Company’s strong cash position: “We generated $771 million in net cash provided by operating activities and $550 million in free cash flow during this year’s third quarter, bringing our free cash flow total to $1.36 billion for the first nine months of 2007.</w:t>
      </w:r>
      <w:r>
        <w:rPr>
          <w:rFonts w:ascii="Times New Roman" w:cs="Times New Roman" w:eastAsia="Times New Roman" w:hAnsi="Times New Roman"/>
          <w:sz w:val="15"/>
          <w:szCs w:val="15"/>
          <w:color w:val="auto"/>
        </w:rPr>
        <w:t>(a)</w:t>
      </w:r>
      <w:r>
        <w:rPr>
          <w:rFonts w:ascii="Times New Roman" w:cs="Times New Roman" w:eastAsia="Times New Roman" w:hAnsi="Times New Roman"/>
          <w:sz w:val="18"/>
          <w:szCs w:val="18"/>
          <w:color w:val="auto"/>
        </w:rPr>
        <w:t xml:space="preserve"> We returned $499 million in cash to our shareholders during the third quarter in the form of share repurchases and our quarterly cash dividend payment and remain on track to return nearly $1.8 billion to our shareholders for the full-year. Although we expect sequential capital expenditures to increase during the fourth quarter, we now project that free cash flow will be approximately $1.5 billion for the full-year 2007.”</w:t>
      </w:r>
      <w:r>
        <w:rPr>
          <w:rFonts w:ascii="Times New Roman" w:cs="Times New Roman" w:eastAsia="Times New Roman" w:hAnsi="Times New Roman"/>
          <w:sz w:val="15"/>
          <w:szCs w:val="15"/>
          <w:color w:val="auto"/>
        </w:rPr>
        <w: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 for the Quarter</w:t>
      </w:r>
    </w:p>
    <w:p>
      <w:pPr>
        <w:spacing w:after="0" w:line="121"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Internal revenue growth on base business due to yield was an increase of 3.3%.</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Including the positive impact of higher recycling commodity prices, internal revenue growth from yield was 5.6%.</w:t>
      </w:r>
    </w:p>
    <w:p>
      <w:pPr>
        <w:spacing w:after="0" w:line="130" w:lineRule="exact"/>
        <w:rPr>
          <w:rFonts w:ascii="Times New Roman" w:cs="Times New Roman" w:eastAsia="Times New Roman" w:hAnsi="Times New Roman"/>
          <w:sz w:val="18"/>
          <w:szCs w:val="18"/>
          <w:b w:val="1"/>
          <w:bCs w:val="1"/>
          <w:color w:val="auto"/>
        </w:rPr>
      </w:pPr>
    </w:p>
    <w:p>
      <w:pPr>
        <w:ind w:left="900" w:right="20" w:hanging="446"/>
        <w:spacing w:after="0" w:line="282" w:lineRule="auto"/>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cash provided by operating activities of $771 million in the third quarter. For the nine-month period, net cash provided by operating activities was $1.85 billion.</w:t>
      </w:r>
    </w:p>
    <w:p>
      <w:pPr>
        <w:spacing w:after="0" w:line="6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Free cash flow of $550 million. For the nine-month period, free cash flow was $1.36 billion.</w:t>
      </w:r>
      <w:r>
        <w:rPr>
          <w:rFonts w:ascii="Times New Roman" w:cs="Times New Roman" w:eastAsia="Times New Roman" w:hAnsi="Times New Roman"/>
          <w:sz w:val="15"/>
          <w:szCs w:val="15"/>
          <w:color w:val="auto"/>
        </w:rPr>
        <w:t>(a)</w:t>
      </w:r>
    </w:p>
    <w:p>
      <w:pPr>
        <w:spacing w:after="0" w:line="130" w:lineRule="exact"/>
        <w:rPr>
          <w:rFonts w:ascii="Times New Roman" w:cs="Times New Roman" w:eastAsia="Times New Roman" w:hAnsi="Times New Roman"/>
          <w:sz w:val="18"/>
          <w:szCs w:val="18"/>
          <w:b w:val="1"/>
          <w:bCs w:val="1"/>
          <w:color w:val="auto"/>
        </w:rPr>
      </w:pPr>
    </w:p>
    <w:p>
      <w:pPr>
        <w:ind w:left="900" w:right="560" w:hanging="446"/>
        <w:spacing w:after="0" w:line="282" w:lineRule="auto"/>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 million returned to shareholders in the third quarter, consisting of $123 million in cash dividends and $376 million in common stock repurchases. During the first nine-months of 2007, over $1.4 billion in cash was returned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 w:name="page8"/>
    <w:bookmarkEnd w:id="7"/>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expenses declined by $38 million, or approximately 1.7%, to $2.14 billion in the third quarter of 2007. Excluding the pre-tax</w:t>
      </w:r>
    </w:p>
    <w:p>
      <w:pPr>
        <w:spacing w:after="0" w:line="27" w:lineRule="exact"/>
        <w:rPr>
          <w:rFonts w:ascii="Times New Roman" w:cs="Times New Roman" w:eastAsia="Times New Roman" w:hAnsi="Times New Roman"/>
          <w:sz w:val="18"/>
          <w:szCs w:val="18"/>
          <w:b w:val="1"/>
          <w:bCs w:val="1"/>
          <w:color w:val="auto"/>
        </w:rPr>
      </w:pPr>
    </w:p>
    <w:p>
      <w:pPr>
        <w:ind w:left="90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 million impact of the California labor disruption costs, operating expenses declined by $62 million, or approximately 2.8%. On the same basis, operating expenses as a percent of revenue fell to 62.3% during the current year quarter, which is a 110 basis point improvement compared with the same quarter in 2006.</w:t>
      </w:r>
      <w:r>
        <w:rPr>
          <w:rFonts w:ascii="Times New Roman" w:cs="Times New Roman" w:eastAsia="Times New Roman" w:hAnsi="Times New Roman"/>
          <w:sz w:val="15"/>
          <w:szCs w:val="15"/>
          <w:color w:val="auto"/>
        </w:rPr>
        <w:t>(a)</w:t>
      </w:r>
    </w:p>
    <w:p>
      <w:pPr>
        <w:spacing w:after="0" w:line="91" w:lineRule="exact"/>
        <w:rPr>
          <w:rFonts w:ascii="Times New Roman" w:cs="Times New Roman" w:eastAsia="Times New Roman" w:hAnsi="Times New Roman"/>
          <w:sz w:val="18"/>
          <w:szCs w:val="18"/>
          <w:b w:val="1"/>
          <w:bCs w:val="1"/>
          <w:color w:val="auto"/>
        </w:rPr>
      </w:pPr>
    </w:p>
    <w:p>
      <w:pPr>
        <w:ind w:left="900" w:right="520" w:hanging="446"/>
        <w:spacing w:after="0" w:line="282"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Divestitures net of acquisitions caused a 2.0% decline in revenues in the quarter and foreign currency translation caused a 0.4% increase in revenues.</w:t>
      </w:r>
    </w:p>
    <w:p>
      <w:pPr>
        <w:spacing w:after="0" w:line="6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fuel surcharge revenue caused a 0.1% decline in internal revenue growth.</w:t>
      </w:r>
    </w:p>
    <w:p>
      <w:pPr>
        <w:spacing w:after="0" w:line="130" w:lineRule="exact"/>
        <w:rPr>
          <w:rFonts w:ascii="Times New Roman" w:cs="Times New Roman" w:eastAsia="Times New Roman" w:hAnsi="Times New Roman"/>
          <w:sz w:val="18"/>
          <w:szCs w:val="18"/>
          <w:b w:val="1"/>
          <w:bCs w:val="1"/>
          <w:color w:val="auto"/>
        </w:rPr>
      </w:pPr>
    </w:p>
    <w:p>
      <w:pPr>
        <w:ind w:left="900" w:right="540" w:hanging="446"/>
        <w:spacing w:after="0" w:line="282"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Internal revenue growth reflected a decline of 5.0% due to lower volumes. The volume component included a 5.4% reduction in collection revenues and a 4.5% reduction in third party landfill revenue.</w:t>
      </w:r>
    </w:p>
    <w:p>
      <w:pPr>
        <w:spacing w:after="0" w:line="67" w:lineRule="exact"/>
        <w:rPr>
          <w:rFonts w:ascii="Times New Roman" w:cs="Times New Roman" w:eastAsia="Times New Roman" w:hAnsi="Times New Roman"/>
          <w:sz w:val="18"/>
          <w:szCs w:val="18"/>
          <w:b w:val="1"/>
          <w:bCs w:val="1"/>
          <w:color w:val="auto"/>
        </w:rPr>
      </w:pPr>
    </w:p>
    <w:p>
      <w:pPr>
        <w:ind w:left="900" w:right="700" w:hanging="446"/>
        <w:spacing w:after="0" w:line="282"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decreased $38 million in the third quarter of this year. Adjusting for the $80 million in divested revenues, revenues would have increased $42 million, or about 1.2%.</w:t>
      </w:r>
      <w:r>
        <w:rPr>
          <w:rFonts w:ascii="Times New Roman" w:cs="Times New Roman" w:eastAsia="Times New Roman" w:hAnsi="Times New Roman"/>
          <w:sz w:val="15"/>
          <w:szCs w:val="15"/>
          <w:color w:val="auto"/>
        </w:rPr>
        <w:t>(a)</w:t>
      </w:r>
    </w:p>
    <w:p>
      <w:pPr>
        <w:spacing w:after="0" w:line="6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expenditures of $240 million in the third quarter. For the nine-month period, capital expenditures totaled $721 million.</w:t>
      </w:r>
    </w:p>
    <w:p>
      <w:pPr>
        <w:spacing w:after="0" w:line="130" w:lineRule="exact"/>
        <w:rPr>
          <w:rFonts w:ascii="Times New Roman" w:cs="Times New Roman" w:eastAsia="Times New Roman" w:hAnsi="Times New Roman"/>
          <w:sz w:val="18"/>
          <w:szCs w:val="18"/>
          <w:b w:val="1"/>
          <w:bCs w:val="1"/>
          <w:color w:val="auto"/>
        </w:rPr>
      </w:pPr>
    </w:p>
    <w:p>
      <w:pPr>
        <w:ind w:left="900" w:right="40" w:hanging="446"/>
        <w:spacing w:after="0" w:line="254"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in the third quarter of 2007 was 36.2%. This is higher than the 34% rate projected in the Company’s second quarter 2007 earnings release due to higher taxes as a result of the increase in the estimated phase-out of Section 45K tax credits partially offset by $14 million in tax benefits resulting primarily from adjustments required for the finalization of our 2006 tax returns. At the end of the second quarter, the Company estimated the full year phase-out of its Section 45K tax credits to be 29%. At the end of the third quarter, the estimated full-year phase-out increased to 52%. Consequently, earnings per share did not benefit from Section 45K tax credits in the third quarter of 2007. This compares with a benefit of $0.05 per diluted share from Section 45K tax credits during the third quarter of 2006. Given our outlook for crude oil prices for the full-year 2007, the Company would not expect to record any earnings per diluted share benefit from Section 45K tax credits during the fourth quarter of 2007. The full year outlook projected in the Company’s second quarter 2007 earnings release had assumed a $0.04 benefit for the second half of the year, consisting of a $0.02 benefit in each of the third and fourth quarters.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Steiner concluded, “Our collection and recycling businesses continue to grow income from operations at double digit rates, and we will continue to follow our strategy of pricing work to generate acceptable margins and returns on our business. We are meeting our expectations with regard to our pricing program and continue to produce a positive price-volume trade-off in our collection business. We remain committed to this approach and expect it to continue to drive earnings growth and margin expansion. As we have done in the collection line of business, we intend to follow a disciplined approach to landfill pricing and to pursue cost cutting at our landfills to offset the earnings impact of the loss in volumes.</w:t>
      </w:r>
    </w:p>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looking at our full year 2007 earnings projections, the previously projected range of $2.07 to $2.11 per diluted share included a Section 45K tax credit benefit of $0.04 per diluted share in the second half of the year. We no longer expect to receive that $0.04 per diluted share benefit. After reducing the range by this $0.04 per diluted share non-operational tax item, we are confident we can meet the revised 2007 full-year earnings projection. And we have raised our full-year free cash flow by $100 million over the high end of our previously projected range of $1.3 billion to $1.4 billion.” </w:t>
      </w:r>
      <w:r>
        <w:rPr>
          <w:rFonts w:ascii="Times New Roman" w:cs="Times New Roman" w:eastAsia="Times New Roman" w:hAnsi="Times New Roman"/>
          <w:sz w:val="15"/>
          <w:szCs w:val="15"/>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460" w:right="220" w:hanging="452"/>
        <w:spacing w:after="0" w:line="276"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2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78"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from operations as a percentage of revenue;</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and comparative changes in revenue;</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expenses, operating expenses as a percentage of revenue and comparative changes in these measures; and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Projected earnings per diluted share.</w:t>
      </w:r>
    </w:p>
    <w:p>
      <w:pPr>
        <w:spacing w:after="0" w:line="117" w:lineRule="exact"/>
        <w:rPr>
          <w:sz w:val="20"/>
          <w:szCs w:val="20"/>
          <w:color w:val="auto"/>
        </w:rPr>
      </w:pPr>
    </w:p>
    <w:p>
      <w:pPr>
        <w:ind w:left="460" w:right="260"/>
        <w:spacing w:after="0" w:line="266" w:lineRule="auto"/>
        <w:rPr>
          <w:sz w:val="20"/>
          <w:szCs w:val="20"/>
          <w:color w:val="auto"/>
        </w:rPr>
      </w:pPr>
      <w:r>
        <w:rPr>
          <w:rFonts w:ascii="Times New Roman" w:cs="Times New Roman" w:eastAsia="Times New Roman" w:hAnsi="Times New Roman"/>
          <w:sz w:val="18"/>
          <w:szCs w:val="18"/>
          <w:color w:val="auto"/>
        </w:rPr>
        <w:t>The Company also discusses free cash flow and projected free cash flow, which are non-GAAP measures, because it believes that investors are interested in the cash produced by the Company from non-financing activities that is available for uses such as the Company’s acquisitions, its share repurchase program, its scheduled debt reduction and the payment of dividends. The Company defines free cash flow as:</w:t>
      </w:r>
    </w:p>
    <w:p>
      <w:pPr>
        <w:spacing w:after="0" w:line="68"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cash provided by operating activities</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Less, capital expenditures</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Plus, proceeds from divestitures of businesses, net of cash divested, and other sales of assets.</w:t>
      </w:r>
    </w:p>
    <w:p>
      <w:pPr>
        <w:spacing w:after="0" w:line="117"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The Company’s definition of free cash flow may not be comparable to similarly titled measures presented by other companies, and therefore not subject to comparison.</w:t>
      </w:r>
    </w:p>
    <w:p>
      <w:pPr>
        <w:spacing w:after="0" w:line="67"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Except for projected earnings per diluted share, discussed below, the 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full year projection of adjusted earnings of $2.07 to $2.11 per diluted share given in its second quarter 2007 earnings release excluded</w:t>
      </w:r>
    </w:p>
    <w:p>
      <w:pPr>
        <w:spacing w:after="0" w:line="27" w:lineRule="exact"/>
        <w:rPr>
          <w:sz w:val="20"/>
          <w:szCs w:val="20"/>
          <w:color w:val="auto"/>
        </w:rPr>
      </w:pPr>
    </w:p>
    <w:p>
      <w:pPr>
        <w:ind w:left="460" w:right="20" w:hanging="6"/>
        <w:spacing w:after="0" w:line="252" w:lineRule="auto"/>
        <w:tabs>
          <w:tab w:leader="none" w:pos="6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2007 impact of restructuring charges of $6 million after tax; (ii) the 2007 year-to-date impact of $54 million associated with income tax benefits; (iii) the second quarter net $18 million in after-tax gains from the divestiture of certain operations; and (iv) the 2007 year-to-date impact of $18 million after tax associated with the labor disruptions in California; but did not exclude an expected benefit of $0.02 per share from Section 45K tax credits in each of the third and fourth quarters of 2007. No such benefit was realized in the third quarter and, given the uncertainty of crude oil prices, the Company has excluded the effects that Section 45K tax credits may have on the remainder of the year from its projection, thus reducing the $2.07 to $2.11 estimate by $0.04 per diluted share.</w:t>
      </w:r>
    </w:p>
    <w:p>
      <w:pPr>
        <w:spacing w:after="0" w:line="96" w:lineRule="exact"/>
        <w:rPr>
          <w:sz w:val="20"/>
          <w:szCs w:val="20"/>
          <w:color w:val="auto"/>
        </w:rPr>
      </w:pPr>
    </w:p>
    <w:p>
      <w:pPr>
        <w:ind w:left="460" w:right="40"/>
        <w:spacing w:after="0" w:line="255" w:lineRule="auto"/>
        <w:rPr>
          <w:sz w:val="20"/>
          <w:szCs w:val="20"/>
          <w:color w:val="auto"/>
        </w:rPr>
      </w:pPr>
      <w:r>
        <w:rPr>
          <w:rFonts w:ascii="Times New Roman" w:cs="Times New Roman" w:eastAsia="Times New Roman" w:hAnsi="Times New Roman"/>
          <w:sz w:val="18"/>
          <w:szCs w:val="18"/>
          <w:color w:val="auto"/>
        </w:rPr>
        <w:t>GAAP net earnings per diluted share for the fourth quarter of the year may include restructuring charges, asset impairment and unusual items charges, gains or losses from divestitures, the resolution of income tax items, and other items that are not currently determinable, but may be significant, such as the financial impact of the labor action in the Los Angeles, California area. Our current full year 2007 projection excludes the impact of any such items that may occur. GAAP net earnings per diluted share projected for the full year would require inclusion of the projected impact of any such items. Due to the uncertainty of the occurrence of any such items, as well as their amount and timing, we do not believe we have the information available to provide projected full year GAAP net earnings per diluted share and the quantitative reconciliation to our current adjusted earning per diluted share projection.</w:t>
      </w:r>
    </w:p>
    <w:p>
      <w:pPr>
        <w:spacing w:after="0" w:line="8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scheduled an investor and analyst conference call for later this morning to discuss the results of today’s earnings announcement. The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spacing w:after="0" w:line="273" w:lineRule="auto"/>
        <w:rPr>
          <w:sz w:val="20"/>
          <w:szCs w:val="20"/>
          <w:color w:val="auto"/>
        </w:rPr>
      </w:pPr>
      <w:r>
        <w:rPr>
          <w:rFonts w:ascii="Times New Roman" w:cs="Times New Roman" w:eastAsia="Times New Roman" w:hAnsi="Times New Roman"/>
          <w:sz w:val="17"/>
          <w:szCs w:val="17"/>
          <w:color w:val="auto"/>
        </w:rPr>
        <w:t xml:space="preserve">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Times New Roman" w:cs="Times New Roman" w:eastAsia="Times New Roman" w:hAnsi="Times New Roman"/>
          <w:sz w:val="17"/>
          <w:szCs w:val="17"/>
          <w:u w:val="single" w:color="auto"/>
          <w:color w:val="auto"/>
        </w:rPr>
        <w:t>http://www.wm.com</w:t>
      </w:r>
      <w:r>
        <w:rPr>
          <w:rFonts w:ascii="Times New Roman" w:cs="Times New Roman" w:eastAsia="Times New Roman" w:hAnsi="Times New Roman"/>
          <w:sz w:val="17"/>
          <w:szCs w:val="17"/>
          <w:color w:val="auto"/>
        </w:rPr>
        <w:t xml:space="preserve">, and select “3Q2007 Earnings Report Webcast.” You may also listen to the analyst conference call by telephone by contacting the conference call operator 5 to 10 minutes prior to the scheduled start time and asking for the “Waste Management Conference Call — Call ID 16948617.” US/Canada Dial-In Number: (877) 710-6139. Int’l/Local Dial-In Number: (706) 643-7398. For those unable to listen to the live call, a replay will be available 24 hours a day beginning at approximately 1:00 p.m. Eastern time on October 26 through 5:00 p.m. Eastern time on November 9th. To hear a replay of the call over the Internet, access the Waste Management Website at </w:t>
      </w:r>
      <w:r>
        <w:rPr>
          <w:rFonts w:ascii="Times New Roman" w:cs="Times New Roman" w:eastAsia="Times New Roman" w:hAnsi="Times New Roman"/>
          <w:sz w:val="17"/>
          <w:szCs w:val="17"/>
          <w:u w:val="single" w:color="auto"/>
          <w:color w:val="auto"/>
        </w:rPr>
        <w:t>http://www.wm.com</w:t>
      </w:r>
      <w:r>
        <w:rPr>
          <w:rFonts w:ascii="Times New Roman" w:cs="Times New Roman" w:eastAsia="Times New Roman" w:hAnsi="Times New Roman"/>
          <w:sz w:val="17"/>
          <w:szCs w:val="17"/>
          <w:color w:val="auto"/>
        </w:rPr>
        <w:t>. To hear a telephonic replay of the call, dial (800) 642-1687 or (706) 645-9291 and enter reservation code 16948617.</w:t>
      </w:r>
    </w:p>
    <w:p>
      <w:pPr>
        <w:spacing w:after="0" w:line="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2007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8" w:lineRule="exact"/>
        <w:rPr>
          <w:sz w:val="20"/>
          <w:szCs w:val="20"/>
          <w:color w:val="auto"/>
        </w:rPr>
      </w:pPr>
    </w:p>
    <w:p>
      <w:pPr>
        <w:ind w:left="900" w:right="180" w:hanging="446"/>
        <w:spacing w:after="0" w:line="284"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63"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we may be unable to maintain or expand margins if we are unable to control costs;</w:t>
      </w:r>
    </w:p>
    <w:p>
      <w:pPr>
        <w:spacing w:after="0" w:line="130" w:lineRule="exact"/>
        <w:rPr>
          <w:rFonts w:ascii="Times New Roman" w:cs="Times New Roman" w:eastAsia="Times New Roman" w:hAnsi="Times New Roman"/>
          <w:sz w:val="18"/>
          <w:szCs w:val="18"/>
          <w:b w:val="1"/>
          <w:bCs w:val="1"/>
          <w:color w:val="auto"/>
        </w:rPr>
      </w:pPr>
    </w:p>
    <w:p>
      <w:pPr>
        <w:jc w:val="both"/>
        <w:ind w:left="900" w:right="420" w:hanging="446"/>
        <w:spacing w:after="0" w:line="267"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78" w:lineRule="exact"/>
        <w:rPr>
          <w:rFonts w:ascii="Times New Roman" w:cs="Times New Roman" w:eastAsia="Times New Roman" w:hAnsi="Times New Roman"/>
          <w:sz w:val="18"/>
          <w:szCs w:val="18"/>
          <w:b w:val="1"/>
          <w:bCs w:val="1"/>
          <w:color w:val="auto"/>
        </w:rPr>
      </w:pPr>
    </w:p>
    <w:p>
      <w:pPr>
        <w:ind w:left="900" w:right="800" w:hanging="446"/>
        <w:spacing w:after="0" w:line="284"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weather conditions cause our quarter-to-quarter results to fluctuate, and extremely harsh weather or natural disasters may cause us to temporarily shut down operations;</w:t>
      </w:r>
    </w:p>
    <w:p>
      <w:pPr>
        <w:spacing w:after="0" w:line="63" w:lineRule="exact"/>
        <w:rPr>
          <w:rFonts w:ascii="Times New Roman" w:cs="Times New Roman" w:eastAsia="Times New Roman" w:hAnsi="Times New Roman"/>
          <w:sz w:val="18"/>
          <w:szCs w:val="18"/>
          <w:b w:val="1"/>
          <w:bCs w:val="1"/>
          <w:color w:val="auto"/>
        </w:rPr>
      </w:pPr>
    </w:p>
    <w:p>
      <w:pPr>
        <w:ind w:left="900" w:right="280" w:hanging="446"/>
        <w:spacing w:after="0" w:line="284"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inflation and resulting higher interest rates as well as other general and local economic conditions may negatively affect the volumes of waste generated, our financing costs and other expenses;</w:t>
      </w:r>
    </w:p>
    <w:p>
      <w:pPr>
        <w:spacing w:after="0" w:line="63" w:lineRule="exact"/>
        <w:rPr>
          <w:rFonts w:ascii="Times New Roman" w:cs="Times New Roman" w:eastAsia="Times New Roman" w:hAnsi="Times New Roman"/>
          <w:sz w:val="18"/>
          <w:szCs w:val="18"/>
          <w:b w:val="1"/>
          <w:bCs w:val="1"/>
          <w:color w:val="auto"/>
        </w:rPr>
      </w:pPr>
    </w:p>
    <w:p>
      <w:pPr>
        <w:ind w:left="900" w:right="740" w:hanging="446"/>
        <w:spacing w:after="0" w:line="284"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possible changes in our estimates of site remediation requirements, final capping, closure and post-closure obligations, compliance and regulatory developments may increase our expenses;</w:t>
      </w:r>
    </w:p>
    <w:p>
      <w:pPr>
        <w:spacing w:after="0" w:line="63" w:lineRule="exact"/>
        <w:rPr>
          <w:rFonts w:ascii="Times New Roman" w:cs="Times New Roman" w:eastAsia="Times New Roman" w:hAnsi="Times New Roman"/>
          <w:sz w:val="18"/>
          <w:szCs w:val="18"/>
          <w:b w:val="1"/>
          <w:bCs w:val="1"/>
          <w:color w:val="auto"/>
        </w:rPr>
      </w:pPr>
    </w:p>
    <w:p>
      <w:pPr>
        <w:ind w:left="900" w:right="120" w:hanging="446"/>
        <w:spacing w:after="0" w:line="284"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63" w:lineRule="exact"/>
        <w:rPr>
          <w:rFonts w:ascii="Times New Roman" w:cs="Times New Roman" w:eastAsia="Times New Roman" w:hAnsi="Times New Roman"/>
          <w:sz w:val="18"/>
          <w:szCs w:val="18"/>
          <w:b w:val="1"/>
          <w:bCs w:val="1"/>
          <w:color w:val="auto"/>
        </w:rPr>
      </w:pPr>
    </w:p>
    <w:p>
      <w:pPr>
        <w:ind w:left="900" w:right="40" w:hanging="446"/>
        <w:spacing w:after="0" w:line="284"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if we are unable to obtain and maintain permits needed to open, operate, and/or expand our facilities, our results of operations will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446" w:right="4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limitations or bans on disposal or transportation of out-of-state, cross-border, or certain categories of waste, as well as mandates on the disposal of waste, can increase our expenses and reduce our revenues;</w:t>
      </w:r>
    </w:p>
    <w:p>
      <w:pPr>
        <w:spacing w:after="0" w:line="63" w:lineRule="exact"/>
        <w:rPr>
          <w:rFonts w:ascii="Times New Roman" w:cs="Times New Roman" w:eastAsia="Times New Roman" w:hAnsi="Times New Roman"/>
          <w:sz w:val="18"/>
          <w:szCs w:val="18"/>
          <w:b w:val="1"/>
          <w:bCs w:val="1"/>
          <w:color w:val="auto"/>
        </w:rPr>
      </w:pPr>
    </w:p>
    <w:p>
      <w:pPr>
        <w:ind w:left="446" w:right="22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fuel price increases or fuel supply shortages may increase our expenses, including our tax expense if Section 45K credits are phased out due to continued high crude oil prices, or restrict our ability to operate;</w:t>
      </w:r>
    </w:p>
    <w:p>
      <w:pPr>
        <w:spacing w:after="0" w:line="63" w:lineRule="exact"/>
        <w:rPr>
          <w:rFonts w:ascii="Times New Roman" w:cs="Times New Roman" w:eastAsia="Times New Roman" w:hAnsi="Times New Roman"/>
          <w:sz w:val="18"/>
          <w:szCs w:val="18"/>
          <w:b w:val="1"/>
          <w:bCs w:val="1"/>
          <w:color w:val="auto"/>
        </w:rPr>
      </w:pPr>
    </w:p>
    <w:p>
      <w:pPr>
        <w:ind w:left="446" w:right="26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increased costs to obtain financial assurance or the inadequacy of our insurance coverages could negatively impact our liquidity and increase our liabilities;</w:t>
      </w:r>
    </w:p>
    <w:p>
      <w:pPr>
        <w:spacing w:after="0" w:line="63" w:lineRule="exact"/>
        <w:rPr>
          <w:rFonts w:ascii="Times New Roman" w:cs="Times New Roman" w:eastAsia="Times New Roman" w:hAnsi="Times New Roman"/>
          <w:sz w:val="18"/>
          <w:szCs w:val="18"/>
          <w:b w:val="1"/>
          <w:bCs w:val="1"/>
          <w:color w:val="auto"/>
        </w:rPr>
      </w:pPr>
    </w:p>
    <w:p>
      <w:pPr>
        <w:ind w:left="446" w:right="48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possible charges as a result of shut-down operations, uncompleted development or expansion projects or other events may negatively affect earnings;</w:t>
      </w:r>
    </w:p>
    <w:p>
      <w:pPr>
        <w:spacing w:after="0" w:line="63"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fluctuating commodity prices may have negative effects on our operating revenues and expenses;</w:t>
      </w:r>
    </w:p>
    <w:p>
      <w:pPr>
        <w:spacing w:after="0" w:line="130" w:lineRule="exact"/>
        <w:rPr>
          <w:rFonts w:ascii="Times New Roman" w:cs="Times New Roman" w:eastAsia="Times New Roman" w:hAnsi="Times New Roman"/>
          <w:sz w:val="18"/>
          <w:szCs w:val="18"/>
          <w:b w:val="1"/>
          <w:bCs w:val="1"/>
          <w:color w:val="auto"/>
        </w:rPr>
      </w:pPr>
    </w:p>
    <w:p>
      <w:pPr>
        <w:ind w:left="446" w:right="30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trends requiring recycling, waste reduction at the source and prohibiting the disposal of certain types of wastes could have negative effects on volumes of waste going to landfills and waste-to-energy facilities;</w:t>
      </w:r>
    </w:p>
    <w:p>
      <w:pPr>
        <w:spacing w:after="0" w:line="63" w:lineRule="exact"/>
        <w:rPr>
          <w:rFonts w:ascii="Times New Roman" w:cs="Times New Roman" w:eastAsia="Times New Roman" w:hAnsi="Times New Roman"/>
          <w:sz w:val="18"/>
          <w:szCs w:val="18"/>
          <w:b w:val="1"/>
          <w:bCs w:val="1"/>
          <w:color w:val="auto"/>
        </w:rPr>
      </w:pPr>
    </w:p>
    <w:p>
      <w:pPr>
        <w:ind w:left="446" w:hanging="446"/>
        <w:spacing w:after="0" w:line="267"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78" w:lineRule="exact"/>
        <w:rPr>
          <w:rFonts w:ascii="Times New Roman" w:cs="Times New Roman" w:eastAsia="Times New Roman" w:hAnsi="Times New Roman"/>
          <w:sz w:val="18"/>
          <w:szCs w:val="18"/>
          <w:b w:val="1"/>
          <w:bCs w:val="1"/>
          <w:color w:val="auto"/>
        </w:rPr>
      </w:pPr>
    </w:p>
    <w:p>
      <w:pPr>
        <w:ind w:left="446" w:right="50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3" w:lineRule="exact"/>
        <w:rPr>
          <w:rFonts w:ascii="Times New Roman" w:cs="Times New Roman" w:eastAsia="Times New Roman" w:hAnsi="Times New Roman"/>
          <w:sz w:val="18"/>
          <w:szCs w:val="18"/>
          <w:b w:val="1"/>
          <w:bCs w:val="1"/>
          <w:color w:val="auto"/>
        </w:rPr>
      </w:pPr>
    </w:p>
    <w:p>
      <w:pPr>
        <w:ind w:left="446" w:right="6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problems with the operation of our current information technology or the development and deployment of new information systems may decrease our efficiencies and increase our costs to operate;</w:t>
      </w:r>
    </w:p>
    <w:p>
      <w:pPr>
        <w:spacing w:after="0" w:line="63" w:lineRule="exact"/>
        <w:rPr>
          <w:rFonts w:ascii="Times New Roman" w:cs="Times New Roman" w:eastAsia="Times New Roman" w:hAnsi="Times New Roman"/>
          <w:sz w:val="18"/>
          <w:szCs w:val="18"/>
          <w:b w:val="1"/>
          <w:bCs w:val="1"/>
          <w:color w:val="auto"/>
        </w:rPr>
      </w:pPr>
    </w:p>
    <w:p>
      <w:pPr>
        <w:ind w:left="446" w:right="48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63" w:lineRule="exact"/>
        <w:rPr>
          <w:rFonts w:ascii="Times New Roman" w:cs="Times New Roman" w:eastAsia="Times New Roman" w:hAnsi="Times New Roman"/>
          <w:sz w:val="18"/>
          <w:szCs w:val="18"/>
          <w:b w:val="1"/>
          <w:bCs w:val="1"/>
          <w:color w:val="auto"/>
        </w:rPr>
      </w:pPr>
    </w:p>
    <w:p>
      <w:pPr>
        <w:ind w:left="446" w:right="160" w:hanging="446"/>
        <w:spacing w:after="0" w:line="284" w:lineRule="auto"/>
        <w:tabs>
          <w:tab w:leader="none" w:pos="44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50" w:lineRule="exact"/>
        <w:rPr>
          <w:sz w:val="20"/>
          <w:szCs w:val="20"/>
          <w:color w:val="auto"/>
        </w:rPr>
      </w:pPr>
    </w:p>
    <w:p>
      <w:pPr>
        <w:ind w:left="6" w:right="380"/>
        <w:spacing w:after="0" w:line="315" w:lineRule="auto"/>
        <w:rPr>
          <w:sz w:val="20"/>
          <w:szCs w:val="20"/>
          <w:color w:val="auto"/>
        </w:rPr>
      </w:pPr>
      <w:r>
        <w:rPr>
          <w:rFonts w:ascii="Times New Roman" w:cs="Times New Roman" w:eastAsia="Times New Roman" w:hAnsi="Times New Roman"/>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2006.</w:t>
      </w:r>
    </w:p>
    <w:p>
      <w:pPr>
        <w:spacing w:after="0" w:line="245"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409575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2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14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Quarters 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expense from divestitures, asset impairments and unusual items</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 net earnings (losses) of unconsolidated entities</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common shares outstanding</w:t>
            </w: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515.9</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520.1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80" w:type="dxa"/>
            <w:vAlign w:val="bottom"/>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278</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541.5</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0.54</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0.54</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10,080</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expense from divestitures, asset impairments and unusual items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14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common shares outstanding</w:t>
            </w:r>
          </w:p>
        </w:tc>
        <w:tc>
          <w:tcPr>
            <w:tcW w:w="1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521.4</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common share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quarter 2006 dividend of $0.22 per share declared in December 2005,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paid in March 2006)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72</w:t>
            </w:r>
          </w:p>
        </w:tc>
        <w:tc>
          <w:tcPr>
            <w:tcW w:w="6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right="120" w:hanging="519"/>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Note:</w:t>
        <w:tab/>
        <w:t xml:space="preserve">Provision for income taxes and net income for the quarter ended March 31, 2007 have been adjusted for the effects of our retrospective application of Financial Accounting Standard Board Staff Position (“FSP”) No. FIN 48-1, </w:t>
      </w:r>
      <w:r>
        <w:rPr>
          <w:rFonts w:ascii="Times New Roman" w:cs="Times New Roman" w:eastAsia="Times New Roman" w:hAnsi="Times New Roman"/>
          <w:sz w:val="18"/>
          <w:szCs w:val="18"/>
          <w:i w:val="1"/>
          <w:iCs w:val="1"/>
          <w:color w:val="auto"/>
        </w:rPr>
        <w:t>Definition of Settlement in FASB Interpretation No. 48</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equity-based compensation awards, warrants and other contingently issuable shares</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526.0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40" w:type="dxa"/>
            <w:vAlign w:val="bottom"/>
            <w:gridSpan w:val="2"/>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4040" w:type="dxa"/>
            <w:vAlign w:val="bottom"/>
            <w:gridSpan w:val="2"/>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20,275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4040" w:type="dxa"/>
            <w:vAlign w:val="bottom"/>
            <w:gridSpan w:val="2"/>
          </w:tcPr>
          <w:p>
            <w:pPr>
              <w:ind w:left="38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2,259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14,042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Minority interest in subsidiaries and variable interest entities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5,932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40" w:type="dxa"/>
            <w:vAlign w:val="bottom"/>
            <w:vMerge w:val="restart"/>
          </w:tcPr>
          <w:p>
            <w:pPr>
              <w:jc w:val="right"/>
              <w:ind w:right="301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854</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1,846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short-term investments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receipts from restricted trust and escrow accounts, and other</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repayments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common stock options and warrants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537</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Prior year information has been reclassified to conform to 2007 presentation.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tcPr>
          <w:p>
            <w:pPr>
              <w:spacing w:after="0"/>
              <w:rPr>
                <w:sz w:val="10"/>
                <w:szCs w:val="10"/>
                <w:color w:val="auto"/>
              </w:rPr>
            </w:pPr>
          </w:p>
        </w:tc>
        <w:tc>
          <w:tcPr>
            <w:tcW w:w="1380" w:type="dxa"/>
            <w:vAlign w:val="bottom"/>
            <w:gridSpan w:val="6"/>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Lines of Business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Collection</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2,210</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2,193</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Landfill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Transfer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Wheelabrator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Recycling and other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xml:space="preserve">Intercompany </w:t>
            </w:r>
            <w:r>
              <w:rPr>
                <w:rFonts w:ascii="Times New Roman" w:cs="Times New Roman" w:eastAsia="Times New Roman" w:hAnsi="Times New Roman"/>
                <w:sz w:val="18"/>
                <w:szCs w:val="18"/>
                <w:b w:val="1"/>
                <w:bCs w:val="1"/>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(583)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(595)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Internal Growth of Operating Revenues from Comparable Prior Periods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yield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Base business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Yield changes due to recycling commodities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Yield changes due to electricity (IPP), fuel surcharge and mandated fees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Internal revenue growth</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Acquisition Summary (b)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consideration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WMRA Segment Supplemental Data (c)</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Quarters Ended 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Analysis (d)(e)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1,846</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(net of cash divested) and other sales of</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1,360</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within the Condensed Consolidated Financial Statements included herein.</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indicated periods.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is after the elimination of intercompany revenues and related expenses.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information has been reclassified to conform to 2007 presentation.</w:t>
      </w:r>
    </w:p>
    <w:p>
      <w:pPr>
        <w:spacing w:after="0" w:line="76"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2007</w:t>
            </w: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 available for use (a)</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indebtedness, including current portion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8,278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8,249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6,070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Operational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landfill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waste-to-energy disposal volumes (tons in millions)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landfills</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Amortization and SFAS No. 143 Expenses for Landfills Included in Operating Groups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 SFAS No. 143 amortization expense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related to SFAS No. 143 obligations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amortization expense (c)</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Accretion and other related expense</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Landfill amortization, accretion and other related expense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134.0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50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quarters ended September 30, 2007, June 30, 2007,and September 30, 2006 include short-term investments available for use of $117 million, $124 million, and $332 million, respectively.</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amounts have been revised to exclude amounts from closed landfills not included in our Operating groups.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sequential increase in amortization expense is primarily related to an increase in estimates of capping costs.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 as a percent of Revenue</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$3,403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565</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Income from Operations as a percent of Revenue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Adjustments for Labor disruption costs: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$3,404</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Adjusted Income from Operations as a percent of Revenue</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17.4%</w:t>
            </w: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Revenues and Comparative Changes in Revenues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Quarter ended September 30, 2006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$3,441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Quarter ended September 30, 2007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$3,403</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Decline in Operating revenues, as reported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($38) or -1.1%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Adjustments to 2007 Operating revenues: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Divested revenues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revenues, as adjusted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Quarter ended September 30, 2006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$3,441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Quarter ended September 30, 2007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$3,483</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Operating revenues, as adjusted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$42 or 1.2%</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 as a percent of Revenue</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revenues</w:t>
            </w:r>
          </w:p>
        </w:tc>
        <w:tc>
          <w:tcPr>
            <w:tcW w:w="8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$3,403</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18"/>
                <w:szCs w:val="18"/>
                <w:b w:val="1"/>
                <w:bCs w:val="1"/>
                <w:color w:val="auto"/>
              </w:rPr>
              <w:t>(a)</w:t>
            </w:r>
          </w:p>
        </w:tc>
        <w:tc>
          <w:tcPr>
            <w:tcW w:w="8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2,181</w:t>
            </w: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for Labor disruption costs: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revenues</w:t>
            </w:r>
          </w:p>
        </w:tc>
        <w:tc>
          <w:tcPr>
            <w:tcW w:w="8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$3,404</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18"/>
                <w:szCs w:val="18"/>
                <w:b w:val="1"/>
                <w:bCs w:val="1"/>
                <w:color w:val="auto"/>
              </w:rPr>
              <w:t>(b)</w:t>
            </w:r>
          </w:p>
        </w:tc>
        <w:tc>
          <w:tcPr>
            <w:tcW w:w="8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2,181</w:t>
            </w: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 as a percent of Revenue (c)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Operating expenses, as reported, decreased $38 million or approximately 1.7%.</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w:t>
        <w:tab/>
        <w:t>Operating expenses, as adjusted, decreased $62 million or approximately 2.8%.</w:t>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(c)</w:t>
        <w:tab/>
        <w:t>Decrease in Operating Expenses as a percent of Revenue, as adjusted, of 110 basis points.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 (a)</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Diluted Earnings Per Share,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0.54</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c>
          <w:tcPr>
            <w:tcW w:w="0" w:type="dxa"/>
            <w:vAlign w:val="bottom"/>
          </w:tcPr>
          <w:p>
            <w:pPr>
              <w:spacing w:after="0"/>
              <w:rPr>
                <w:sz w:val="1"/>
                <w:szCs w:val="1"/>
                <w:color w:val="auto"/>
              </w:rPr>
            </w:pPr>
          </w:p>
        </w:tc>
      </w:tr>
      <w:tr>
        <w:trPr>
          <w:trHeight w:val="432"/>
        </w:trPr>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expense from divestitures, asset impairments and unusual items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items</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Labor disruptions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Diluted Earnings Per Share, as 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0.54</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Additional adjustment: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45K tax credit impact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Diluted Earnings Per Share, as further adjusted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0.54</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0.50</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Projected Full Year 2007 Free Cash Flow Reconciliation Scenario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divestitures of businesses (net of cash divested) and other sales of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4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non-GAAP measure of adjusted diluted earnings per share has not been disclosed in this press release. However, management of the Company believes that providing investors with the year-over- year comparison of diluted earnings per share, as adjusted for the significant non-operational items noted, assists in an understanding of the Company’s current period performance.</w:t>
      </w:r>
    </w:p>
    <w:p>
      <w:pPr>
        <w:spacing w:after="0" w:line="27" w:lineRule="exact"/>
        <w:rPr>
          <w:rFonts w:ascii="Times New Roman" w:cs="Times New Roman" w:eastAsia="Times New Roman" w:hAnsi="Times New Roman"/>
          <w:sz w:val="18"/>
          <w:szCs w:val="18"/>
          <w:color w:val="auto"/>
        </w:rPr>
      </w:pPr>
    </w:p>
    <w:p>
      <w:pPr>
        <w:ind w:left="460" w:right="1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illustrates a scenario that would result in free cash flow meeting our free cash flow projection. The amounts used in the reconciliation are not necessarily indicative of our expectations for those amounts.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Actual/Estimated Diluted Earnings Per Share Impact from Section 45K Credits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Synthetic Fuel Production Facilities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780" w:type="dxa"/>
            <w:vAlign w:val="bottom"/>
          </w:tcPr>
          <w:p>
            <w:pPr>
              <w:spacing w:after="0"/>
              <w:rPr>
                <w:sz w:val="16"/>
                <w:szCs w:val="16"/>
                <w:color w:val="auto"/>
              </w:rPr>
            </w:pPr>
          </w:p>
        </w:tc>
        <w:tc>
          <w:tcPr>
            <w:tcW w:w="80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First</w:t>
            </w:r>
          </w:p>
        </w:tc>
        <w:tc>
          <w:tcPr>
            <w:tcW w:w="300" w:type="dxa"/>
            <w:vAlign w:val="bottom"/>
          </w:tcPr>
          <w:p>
            <w:pPr>
              <w:spacing w:after="0"/>
              <w:rPr>
                <w:sz w:val="16"/>
                <w:szCs w:val="16"/>
                <w:color w:val="auto"/>
              </w:rPr>
            </w:pPr>
          </w:p>
        </w:tc>
        <w:tc>
          <w:tcPr>
            <w:tcW w:w="7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Second</w:t>
            </w:r>
          </w:p>
        </w:tc>
        <w:tc>
          <w:tcPr>
            <w:tcW w:w="320" w:type="dxa"/>
            <w:vAlign w:val="bottom"/>
          </w:tcPr>
          <w:p>
            <w:pPr>
              <w:spacing w:after="0"/>
              <w:rPr>
                <w:sz w:val="16"/>
                <w:szCs w:val="16"/>
                <w:color w:val="auto"/>
              </w:rPr>
            </w:pPr>
          </w:p>
        </w:tc>
        <w:tc>
          <w:tcPr>
            <w:tcW w:w="1040" w:type="dxa"/>
            <w:vAlign w:val="bottom"/>
            <w:gridSpan w:val="2"/>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Third</w:t>
            </w:r>
          </w:p>
        </w:tc>
        <w:tc>
          <w:tcPr>
            <w:tcW w:w="320" w:type="dxa"/>
            <w:vAlign w:val="bottom"/>
          </w:tcPr>
          <w:p>
            <w:pPr>
              <w:spacing w:after="0"/>
              <w:rPr>
                <w:sz w:val="16"/>
                <w:szCs w:val="16"/>
                <w:color w:val="auto"/>
              </w:rPr>
            </w:pPr>
          </w:p>
        </w:tc>
        <w:tc>
          <w:tcPr>
            <w:tcW w:w="1080" w:type="dxa"/>
            <w:vAlign w:val="bottom"/>
            <w:gridSpan w:val="2"/>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Fourth</w:t>
            </w:r>
          </w:p>
        </w:tc>
        <w:tc>
          <w:tcPr>
            <w:tcW w:w="0" w:type="dxa"/>
            <w:vAlign w:val="bottom"/>
          </w:tcPr>
          <w:p>
            <w:pPr>
              <w:spacing w:after="0"/>
              <w:rPr>
                <w:sz w:val="1"/>
                <w:szCs w:val="1"/>
                <w:color w:val="auto"/>
              </w:rPr>
            </w:pPr>
          </w:p>
        </w:tc>
      </w:tr>
      <w:tr>
        <w:trPr>
          <w:trHeight w:val="238"/>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Estimated earnings impact as of June 30, 2007 - Assumed estimated phase-out of 29%</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00" w:type="dxa"/>
            <w:vAlign w:val="bottom"/>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28"/>
        </w:trPr>
        <w:tc>
          <w:tcPr>
            <w:tcW w:w="6780" w:type="dxa"/>
            <w:vAlign w:val="bottom"/>
            <w:vMerge w:val="continue"/>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$ 0.02</w:t>
            </w:r>
          </w:p>
        </w:tc>
        <w:tc>
          <w:tcPr>
            <w:tcW w:w="30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$ 0.03</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0.02(a)</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0.02(a)</w:t>
            </w:r>
          </w:p>
        </w:tc>
        <w:tc>
          <w:tcPr>
            <w:tcW w:w="0" w:type="dxa"/>
            <w:vAlign w:val="bottom"/>
          </w:tcPr>
          <w:p>
            <w:pPr>
              <w:spacing w:after="0"/>
              <w:rPr>
                <w:sz w:val="1"/>
                <w:szCs w:val="1"/>
                <w:color w:val="auto"/>
              </w:rPr>
            </w:pPr>
          </w:p>
        </w:tc>
      </w:tr>
      <w:tr>
        <w:trPr>
          <w:trHeight w:val="39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Updated estimated earnings impact as of October 24, 2007 - Assumed estimated phase-</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 of 62%</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$0.02</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$0.03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as of the date indicated.</w:t>
      </w:r>
    </w:p>
    <w:p>
      <w:pPr>
        <w:spacing w:after="0" w:line="76"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$0.01 per share reduction in benefit attributable to the quarter ended March 31, 2007 and a $0.01 per share reduction in benefit attributable to the quarter ended June 30, 2007.</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2019-12-20T05:05:13Z</dcterms:created>
  <dcterms:modified xsi:type="dcterms:W3CDTF">2019-12-20T05:05:13Z</dcterms:modified>
</cp:coreProperties>
</file>