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
        <w:spacing w:after="0"/>
        <w:rPr>
          <w:sz w:val="20"/>
          <w:szCs w:val="20"/>
          <w:color w:val="auto"/>
        </w:rPr>
      </w:pPr>
      <w:r>
        <w:rPr>
          <w:rFonts w:ascii="Calibri" w:cs="Calibri" w:eastAsia="Calibri" w:hAnsi="Calibri"/>
          <w:sz w:val="10"/>
          <w:szCs w:val="10"/>
          <w:color w:val="003366"/>
        </w:rPr>
        <w:t>TABLE OF CONTENTS</w:t>
      </w:r>
    </w:p>
    <w:p>
      <w:pPr>
        <w:spacing w:after="0" w:line="365" w:lineRule="exact"/>
        <w:rPr>
          <w:sz w:val="24"/>
          <w:szCs w:val="24"/>
          <w:color w:val="auto"/>
        </w:rPr>
      </w:pPr>
    </w:p>
    <w:p>
      <w:pPr>
        <w:ind w:left="6560"/>
        <w:spacing w:after="0"/>
        <w:rPr>
          <w:sz w:val="20"/>
          <w:szCs w:val="20"/>
          <w:color w:val="auto"/>
        </w:rPr>
      </w:pPr>
      <w:r>
        <w:rPr>
          <w:rFonts w:ascii="Times New Roman" w:cs="Times New Roman" w:eastAsia="Times New Roman" w:hAnsi="Times New Roman"/>
          <w:sz w:val="10"/>
          <w:szCs w:val="10"/>
          <w:b w:val="1"/>
          <w:bCs w:val="1"/>
          <w:color w:val="auto"/>
        </w:rPr>
        <w:t> Filed Pursuant to Rule 424(b)(5)</w:t>
      </w:r>
    </w:p>
    <w:p>
      <w:pPr>
        <w:spacing w:after="0" w:line="17" w:lineRule="exact"/>
        <w:rPr>
          <w:sz w:val="24"/>
          <w:szCs w:val="24"/>
          <w:color w:val="auto"/>
        </w:rPr>
      </w:pPr>
    </w:p>
    <w:p>
      <w:pPr>
        <w:ind w:left="6560"/>
        <w:spacing w:after="0"/>
        <w:rPr>
          <w:sz w:val="20"/>
          <w:szCs w:val="20"/>
          <w:color w:val="auto"/>
        </w:rPr>
      </w:pPr>
      <w:r>
        <w:rPr>
          <w:rFonts w:ascii="Times New Roman" w:cs="Times New Roman" w:eastAsia="Times New Roman" w:hAnsi="Times New Roman"/>
          <w:sz w:val="10"/>
          <w:szCs w:val="10"/>
          <w:b w:val="1"/>
          <w:bCs w:val="1"/>
          <w:color w:val="auto"/>
        </w:rPr>
        <w:t> Registration File No. 333-264493​</w:t>
      </w:r>
    </w:p>
    <w:p>
      <w:pPr>
        <w:spacing w:after="0" w:line="38"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pacing w:after="0" w:line="23"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3"/>
          <w:szCs w:val="13"/>
          <w:b w:val="1"/>
          <w:bCs w:val="1"/>
          <w:color w:val="auto"/>
        </w:rPr>
        <w:t>(To Prospectus dated April 26, 2022)</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$5,200,000,000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2047875</wp:posOffset>
            </wp:positionH>
            <wp:positionV relativeFrom="paragraph">
              <wp:posOffset>47625</wp:posOffset>
            </wp:positionV>
            <wp:extent cx="1623695" cy="431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3695" cy="431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$1,000,000,000 4.500% Senior Notes due 2028</w:t>
      </w:r>
    </w:p>
    <w:p>
      <w:pPr>
        <w:spacing w:after="0" w:line="3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$700,000,000 4.650% Senior Notes due 2030</w:t>
      </w:r>
    </w:p>
    <w:p>
      <w:pPr>
        <w:spacing w:after="0" w:line="4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$750,000,000 4.800% Senior Notes due 2032</w:t>
      </w:r>
    </w:p>
    <w:p>
      <w:pPr>
        <w:spacing w:after="0" w:line="4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$1,500,000,000 4.950% Senior Notes due 2035</w:t>
      </w:r>
    </w:p>
    <w:p>
      <w:pPr>
        <w:spacing w:after="0" w:line="3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$1,250,000,000 5.350% Senior Notes due 2054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66040</wp:posOffset>
            </wp:positionV>
            <wp:extent cx="89916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9160" cy="6350"/>
                    </a:xfrm>
                    <a:prstGeom prst="rect">
                      <a:avLst/>
                    </a:prstGeom>
                    <a:noFill/>
                  </pic:spPr>
                </pic:pic>
              </a:graphicData>
            </a:graphic>
          </wp:anchor>
        </w:drawing>
      </w:r>
    </w:p>
    <w:p>
      <w:pPr>
        <w:spacing w:after="0" w:line="140" w:lineRule="exact"/>
        <w:rPr>
          <w:sz w:val="24"/>
          <w:szCs w:val="24"/>
          <w:color w:val="auto"/>
        </w:rPr>
      </w:pPr>
    </w:p>
    <w:p>
      <w:pPr>
        <w:ind w:left="960" w:right="1319" w:firstLine="262"/>
        <w:spacing w:after="0" w:line="244" w:lineRule="auto"/>
        <w:rPr>
          <w:sz w:val="20"/>
          <w:szCs w:val="20"/>
          <w:color w:val="auto"/>
        </w:rPr>
      </w:pPr>
      <w:r>
        <w:rPr>
          <w:rFonts w:ascii="Times New Roman" w:cs="Times New Roman" w:eastAsia="Times New Roman" w:hAnsi="Times New Roman"/>
          <w:sz w:val="11"/>
          <w:szCs w:val="11"/>
          <w:color w:val="auto"/>
        </w:rPr>
        <w:t>We are offering $5,200,000,000 of our senior notes, consisting of $1,000,000,000 of our 4.500% senior notes due 2028 (the “2028 notes”), $700,000,000 of our 4.650% senior notes due 2030 (the “2030 notes”), $750,000,000 of our 4.800% senior notes due 2032 (the “2032 notes”),</w:t>
      </w:r>
    </w:p>
    <w:p>
      <w:pPr>
        <w:spacing w:after="0" w:line="1" w:lineRule="exact"/>
        <w:rPr>
          <w:sz w:val="24"/>
          <w:szCs w:val="24"/>
          <w:color w:val="auto"/>
        </w:rPr>
      </w:pPr>
    </w:p>
    <w:p>
      <w:pPr>
        <w:ind w:left="960" w:right="1019"/>
        <w:spacing w:after="0" w:line="242" w:lineRule="auto"/>
        <w:rPr>
          <w:sz w:val="20"/>
          <w:szCs w:val="20"/>
          <w:color w:val="auto"/>
        </w:rPr>
      </w:pPr>
      <w:r>
        <w:rPr>
          <w:rFonts w:ascii="Times New Roman" w:cs="Times New Roman" w:eastAsia="Times New Roman" w:hAnsi="Times New Roman"/>
          <w:sz w:val="11"/>
          <w:szCs w:val="11"/>
          <w:color w:val="auto"/>
        </w:rPr>
        <w:t>$1,500,000,000 of our 4.950% senior notes due 2035 (the “2035 notes”) and $1,250,000,000 of our 5.350% senior notes due 2054 (the “2054 notes” and, together with the 2028 notes, the 2030 notes, the 2032 notes and the 2035 notes, the “notes”). Interest on the 2028 notes, the 2030 notes, the 2032</w:t>
      </w:r>
    </w:p>
    <w:p>
      <w:pPr>
        <w:spacing w:after="0" w:line="1" w:lineRule="exact"/>
        <w:rPr>
          <w:sz w:val="24"/>
          <w:szCs w:val="24"/>
          <w:color w:val="auto"/>
        </w:rPr>
      </w:pPr>
    </w:p>
    <w:p>
      <w:pPr>
        <w:ind w:left="960" w:right="1139"/>
        <w:spacing w:after="0" w:line="233" w:lineRule="auto"/>
        <w:rPr>
          <w:sz w:val="20"/>
          <w:szCs w:val="20"/>
          <w:color w:val="auto"/>
        </w:rPr>
      </w:pPr>
      <w:r>
        <w:rPr>
          <w:rFonts w:ascii="Times New Roman" w:cs="Times New Roman" w:eastAsia="Times New Roman" w:hAnsi="Times New Roman"/>
          <w:sz w:val="11"/>
          <w:szCs w:val="11"/>
          <w:color w:val="auto"/>
        </w:rPr>
        <w:t>notes and the 2035 notes will accrue from November 4, 2024 and will be payable on March 15 and September 15 of each year, beginning March 15, 2025, and interest on the 2054 notes will accrue from November 4, 2024 and will be payable on April 15 and October 15 of each year, beginning</w:t>
      </w:r>
    </w:p>
    <w:p>
      <w:pPr>
        <w:ind w:left="960" w:right="1439"/>
        <w:spacing w:after="0" w:line="249" w:lineRule="auto"/>
        <w:rPr>
          <w:sz w:val="20"/>
          <w:szCs w:val="20"/>
          <w:color w:val="auto"/>
        </w:rPr>
      </w:pPr>
      <w:r>
        <w:rPr>
          <w:rFonts w:ascii="Times New Roman" w:cs="Times New Roman" w:eastAsia="Times New Roman" w:hAnsi="Times New Roman"/>
          <w:sz w:val="11"/>
          <w:szCs w:val="11"/>
          <w:color w:val="auto"/>
        </w:rPr>
        <w:t>April 15, 2025. The 2028 notes will mature on March 15, 2028, the 2030 notes will mature on March 15, 2030, the 2032 notes will mature on March 15, 2032, the 2035 notes will mature on March 15, 2035 and the 2054 notes will mature on October 15, 2054.</w:t>
      </w:r>
    </w:p>
    <w:p>
      <w:pPr>
        <w:spacing w:after="0" w:line="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1"/>
          <w:szCs w:val="11"/>
          <w:color w:val="auto"/>
        </w:rPr>
        <w:t>The notes of each series will be the senior obligations of Waste Management, Inc. and will be fully and unconditionally guaranteed by our wholly</w:t>
      </w:r>
    </w:p>
    <w:p>
      <w:pPr>
        <w:spacing w:after="0" w:line="13" w:lineRule="exact"/>
        <w:rPr>
          <w:sz w:val="24"/>
          <w:szCs w:val="24"/>
          <w:color w:val="auto"/>
        </w:rPr>
      </w:pPr>
    </w:p>
    <w:p>
      <w:pPr>
        <w:ind w:left="960" w:right="1039"/>
        <w:spacing w:after="0" w:line="238" w:lineRule="auto"/>
        <w:rPr>
          <w:sz w:val="20"/>
          <w:szCs w:val="20"/>
          <w:color w:val="auto"/>
        </w:rPr>
      </w:pPr>
      <w:r>
        <w:rPr>
          <w:rFonts w:ascii="Times New Roman" w:cs="Times New Roman" w:eastAsia="Times New Roman" w:hAnsi="Times New Roman"/>
          <w:sz w:val="11"/>
          <w:szCs w:val="11"/>
          <w:color w:val="auto"/>
        </w:rPr>
        <w:t>owned subsidiary, Waste Management Holdings, Inc. The notes will rank equally with all of our other senior indebtedness. The indenture under which we are issuing the notes does not restrict our ability to incur additional senior indebtedness.</w:t>
      </w:r>
    </w:p>
    <w:p>
      <w:pPr>
        <w:spacing w:after="0" w:line="13" w:lineRule="exact"/>
        <w:rPr>
          <w:sz w:val="24"/>
          <w:szCs w:val="24"/>
          <w:color w:val="auto"/>
        </w:rPr>
      </w:pPr>
    </w:p>
    <w:p>
      <w:pPr>
        <w:jc w:val="both"/>
        <w:ind w:left="960" w:right="1059" w:firstLine="262"/>
        <w:spacing w:after="0" w:line="259" w:lineRule="auto"/>
        <w:rPr>
          <w:sz w:val="20"/>
          <w:szCs w:val="20"/>
          <w:color w:val="auto"/>
        </w:rPr>
      </w:pPr>
      <w:r>
        <w:rPr>
          <w:rFonts w:ascii="Times New Roman" w:cs="Times New Roman" w:eastAsia="Times New Roman" w:hAnsi="Times New Roman"/>
          <w:sz w:val="11"/>
          <w:szCs w:val="11"/>
          <w:color w:val="auto"/>
        </w:rPr>
        <w:t xml:space="preserve">We may redeem each series of the notes, in whole or in part, at any time at the redemption prices described beginning on page </w:t>
      </w:r>
      <w:r>
        <w:rPr>
          <w:rFonts w:ascii="Times New Roman" w:cs="Times New Roman" w:eastAsia="Times New Roman" w:hAnsi="Times New Roman"/>
          <w:sz w:val="11"/>
          <w:szCs w:val="11"/>
          <w:u w:val="single" w:color="auto"/>
          <w:color w:val="0000EE"/>
        </w:rPr>
        <w:t>S-15</w:t>
      </w:r>
      <w:r>
        <w:rPr>
          <w:rFonts w:ascii="Times New Roman" w:cs="Times New Roman" w:eastAsia="Times New Roman" w:hAnsi="Times New Roman"/>
          <w:sz w:val="11"/>
          <w:szCs w:val="11"/>
          <w:color w:val="auto"/>
        </w:rPr>
        <w:t xml:space="preserve">. If a change of control triggering event as described beginning on page </w:t>
      </w:r>
      <w:r>
        <w:rPr>
          <w:rFonts w:ascii="Times New Roman" w:cs="Times New Roman" w:eastAsia="Times New Roman" w:hAnsi="Times New Roman"/>
          <w:sz w:val="11"/>
          <w:szCs w:val="11"/>
          <w:u w:val="single" w:color="auto"/>
          <w:color w:val="0000EE"/>
        </w:rPr>
        <w:t>S-18</w:t>
      </w:r>
      <w:r>
        <w:rPr>
          <w:rFonts w:ascii="Times New Roman" w:cs="Times New Roman" w:eastAsia="Times New Roman" w:hAnsi="Times New Roman"/>
          <w:sz w:val="11"/>
          <w:szCs w:val="11"/>
          <w:color w:val="auto"/>
        </w:rPr>
        <w:t xml:space="preserve"> occurs, we may be required to offer to purchase the notes of each series from holders.</w:t>
      </w:r>
    </w:p>
    <w:p>
      <w:pPr>
        <w:ind w:left="960" w:right="1419" w:firstLine="262"/>
        <w:spacing w:after="0" w:line="263" w:lineRule="auto"/>
        <w:rPr>
          <w:sz w:val="20"/>
          <w:szCs w:val="20"/>
          <w:color w:val="auto"/>
        </w:rPr>
      </w:pPr>
      <w:r>
        <w:rPr>
          <w:rFonts w:ascii="Times New Roman" w:cs="Times New Roman" w:eastAsia="Times New Roman" w:hAnsi="Times New Roman"/>
          <w:sz w:val="11"/>
          <w:szCs w:val="11"/>
          <w:b w:val="1"/>
          <w:bCs w:val="1"/>
          <w:color w:val="auto"/>
        </w:rPr>
        <w:t>Investing in the notes involves risks. See “</w:t>
      </w:r>
      <w:r>
        <w:rPr>
          <w:rFonts w:ascii="Times New Roman" w:cs="Times New Roman" w:eastAsia="Times New Roman" w:hAnsi="Times New Roman"/>
          <w:sz w:val="11"/>
          <w:szCs w:val="11"/>
          <w:b w:val="1"/>
          <w:bCs w:val="1"/>
          <w:i w:val="1"/>
          <w:iCs w:val="1"/>
          <w:color w:val="auto"/>
        </w:rPr>
        <w:t>Risk Factors</w:t>
      </w:r>
      <w:r>
        <w:rPr>
          <w:rFonts w:ascii="Times New Roman" w:cs="Times New Roman" w:eastAsia="Times New Roman" w:hAnsi="Times New Roman"/>
          <w:sz w:val="11"/>
          <w:szCs w:val="11"/>
          <w:b w:val="1"/>
          <w:bCs w:val="1"/>
          <w:color w:val="auto"/>
        </w:rPr>
        <w:t xml:space="preserve">” beginning on page </w:t>
      </w:r>
      <w:r>
        <w:rPr>
          <w:rFonts w:ascii="Times New Roman" w:cs="Times New Roman" w:eastAsia="Times New Roman" w:hAnsi="Times New Roman"/>
          <w:sz w:val="11"/>
          <w:szCs w:val="11"/>
          <w:b w:val="1"/>
          <w:bCs w:val="1"/>
          <w:u w:val="single" w:color="auto"/>
          <w:color w:val="0000EE"/>
        </w:rPr>
        <w:t>S-8</w:t>
      </w:r>
      <w:r>
        <w:rPr>
          <w:rFonts w:ascii="Times New Roman" w:cs="Times New Roman" w:eastAsia="Times New Roman" w:hAnsi="Times New Roman"/>
          <w:sz w:val="11"/>
          <w:szCs w:val="11"/>
          <w:b w:val="1"/>
          <w:bCs w:val="1"/>
          <w:color w:val="auto"/>
        </w:rPr>
        <w:t xml:space="preserve"> of this prospectus supplement and page </w:t>
      </w:r>
      <w:r>
        <w:rPr>
          <w:rFonts w:ascii="Times New Roman" w:cs="Times New Roman" w:eastAsia="Times New Roman" w:hAnsi="Times New Roman"/>
          <w:sz w:val="11"/>
          <w:szCs w:val="11"/>
          <w:b w:val="1"/>
          <w:bCs w:val="1"/>
          <w:u w:val="single" w:color="auto"/>
          <w:color w:val="0000EE"/>
        </w:rPr>
        <w:t>8</w:t>
      </w:r>
      <w:r>
        <w:rPr>
          <w:rFonts w:ascii="Times New Roman" w:cs="Times New Roman" w:eastAsia="Times New Roman" w:hAnsi="Times New Roman"/>
          <w:sz w:val="11"/>
          <w:szCs w:val="11"/>
          <w:b w:val="1"/>
          <w:bCs w:val="1"/>
          <w:color w:val="auto"/>
        </w:rPr>
        <w:t xml:space="preserve">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45720</wp:posOffset>
            </wp:positionV>
            <wp:extent cx="89916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9160" cy="6350"/>
                    </a:xfrm>
                    <a:prstGeom prst="rect">
                      <a:avLst/>
                    </a:prstGeom>
                    <a:noFill/>
                  </pic:spPr>
                </pic:pic>
              </a:graphicData>
            </a:graphic>
          </wp:anchor>
        </w:drawing>
      </w:r>
    </w:p>
    <w:p>
      <w:pPr>
        <w:spacing w:after="0" w:line="155" w:lineRule="exact"/>
        <w:rPr>
          <w:sz w:val="24"/>
          <w:szCs w:val="24"/>
          <w:color w:val="auto"/>
        </w:rPr>
      </w:pPr>
    </w:p>
    <w:p>
      <w:pPr>
        <w:ind w:left="960" w:right="1059" w:firstLine="262"/>
        <w:spacing w:after="0" w:line="334" w:lineRule="auto"/>
        <w:rPr>
          <w:sz w:val="20"/>
          <w:szCs w:val="20"/>
          <w:color w:val="auto"/>
        </w:rPr>
      </w:pPr>
      <w:r>
        <w:rPr>
          <w:rFonts w:ascii="Times New Roman" w:cs="Times New Roman" w:eastAsia="Times New Roman" w:hAnsi="Times New Roman"/>
          <w:sz w:val="10"/>
          <w:szCs w:val="10"/>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9" w:lineRule="exact"/>
        <w:rPr>
          <w:sz w:val="24"/>
          <w:szCs w:val="24"/>
          <w:color w:val="auto"/>
        </w:rPr>
      </w:pPr>
    </w:p>
    <w:tbl>
      <w:tblPr>
        <w:tblLayout w:type="fixed"/>
        <w:tblInd w:w="960" w:type="dxa"/>
        <w:tblCellMar>
          <w:top w:w="0" w:type="dxa"/>
          <w:left w:w="0" w:type="dxa"/>
          <w:bottom w:w="0" w:type="dxa"/>
          <w:right w:w="0" w:type="dxa"/>
        </w:tblCellMar>
      </w:tblPr>
      <w:tr>
        <w:trPr>
          <w:trHeight w:val="177"/>
        </w:trPr>
        <w:tc>
          <w:tcPr>
            <w:tcW w:w="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w:t>
            </w:r>
          </w:p>
        </w:tc>
        <w:tc>
          <w:tcPr>
            <w:tcW w:w="1100" w:type="dxa"/>
            <w:vAlign w:val="bottom"/>
            <w:gridSpan w:val="4"/>
          </w:tcPr>
          <w:p>
            <w:pPr>
              <w:ind w:left="300"/>
              <w:spacing w:after="0"/>
              <w:rPr>
                <w:sz w:val="20"/>
                <w:szCs w:val="20"/>
                <w:color w:val="auto"/>
              </w:rPr>
            </w:pPr>
            <w:r>
              <w:rPr>
                <w:rFonts w:ascii="Times New Roman" w:cs="Times New Roman" w:eastAsia="Times New Roman" w:hAnsi="Times New Roman"/>
                <w:sz w:val="10"/>
                <w:szCs w:val="10"/>
                <w:b w:val="1"/>
                <w:bCs w:val="1"/>
                <w:color w:val="auto"/>
              </w:rPr>
              <w:t>2028 Notes</w:t>
            </w:r>
          </w:p>
        </w:tc>
        <w:tc>
          <w:tcPr>
            <w:tcW w:w="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4"/>
          </w:tcPr>
          <w:p>
            <w:pPr>
              <w:ind w:left="300"/>
              <w:spacing w:after="0"/>
              <w:rPr>
                <w:sz w:val="20"/>
                <w:szCs w:val="20"/>
                <w:color w:val="auto"/>
              </w:rPr>
            </w:pPr>
            <w:r>
              <w:rPr>
                <w:rFonts w:ascii="Times New Roman" w:cs="Times New Roman" w:eastAsia="Times New Roman" w:hAnsi="Times New Roman"/>
                <w:sz w:val="10"/>
                <w:szCs w:val="10"/>
                <w:b w:val="1"/>
                <w:bCs w:val="1"/>
                <w:color w:val="auto"/>
                <w:w w:val="99"/>
              </w:rPr>
              <w:t>2030 Notes</w:t>
            </w: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96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0"/>
                <w:szCs w:val="10"/>
                <w:b w:val="1"/>
                <w:bCs w:val="1"/>
                <w:color w:val="auto"/>
              </w:rPr>
              <w:t>2032 Notes</w:t>
            </w:r>
          </w:p>
        </w:tc>
        <w:tc>
          <w:tcPr>
            <w:tcW w:w="160" w:type="dxa"/>
            <w:vAlign w:val="bottom"/>
          </w:tcPr>
          <w:p>
            <w:pPr>
              <w:spacing w:after="0"/>
              <w:rPr>
                <w:sz w:val="15"/>
                <w:szCs w:val="15"/>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20" w:type="dxa"/>
            <w:vAlign w:val="bottom"/>
            <w:gridSpan w:val="4"/>
          </w:tcPr>
          <w:p>
            <w:pPr>
              <w:ind w:left="380"/>
              <w:spacing w:after="0"/>
              <w:rPr>
                <w:sz w:val="20"/>
                <w:szCs w:val="20"/>
                <w:color w:val="auto"/>
              </w:rPr>
            </w:pPr>
            <w:r>
              <w:rPr>
                <w:rFonts w:ascii="Times New Roman" w:cs="Times New Roman" w:eastAsia="Times New Roman" w:hAnsi="Times New Roman"/>
                <w:sz w:val="10"/>
                <w:szCs w:val="10"/>
                <w:b w:val="1"/>
                <w:bCs w:val="1"/>
                <w:color w:val="auto"/>
              </w:rPr>
              <w:t>2035 Notes</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0" w:type="dxa"/>
            <w:vAlign w:val="bottom"/>
            <w:gridSpan w:val="4"/>
          </w:tcPr>
          <w:p>
            <w:pPr>
              <w:ind w:left="360"/>
              <w:spacing w:after="0"/>
              <w:rPr>
                <w:sz w:val="20"/>
                <w:szCs w:val="20"/>
                <w:color w:val="auto"/>
              </w:rPr>
            </w:pPr>
            <w:r>
              <w:rPr>
                <w:rFonts w:ascii="Times New Roman" w:cs="Times New Roman" w:eastAsia="Times New Roman" w:hAnsi="Times New Roman"/>
                <w:sz w:val="10"/>
                <w:szCs w:val="10"/>
                <w:b w:val="1"/>
                <w:bCs w:val="1"/>
                <w:color w:val="auto"/>
              </w:rPr>
              <w:t>2054 Notes</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5"/>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Per Note </w:t>
            </w:r>
            <w:r>
              <w:rPr>
                <w:rFonts w:ascii="Times New Roman" w:cs="Times New Roman" w:eastAsia="Times New Roman" w:hAnsi="Times New Roman"/>
                <w:sz w:val="18"/>
                <w:szCs w:val="18"/>
                <w:b w:val="1"/>
                <w:bCs w:val="1"/>
                <w:color w:val="auto"/>
                <w:vertAlign w:val="subscript"/>
              </w:rPr>
              <w:t>​ ​</w:t>
            </w:r>
          </w:p>
        </w:tc>
        <w:tc>
          <w:tcPr>
            <w:tcW w:w="54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700" w:type="dxa"/>
            <w:vAlign w:val="bottom"/>
            <w:gridSpan w:val="6"/>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Per Note </w:t>
            </w:r>
            <w:r>
              <w:rPr>
                <w:rFonts w:ascii="Times New Roman" w:cs="Times New Roman" w:eastAsia="Times New Roman" w:hAnsi="Times New Roman"/>
                <w:sz w:val="18"/>
                <w:szCs w:val="18"/>
                <w:b w:val="1"/>
                <w:bCs w:val="1"/>
                <w:color w:val="auto"/>
                <w:vertAlign w:val="subscript"/>
              </w:rPr>
              <w:t>​ ​</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720" w:type="dxa"/>
            <w:vAlign w:val="bottom"/>
            <w:gridSpan w:val="5"/>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Per Note </w:t>
            </w:r>
            <w:r>
              <w:rPr>
                <w:rFonts w:ascii="Times New Roman" w:cs="Times New Roman" w:eastAsia="Times New Roman" w:hAnsi="Times New Roman"/>
                <w:sz w:val="18"/>
                <w:szCs w:val="18"/>
                <w:b w:val="1"/>
                <w:bCs w:val="1"/>
                <w:color w:val="auto"/>
                <w:vertAlign w:val="subscript"/>
              </w:rPr>
              <w:t>​ ​</w:t>
            </w:r>
          </w:p>
        </w:tc>
        <w:tc>
          <w:tcPr>
            <w:tcW w:w="36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60" w:type="dxa"/>
            <w:vAlign w:val="bottom"/>
          </w:tcPr>
          <w:p>
            <w:pPr>
              <w:spacing w:after="0"/>
              <w:rPr>
                <w:sz w:val="13"/>
                <w:szCs w:val="13"/>
                <w:color w:val="auto"/>
              </w:rPr>
            </w:pPr>
          </w:p>
        </w:tc>
        <w:tc>
          <w:tcPr>
            <w:tcW w:w="740" w:type="dxa"/>
            <w:vAlign w:val="bottom"/>
            <w:gridSpan w:val="5"/>
          </w:tcPr>
          <w:p>
            <w:pPr>
              <w:ind w:left="4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Per Note </w:t>
            </w:r>
            <w:r>
              <w:rPr>
                <w:rFonts w:ascii="Times New Roman" w:cs="Times New Roman" w:eastAsia="Times New Roman" w:hAnsi="Times New Roman"/>
                <w:sz w:val="18"/>
                <w:szCs w:val="18"/>
                <w:b w:val="1"/>
                <w:bCs w:val="1"/>
                <w:color w:val="auto"/>
                <w:vertAlign w:val="subscript"/>
              </w:rPr>
              <w:t>​ ​</w:t>
            </w:r>
          </w:p>
        </w:tc>
        <w:tc>
          <w:tcPr>
            <w:tcW w:w="60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720" w:type="dxa"/>
            <w:vAlign w:val="bottom"/>
            <w:gridSpan w:val="5"/>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Per Note </w:t>
            </w:r>
            <w:r>
              <w:rPr>
                <w:rFonts w:ascii="Times New Roman" w:cs="Times New Roman" w:eastAsia="Times New Roman" w:hAnsi="Times New Roman"/>
                <w:sz w:val="18"/>
                <w:szCs w:val="18"/>
                <w:b w:val="1"/>
                <w:bCs w:val="1"/>
                <w:color w:val="auto"/>
                <w:vertAlign w:val="subscript"/>
              </w:rPr>
              <w:t>​ ​</w:t>
            </w:r>
          </w:p>
        </w:tc>
        <w:tc>
          <w:tcPr>
            <w:tcW w:w="60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11"/>
        </w:trPr>
        <w:tc>
          <w:tcPr>
            <w:tcW w:w="72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0"/>
                <w:szCs w:val="10"/>
                <w:color w:val="auto"/>
              </w:rPr>
              <w:t>Public Offering</w:t>
            </w: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Price</w:t>
            </w:r>
            <w:r>
              <w:rPr>
                <w:rFonts w:ascii="Times New Roman" w:cs="Times New Roman" w:eastAsia="Times New Roman" w:hAnsi="Times New Roman"/>
                <w:sz w:val="13"/>
                <w:szCs w:val="13"/>
                <w:color w:val="auto"/>
                <w:vertAlign w:val="superscript"/>
              </w:rPr>
              <w:t>(1)</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99.777%​​ ​​$</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997,770,000​​ ​</w:t>
            </w:r>
          </w:p>
        </w:tc>
        <w:tc>
          <w:tcPr>
            <w:tcW w:w="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99.846%​​ ​​$</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698,922,000​​ ​</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99.705%​​ ​​$</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747,787,500​​ ​</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99.494%​​ ​​$</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1,492,410,000​​ ​</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99.959%​​ ​​$</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1,249,487,500​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0" w:type="dxa"/>
            <w:vAlign w:val="bottom"/>
          </w:tcPr>
          <w:p>
            <w:pPr>
              <w:spacing w:after="0"/>
              <w:rPr>
                <w:sz w:val="20"/>
                <w:szCs w:val="20"/>
                <w:color w:val="auto"/>
              </w:rPr>
            </w:pPr>
            <w:r>
              <w:rPr>
                <w:rFonts w:ascii="Times New Roman" w:cs="Times New Roman" w:eastAsia="Times New Roman" w:hAnsi="Times New Roman"/>
                <w:sz w:val="10"/>
                <w:szCs w:val="10"/>
                <w:color w:val="auto"/>
              </w:rPr>
              <w:t>Underwriting</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7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Discount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0.250%​​ ​​$</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2,500,000​​ ​</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0.350%​​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2,450,000​​ ​</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0.400%​​ ​​$</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3,000,000​​ ​</w:t>
            </w: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0.450%​​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6,750,000​​ ​</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0.875%​​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10,937,500​</w:t>
            </w:r>
          </w:p>
        </w:tc>
        <w:tc>
          <w:tcPr>
            <w:tcW w:w="0" w:type="dxa"/>
            <w:vAlign w:val="bottom"/>
          </w:tcPr>
          <w:p>
            <w:pPr>
              <w:spacing w:after="0"/>
              <w:rPr>
                <w:sz w:val="1"/>
                <w:szCs w:val="1"/>
                <w:color w:val="auto"/>
              </w:rPr>
            </w:pPr>
          </w:p>
        </w:tc>
      </w:tr>
      <w:tr>
        <w:trPr>
          <w:trHeight w:val="124"/>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Proceeds to Us</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(excluding</w:t>
            </w: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 ​</w:t>
            </w:r>
          </w:p>
        </w:tc>
        <w:tc>
          <w:tcPr>
            <w:tcW w:w="5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99.527%​​ ​​$</w:t>
            </w:r>
          </w:p>
        </w:tc>
        <w:tc>
          <w:tcPr>
            <w:tcW w:w="66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995,270,000​​ ​</w:t>
            </w:r>
          </w:p>
        </w:tc>
        <w:tc>
          <w:tcPr>
            <w:tcW w:w="5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99.496%​​ ​​$</w:t>
            </w:r>
          </w:p>
        </w:tc>
        <w:tc>
          <w:tcPr>
            <w:tcW w:w="6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696,472,000​​ ​</w:t>
            </w:r>
          </w:p>
        </w:tc>
        <w:tc>
          <w:tcPr>
            <w:tcW w:w="6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99.305%​​ ​​$</w:t>
            </w:r>
          </w:p>
        </w:tc>
        <w:tc>
          <w:tcPr>
            <w:tcW w:w="6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744,787,500​​ ​</w:t>
            </w:r>
          </w:p>
        </w:tc>
        <w:tc>
          <w:tcPr>
            <w:tcW w:w="62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99.044%​​ ​​$</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1,485,660,000​​ ​</w:t>
            </w:r>
          </w:p>
        </w:tc>
        <w:tc>
          <w:tcPr>
            <w:tcW w:w="6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99.084%​​ ​​$</w:t>
            </w:r>
          </w:p>
        </w:tc>
        <w:tc>
          <w:tcPr>
            <w:tcW w:w="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1,238,550,000​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expenses)</w:t>
            </w:r>
          </w:p>
        </w:tc>
        <w:tc>
          <w:tcPr>
            <w:tcW w:w="14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660" w:type="dxa"/>
            <w:vAlign w:val="bottom"/>
            <w:gridSpan w:val="4"/>
            <w:vMerge w:val="continue"/>
            <w:shd w:val="clear" w:color="auto" w:fill="CCEEFF"/>
          </w:tcPr>
          <w:p>
            <w:pPr>
              <w:spacing w:after="0"/>
              <w:rPr>
                <w:sz w:val="11"/>
                <w:szCs w:val="11"/>
                <w:color w:val="auto"/>
              </w:rPr>
            </w:pPr>
          </w:p>
        </w:tc>
        <w:tc>
          <w:tcPr>
            <w:tcW w:w="580" w:type="dxa"/>
            <w:vAlign w:val="bottom"/>
            <w:gridSpan w:val="3"/>
            <w:vMerge w:val="continue"/>
            <w:shd w:val="clear" w:color="auto" w:fill="CCEEFF"/>
          </w:tcPr>
          <w:p>
            <w:pPr>
              <w:spacing w:after="0"/>
              <w:rPr>
                <w:sz w:val="11"/>
                <w:szCs w:val="11"/>
                <w:color w:val="auto"/>
              </w:rPr>
            </w:pPr>
          </w:p>
        </w:tc>
        <w:tc>
          <w:tcPr>
            <w:tcW w:w="640" w:type="dxa"/>
            <w:vAlign w:val="bottom"/>
            <w:gridSpan w:val="4"/>
            <w:vMerge w:val="continue"/>
            <w:shd w:val="clear" w:color="auto" w:fill="CCEEFF"/>
          </w:tcPr>
          <w:p>
            <w:pPr>
              <w:spacing w:after="0"/>
              <w:rPr>
                <w:sz w:val="11"/>
                <w:szCs w:val="11"/>
                <w:color w:val="auto"/>
              </w:rPr>
            </w:pPr>
          </w:p>
        </w:tc>
        <w:tc>
          <w:tcPr>
            <w:tcW w:w="600" w:type="dxa"/>
            <w:vAlign w:val="bottom"/>
            <w:gridSpan w:val="3"/>
            <w:vMerge w:val="continue"/>
            <w:shd w:val="clear" w:color="auto" w:fill="CCEEFF"/>
          </w:tcPr>
          <w:p>
            <w:pPr>
              <w:spacing w:after="0"/>
              <w:rPr>
                <w:sz w:val="11"/>
                <w:szCs w:val="11"/>
                <w:color w:val="auto"/>
              </w:rPr>
            </w:pPr>
          </w:p>
        </w:tc>
        <w:tc>
          <w:tcPr>
            <w:tcW w:w="640" w:type="dxa"/>
            <w:vAlign w:val="bottom"/>
            <w:gridSpan w:val="4"/>
            <w:vMerge w:val="continue"/>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600" w:type="dxa"/>
            <w:vAlign w:val="bottom"/>
            <w:gridSpan w:val="3"/>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4602480</wp:posOffset>
            </wp:positionH>
            <wp:positionV relativeFrom="paragraph">
              <wp:posOffset>-592455</wp:posOffset>
            </wp:positionV>
            <wp:extent cx="749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930" cy="63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-592455</wp:posOffset>
            </wp:positionV>
            <wp:extent cx="749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930" cy="635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-592455</wp:posOffset>
            </wp:positionV>
            <wp:extent cx="749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930" cy="6350"/>
                    </a:xfrm>
                    <a:prstGeom prst="rect">
                      <a:avLst/>
                    </a:prstGeom>
                    <a:noFill/>
                  </pic:spPr>
                </pic:pic>
              </a:graphicData>
            </a:graphic>
          </wp:anchor>
        </w:drawing>
        <w:drawing>
          <wp:anchor simplePos="0" relativeHeight="251657728" behindDoc="1" locked="0" layoutInCell="0" allowOverlap="1">
            <wp:simplePos x="0" y="0"/>
            <wp:positionH relativeFrom="column">
              <wp:posOffset>3422015</wp:posOffset>
            </wp:positionH>
            <wp:positionV relativeFrom="paragraph">
              <wp:posOffset>-592455</wp:posOffset>
            </wp:positionV>
            <wp:extent cx="749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930" cy="63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-592455</wp:posOffset>
            </wp:positionV>
            <wp:extent cx="749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930" cy="6350"/>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-592455</wp:posOffset>
            </wp:positionV>
            <wp:extent cx="749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930" cy="6350"/>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-592455</wp:posOffset>
            </wp:positionV>
            <wp:extent cx="7493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930" cy="635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-592455</wp:posOffset>
            </wp:positionV>
            <wp:extent cx="622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30" cy="635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-592455</wp:posOffset>
            </wp:positionV>
            <wp:extent cx="6223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30" cy="635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-592455</wp:posOffset>
            </wp:positionV>
            <wp:extent cx="53721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210" cy="6350"/>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112395</wp:posOffset>
            </wp:positionV>
            <wp:extent cx="89916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9160" cy="6350"/>
                    </a:xfrm>
                    <a:prstGeom prst="rect">
                      <a:avLst/>
                    </a:prstGeom>
                    <a:noFill/>
                  </pic:spPr>
                </pic:pic>
              </a:graphicData>
            </a:graphic>
          </wp:anchor>
        </w:drawing>
      </w:r>
    </w:p>
    <w:p>
      <w:pPr>
        <w:sectPr>
          <w:pgSz w:w="11900" w:h="16838" w:orient="portrait"/>
          <w:cols w:equalWidth="0" w:num="1">
            <w:col w:w="9019"/>
          </w:cols>
          <w:pgMar w:left="1440" w:top="188" w:right="1440" w:bottom="1440" w:gutter="0" w:footer="0" w:header="0"/>
        </w:sectPr>
      </w:pPr>
    </w:p>
    <w:p>
      <w:pPr>
        <w:spacing w:after="0" w:line="284" w:lineRule="exact"/>
        <w:rPr>
          <w:sz w:val="24"/>
          <w:szCs w:val="24"/>
          <w:color w:val="auto"/>
        </w:rPr>
      </w:pPr>
    </w:p>
    <w:p>
      <w:pPr>
        <w:ind w:left="1220" w:hanging="265"/>
        <w:spacing w:after="0"/>
        <w:tabs>
          <w:tab w:leader="none" w:pos="12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Plus accrued interest from November 4, 2024, if delivery occurs after that date.</w:t>
      </w:r>
    </w:p>
    <w:p>
      <w:pPr>
        <w:spacing w:after="0" w:line="37" w:lineRule="exact"/>
        <w:rPr>
          <w:rFonts w:ascii="Times New Roman" w:cs="Times New Roman" w:eastAsia="Times New Roman" w:hAnsi="Times New Roman"/>
          <w:sz w:val="12"/>
          <w:szCs w:val="12"/>
          <w:color w:val="auto"/>
        </w:rPr>
      </w:pPr>
    </w:p>
    <w:p>
      <w:pPr>
        <w:ind w:left="12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The notes will not be listed on any securities exchange. Currently, there is no public market for the notes.</w:t>
      </w:r>
    </w:p>
    <w:p>
      <w:pPr>
        <w:spacing w:after="0" w:line="21" w:lineRule="exact"/>
        <w:rPr>
          <w:sz w:val="24"/>
          <w:szCs w:val="24"/>
          <w:color w:val="auto"/>
        </w:rPr>
      </w:pPr>
    </w:p>
    <w:p>
      <w:pPr>
        <w:ind w:left="960" w:firstLine="262"/>
        <w:spacing w:after="0" w:line="259" w:lineRule="auto"/>
        <w:rPr>
          <w:sz w:val="20"/>
          <w:szCs w:val="20"/>
          <w:color w:val="auto"/>
        </w:rPr>
      </w:pPr>
      <w:r>
        <w:rPr>
          <w:rFonts w:ascii="Times New Roman" w:cs="Times New Roman" w:eastAsia="Times New Roman" w:hAnsi="Times New Roman"/>
          <w:sz w:val="11"/>
          <w:szCs w:val="11"/>
          <w:color w:val="auto"/>
        </w:rPr>
        <w:t>The underwriters expect to deliver the notes to investors on or about November 4, 2024 only in book-entry form through the facilities of The Depository Trust Company and its participants, including Clearstream Banking S.A. and Euroclear Bank SA/NV, as operator of the Euroclear System.</w:t>
      </w:r>
    </w:p>
    <w:tbl>
      <w:tblPr>
        <w:tblLayout w:type="fixed"/>
        <w:tblInd w:w="960" w:type="dxa"/>
        <w:tblCellMar>
          <w:top w:w="0" w:type="dxa"/>
          <w:left w:w="0" w:type="dxa"/>
          <w:bottom w:w="0" w:type="dxa"/>
          <w:right w:w="0" w:type="dxa"/>
        </w:tblCellMar>
      </w:tblPr>
      <w:tr>
        <w:trPr>
          <w:trHeight w:val="147"/>
        </w:trPr>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101"/>
              <w:spacing w:after="0"/>
              <w:rPr>
                <w:sz w:val="20"/>
                <w:szCs w:val="20"/>
                <w:color w:val="auto"/>
              </w:rPr>
            </w:pPr>
            <w:r>
              <w:rPr>
                <w:rFonts w:ascii="Times New Roman" w:cs="Times New Roman" w:eastAsia="Times New Roman" w:hAnsi="Times New Roman"/>
                <w:sz w:val="11"/>
                <w:szCs w:val="11"/>
                <w:i w:val="1"/>
                <w:iCs w:val="1"/>
                <w:color w:val="auto"/>
              </w:rPr>
              <w:t>Joint Book-Running Managers</w:t>
            </w:r>
          </w:p>
        </w:tc>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63"/>
        </w:trPr>
        <w:tc>
          <w:tcPr>
            <w:tcW w:w="120" w:type="dxa"/>
            <w:vAlign w:val="bottom"/>
          </w:tcPr>
          <w:p>
            <w:pPr>
              <w:spacing w:after="0" w:line="163" w:lineRule="exact"/>
              <w:rPr>
                <w:sz w:val="20"/>
                <w:szCs w:val="20"/>
                <w:color w:val="auto"/>
              </w:rPr>
            </w:pPr>
            <w:r>
              <w:rPr>
                <w:rFonts w:ascii="Times New Roman" w:cs="Times New Roman" w:eastAsia="Times New Roman" w:hAnsi="Times New Roman"/>
                <w:sz w:val="16"/>
                <w:szCs w:val="16"/>
                <w:b w:val="1"/>
                <w:bCs w:val="1"/>
                <w:color w:val="auto"/>
              </w:rPr>
              <w:t>​</w:t>
            </w:r>
          </w:p>
        </w:tc>
        <w:tc>
          <w:tcPr>
            <w:tcW w:w="200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4"/>
              </w:rPr>
              <w:t>J.P. Morgan</w:t>
            </w:r>
          </w:p>
        </w:tc>
        <w:tc>
          <w:tcPr>
            <w:tcW w:w="320" w:type="dxa"/>
            <w:vAlign w:val="bottom"/>
          </w:tcPr>
          <w:p>
            <w:pPr>
              <w:ind w:left="120"/>
              <w:spacing w:after="0" w:line="163" w:lineRule="exact"/>
              <w:rPr>
                <w:sz w:val="20"/>
                <w:szCs w:val="20"/>
                <w:color w:val="auto"/>
              </w:rPr>
            </w:pPr>
            <w:r>
              <w:rPr>
                <w:rFonts w:ascii="Times New Roman" w:cs="Times New Roman" w:eastAsia="Times New Roman" w:hAnsi="Times New Roman"/>
                <w:sz w:val="16"/>
                <w:szCs w:val="16"/>
                <w:b w:val="1"/>
                <w:bCs w:val="1"/>
                <w:color w:val="auto"/>
              </w:rPr>
              <w:t>​ ​</w:t>
            </w:r>
          </w:p>
        </w:tc>
        <w:tc>
          <w:tcPr>
            <w:tcW w:w="12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ind w:left="60"/>
              <w:spacing w:after="0" w:line="163" w:lineRule="exact"/>
              <w:rPr>
                <w:sz w:val="20"/>
                <w:szCs w:val="20"/>
                <w:color w:val="auto"/>
              </w:rPr>
            </w:pPr>
            <w:r>
              <w:rPr>
                <w:rFonts w:ascii="Times New Roman" w:cs="Times New Roman" w:eastAsia="Times New Roman" w:hAnsi="Times New Roman"/>
                <w:sz w:val="16"/>
                <w:szCs w:val="16"/>
                <w:b w:val="1"/>
                <w:bCs w:val="1"/>
                <w:color w:val="auto"/>
              </w:rPr>
              <w:t>​ ​</w:t>
            </w:r>
          </w:p>
        </w:tc>
        <w:tc>
          <w:tcPr>
            <w:tcW w:w="122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3"/>
              </w:rPr>
              <w:t>Barclays</w:t>
            </w:r>
          </w:p>
        </w:tc>
        <w:tc>
          <w:tcPr>
            <w:tcW w:w="480" w:type="dxa"/>
            <w:vAlign w:val="bottom"/>
          </w:tcPr>
          <w:p>
            <w:pPr>
              <w:ind w:left="20"/>
              <w:spacing w:after="0" w:line="163" w:lineRule="exact"/>
              <w:rPr>
                <w:sz w:val="20"/>
                <w:szCs w:val="20"/>
                <w:color w:val="auto"/>
              </w:rPr>
            </w:pPr>
            <w:r>
              <w:rPr>
                <w:rFonts w:ascii="Times New Roman" w:cs="Times New Roman" w:eastAsia="Times New Roman" w:hAnsi="Times New Roman"/>
                <w:sz w:val="16"/>
                <w:szCs w:val="16"/>
                <w:b w:val="1"/>
                <w:bCs w:val="1"/>
                <w:color w:val="auto"/>
              </w:rPr>
              <w:t>​ ​</w:t>
            </w:r>
          </w:p>
        </w:tc>
        <w:tc>
          <w:tcPr>
            <w:tcW w:w="2460" w:type="dxa"/>
            <w:vAlign w:val="bottom"/>
            <w:gridSpan w:val="2"/>
          </w:tcPr>
          <w:p>
            <w:pPr>
              <w:jc w:val="center"/>
              <w:ind w:right="101"/>
              <w:spacing w:after="0" w:line="163" w:lineRule="exact"/>
              <w:rPr>
                <w:sz w:val="20"/>
                <w:szCs w:val="20"/>
                <w:color w:val="auto"/>
              </w:rPr>
            </w:pPr>
            <w:r>
              <w:rPr>
                <w:rFonts w:ascii="Times New Roman" w:cs="Times New Roman" w:eastAsia="Times New Roman" w:hAnsi="Times New Roman"/>
                <w:sz w:val="16"/>
                <w:szCs w:val="16"/>
                <w:b w:val="1"/>
                <w:bCs w:val="1"/>
                <w:color w:val="auto"/>
                <w:w w:val="94"/>
              </w:rPr>
              <w:t>Deutsche Bank Securities</w:t>
            </w:r>
          </w:p>
        </w:tc>
      </w:tr>
      <w:tr>
        <w:trPr>
          <w:trHeight w:val="245"/>
        </w:trPr>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Goldman Sachs &amp; Co. LLC</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Mizuho</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w:t>
            </w:r>
          </w:p>
        </w:tc>
        <w:tc>
          <w:tcPr>
            <w:tcW w:w="420" w:type="dxa"/>
            <w:vAlign w:val="bottom"/>
          </w:tcPr>
          <w:p>
            <w:pPr>
              <w:spacing w:after="0"/>
              <w:rPr>
                <w:sz w:val="21"/>
                <w:szCs w:val="21"/>
                <w:color w:val="auto"/>
              </w:rPr>
            </w:pPr>
          </w:p>
        </w:tc>
        <w:tc>
          <w:tcPr>
            <w:tcW w:w="2040" w:type="dxa"/>
            <w:vAlign w:val="bottom"/>
          </w:tcPr>
          <w:p>
            <w:pPr>
              <w:jc w:val="center"/>
              <w:ind w:right="521"/>
              <w:spacing w:after="0"/>
              <w:rPr>
                <w:sz w:val="20"/>
                <w:szCs w:val="20"/>
                <w:color w:val="auto"/>
              </w:rPr>
            </w:pPr>
            <w:r>
              <w:rPr>
                <w:rFonts w:ascii="Times New Roman" w:cs="Times New Roman" w:eastAsia="Times New Roman" w:hAnsi="Times New Roman"/>
                <w:sz w:val="16"/>
                <w:szCs w:val="16"/>
                <w:b w:val="1"/>
                <w:bCs w:val="1"/>
                <w:color w:val="auto"/>
                <w:w w:val="94"/>
              </w:rPr>
              <w:t>Scotiabank</w:t>
            </w:r>
          </w:p>
        </w:tc>
      </w:tr>
      <w:tr>
        <w:trPr>
          <w:trHeight w:val="244"/>
        </w:trPr>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center"/>
              <w:ind w:left="226"/>
              <w:spacing w:after="0"/>
              <w:rPr>
                <w:sz w:val="20"/>
                <w:szCs w:val="20"/>
                <w:color w:val="auto"/>
              </w:rPr>
            </w:pPr>
            <w:r>
              <w:rPr>
                <w:rFonts w:ascii="Times New Roman" w:cs="Times New Roman" w:eastAsia="Times New Roman" w:hAnsi="Times New Roman"/>
                <w:sz w:val="11"/>
                <w:szCs w:val="11"/>
                <w:i w:val="1"/>
                <w:iCs w:val="1"/>
                <w:color w:val="auto"/>
              </w:rPr>
              <w:t>Co-Managers</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167"/>
        </w:trPr>
        <w:tc>
          <w:tcPr>
            <w:tcW w:w="12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w:t>
            </w:r>
          </w:p>
        </w:tc>
        <w:tc>
          <w:tcPr>
            <w:tcW w:w="20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4"/>
              </w:rPr>
              <w:t>BNP PARIBAS</w:t>
            </w:r>
          </w:p>
        </w:tc>
        <w:tc>
          <w:tcPr>
            <w:tcW w:w="32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left="226"/>
              <w:spacing w:after="0" w:line="168" w:lineRule="exact"/>
              <w:rPr>
                <w:sz w:val="20"/>
                <w:szCs w:val="20"/>
                <w:color w:val="auto"/>
              </w:rPr>
            </w:pPr>
            <w:r>
              <w:rPr>
                <w:rFonts w:ascii="Times New Roman" w:cs="Times New Roman" w:eastAsia="Times New Roman" w:hAnsi="Times New Roman"/>
                <w:sz w:val="16"/>
                <w:szCs w:val="16"/>
                <w:b w:val="1"/>
                <w:bCs w:val="1"/>
                <w:color w:val="auto"/>
                <w:w w:val="98"/>
              </w:rPr>
              <w:t>MUFG</w:t>
            </w:r>
          </w:p>
        </w:tc>
        <w:tc>
          <w:tcPr>
            <w:tcW w:w="480" w:type="dxa"/>
            <w:vAlign w:val="bottom"/>
          </w:tcPr>
          <w:p>
            <w:pPr>
              <w:spacing w:after="0"/>
              <w:rPr>
                <w:sz w:val="14"/>
                <w:szCs w:val="14"/>
                <w:color w:val="auto"/>
              </w:rPr>
            </w:pPr>
          </w:p>
        </w:tc>
        <w:tc>
          <w:tcPr>
            <w:tcW w:w="420" w:type="dxa"/>
            <w:vAlign w:val="bottom"/>
          </w:tcPr>
          <w:p>
            <w:pPr>
              <w:ind w:left="220"/>
              <w:spacing w:after="0" w:line="168" w:lineRule="exact"/>
              <w:rPr>
                <w:sz w:val="20"/>
                <w:szCs w:val="20"/>
                <w:color w:val="auto"/>
              </w:rPr>
            </w:pPr>
            <w:r>
              <w:rPr>
                <w:rFonts w:ascii="Times New Roman" w:cs="Times New Roman" w:eastAsia="Times New Roman" w:hAnsi="Times New Roman"/>
                <w:sz w:val="16"/>
                <w:szCs w:val="16"/>
                <w:b w:val="1"/>
                <w:bCs w:val="1"/>
                <w:color w:val="auto"/>
              </w:rPr>
              <w:t>​ ​</w:t>
            </w:r>
          </w:p>
        </w:tc>
        <w:tc>
          <w:tcPr>
            <w:tcW w:w="2040" w:type="dxa"/>
            <w:vAlign w:val="bottom"/>
          </w:tcPr>
          <w:p>
            <w:pPr>
              <w:jc w:val="center"/>
              <w:ind w:left="1"/>
              <w:spacing w:after="0" w:line="168" w:lineRule="exact"/>
              <w:rPr>
                <w:sz w:val="20"/>
                <w:szCs w:val="20"/>
                <w:color w:val="auto"/>
              </w:rPr>
            </w:pPr>
            <w:r>
              <w:rPr>
                <w:rFonts w:ascii="Times New Roman" w:cs="Times New Roman" w:eastAsia="Times New Roman" w:hAnsi="Times New Roman"/>
                <w:sz w:val="16"/>
                <w:szCs w:val="16"/>
                <w:b w:val="1"/>
                <w:bCs w:val="1"/>
                <w:color w:val="auto"/>
                <w:w w:val="94"/>
              </w:rPr>
              <w:t>PNC Capital Markets LLC</w:t>
            </w:r>
          </w:p>
        </w:tc>
      </w:tr>
      <w:tr>
        <w:trPr>
          <w:trHeight w:val="209"/>
        </w:trPr>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RBC Capital Markets</w:t>
            </w:r>
          </w:p>
        </w:tc>
        <w:tc>
          <w:tcPr>
            <w:tcW w:w="3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left="226"/>
              <w:spacing w:after="0"/>
              <w:rPr>
                <w:sz w:val="20"/>
                <w:szCs w:val="20"/>
                <w:color w:val="auto"/>
              </w:rPr>
            </w:pPr>
            <w:r>
              <w:rPr>
                <w:rFonts w:ascii="Times New Roman" w:cs="Times New Roman" w:eastAsia="Times New Roman" w:hAnsi="Times New Roman"/>
                <w:sz w:val="16"/>
                <w:szCs w:val="16"/>
                <w:b w:val="1"/>
                <w:bCs w:val="1"/>
                <w:color w:val="auto"/>
                <w:w w:val="95"/>
              </w:rPr>
              <w:t>SMBC Nikko</w:t>
            </w:r>
          </w:p>
        </w:tc>
        <w:tc>
          <w:tcPr>
            <w:tcW w:w="48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 ​</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Truist Securities</w:t>
            </w:r>
          </w:p>
        </w:tc>
      </w:tr>
      <w:tr>
        <w:trPr>
          <w:trHeight w:val="205"/>
        </w:trPr>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US Bancorp</w:t>
            </w:r>
          </w:p>
        </w:tc>
        <w:tc>
          <w:tcPr>
            <w:tcW w:w="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3"/>
              </w:rPr>
              <w:t>Wells Fargo Securities</w:t>
            </w:r>
          </w:p>
        </w:tc>
        <w:tc>
          <w:tcPr>
            <w:tcW w:w="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Academy Securities</w:t>
            </w: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Loop Capital Markets</w:t>
            </w:r>
          </w:p>
        </w:tc>
        <w:tc>
          <w:tcPr>
            <w:tcW w:w="3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3"/>
              </w:rPr>
              <w:t>Blaylock Van, LLC</w:t>
            </w:r>
          </w:p>
        </w:tc>
        <w:tc>
          <w:tcPr>
            <w:tcW w:w="4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 ​</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Mischler Financial Group, Inc.</w:t>
            </w:r>
          </w:p>
        </w:tc>
      </w:tr>
      <w:tr>
        <w:trPr>
          <w:trHeight w:val="248"/>
        </w:trPr>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000" w:type="dxa"/>
            <w:vAlign w:val="bottom"/>
          </w:tcPr>
          <w:p>
            <w:pPr>
              <w:jc w:val="center"/>
              <w:ind w:left="1"/>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center"/>
              <w:ind w:left="226"/>
              <w:spacing w:after="0"/>
              <w:rPr>
                <w:sz w:val="20"/>
                <w:szCs w:val="20"/>
                <w:color w:val="auto"/>
              </w:rPr>
            </w:pPr>
            <w:r>
              <w:rPr>
                <w:rFonts w:ascii="Times New Roman" w:cs="Times New Roman" w:eastAsia="Times New Roman" w:hAnsi="Times New Roman"/>
                <w:sz w:val="16"/>
                <w:szCs w:val="16"/>
                <w:b w:val="1"/>
                <w:bCs w:val="1"/>
                <w:color w:val="auto"/>
                <w:w w:val="96"/>
              </w:rPr>
              <w:t>Stern</w:t>
            </w:r>
          </w:p>
        </w:tc>
        <w:tc>
          <w:tcPr>
            <w:tcW w:w="480" w:type="dxa"/>
            <w:vAlign w:val="bottom"/>
          </w:tcPr>
          <w:p>
            <w:pPr>
              <w:spacing w:after="0"/>
              <w:rPr>
                <w:sz w:val="21"/>
                <w:szCs w:val="21"/>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 ​</w:t>
            </w:r>
          </w:p>
        </w:tc>
        <w:tc>
          <w:tcPr>
            <w:tcW w:w="2040" w:type="dxa"/>
            <w:vAlign w:val="bottom"/>
          </w:tcPr>
          <w:p>
            <w:pPr>
              <w:jc w:val="center"/>
              <w:ind w:left="21"/>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12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1"/>
          <w:szCs w:val="11"/>
          <w:color w:val="auto"/>
        </w:rPr>
        <w:t>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wp:posOffset>
            </wp:positionH>
            <wp:positionV relativeFrom="paragraph">
              <wp:posOffset>177800</wp:posOffset>
            </wp:positionV>
            <wp:extent cx="498411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w:t>
      </w:r>
    </w:p>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ectPr>
          <w:pgSz w:w="11900" w:h="16838" w:orient="portrait"/>
          <w:cols w:equalWidth="0" w:num="2">
            <w:col w:w="7960" w:space="80"/>
            <w:col w:w="979"/>
          </w:cols>
          <w:pgMar w:left="1440" w:top="188" w:right="1440" w:bottom="1440" w:gutter="0" w:footer="0" w:header="0"/>
          <w:type w:val="continuous"/>
        </w:sectPr>
      </w:pPr>
    </w:p>
    <w:bookmarkStart w:id="1" w:name="page2"/>
    <w:bookmarkEnd w:id="1"/>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20" w:right="1519" w:firstLine="262"/>
        <w:spacing w:after="0" w:line="245" w:lineRule="auto"/>
        <w:rPr>
          <w:sz w:val="20"/>
          <w:szCs w:val="20"/>
          <w:color w:val="auto"/>
        </w:rPr>
      </w:pPr>
      <w:r>
        <w:rPr>
          <w:rFonts w:ascii="Times New Roman" w:cs="Times New Roman" w:eastAsia="Times New Roman" w:hAnsi="Times New Roman"/>
          <w:sz w:val="13"/>
          <w:szCs w:val="13"/>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151765</wp:posOffset>
            </wp:positionV>
            <wp:extent cx="89916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9160" cy="635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ectPr>
          <w:pgSz w:w="11900" w:h="16838" w:orient="portrait"/>
          <w:cols w:equalWidth="0" w:num="1">
            <w:col w:w="9019"/>
          </w:cols>
          <w:pgMar w:left="1440" w:top="110" w:right="1440" w:bottom="1440" w:gutter="0" w:footer="0" w:header="0"/>
        </w:sectPr>
      </w:pPr>
    </w:p>
    <w:p>
      <w:pPr>
        <w:spacing w:after="0" w:line="15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13970</wp:posOffset>
            </wp:positionV>
            <wp:extent cx="3797300" cy="125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2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SUMMARY</w:t>
      </w:r>
    </w:p>
    <w:p>
      <w:pPr>
        <w:spacing w:after="0" w:line="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13335</wp:posOffset>
            </wp:positionV>
            <wp:extent cx="3797300" cy="118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97300" cy="118745"/>
                    </a:xfrm>
                    <a:prstGeom prst="rect">
                      <a:avLst/>
                    </a:prstGeom>
                    <a:noFill/>
                  </pic:spPr>
                </pic:pic>
              </a:graphicData>
            </a:graphic>
          </wp:anchor>
        </w:drawing>
      </w:r>
    </w:p>
    <w:p>
      <w:pPr>
        <w:spacing w:after="0" w:line="1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USE OF PROCEEDS</w:t>
      </w:r>
    </w:p>
    <w:p>
      <w:pPr>
        <w:spacing w:after="0" w:line="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13335</wp:posOffset>
            </wp:positionV>
            <wp:extent cx="3797300" cy="125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DESCRIPTION OF NOTES</w:t>
      </w:r>
    </w:p>
    <w:p>
      <w:pPr>
        <w:spacing w:after="0" w:line="47" w:lineRule="exact"/>
        <w:rPr>
          <w:sz w:val="20"/>
          <w:szCs w:val="20"/>
          <w:color w:val="auto"/>
        </w:rPr>
      </w:pPr>
    </w:p>
    <w:p>
      <w:pPr>
        <w:ind w:left="1520" w:right="260"/>
        <w:spacing w:after="0" w:line="363" w:lineRule="auto"/>
        <w:rPr>
          <w:sz w:val="20"/>
          <w:szCs w:val="20"/>
          <w:color w:val="auto"/>
        </w:rPr>
      </w:pPr>
      <w:r>
        <w:rPr>
          <w:rFonts w:ascii="Times New Roman" w:cs="Times New Roman" w:eastAsia="Times New Roman" w:hAnsi="Times New Roman"/>
          <w:sz w:val="13"/>
          <w:szCs w:val="13"/>
          <w:u w:val="single" w:color="auto"/>
          <w:color w:val="0000EE"/>
        </w:rPr>
        <w:t>CERTAIN U.S. FEDERAL TAX CONSIDERATIONS FOR NON-U.S. HOLDERS UNDERWRITING (CONFLICTS OF INTEREST)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-178435</wp:posOffset>
            </wp:positionV>
            <wp:extent cx="3797300" cy="125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97300" cy="12509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70485</wp:posOffset>
            </wp:positionV>
            <wp:extent cx="3797300" cy="125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1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EXPERTS</w:t>
      </w:r>
    </w:p>
    <w:p>
      <w:pPr>
        <w:spacing w:after="0" w:line="47" w:lineRule="exact"/>
        <w:rPr>
          <w:sz w:val="20"/>
          <w:szCs w:val="20"/>
          <w:color w:val="auto"/>
        </w:rPr>
      </w:pPr>
    </w:p>
    <w:p>
      <w:pPr>
        <w:ind w:left="1520" w:right="480"/>
        <w:spacing w:after="0" w:line="350" w:lineRule="auto"/>
        <w:rPr>
          <w:sz w:val="20"/>
          <w:szCs w:val="20"/>
          <w:color w:val="auto"/>
        </w:rPr>
      </w:pPr>
      <w:r>
        <w:rPr>
          <w:rFonts w:ascii="Times New Roman" w:cs="Times New Roman" w:eastAsia="Times New Roman" w:hAnsi="Times New Roman"/>
          <w:sz w:val="13"/>
          <w:szCs w:val="13"/>
          <w:u w:val="single" w:color="auto"/>
          <w:color w:val="0000EE"/>
        </w:rPr>
        <w:t>CAUTIONARY NOTE REGARDING FORWARD-LOOKING STATEMENTS INCORPORATION OF CERTAIN DOCUMENTS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-168275</wp:posOffset>
            </wp:positionV>
            <wp:extent cx="3797300" cy="125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18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13970</wp:posOffset>
            </wp:positionV>
            <wp:extent cx="3797300" cy="125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4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FORWARD-LOOKING STATEMENTS</w:t>
      </w:r>
    </w:p>
    <w:p>
      <w:pPr>
        <w:spacing w:after="0" w:line="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635</wp:posOffset>
            </wp:positionV>
            <wp:extent cx="3797300" cy="118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97300" cy="118745"/>
                    </a:xfrm>
                    <a:prstGeom prst="rect">
                      <a:avLst/>
                    </a:prstGeom>
                    <a:noFill/>
                  </pic:spPr>
                </pic:pic>
              </a:graphicData>
            </a:graphic>
          </wp:anchor>
        </w:drawing>
      </w:r>
    </w:p>
    <w:p>
      <w:pPr>
        <w:spacing w:after="0" w:line="17" w:lineRule="exact"/>
        <w:rPr>
          <w:sz w:val="20"/>
          <w:szCs w:val="20"/>
          <w:color w:val="auto"/>
        </w:rPr>
      </w:pPr>
    </w:p>
    <w:p>
      <w:pPr>
        <w:ind w:left="1520" w:right="1020"/>
        <w:spacing w:after="0" w:line="342" w:lineRule="auto"/>
        <w:rPr>
          <w:sz w:val="20"/>
          <w:szCs w:val="20"/>
          <w:color w:val="auto"/>
        </w:rPr>
      </w:pPr>
      <w:r>
        <w:rPr>
          <w:rFonts w:ascii="Times New Roman" w:cs="Times New Roman" w:eastAsia="Times New Roman" w:hAnsi="Times New Roman"/>
          <w:sz w:val="13"/>
          <w:szCs w:val="13"/>
          <w:u w:val="single" w:color="auto"/>
          <w:color w:val="0000EE"/>
        </w:rPr>
        <w:t>INCORPORATION OF CERTAIN DOCUMENTS BY REFERENCE WHERE YOU CAN FIND MORE INFORMATION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-55880</wp:posOffset>
            </wp:positionV>
            <wp:extent cx="3797300" cy="118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97300" cy="118745"/>
                    </a:xfrm>
                    <a:prstGeom prst="rect">
                      <a:avLst/>
                    </a:prstGeom>
                    <a:noFill/>
                  </pic:spPr>
                </pic:pic>
              </a:graphicData>
            </a:graphic>
          </wp:anchor>
        </w:drawing>
      </w:r>
    </w:p>
    <w:p>
      <w:pPr>
        <w:spacing w:after="0" w:line="11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635</wp:posOffset>
            </wp:positionV>
            <wp:extent cx="3797300" cy="125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USE OF PROCEEDS</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DESCRIPTION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635</wp:posOffset>
            </wp:positionV>
            <wp:extent cx="3797300" cy="125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DESCRIPTION OF GUARANTEES</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635</wp:posOffset>
            </wp:positionV>
            <wp:extent cx="3797300" cy="125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DESCRIPTION OF OTHER SECURITIES</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635</wp:posOffset>
            </wp:positionV>
            <wp:extent cx="3797300" cy="125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SELLING SECURITYHOLDERS</w:t>
      </w:r>
    </w:p>
    <w:p>
      <w:pPr>
        <w:spacing w:after="0" w:line="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635</wp:posOffset>
            </wp:positionV>
            <wp:extent cx="3797300" cy="125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97300" cy="125095"/>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u w:val="single" w:color="auto"/>
          <w:color w:val="0000EE"/>
        </w:rPr>
        <w:t>EXPERTS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Page </w:t>
      </w:r>
      <w:r>
        <w:rPr>
          <w:rFonts w:ascii="Times New Roman" w:cs="Times New Roman" w:eastAsia="Times New Roman" w:hAnsi="Times New Roman"/>
          <w:sz w:val="20"/>
          <w:szCs w:val="20"/>
          <w:b w:val="1"/>
          <w:bCs w:val="1"/>
          <w:color w:val="auto"/>
          <w:vertAlign w:val="subscript"/>
        </w:rPr>
        <w: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0000EE"/>
        </w:rPr>
        <w:t>S-1</w:t>
      </w:r>
      <w:r>
        <w:rPr>
          <w:rFonts w:ascii="Times New Roman" w:cs="Times New Roman" w:eastAsia="Times New Roman" w:hAnsi="Times New Roman"/>
          <w:sz w:val="13"/>
          <w:szCs w:val="13"/>
          <w:color w:val="auto"/>
        </w:rPr>
        <w:t>​</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u w:val="single" w:color="auto"/>
          <w:color w:val="0000EE"/>
        </w:rPr>
        <w:t>S-8</w:t>
      </w:r>
      <w:r>
        <w:rPr>
          <w:rFonts w:ascii="Times New Roman" w:cs="Times New Roman" w:eastAsia="Times New Roman" w:hAnsi="Times New Roman"/>
          <w:sz w:val="13"/>
          <w:szCs w:val="13"/>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0000EE"/>
        </w:rPr>
        <w:t>S-11</w:t>
      </w:r>
      <w:r>
        <w:rPr>
          <w:rFonts w:ascii="Times New Roman" w:cs="Times New Roman" w:eastAsia="Times New Roman" w:hAnsi="Times New Roman"/>
          <w:sz w:val="13"/>
          <w:szCs w:val="13"/>
          <w:color w:val="auto"/>
        </w:rPr>
        <w:t>​</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0000EE"/>
        </w:rPr>
        <w:t>S-12</w:t>
      </w:r>
      <w:r>
        <w:rPr>
          <w:rFonts w:ascii="Times New Roman" w:cs="Times New Roman" w:eastAsia="Times New Roman" w:hAnsi="Times New Roman"/>
          <w:sz w:val="13"/>
          <w:szCs w:val="13"/>
          <w:color w:val="auto"/>
        </w:rPr>
        <w: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0000EE"/>
        </w:rPr>
        <w:t>S-14</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0000EE"/>
        </w:rPr>
        <w:t>S-25</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0000EE"/>
        </w:rPr>
        <w:t>S-30</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0000EE"/>
        </w:rPr>
        <w:t>S-37</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0000EE"/>
        </w:rPr>
        <w:t>S-37</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0000EE"/>
        </w:rPr>
        <w:t>S-38</w:t>
      </w:r>
      <w:r>
        <w:rPr>
          <w:rFonts w:ascii="Times New Roman" w:cs="Times New Roman" w:eastAsia="Times New Roman" w:hAnsi="Times New Roman"/>
          <w:sz w:val="13"/>
          <w:szCs w:val="13"/>
          <w:color w:val="auto"/>
        </w:rPr>
        <w:t>​</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0000EE"/>
        </w:rPr>
        <w:t>S-39</w:t>
      </w:r>
      <w:r>
        <w:rPr>
          <w:rFonts w:ascii="Times New Roman" w:cs="Times New Roman" w:eastAsia="Times New Roman" w:hAnsi="Times New Roman"/>
          <w:sz w:val="13"/>
          <w:szCs w:val="13"/>
          <w:color w:val="auto"/>
        </w:rPr>
        <w:t>​</w:t>
      </w: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10"/>
          <w:szCs w:val="10"/>
          <w:b w:val="1"/>
          <w:bCs w:val="1"/>
          <w:color w:val="auto"/>
        </w:rPr>
        <w:t xml:space="preserve"> Page </w:t>
      </w:r>
      <w:r>
        <w:rPr>
          <w:rFonts w:ascii="Times New Roman" w:cs="Times New Roman" w:eastAsia="Times New Roman" w:hAnsi="Times New Roman"/>
          <w:sz w:val="20"/>
          <w:szCs w:val="20"/>
          <w:b w:val="1"/>
          <w:bCs w:val="1"/>
          <w:color w:val="auto"/>
          <w:vertAlign w:val="subscript"/>
        </w:rPr>
        <w:t>​</w:t>
      </w:r>
    </w:p>
    <w:p>
      <w:pPr>
        <w:spacing w:after="0" w:line="9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3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3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3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3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3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EE"/>
        </w:rPr>
        <w:t>9</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10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18</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19</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23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25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u w:val="single" w:color="auto"/>
          <w:color w:val="0000EE"/>
        </w:rPr>
        <w:t>26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p>
      <w:pPr>
        <w:spacing w:after="0" w:line="200" w:lineRule="exact"/>
        <w:rPr>
          <w:sz w:val="20"/>
          <w:szCs w:val="20"/>
          <w:color w:val="auto"/>
        </w:rPr>
      </w:pPr>
    </w:p>
    <w:p>
      <w:pPr>
        <w:sectPr>
          <w:pgSz w:w="11900" w:h="16838" w:orient="portrait"/>
          <w:cols w:equalWidth="0" w:num="2">
            <w:col w:w="6340" w:space="720"/>
            <w:col w:w="1959"/>
          </w:cols>
          <w:pgMar w:left="1440" w:top="110" w:right="1440" w:bottom="1440" w:gutter="0" w:footer="0" w:header="0"/>
          <w:type w:val="continuous"/>
        </w:sectPr>
      </w:pPr>
    </w:p>
    <w:p>
      <w:pPr>
        <w:spacing w:after="0" w:line="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2" w:name="page3"/>
    <w:bookmarkEnd w:id="2"/>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238125</wp:posOffset>
            </wp:positionV>
            <wp:extent cx="4022090" cy="5801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22090" cy="580199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SUMMARY</w:t>
      </w:r>
    </w:p>
    <w:p>
      <w:pPr>
        <w:spacing w:after="0" w:line="106" w:lineRule="exact"/>
        <w:rPr>
          <w:sz w:val="20"/>
          <w:szCs w:val="20"/>
          <w:color w:val="auto"/>
        </w:rPr>
      </w:pPr>
    </w:p>
    <w:p>
      <w:pPr>
        <w:ind w:left="1520" w:right="1559" w:firstLine="262"/>
        <w:spacing w:after="0" w:line="238" w:lineRule="auto"/>
        <w:rPr>
          <w:sz w:val="20"/>
          <w:szCs w:val="20"/>
          <w:color w:val="auto"/>
        </w:rPr>
      </w:pPr>
      <w:r>
        <w:rPr>
          <w:rFonts w:ascii="Times New Roman" w:cs="Times New Roman" w:eastAsia="Times New Roman" w:hAnsi="Times New Roman"/>
          <w:sz w:val="13"/>
          <w:szCs w:val="13"/>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74" w:lineRule="exact"/>
        <w:rPr>
          <w:sz w:val="20"/>
          <w:szCs w:val="20"/>
          <w:color w:val="auto"/>
        </w:rPr>
      </w:pPr>
    </w:p>
    <w:p>
      <w:pPr>
        <w:ind w:left="1520" w:right="1539" w:firstLine="262"/>
        <w:spacing w:after="0" w:line="255" w:lineRule="auto"/>
        <w:rPr>
          <w:sz w:val="20"/>
          <w:szCs w:val="20"/>
          <w:color w:val="auto"/>
        </w:rPr>
      </w:pPr>
      <w:r>
        <w:rPr>
          <w:rFonts w:ascii="Times New Roman" w:cs="Times New Roman" w:eastAsia="Times New Roman" w:hAnsi="Times New Roman"/>
          <w:sz w:val="13"/>
          <w:szCs w:val="13"/>
          <w:i w:val="1"/>
          <w:iCs w:val="1"/>
          <w:color w:val="auto"/>
        </w:rPr>
        <w:t>As used in this prospectus supplement, the terms “we,” “us” or “our” refer to Waste Management, Inc. and its consolidated subsidiaries and consolidated variable interest entities, taken as a whole, unless the context clearly indicates otherwise.</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108" w:lineRule="exact"/>
        <w:rPr>
          <w:sz w:val="20"/>
          <w:szCs w:val="20"/>
          <w:color w:val="auto"/>
        </w:rPr>
      </w:pPr>
    </w:p>
    <w:p>
      <w:pPr>
        <w:ind w:left="1520" w:right="1579" w:firstLine="262"/>
        <w:spacing w:after="0" w:line="234" w:lineRule="auto"/>
        <w:rPr>
          <w:sz w:val="20"/>
          <w:szCs w:val="20"/>
          <w:color w:val="auto"/>
        </w:rPr>
      </w:pPr>
      <w:r>
        <w:rPr>
          <w:rFonts w:ascii="Times New Roman" w:cs="Times New Roman" w:eastAsia="Times New Roman" w:hAnsi="Times New Roman"/>
          <w:sz w:val="13"/>
          <w:szCs w:val="13"/>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business is operated and managed locally by our subsidiaries that focus on distinct geographic areas and provide collection, transfer, disposal, recycling and resource recovery services. Through our subsidiaries, including our Waste Management Renewable Energy business, we are also a leading developer, operator and owner of landfill gas-to-energy facilities in the U.S. and Canada that produce renewable electricity and renewable natural gas, which is a significant source of fuel that we allocate to our natural gas fleet. Additionally, we are a leading recycler in the U.S. and Canada, handling materials that include paper, cardboard, glass, plastic and metal.</w:t>
      </w:r>
    </w:p>
    <w:p>
      <w:pPr>
        <w:spacing w:after="0" w:line="82" w:lineRule="exact"/>
        <w:rPr>
          <w:sz w:val="20"/>
          <w:szCs w:val="20"/>
          <w:color w:val="auto"/>
        </w:rPr>
      </w:pPr>
    </w:p>
    <w:p>
      <w:pPr>
        <w:ind w:left="1520" w:right="1539" w:firstLine="262"/>
        <w:spacing w:after="0" w:line="237" w:lineRule="auto"/>
        <w:rPr>
          <w:sz w:val="20"/>
          <w:szCs w:val="20"/>
          <w:color w:val="auto"/>
        </w:rPr>
      </w:pPr>
      <w:r>
        <w:rPr>
          <w:rFonts w:ascii="Times New Roman" w:cs="Times New Roman" w:eastAsia="Times New Roman" w:hAnsi="Times New Roman"/>
          <w:sz w:val="13"/>
          <w:szCs w:val="13"/>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3"/>
          <w:szCs w:val="13"/>
          <w:i w:val="1"/>
          <w:iCs w:val="1"/>
          <w:color w:val="auto"/>
        </w:rPr>
        <w:t>www.wm.com</w:t>
      </w:r>
      <w:r>
        <w:rPr>
          <w:rFonts w:ascii="Times New Roman" w:cs="Times New Roman" w:eastAsia="Times New Roman" w:hAnsi="Times New Roman"/>
          <w:sz w:val="13"/>
          <w:szCs w:val="13"/>
          <w:color w:val="auto"/>
        </w:rPr>
        <w:t>. Our annual reports on Form 10-K, quarterly reports on Form 10-Q and current reports on Form 8 -K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w:t>
      </w:r>
    </w:p>
    <w:p>
      <w:pPr>
        <w:spacing w:after="0" w:line="14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Waste Management Holdings, Inc.</w:t>
      </w:r>
    </w:p>
    <w:p>
      <w:pPr>
        <w:spacing w:after="0" w:line="10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Waste Management Holdings, Inc., which we refer to in this prospectus supplement as “WM</w:t>
      </w:r>
    </w:p>
    <w:p>
      <w:pPr>
        <w:spacing w:after="0" w:line="21" w:lineRule="exact"/>
        <w:rPr>
          <w:sz w:val="20"/>
          <w:szCs w:val="20"/>
          <w:color w:val="auto"/>
        </w:rPr>
      </w:pPr>
    </w:p>
    <w:p>
      <w:pPr>
        <w:ind w:left="1520" w:right="1879"/>
        <w:spacing w:after="0" w:line="249" w:lineRule="auto"/>
        <w:rPr>
          <w:sz w:val="20"/>
          <w:szCs w:val="20"/>
          <w:color w:val="auto"/>
        </w:rPr>
      </w:pPr>
      <w:r>
        <w:rPr>
          <w:rFonts w:ascii="Times New Roman" w:cs="Times New Roman" w:eastAsia="Times New Roman" w:hAnsi="Times New Roman"/>
          <w:sz w:val="13"/>
          <w:szCs w:val="13"/>
          <w:color w:val="auto"/>
        </w:rPr>
        <w:t>Holdings,” is a direct wholly owned subsidiary of Waste Management, Inc. WM Holdings is a holding company and all operations are conducted by subsidiaries.</w:t>
      </w:r>
    </w:p>
    <w:p>
      <w:pPr>
        <w:spacing w:after="0" w:line="1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Pending Acquisition of Stericycle</w:t>
      </w:r>
    </w:p>
    <w:p>
      <w:pPr>
        <w:spacing w:after="0" w:line="118" w:lineRule="exact"/>
        <w:rPr>
          <w:sz w:val="20"/>
          <w:szCs w:val="20"/>
          <w:color w:val="auto"/>
        </w:rPr>
      </w:pPr>
    </w:p>
    <w:p>
      <w:pPr>
        <w:ind w:left="1520" w:right="1519" w:firstLine="262"/>
        <w:spacing w:after="0" w:line="249" w:lineRule="auto"/>
        <w:rPr>
          <w:sz w:val="20"/>
          <w:szCs w:val="20"/>
          <w:color w:val="auto"/>
        </w:rPr>
      </w:pPr>
      <w:r>
        <w:rPr>
          <w:rFonts w:ascii="Times New Roman" w:cs="Times New Roman" w:eastAsia="Times New Roman" w:hAnsi="Times New Roman"/>
          <w:sz w:val="13"/>
          <w:szCs w:val="13"/>
          <w:color w:val="auto"/>
        </w:rPr>
        <w:t>On June 3, 2024, Waste Management, Inc., Stag Merger Sub Inc., our indirect wholly-owned subsidiary (“Merger Sub”), and Stericycle, Inc., a Delaware corporation (“Stericycle”) entered into an Agreement and Plan of Merger (the “Merger Agreement”) pursuant to which, upon the terms and subject to the conditions set forth in the Merger Agreement, Merger Sub will merge with and into Stericycle, and Stericycle will continue as the surviving company and our indirect, wholly-owned subsidiary (the “Merger”).</w:t>
      </w:r>
    </w:p>
    <w:p>
      <w:pPr>
        <w:spacing w:after="0" w:line="8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We expect closing of the Merger to occur in the fourth quarter of 2024.</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Exchange Offer and Consent Solicitation</w:t>
      </w:r>
    </w:p>
    <w:p>
      <w:pPr>
        <w:spacing w:after="0" w:line="118" w:lineRule="exact"/>
        <w:rPr>
          <w:sz w:val="20"/>
          <w:szCs w:val="20"/>
          <w:color w:val="auto"/>
        </w:rPr>
      </w:pPr>
    </w:p>
    <w:p>
      <w:pPr>
        <w:ind w:left="1520" w:right="1619" w:firstLine="262"/>
        <w:spacing w:after="0" w:line="271" w:lineRule="auto"/>
        <w:rPr>
          <w:sz w:val="20"/>
          <w:szCs w:val="20"/>
          <w:color w:val="auto"/>
        </w:rPr>
      </w:pPr>
      <w:r>
        <w:rPr>
          <w:rFonts w:ascii="Times New Roman" w:cs="Times New Roman" w:eastAsia="Times New Roman" w:hAnsi="Times New Roman"/>
          <w:sz w:val="13"/>
          <w:szCs w:val="13"/>
          <w:color w:val="auto"/>
        </w:rPr>
        <w:t>On September 10, 2024, we announced that, in connection with the pending Merger, we commenced a private exchange offer (the “Exchange Offer”) and related consent solicitation on behalf of Stericycle (the</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187960</wp:posOffset>
            </wp:positionV>
            <wp:extent cx="498411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 w:name="page4"/>
    <w:bookmarkEnd w:id="3"/>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238125</wp:posOffset>
            </wp:positionV>
            <wp:extent cx="4022090" cy="5801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22090" cy="58019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520" w:right="1599"/>
        <w:spacing w:after="0" w:line="264" w:lineRule="auto"/>
        <w:rPr>
          <w:sz w:val="20"/>
          <w:szCs w:val="20"/>
          <w:color w:val="auto"/>
        </w:rPr>
      </w:pPr>
      <w:r>
        <w:rPr>
          <w:rFonts w:ascii="Times New Roman" w:cs="Times New Roman" w:eastAsia="Times New Roman" w:hAnsi="Times New Roman"/>
          <w:sz w:val="13"/>
          <w:szCs w:val="13"/>
          <w:color w:val="auto"/>
        </w:rPr>
        <w:t>“Consent Solicitation”) with respect to the outstanding 3.875% Senior Notes due 2029 issued by Stericycle (the “SRCL Notes”). The Exchange Offer and the Consent Solicitation are being made upon the terms and conditions set forth in an exchange offer memorandum and consent solicitation statement dated September 10, 2024 (the “Offering Memorandum”).</w:t>
      </w:r>
    </w:p>
    <w:p>
      <w:pPr>
        <w:spacing w:after="0" w:line="80" w:lineRule="exact"/>
        <w:rPr>
          <w:sz w:val="20"/>
          <w:szCs w:val="20"/>
          <w:color w:val="auto"/>
        </w:rPr>
      </w:pPr>
    </w:p>
    <w:p>
      <w:pPr>
        <w:ind w:left="1520" w:right="1579" w:firstLine="262"/>
        <w:spacing w:after="0" w:line="256" w:lineRule="auto"/>
        <w:rPr>
          <w:sz w:val="20"/>
          <w:szCs w:val="20"/>
          <w:color w:val="auto"/>
        </w:rPr>
      </w:pPr>
      <w:r>
        <w:rPr>
          <w:rFonts w:ascii="Times New Roman" w:cs="Times New Roman" w:eastAsia="Times New Roman" w:hAnsi="Times New Roman"/>
          <w:sz w:val="13"/>
          <w:szCs w:val="13"/>
          <w:color w:val="auto"/>
        </w:rPr>
        <w:t>Pursuant to the Exchange Offer, we are offering to issue new notes (the “WM Notes”) in exchange for any and all of the $500 million aggregate principal amount of the SRCL Notes held by holders eligible to participate in the Exchange Offer (“Eligible Holders”). The WM Notes will have the same interest rate, interest payment dates and maturity date as the exchanged SRCL Notes but will differ in certain respects from the SRCL Notes, including the redemption provisions, as described in the Offering Memorandum. In addition, pursuant to the Consent Solicitation, we solicited on behalf of Stericycle and, as of September 23, 2024, we received consents from the Eligible Holders to amend the SRCL Notes and the related indenture under which they were issued to eliminate substantially all of the restrictive covenants, restrictive provisions and events of default, other than payment-related, guarantee-related and bankruptcy-related events of default (the “Proposed Amendments”).</w:t>
      </w:r>
    </w:p>
    <w:p>
      <w:pPr>
        <w:spacing w:after="0" w:line="247" w:lineRule="exact"/>
        <w:rPr>
          <w:sz w:val="20"/>
          <w:szCs w:val="20"/>
          <w:color w:val="auto"/>
        </w:rPr>
      </w:pPr>
    </w:p>
    <w:p>
      <w:pPr>
        <w:ind w:left="1520" w:right="1519" w:firstLine="262"/>
        <w:spacing w:after="0" w:line="267" w:lineRule="auto"/>
        <w:rPr>
          <w:sz w:val="20"/>
          <w:szCs w:val="20"/>
          <w:color w:val="auto"/>
        </w:rPr>
      </w:pPr>
      <w:r>
        <w:rPr>
          <w:rFonts w:ascii="Times New Roman" w:cs="Times New Roman" w:eastAsia="Times New Roman" w:hAnsi="Times New Roman"/>
          <w:sz w:val="13"/>
          <w:szCs w:val="13"/>
          <w:color w:val="auto"/>
        </w:rPr>
        <w:t>The Exchange Offer and Consent Solicitation are being made solely pursuant to the conditions set forth in the Offering Memorandum in a private offering exempt from, or not subject to, registration under the Securities Act of 1933, as amended, and are conditioned upon, among other things, the consummation of the Merger.</w:t>
      </w:r>
    </w:p>
    <w:p>
      <w:pPr>
        <w:spacing w:after="0" w:line="229" w:lineRule="exact"/>
        <w:rPr>
          <w:sz w:val="20"/>
          <w:szCs w:val="20"/>
          <w:color w:val="auto"/>
        </w:rPr>
      </w:pPr>
    </w:p>
    <w:p>
      <w:pPr>
        <w:ind w:left="1520" w:right="1639" w:firstLine="262"/>
        <w:spacing w:after="0" w:line="258" w:lineRule="auto"/>
        <w:rPr>
          <w:sz w:val="20"/>
          <w:szCs w:val="20"/>
          <w:color w:val="auto"/>
        </w:rPr>
      </w:pPr>
      <w:r>
        <w:rPr>
          <w:rFonts w:ascii="Times New Roman" w:cs="Times New Roman" w:eastAsia="Times New Roman" w:hAnsi="Times New Roman"/>
          <w:sz w:val="13"/>
          <w:szCs w:val="13"/>
          <w:color w:val="auto"/>
        </w:rPr>
        <w:t>As of September 23, 2024 (the “Early Tender Date”), $474,581,000 in aggregate principal amount of SRCL Notes, representing approximately 94.92% of the aggregate principal amount of SRCL Notes outstanding, had been validly tendered and not validly withdrawn. As a result, we have received the requisite number of consents to adopt the Proposed Amendments. Eligible Holders of SRCL Notes validly tendered and not validly withdrawn by the Early Tender Date, and accepted for exchange, will receive at settlement an equal principal amount of WM Notes and cash consideration of approximately $2.63 per $1,000 principal amount of SRCL Notes.</w:t>
      </w:r>
    </w:p>
    <w:p>
      <w:pPr>
        <w:spacing w:after="0" w:line="85" w:lineRule="exact"/>
        <w:rPr>
          <w:sz w:val="20"/>
          <w:szCs w:val="20"/>
          <w:color w:val="auto"/>
        </w:rPr>
      </w:pPr>
    </w:p>
    <w:p>
      <w:pPr>
        <w:ind w:left="1520" w:right="1559" w:firstLine="262"/>
        <w:spacing w:after="0" w:line="256" w:lineRule="auto"/>
        <w:rPr>
          <w:sz w:val="20"/>
          <w:szCs w:val="20"/>
          <w:color w:val="auto"/>
        </w:rPr>
      </w:pPr>
      <w:r>
        <w:rPr>
          <w:rFonts w:ascii="Times New Roman" w:cs="Times New Roman" w:eastAsia="Times New Roman" w:hAnsi="Times New Roman"/>
          <w:sz w:val="13"/>
          <w:szCs w:val="13"/>
          <w:color w:val="auto"/>
        </w:rPr>
        <w:t>On October 8, 2024, we issued a press release extending the expiration date of the Exchange Offer and Consent Solicitation (the “Expiration Date”) from October 8, 2024 to October 31, 2024, which may be further extended by us in our sole discretion. As of October 8, 2024, $485,255,000 in aggregate principal amount of SRCL Notes, representing approximately 97.05% of the aggregate principal amount of SRCL Notes outstanding, had been validly tendered and not validly withdrawn. Eligible Holders of SRCL Notes validly tendered and not validly withdrawn after the Early Tender Deadline but on or prior to the Expiration Date, and accepted for exchange, will receive at settlement $970 principal amount of WM Notes per $1,000 principal amount of SRCL Notes and no cash consideration. We expect to settle the Exchange Offer on or about the third business day after the Expiration Date, as such date may be further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 w:name="page5"/>
    <w:bookmarkEnd w:id="4"/>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238125</wp:posOffset>
            </wp:positionV>
            <wp:extent cx="4022090" cy="58146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22090" cy="581469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The Offering</w:t>
      </w:r>
    </w:p>
    <w:p>
      <w:pPr>
        <w:spacing w:after="0" w:line="116" w:lineRule="exact"/>
        <w:rPr>
          <w:sz w:val="20"/>
          <w:szCs w:val="20"/>
          <w:color w:val="auto"/>
        </w:rPr>
      </w:pPr>
    </w:p>
    <w:p>
      <w:pPr>
        <w:ind w:left="1520" w:right="1599" w:firstLine="262"/>
        <w:spacing w:after="0" w:line="254" w:lineRule="auto"/>
        <w:rPr>
          <w:sz w:val="20"/>
          <w:szCs w:val="20"/>
          <w:color w:val="auto"/>
        </w:rPr>
      </w:pPr>
      <w:r>
        <w:rPr>
          <w:rFonts w:ascii="Times New Roman" w:cs="Times New Roman" w:eastAsia="Times New Roman" w:hAnsi="Times New Roman"/>
          <w:sz w:val="13"/>
          <w:szCs w:val="13"/>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48"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Issuer</w:t>
            </w: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Waste Management, Inc.</w:t>
            </w:r>
          </w:p>
        </w:tc>
        <w:tc>
          <w:tcPr>
            <w:tcW w:w="720" w:type="dxa"/>
            <w:vAlign w:val="bottom"/>
          </w:tcPr>
          <w:p>
            <w:pPr>
              <w:spacing w:after="0"/>
              <w:rPr>
                <w:sz w:val="14"/>
                <w:szCs w:val="14"/>
                <w:color w:val="auto"/>
              </w:rPr>
            </w:pPr>
          </w:p>
        </w:tc>
      </w:tr>
      <w:tr>
        <w:trPr>
          <w:trHeight w:val="223"/>
        </w:trPr>
        <w:tc>
          <w:tcPr>
            <w:tcW w:w="760" w:type="dxa"/>
            <w:vAlign w:val="bottom"/>
          </w:tcPr>
          <w:p>
            <w:pPr>
              <w:spacing w:after="0"/>
              <w:rPr>
                <w:sz w:val="19"/>
                <w:szCs w:val="19"/>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Securities Offered</w:t>
            </w: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$5,200,000,000 aggregate principal amount of notes, consisting of</w:t>
            </w:r>
          </w:p>
        </w:tc>
        <w:tc>
          <w:tcPr>
            <w:tcW w:w="720" w:type="dxa"/>
            <w:vAlign w:val="bottom"/>
          </w:tcPr>
          <w:p>
            <w:pPr>
              <w:spacing w:after="0"/>
              <w:rPr>
                <w:sz w:val="19"/>
                <w:szCs w:val="19"/>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the following series:</w:t>
            </w:r>
          </w:p>
        </w:tc>
        <w:tc>
          <w:tcPr>
            <w:tcW w:w="720" w:type="dxa"/>
            <w:vAlign w:val="bottom"/>
          </w:tcPr>
          <w:p>
            <w:pPr>
              <w:spacing w:after="0"/>
              <w:rPr>
                <w:sz w:val="14"/>
                <w:szCs w:val="14"/>
                <w:color w:val="auto"/>
              </w:rPr>
            </w:pPr>
          </w:p>
        </w:tc>
      </w:tr>
      <w:tr>
        <w:trPr>
          <w:trHeight w:val="242"/>
        </w:trPr>
        <w:tc>
          <w:tcPr>
            <w:tcW w:w="7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            $1,000,000,000 aggregate principal amount of 4.500%</w:t>
            </w:r>
          </w:p>
        </w:tc>
        <w:tc>
          <w:tcPr>
            <w:tcW w:w="720" w:type="dxa"/>
            <w:vAlign w:val="bottom"/>
          </w:tcPr>
          <w:p>
            <w:pPr>
              <w:spacing w:after="0"/>
              <w:rPr>
                <w:sz w:val="21"/>
                <w:szCs w:val="21"/>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Senior Notes due 2028</w:t>
            </w:r>
          </w:p>
        </w:tc>
        <w:tc>
          <w:tcPr>
            <w:tcW w:w="720" w:type="dxa"/>
            <w:vAlign w:val="bottom"/>
          </w:tcPr>
          <w:p>
            <w:pPr>
              <w:spacing w:after="0"/>
              <w:rPr>
                <w:sz w:val="14"/>
                <w:szCs w:val="14"/>
                <w:color w:val="auto"/>
              </w:rPr>
            </w:pPr>
          </w:p>
        </w:tc>
      </w:tr>
      <w:tr>
        <w:trPr>
          <w:trHeight w:val="242"/>
        </w:trPr>
        <w:tc>
          <w:tcPr>
            <w:tcW w:w="7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            $700,000,000 aggregate principal amount of 4.650% Senior</w:t>
            </w:r>
          </w:p>
        </w:tc>
        <w:tc>
          <w:tcPr>
            <w:tcW w:w="720" w:type="dxa"/>
            <w:vAlign w:val="bottom"/>
          </w:tcPr>
          <w:p>
            <w:pPr>
              <w:spacing w:after="0"/>
              <w:rPr>
                <w:sz w:val="21"/>
                <w:szCs w:val="21"/>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Notes due 2030</w:t>
            </w:r>
          </w:p>
        </w:tc>
        <w:tc>
          <w:tcPr>
            <w:tcW w:w="720" w:type="dxa"/>
            <w:vAlign w:val="bottom"/>
          </w:tcPr>
          <w:p>
            <w:pPr>
              <w:spacing w:after="0"/>
              <w:rPr>
                <w:sz w:val="14"/>
                <w:szCs w:val="14"/>
                <w:color w:val="auto"/>
              </w:rPr>
            </w:pPr>
          </w:p>
        </w:tc>
      </w:tr>
      <w:tr>
        <w:trPr>
          <w:trHeight w:val="232"/>
        </w:trPr>
        <w:tc>
          <w:tcPr>
            <w:tcW w:w="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            $750,000,000 aggregate principal amount of 4.800% Senior</w:t>
            </w:r>
          </w:p>
        </w:tc>
        <w:tc>
          <w:tcPr>
            <w:tcW w:w="720" w:type="dxa"/>
            <w:vAlign w:val="bottom"/>
          </w:tcPr>
          <w:p>
            <w:pPr>
              <w:spacing w:after="0"/>
              <w:rPr>
                <w:sz w:val="20"/>
                <w:szCs w:val="20"/>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Notes due 2032</w:t>
            </w:r>
          </w:p>
        </w:tc>
        <w:tc>
          <w:tcPr>
            <w:tcW w:w="720" w:type="dxa"/>
            <w:vAlign w:val="bottom"/>
          </w:tcPr>
          <w:p>
            <w:pPr>
              <w:spacing w:after="0"/>
              <w:rPr>
                <w:sz w:val="14"/>
                <w:szCs w:val="14"/>
                <w:color w:val="auto"/>
              </w:rPr>
            </w:pPr>
          </w:p>
        </w:tc>
      </w:tr>
      <w:tr>
        <w:trPr>
          <w:trHeight w:val="242"/>
        </w:trPr>
        <w:tc>
          <w:tcPr>
            <w:tcW w:w="7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            $1,500,000,000 aggregate principal amount of 4.950%</w:t>
            </w:r>
          </w:p>
        </w:tc>
        <w:tc>
          <w:tcPr>
            <w:tcW w:w="720" w:type="dxa"/>
            <w:vAlign w:val="bottom"/>
          </w:tcPr>
          <w:p>
            <w:pPr>
              <w:spacing w:after="0"/>
              <w:rPr>
                <w:sz w:val="21"/>
                <w:szCs w:val="21"/>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Senior Notes due 2035</w:t>
            </w:r>
          </w:p>
        </w:tc>
        <w:tc>
          <w:tcPr>
            <w:tcW w:w="720" w:type="dxa"/>
            <w:vAlign w:val="bottom"/>
          </w:tcPr>
          <w:p>
            <w:pPr>
              <w:spacing w:after="0"/>
              <w:rPr>
                <w:sz w:val="14"/>
                <w:szCs w:val="14"/>
                <w:color w:val="auto"/>
              </w:rPr>
            </w:pPr>
          </w:p>
        </w:tc>
      </w:tr>
      <w:tr>
        <w:trPr>
          <w:trHeight w:val="252"/>
        </w:trPr>
        <w:tc>
          <w:tcPr>
            <w:tcW w:w="7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            $1,250,000,000 aggregate principal amount of 5.350%</w:t>
            </w:r>
          </w:p>
        </w:tc>
        <w:tc>
          <w:tcPr>
            <w:tcW w:w="720" w:type="dxa"/>
            <w:vAlign w:val="bottom"/>
          </w:tcPr>
          <w:p>
            <w:pPr>
              <w:spacing w:after="0"/>
              <w:rPr>
                <w:sz w:val="21"/>
                <w:szCs w:val="21"/>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Senior Notes due 2054</w:t>
            </w:r>
          </w:p>
        </w:tc>
        <w:tc>
          <w:tcPr>
            <w:tcW w:w="720" w:type="dxa"/>
            <w:vAlign w:val="bottom"/>
          </w:tcPr>
          <w:p>
            <w:pPr>
              <w:spacing w:after="0"/>
              <w:rPr>
                <w:sz w:val="14"/>
                <w:szCs w:val="14"/>
                <w:color w:val="auto"/>
              </w:rPr>
            </w:pPr>
          </w:p>
        </w:tc>
      </w:tr>
      <w:tr>
        <w:trPr>
          <w:trHeight w:val="223"/>
        </w:trPr>
        <w:tc>
          <w:tcPr>
            <w:tcW w:w="760" w:type="dxa"/>
            <w:vAlign w:val="bottom"/>
          </w:tcPr>
          <w:p>
            <w:pPr>
              <w:spacing w:after="0"/>
              <w:rPr>
                <w:sz w:val="19"/>
                <w:szCs w:val="19"/>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Subsidiary Guarantees</w:t>
            </w: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WM Holdings will fully and unconditionally guarantee, on a senior</w:t>
            </w:r>
          </w:p>
        </w:tc>
        <w:tc>
          <w:tcPr>
            <w:tcW w:w="720" w:type="dxa"/>
            <w:vAlign w:val="bottom"/>
          </w:tcPr>
          <w:p>
            <w:pPr>
              <w:spacing w:after="0"/>
              <w:rPr>
                <w:sz w:val="19"/>
                <w:szCs w:val="19"/>
                <w:color w:val="auto"/>
              </w:rPr>
            </w:pPr>
          </w:p>
        </w:tc>
      </w:tr>
      <w:tr>
        <w:trPr>
          <w:trHeight w:val="157"/>
        </w:trPr>
        <w:tc>
          <w:tcPr>
            <w:tcW w:w="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unsecured basis, the full and prompt payment of the principal and</w:t>
            </w:r>
          </w:p>
        </w:tc>
        <w:tc>
          <w:tcPr>
            <w:tcW w:w="720" w:type="dxa"/>
            <w:vAlign w:val="bottom"/>
          </w:tcPr>
          <w:p>
            <w:pPr>
              <w:spacing w:after="0"/>
              <w:rPr>
                <w:sz w:val="13"/>
                <w:szCs w:val="13"/>
                <w:color w:val="auto"/>
              </w:rPr>
            </w:pPr>
          </w:p>
        </w:tc>
      </w:tr>
      <w:tr>
        <w:trPr>
          <w:trHeight w:val="157"/>
        </w:trPr>
        <w:tc>
          <w:tcPr>
            <w:tcW w:w="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any premium and interest on the notes of each series, when and as</w:t>
            </w:r>
          </w:p>
        </w:tc>
        <w:tc>
          <w:tcPr>
            <w:tcW w:w="720" w:type="dxa"/>
            <w:vAlign w:val="bottom"/>
          </w:tcPr>
          <w:p>
            <w:pPr>
              <w:spacing w:after="0"/>
              <w:rPr>
                <w:sz w:val="13"/>
                <w:szCs w:val="13"/>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they become due and payable, whether at maturity or otherwise.</w:t>
            </w:r>
          </w:p>
        </w:tc>
        <w:tc>
          <w:tcPr>
            <w:tcW w:w="720" w:type="dxa"/>
            <w:vAlign w:val="bottom"/>
          </w:tcPr>
          <w:p>
            <w:pPr>
              <w:spacing w:after="0"/>
              <w:rPr>
                <w:sz w:val="14"/>
                <w:szCs w:val="14"/>
                <w:color w:val="auto"/>
              </w:rPr>
            </w:pPr>
          </w:p>
        </w:tc>
      </w:tr>
      <w:tr>
        <w:trPr>
          <w:trHeight w:val="236"/>
        </w:trPr>
        <w:tc>
          <w:tcPr>
            <w:tcW w:w="76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Maturity Date</w:t>
            </w: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2028 notes —  March 15, 2028</w:t>
            </w:r>
          </w:p>
        </w:tc>
        <w:tc>
          <w:tcPr>
            <w:tcW w:w="720" w:type="dxa"/>
            <w:vAlign w:val="bottom"/>
          </w:tcPr>
          <w:p>
            <w:pPr>
              <w:spacing w:after="0"/>
              <w:rPr>
                <w:sz w:val="20"/>
                <w:szCs w:val="20"/>
                <w:color w:val="auto"/>
              </w:rPr>
            </w:pPr>
          </w:p>
        </w:tc>
      </w:tr>
      <w:tr>
        <w:trPr>
          <w:trHeight w:val="256"/>
        </w:trPr>
        <w:tc>
          <w:tcPr>
            <w:tcW w:w="7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2030 notes —  March 15, 2030</w:t>
            </w:r>
          </w:p>
        </w:tc>
        <w:tc>
          <w:tcPr>
            <w:tcW w:w="720" w:type="dxa"/>
            <w:vAlign w:val="bottom"/>
          </w:tcPr>
          <w:p>
            <w:pPr>
              <w:spacing w:after="0"/>
              <w:rPr>
                <w:sz w:val="22"/>
                <w:szCs w:val="22"/>
                <w:color w:val="auto"/>
              </w:rPr>
            </w:pPr>
          </w:p>
        </w:tc>
      </w:tr>
      <w:tr>
        <w:trPr>
          <w:trHeight w:val="266"/>
        </w:trPr>
        <w:tc>
          <w:tcPr>
            <w:tcW w:w="7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2032 notes —  March 15, 2032</w:t>
            </w:r>
          </w:p>
        </w:tc>
        <w:tc>
          <w:tcPr>
            <w:tcW w:w="720" w:type="dxa"/>
            <w:vAlign w:val="bottom"/>
          </w:tcPr>
          <w:p>
            <w:pPr>
              <w:spacing w:after="0"/>
              <w:rPr>
                <w:sz w:val="23"/>
                <w:szCs w:val="23"/>
                <w:color w:val="auto"/>
              </w:rPr>
            </w:pPr>
          </w:p>
        </w:tc>
      </w:tr>
      <w:tr>
        <w:trPr>
          <w:trHeight w:val="266"/>
        </w:trPr>
        <w:tc>
          <w:tcPr>
            <w:tcW w:w="7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2035 notes —  March 15, 2035</w:t>
            </w:r>
          </w:p>
        </w:tc>
        <w:tc>
          <w:tcPr>
            <w:tcW w:w="720" w:type="dxa"/>
            <w:vAlign w:val="bottom"/>
          </w:tcPr>
          <w:p>
            <w:pPr>
              <w:spacing w:after="0"/>
              <w:rPr>
                <w:sz w:val="23"/>
                <w:szCs w:val="23"/>
                <w:color w:val="auto"/>
              </w:rPr>
            </w:pPr>
          </w:p>
        </w:tc>
      </w:tr>
      <w:tr>
        <w:trPr>
          <w:trHeight w:val="256"/>
        </w:trPr>
        <w:tc>
          <w:tcPr>
            <w:tcW w:w="7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2054 notes —  October 15, 2054</w:t>
            </w:r>
          </w:p>
        </w:tc>
        <w:tc>
          <w:tcPr>
            <w:tcW w:w="720" w:type="dxa"/>
            <w:vAlign w:val="bottom"/>
          </w:tcPr>
          <w:p>
            <w:pPr>
              <w:spacing w:after="0"/>
              <w:rPr>
                <w:sz w:val="22"/>
                <w:szCs w:val="22"/>
                <w:color w:val="auto"/>
              </w:rPr>
            </w:pPr>
          </w:p>
        </w:tc>
      </w:tr>
      <w:tr>
        <w:trPr>
          <w:trHeight w:val="236"/>
        </w:trPr>
        <w:tc>
          <w:tcPr>
            <w:tcW w:w="76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Rate</w:t>
            </w: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2028 notes —  4.500% per year</w:t>
            </w:r>
          </w:p>
        </w:tc>
        <w:tc>
          <w:tcPr>
            <w:tcW w:w="720" w:type="dxa"/>
            <w:vAlign w:val="bottom"/>
          </w:tcPr>
          <w:p>
            <w:pPr>
              <w:spacing w:after="0"/>
              <w:rPr>
                <w:sz w:val="20"/>
                <w:szCs w:val="20"/>
                <w:color w:val="auto"/>
              </w:rPr>
            </w:pPr>
          </w:p>
        </w:tc>
      </w:tr>
      <w:tr>
        <w:trPr>
          <w:trHeight w:val="266"/>
        </w:trPr>
        <w:tc>
          <w:tcPr>
            <w:tcW w:w="7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2030 notes —  4.650% per year</w:t>
            </w:r>
          </w:p>
        </w:tc>
        <w:tc>
          <w:tcPr>
            <w:tcW w:w="720" w:type="dxa"/>
            <w:vAlign w:val="bottom"/>
          </w:tcPr>
          <w:p>
            <w:pPr>
              <w:spacing w:after="0"/>
              <w:rPr>
                <w:sz w:val="23"/>
                <w:szCs w:val="23"/>
                <w:color w:val="auto"/>
              </w:rPr>
            </w:pPr>
          </w:p>
        </w:tc>
      </w:tr>
      <w:tr>
        <w:trPr>
          <w:trHeight w:val="266"/>
        </w:trPr>
        <w:tc>
          <w:tcPr>
            <w:tcW w:w="7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2032 notes —  4.800% per year</w:t>
            </w:r>
          </w:p>
        </w:tc>
        <w:tc>
          <w:tcPr>
            <w:tcW w:w="720" w:type="dxa"/>
            <w:vAlign w:val="bottom"/>
          </w:tcPr>
          <w:p>
            <w:pPr>
              <w:spacing w:after="0"/>
              <w:rPr>
                <w:sz w:val="23"/>
                <w:szCs w:val="23"/>
                <w:color w:val="auto"/>
              </w:rPr>
            </w:pPr>
          </w:p>
        </w:tc>
      </w:tr>
      <w:tr>
        <w:trPr>
          <w:trHeight w:val="256"/>
        </w:trPr>
        <w:tc>
          <w:tcPr>
            <w:tcW w:w="7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2035 notes —  4.950% per year</w:t>
            </w:r>
          </w:p>
        </w:tc>
        <w:tc>
          <w:tcPr>
            <w:tcW w:w="720" w:type="dxa"/>
            <w:vAlign w:val="bottom"/>
          </w:tcPr>
          <w:p>
            <w:pPr>
              <w:spacing w:after="0"/>
              <w:rPr>
                <w:sz w:val="22"/>
                <w:szCs w:val="22"/>
                <w:color w:val="auto"/>
              </w:rPr>
            </w:pPr>
          </w:p>
        </w:tc>
      </w:tr>
      <w:tr>
        <w:trPr>
          <w:trHeight w:val="266"/>
        </w:trPr>
        <w:tc>
          <w:tcPr>
            <w:tcW w:w="7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2054 notes —  5.350% per year</w:t>
            </w:r>
          </w:p>
        </w:tc>
        <w:tc>
          <w:tcPr>
            <w:tcW w:w="720" w:type="dxa"/>
            <w:vAlign w:val="bottom"/>
          </w:tcPr>
          <w:p>
            <w:pPr>
              <w:spacing w:after="0"/>
              <w:rPr>
                <w:sz w:val="23"/>
                <w:szCs w:val="23"/>
                <w:color w:val="auto"/>
              </w:rPr>
            </w:pPr>
          </w:p>
        </w:tc>
      </w:tr>
      <w:tr>
        <w:trPr>
          <w:trHeight w:val="223"/>
        </w:trPr>
        <w:tc>
          <w:tcPr>
            <w:tcW w:w="760" w:type="dxa"/>
            <w:vAlign w:val="bottom"/>
          </w:tcPr>
          <w:p>
            <w:pPr>
              <w:spacing w:after="0"/>
              <w:rPr>
                <w:sz w:val="19"/>
                <w:szCs w:val="19"/>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Payment Dates</w:t>
            </w: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March 15 and September 15 of each year, beginning March 15,</w:t>
            </w:r>
          </w:p>
        </w:tc>
        <w:tc>
          <w:tcPr>
            <w:tcW w:w="720" w:type="dxa"/>
            <w:vAlign w:val="bottom"/>
          </w:tcPr>
          <w:p>
            <w:pPr>
              <w:spacing w:after="0"/>
              <w:rPr>
                <w:sz w:val="19"/>
                <w:szCs w:val="19"/>
                <w:color w:val="auto"/>
              </w:rPr>
            </w:pPr>
          </w:p>
        </w:tc>
      </w:tr>
      <w:tr>
        <w:trPr>
          <w:trHeight w:val="157"/>
        </w:trPr>
        <w:tc>
          <w:tcPr>
            <w:tcW w:w="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2025 for the 2028 notes, the 2030 notes, the 2032 notes and the</w:t>
            </w:r>
          </w:p>
        </w:tc>
        <w:tc>
          <w:tcPr>
            <w:tcW w:w="720" w:type="dxa"/>
            <w:vAlign w:val="bottom"/>
          </w:tcPr>
          <w:p>
            <w:pPr>
              <w:spacing w:after="0"/>
              <w:rPr>
                <w:sz w:val="13"/>
                <w:szCs w:val="13"/>
                <w:color w:val="auto"/>
              </w:rPr>
            </w:pPr>
          </w:p>
        </w:tc>
      </w:tr>
      <w:tr>
        <w:trPr>
          <w:trHeight w:val="157"/>
        </w:trPr>
        <w:tc>
          <w:tcPr>
            <w:tcW w:w="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2035 notes, and on April 15 and October 15 of each year, beginning</w:t>
            </w:r>
          </w:p>
        </w:tc>
        <w:tc>
          <w:tcPr>
            <w:tcW w:w="720" w:type="dxa"/>
            <w:vAlign w:val="bottom"/>
          </w:tcPr>
          <w:p>
            <w:pPr>
              <w:spacing w:after="0"/>
              <w:rPr>
                <w:sz w:val="13"/>
                <w:szCs w:val="13"/>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on April 15, 2025 for the 2054 notes.</w:t>
            </w:r>
          </w:p>
        </w:tc>
        <w:tc>
          <w:tcPr>
            <w:tcW w:w="720" w:type="dxa"/>
            <w:vAlign w:val="bottom"/>
          </w:tcPr>
          <w:p>
            <w:pPr>
              <w:spacing w:after="0"/>
              <w:rPr>
                <w:sz w:val="14"/>
                <w:szCs w:val="14"/>
                <w:color w:val="auto"/>
              </w:rPr>
            </w:pPr>
          </w:p>
        </w:tc>
      </w:tr>
      <w:tr>
        <w:trPr>
          <w:trHeight w:val="223"/>
        </w:trPr>
        <w:tc>
          <w:tcPr>
            <w:tcW w:w="760" w:type="dxa"/>
            <w:vAlign w:val="bottom"/>
          </w:tcPr>
          <w:p>
            <w:pPr>
              <w:spacing w:after="0"/>
              <w:rPr>
                <w:sz w:val="19"/>
                <w:szCs w:val="19"/>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Optional Redemption</w:t>
            </w: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We may elect to redeem and repay any or all of the notes at any time</w:t>
            </w:r>
          </w:p>
        </w:tc>
        <w:tc>
          <w:tcPr>
            <w:tcW w:w="720" w:type="dxa"/>
            <w:vAlign w:val="bottom"/>
          </w:tcPr>
          <w:p>
            <w:pPr>
              <w:spacing w:after="0"/>
              <w:rPr>
                <w:sz w:val="19"/>
                <w:szCs w:val="19"/>
                <w:color w:val="auto"/>
              </w:rPr>
            </w:pPr>
          </w:p>
        </w:tc>
      </w:tr>
      <w:tr>
        <w:trPr>
          <w:trHeight w:val="157"/>
        </w:trPr>
        <w:tc>
          <w:tcPr>
            <w:tcW w:w="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and from time to time in minimum principal amounts of $2,000 or</w:t>
            </w:r>
          </w:p>
        </w:tc>
        <w:tc>
          <w:tcPr>
            <w:tcW w:w="720" w:type="dxa"/>
            <w:vAlign w:val="bottom"/>
          </w:tcPr>
          <w:p>
            <w:pPr>
              <w:spacing w:after="0"/>
              <w:rPr>
                <w:sz w:val="13"/>
                <w:szCs w:val="13"/>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any integral multiple of $1,000 in excess thereof.</w:t>
            </w:r>
          </w:p>
        </w:tc>
        <w:tc>
          <w:tcPr>
            <w:tcW w:w="720" w:type="dxa"/>
            <w:vAlign w:val="bottom"/>
          </w:tcPr>
          <w:p>
            <w:pPr>
              <w:spacing w:after="0"/>
              <w:rPr>
                <w:sz w:val="14"/>
                <w:szCs w:val="14"/>
                <w:color w:val="auto"/>
              </w:rPr>
            </w:pPr>
          </w:p>
        </w:tc>
      </w:tr>
      <w:tr>
        <w:trPr>
          <w:trHeight w:val="252"/>
        </w:trPr>
        <w:tc>
          <w:tcPr>
            <w:tcW w:w="7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2028 notes — Prior to February 15, 2028, we may redeem the 2028</w:t>
            </w:r>
          </w:p>
        </w:tc>
        <w:tc>
          <w:tcPr>
            <w:tcW w:w="720" w:type="dxa"/>
            <w:vAlign w:val="bottom"/>
          </w:tcPr>
          <w:p>
            <w:pPr>
              <w:spacing w:after="0"/>
              <w:rPr>
                <w:sz w:val="21"/>
                <w:szCs w:val="21"/>
                <w:color w:val="auto"/>
              </w:rPr>
            </w:pPr>
          </w:p>
        </w:tc>
      </w:tr>
      <w:tr>
        <w:trPr>
          <w:trHeight w:val="157"/>
        </w:trPr>
        <w:tc>
          <w:tcPr>
            <w:tcW w:w="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notes at our option, in whole or in part, at any time and from time to</w:t>
            </w:r>
          </w:p>
        </w:tc>
        <w:tc>
          <w:tcPr>
            <w:tcW w:w="720" w:type="dxa"/>
            <w:vAlign w:val="bottom"/>
          </w:tcPr>
          <w:p>
            <w:pPr>
              <w:spacing w:after="0"/>
              <w:rPr>
                <w:sz w:val="13"/>
                <w:szCs w:val="13"/>
                <w:color w:val="auto"/>
              </w:rPr>
            </w:pPr>
          </w:p>
        </w:tc>
      </w:tr>
      <w:tr>
        <w:trPr>
          <w:trHeight w:val="171"/>
        </w:trPr>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time, at a redemption price equal to the greater of: (1) (a) the sum</w:t>
            </w:r>
          </w:p>
        </w:tc>
        <w:tc>
          <w:tcPr>
            <w:tcW w:w="720" w:type="dxa"/>
            <w:vAlign w:val="bottom"/>
          </w:tcPr>
          <w:p>
            <w:pPr>
              <w:spacing w:after="0"/>
              <w:rPr>
                <w:sz w:val="14"/>
                <w:szCs w:val="14"/>
                <w:color w:val="auto"/>
              </w:rPr>
            </w:pPr>
          </w:p>
        </w:tc>
      </w:tr>
      <w:tr>
        <w:trPr>
          <w:trHeight w:val="220"/>
        </w:trPr>
        <w:tc>
          <w:tcPr>
            <w:tcW w:w="76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r>
      <w:tr>
        <w:trPr>
          <w:trHeight w:val="212"/>
        </w:trPr>
        <w:tc>
          <w:tcPr>
            <w:tcW w:w="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2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S-3</w:t>
            </w:r>
          </w:p>
        </w:tc>
        <w:tc>
          <w:tcPr>
            <w:tcW w:w="720" w:type="dxa"/>
            <w:vAlign w:val="bottom"/>
          </w:tcPr>
          <w:p>
            <w:pPr>
              <w:spacing w:after="0"/>
              <w:rPr>
                <w:sz w:val="18"/>
                <w:szCs w:val="18"/>
                <w:color w:val="auto"/>
              </w:rPr>
            </w:pPr>
          </w:p>
        </w:tc>
      </w:tr>
      <w:tr>
        <w:trPr>
          <w:trHeight w:val="285"/>
        </w:trPr>
        <w:tc>
          <w:tcPr>
            <w:tcW w:w="7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-24765</wp:posOffset>
            </wp:positionV>
            <wp:extent cx="3175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-24765</wp:posOffset>
            </wp:positionV>
            <wp:extent cx="3175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 w:name="page6"/>
    <w:bookmarkEnd w:id="5"/>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238125</wp:posOffset>
            </wp:positionV>
            <wp:extent cx="4022090" cy="5801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22090" cy="58019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of the present values of the remaining scheduled payments of</w:t>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principal and interest thereon discounted to the redemption date</w:t>
      </w:r>
    </w:p>
    <w:p>
      <w:pPr>
        <w:ind w:left="3740"/>
        <w:spacing w:after="0" w:line="236" w:lineRule="auto"/>
        <w:rPr>
          <w:sz w:val="20"/>
          <w:szCs w:val="20"/>
          <w:color w:val="auto"/>
        </w:rPr>
      </w:pPr>
      <w:r>
        <w:rPr>
          <w:rFonts w:ascii="Times New Roman" w:cs="Times New Roman" w:eastAsia="Times New Roman" w:hAnsi="Times New Roman"/>
          <w:sz w:val="13"/>
          <w:szCs w:val="13"/>
          <w:color w:val="auto"/>
        </w:rPr>
        <w:t>(assuming the 2028 notes matured on the applicable Par Call Date</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(as defined under “Description of Notes — Optional Redemption”))</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on a semi-annual basis (assuming a 360-day year consisting of</w:t>
      </w:r>
    </w:p>
    <w:p>
      <w:pPr>
        <w:ind w:left="3740"/>
        <w:spacing w:after="0" w:line="236" w:lineRule="auto"/>
        <w:rPr>
          <w:sz w:val="20"/>
          <w:szCs w:val="20"/>
          <w:color w:val="auto"/>
        </w:rPr>
      </w:pPr>
      <w:r>
        <w:rPr>
          <w:rFonts w:ascii="Times New Roman" w:cs="Times New Roman" w:eastAsia="Times New Roman" w:hAnsi="Times New Roman"/>
          <w:sz w:val="13"/>
          <w:szCs w:val="13"/>
          <w:color w:val="auto"/>
        </w:rPr>
        <w:t>twelve 30-day months) at the Treasury Rate (as defined under</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“Description of Notes — Optional Redemption”) plus 10 basis</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points, less (b) interest accrued to the redemption date, and</w:t>
      </w:r>
    </w:p>
    <w:p>
      <w:pPr>
        <w:ind w:left="3740" w:right="1559" w:hanging="10"/>
        <w:spacing w:after="0" w:line="250" w:lineRule="auto"/>
        <w:tabs>
          <w:tab w:leader="none" w:pos="3936"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of the principal amount of the 2028 notes to be redeemed, plus, in either case, accrued and unpaid interest thereon to the redemption date.</w:t>
      </w:r>
    </w:p>
    <w:p>
      <w:pPr>
        <w:spacing w:after="0" w:line="7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On or after February 15, 2028, we may redeem the 2028 notes at our</w:t>
      </w:r>
    </w:p>
    <w:p>
      <w:pPr>
        <w:spacing w:after="0" w:line="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option, in whole or in part, at any time and from time to time, at a</w:t>
      </w:r>
    </w:p>
    <w:p>
      <w:pPr>
        <w:ind w:left="3740"/>
        <w:spacing w:after="0"/>
        <w:rPr>
          <w:sz w:val="20"/>
          <w:szCs w:val="20"/>
          <w:color w:val="auto"/>
        </w:rPr>
      </w:pPr>
      <w:r>
        <w:rPr>
          <w:rFonts w:ascii="Times New Roman" w:cs="Times New Roman" w:eastAsia="Times New Roman" w:hAnsi="Times New Roman"/>
          <w:sz w:val="13"/>
          <w:szCs w:val="13"/>
          <w:color w:val="auto"/>
        </w:rPr>
        <w:t>redemption price equal to 100% of the principal amount of the 2028</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notes to be redeemed, plus accrued and unpaid interest thereon to</w:t>
      </w:r>
    </w:p>
    <w:p>
      <w:pPr>
        <w:ind w:left="3740"/>
        <w:spacing w:after="0"/>
        <w:rPr>
          <w:sz w:val="20"/>
          <w:szCs w:val="20"/>
          <w:color w:val="auto"/>
        </w:rPr>
      </w:pPr>
      <w:r>
        <w:rPr>
          <w:rFonts w:ascii="Times New Roman" w:cs="Times New Roman" w:eastAsia="Times New Roman" w:hAnsi="Times New Roman"/>
          <w:sz w:val="13"/>
          <w:szCs w:val="13"/>
          <w:color w:val="auto"/>
        </w:rPr>
        <w:t>the redemption date.</w:t>
      </w:r>
    </w:p>
    <w:p>
      <w:pPr>
        <w:spacing w:after="0" w:line="9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2030 notes — Prior to February 15, 2030, we may redeem the 2030</w:t>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notes at our option, in whole or in part, at any time and from time to</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time, at a redemption price equal to the greater of: (1) (a) the sum of</w:t>
      </w:r>
    </w:p>
    <w:p>
      <w:pPr>
        <w:ind w:left="3740"/>
        <w:spacing w:after="0" w:line="236" w:lineRule="auto"/>
        <w:rPr>
          <w:sz w:val="20"/>
          <w:szCs w:val="20"/>
          <w:color w:val="auto"/>
        </w:rPr>
      </w:pPr>
      <w:r>
        <w:rPr>
          <w:rFonts w:ascii="Times New Roman" w:cs="Times New Roman" w:eastAsia="Times New Roman" w:hAnsi="Times New Roman"/>
          <w:sz w:val="13"/>
          <w:szCs w:val="13"/>
          <w:color w:val="auto"/>
        </w:rPr>
        <w:t>the present values of the remaining scheduled payments of principal</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and interest thereon discounted to the redemption date (assuming</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the 2030 notes matured on the applicable Par Call Date) on a semi-</w:t>
      </w:r>
    </w:p>
    <w:p>
      <w:pPr>
        <w:ind w:left="3740"/>
        <w:spacing w:after="0" w:line="236" w:lineRule="auto"/>
        <w:rPr>
          <w:sz w:val="20"/>
          <w:szCs w:val="20"/>
          <w:color w:val="auto"/>
        </w:rPr>
      </w:pPr>
      <w:r>
        <w:rPr>
          <w:rFonts w:ascii="Times New Roman" w:cs="Times New Roman" w:eastAsia="Times New Roman" w:hAnsi="Times New Roman"/>
          <w:sz w:val="13"/>
          <w:szCs w:val="13"/>
          <w:color w:val="auto"/>
        </w:rPr>
        <w:t>annual basis (assuming a 360-day year consisting of twelve 30-</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day months) at the Treasury Rate plus 10 basis points, less</w:t>
      </w:r>
    </w:p>
    <w:p>
      <w:pPr>
        <w:spacing w:after="0" w:line="7" w:lineRule="exact"/>
        <w:rPr>
          <w:sz w:val="20"/>
          <w:szCs w:val="20"/>
          <w:color w:val="auto"/>
        </w:rPr>
      </w:pPr>
    </w:p>
    <w:p>
      <w:pPr>
        <w:ind w:left="3740" w:right="1679" w:hanging="10"/>
        <w:spacing w:after="0" w:line="243" w:lineRule="auto"/>
        <w:tabs>
          <w:tab w:leader="none" w:pos="393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accrued to the redemption date, and (2) 100% of the principal amount of the 2030 notes to be redeemed, plus, in either case, accrued and unpaid interest thereon to the redemption date.</w:t>
      </w:r>
    </w:p>
    <w:p>
      <w:pPr>
        <w:spacing w:after="0" w:line="8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On or after February 15, 2030, we may redeem the 2030 notes at our</w:t>
      </w:r>
    </w:p>
    <w:p>
      <w:pPr>
        <w:spacing w:after="0" w:line="2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option, in whole or in part, at any time and from time to time, at a</w:t>
      </w:r>
    </w:p>
    <w:p>
      <w:pPr>
        <w:ind w:left="3740"/>
        <w:spacing w:after="0" w:line="236" w:lineRule="auto"/>
        <w:rPr>
          <w:sz w:val="20"/>
          <w:szCs w:val="20"/>
          <w:color w:val="auto"/>
        </w:rPr>
      </w:pPr>
      <w:r>
        <w:rPr>
          <w:rFonts w:ascii="Times New Roman" w:cs="Times New Roman" w:eastAsia="Times New Roman" w:hAnsi="Times New Roman"/>
          <w:sz w:val="13"/>
          <w:szCs w:val="13"/>
          <w:color w:val="auto"/>
        </w:rPr>
        <w:t>redemption price equal to 100% of the principal amount of the 2030</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notes to be redeemed, plus accrued and unpaid interest thereon to</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the redemption date.</w:t>
      </w:r>
    </w:p>
    <w:p>
      <w:pPr>
        <w:spacing w:after="0" w:line="9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2032 notes — Prior to January 15, 2032, we may redeem the 2032</w:t>
      </w:r>
    </w:p>
    <w:p>
      <w:pPr>
        <w:spacing w:after="0" w:line="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notes at our option, in whole or in part, at any time and from time to</w:t>
      </w:r>
    </w:p>
    <w:p>
      <w:pPr>
        <w:ind w:left="3740"/>
        <w:spacing w:after="0"/>
        <w:rPr>
          <w:sz w:val="20"/>
          <w:szCs w:val="20"/>
          <w:color w:val="auto"/>
        </w:rPr>
      </w:pPr>
      <w:r>
        <w:rPr>
          <w:rFonts w:ascii="Times New Roman" w:cs="Times New Roman" w:eastAsia="Times New Roman" w:hAnsi="Times New Roman"/>
          <w:sz w:val="13"/>
          <w:szCs w:val="13"/>
          <w:color w:val="auto"/>
        </w:rPr>
        <w:t>time, at a redemption price equal to the greater of: (1) (a) the sum of</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the present values of the remaining scheduled payments of principal</w:t>
      </w:r>
    </w:p>
    <w:p>
      <w:pPr>
        <w:ind w:left="3740"/>
        <w:spacing w:after="0" w:line="236" w:lineRule="auto"/>
        <w:rPr>
          <w:sz w:val="20"/>
          <w:szCs w:val="20"/>
          <w:color w:val="auto"/>
        </w:rPr>
      </w:pPr>
      <w:r>
        <w:rPr>
          <w:rFonts w:ascii="Times New Roman" w:cs="Times New Roman" w:eastAsia="Times New Roman" w:hAnsi="Times New Roman"/>
          <w:sz w:val="13"/>
          <w:szCs w:val="13"/>
          <w:color w:val="auto"/>
        </w:rPr>
        <w:t>and interest thereon discounted to the redemption date (assuming</w:t>
      </w:r>
    </w:p>
    <w:p>
      <w:pPr>
        <w:spacing w:after="0" w:line="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the 2032 notes matured on the applicable Par Call Date) on a semi-</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annual basis (assuming a 360-day year consisting of twelve 30-</w:t>
      </w:r>
    </w:p>
    <w:p>
      <w:pPr>
        <w:ind w:left="3740"/>
        <w:spacing w:after="0" w:line="236" w:lineRule="auto"/>
        <w:rPr>
          <w:sz w:val="20"/>
          <w:szCs w:val="20"/>
          <w:color w:val="auto"/>
        </w:rPr>
      </w:pPr>
      <w:r>
        <w:rPr>
          <w:rFonts w:ascii="Times New Roman" w:cs="Times New Roman" w:eastAsia="Times New Roman" w:hAnsi="Times New Roman"/>
          <w:sz w:val="13"/>
          <w:szCs w:val="13"/>
          <w:color w:val="auto"/>
        </w:rPr>
        <w:t>day months) at the Treasury Rate plus 10 basis points, less</w:t>
      </w:r>
    </w:p>
    <w:p>
      <w:pPr>
        <w:spacing w:after="0" w:line="1" w:lineRule="exact"/>
        <w:rPr>
          <w:sz w:val="20"/>
          <w:szCs w:val="20"/>
          <w:color w:val="auto"/>
        </w:rPr>
      </w:pPr>
    </w:p>
    <w:p>
      <w:pPr>
        <w:ind w:left="3740" w:right="1679" w:hanging="10"/>
        <w:spacing w:after="0" w:line="250" w:lineRule="auto"/>
        <w:tabs>
          <w:tab w:leader="none" w:pos="3936"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accrued to the redemption date, and (2) 100% of the principal amount of the 2032 notes to be redeemed, plus, in either case, accrued and unpaid interest thereon to the redemption date.</w:t>
      </w:r>
    </w:p>
    <w:p>
      <w:pPr>
        <w:spacing w:after="0" w:line="7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On or after January 15, 2032, we may redeem the 2032 notes at our</w:t>
      </w:r>
    </w:p>
    <w:p>
      <w:pPr>
        <w:spacing w:after="0" w:line="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option, in whole or in part, at any time and from time to time, at a</w:t>
      </w:r>
    </w:p>
    <w:p>
      <w:pPr>
        <w:ind w:left="3740"/>
        <w:spacing w:after="0"/>
        <w:rPr>
          <w:sz w:val="20"/>
          <w:szCs w:val="20"/>
          <w:color w:val="auto"/>
        </w:rPr>
      </w:pPr>
      <w:r>
        <w:rPr>
          <w:rFonts w:ascii="Times New Roman" w:cs="Times New Roman" w:eastAsia="Times New Roman" w:hAnsi="Times New Roman"/>
          <w:sz w:val="13"/>
          <w:szCs w:val="13"/>
          <w:color w:val="auto"/>
        </w:rPr>
        <w:t>redemption price equal to 100% of the principal amount of the 2032</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notes to be redeemed, plus accrued and unpaid interest thereon to</w:t>
      </w:r>
    </w:p>
    <w:p>
      <w:pPr>
        <w:ind w:left="3740"/>
        <w:spacing w:after="0"/>
        <w:rPr>
          <w:sz w:val="20"/>
          <w:szCs w:val="20"/>
          <w:color w:val="auto"/>
        </w:rPr>
      </w:pPr>
      <w:r>
        <w:rPr>
          <w:rFonts w:ascii="Times New Roman" w:cs="Times New Roman" w:eastAsia="Times New Roman" w:hAnsi="Times New Roman"/>
          <w:sz w:val="13"/>
          <w:szCs w:val="13"/>
          <w:color w:val="auto"/>
        </w:rPr>
        <w:t>the redemption date.</w:t>
      </w:r>
    </w:p>
    <w:p>
      <w:pPr>
        <w:spacing w:after="0" w:line="9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2035 notes — Prior to December 15, 2034, we may redeem the 2035</w:t>
      </w:r>
    </w:p>
    <w:p>
      <w:pPr>
        <w:spacing w:after="0" w:line="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notes at our option, in whole or in part, at any time and from time to</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time, at a redemption price equal to the greater of: (1) (a) the sum of</w:t>
      </w:r>
    </w:p>
    <w:p>
      <w:pPr>
        <w:ind w:left="3740"/>
        <w:spacing w:after="0"/>
        <w:rPr>
          <w:sz w:val="20"/>
          <w:szCs w:val="20"/>
          <w:color w:val="auto"/>
        </w:rPr>
      </w:pPr>
      <w:r>
        <w:rPr>
          <w:rFonts w:ascii="Times New Roman" w:cs="Times New Roman" w:eastAsia="Times New Roman" w:hAnsi="Times New Roman"/>
          <w:sz w:val="13"/>
          <w:szCs w:val="13"/>
          <w:color w:val="auto"/>
        </w:rPr>
        <w:t>the present values of the remaining scheduled payments of</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187960</wp:posOffset>
            </wp:positionV>
            <wp:extent cx="498411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 w:name="page7"/>
    <w:bookmarkEnd w:id="6"/>
    <w:p>
      <w:pPr>
        <w:ind w:left="600"/>
        <w:spacing w:after="0"/>
        <w:rPr>
          <w:sz w:val="20"/>
          <w:szCs w:val="20"/>
          <w:color w:val="auto"/>
        </w:rPr>
      </w:pPr>
      <w:r>
        <w:rPr>
          <w:rFonts w:ascii="Calibri" w:cs="Calibri" w:eastAsia="Calibri" w:hAnsi="Calibri"/>
          <w:sz w:val="10"/>
          <w:szCs w:val="10"/>
          <w:color w:val="003366"/>
        </w:rPr>
        <w:t>TABLE OF CONTENTS</w:t>
      </w:r>
    </w:p>
    <w:p>
      <w:pPr>
        <w:spacing w:after="0" w:line="355" w:lineRule="exact"/>
        <w:rPr>
          <w:sz w:val="20"/>
          <w:szCs w:val="20"/>
          <w:color w:val="auto"/>
        </w:rPr>
      </w:pPr>
    </w:p>
    <w:tbl>
      <w:tblPr>
        <w:tblLayout w:type="fixed"/>
        <w:tblInd w:w="600" w:type="dxa"/>
        <w:tblCellMar>
          <w:top w:w="0" w:type="dxa"/>
          <w:left w:w="0" w:type="dxa"/>
          <w:bottom w:w="0" w:type="dxa"/>
          <w:right w:w="0" w:type="dxa"/>
        </w:tblCellMar>
      </w:tblPr>
      <w:tr>
        <w:trPr>
          <w:trHeight w:val="386"/>
        </w:trPr>
        <w:tc>
          <w:tcPr>
            <w:tcW w:w="780" w:type="dxa"/>
            <w:vAlign w:val="bottom"/>
            <w:tcBorders>
              <w:right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380" w:type="dxa"/>
            <w:vAlign w:val="bottom"/>
            <w:tcBorders>
              <w:top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principal and interest thereon discounted to the redemption date</w:t>
            </w:r>
          </w:p>
        </w:tc>
        <w:tc>
          <w:tcPr>
            <w:tcW w:w="720" w:type="dxa"/>
            <w:vAlign w:val="bottom"/>
          </w:tcPr>
          <w:p>
            <w:pPr>
              <w:spacing w:after="0"/>
              <w:rPr>
                <w:sz w:val="24"/>
                <w:szCs w:val="24"/>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(assuming the 2035 notes matured on the applicable Par Call Date)</w:t>
            </w:r>
          </w:p>
        </w:tc>
        <w:tc>
          <w:tcPr>
            <w:tcW w:w="72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on a semi-annual basis (assuming a 360-day year consisting of</w:t>
            </w:r>
          </w:p>
        </w:tc>
        <w:tc>
          <w:tcPr>
            <w:tcW w:w="720" w:type="dxa"/>
            <w:vAlign w:val="bottom"/>
          </w:tcPr>
          <w:p>
            <w:pPr>
              <w:spacing w:after="0"/>
              <w:rPr>
                <w:sz w:val="12"/>
                <w:szCs w:val="12"/>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twelve 30-day months) at the Treasury Rate plus 15 basis points,</w:t>
            </w:r>
          </w:p>
        </w:tc>
        <w:tc>
          <w:tcPr>
            <w:tcW w:w="720" w:type="dxa"/>
            <w:vAlign w:val="bottom"/>
          </w:tcPr>
          <w:p>
            <w:pPr>
              <w:spacing w:after="0"/>
              <w:rPr>
                <w:sz w:val="13"/>
                <w:szCs w:val="13"/>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less (b) interest accrued to the redemption date, and (2) 100% of the</w:t>
            </w:r>
          </w:p>
        </w:tc>
        <w:tc>
          <w:tcPr>
            <w:tcW w:w="72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principal amount of the 2035 notes to be redeemed, plus, in either</w:t>
            </w:r>
          </w:p>
        </w:tc>
        <w:tc>
          <w:tcPr>
            <w:tcW w:w="720" w:type="dxa"/>
            <w:vAlign w:val="bottom"/>
          </w:tcPr>
          <w:p>
            <w:pPr>
              <w:spacing w:after="0"/>
              <w:rPr>
                <w:sz w:val="12"/>
                <w:szCs w:val="12"/>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case, accrued and unpaid interest thereon to the redemption date.</w:t>
            </w:r>
          </w:p>
        </w:tc>
        <w:tc>
          <w:tcPr>
            <w:tcW w:w="720" w:type="dxa"/>
            <w:vAlign w:val="bottom"/>
          </w:tcPr>
          <w:p>
            <w:pPr>
              <w:spacing w:after="0"/>
              <w:rPr>
                <w:sz w:val="14"/>
                <w:szCs w:val="14"/>
                <w:color w:val="auto"/>
              </w:rPr>
            </w:pPr>
          </w:p>
        </w:tc>
      </w:tr>
      <w:tr>
        <w:trPr>
          <w:trHeight w:val="242"/>
        </w:trPr>
        <w:tc>
          <w:tcPr>
            <w:tcW w:w="7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On or after December 15, 2034, we may redeem the 2035 notes at</w:t>
            </w:r>
          </w:p>
        </w:tc>
        <w:tc>
          <w:tcPr>
            <w:tcW w:w="720" w:type="dxa"/>
            <w:vAlign w:val="bottom"/>
          </w:tcPr>
          <w:p>
            <w:pPr>
              <w:spacing w:after="0"/>
              <w:rPr>
                <w:sz w:val="21"/>
                <w:szCs w:val="21"/>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our option, in whole or in part, at any time and from time to time, at</w:t>
            </w:r>
          </w:p>
        </w:tc>
        <w:tc>
          <w:tcPr>
            <w:tcW w:w="72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a redemption price equal to 100% of the principal amount of the</w:t>
            </w:r>
          </w:p>
        </w:tc>
        <w:tc>
          <w:tcPr>
            <w:tcW w:w="720" w:type="dxa"/>
            <w:vAlign w:val="bottom"/>
          </w:tcPr>
          <w:p>
            <w:pPr>
              <w:spacing w:after="0"/>
              <w:rPr>
                <w:sz w:val="12"/>
                <w:szCs w:val="12"/>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2035 notes to be redeemed, plus accrued and unpaid interest thereon</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to the redemption date.</w:t>
            </w:r>
          </w:p>
        </w:tc>
        <w:tc>
          <w:tcPr>
            <w:tcW w:w="720" w:type="dxa"/>
            <w:vAlign w:val="bottom"/>
          </w:tcPr>
          <w:p>
            <w:pPr>
              <w:spacing w:after="0"/>
              <w:rPr>
                <w:sz w:val="14"/>
                <w:szCs w:val="14"/>
                <w:color w:val="auto"/>
              </w:rPr>
            </w:pPr>
          </w:p>
        </w:tc>
      </w:tr>
      <w:tr>
        <w:trPr>
          <w:trHeight w:val="232"/>
        </w:trPr>
        <w:tc>
          <w:tcPr>
            <w:tcW w:w="78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2054 notes — Prior to April 15, 2054, we may redeem the 2054</w:t>
            </w:r>
          </w:p>
        </w:tc>
        <w:tc>
          <w:tcPr>
            <w:tcW w:w="720" w:type="dxa"/>
            <w:vAlign w:val="bottom"/>
          </w:tcPr>
          <w:p>
            <w:pPr>
              <w:spacing w:after="0"/>
              <w:rPr>
                <w:sz w:val="20"/>
                <w:szCs w:val="20"/>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notes at our option, in whole or in part, at any time and from time to</w:t>
            </w:r>
          </w:p>
        </w:tc>
        <w:tc>
          <w:tcPr>
            <w:tcW w:w="720" w:type="dxa"/>
            <w:vAlign w:val="bottom"/>
          </w:tcPr>
          <w:p>
            <w:pPr>
              <w:spacing w:after="0"/>
              <w:rPr>
                <w:sz w:val="12"/>
                <w:szCs w:val="12"/>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time, at a redemption price equal to the greater of: (1) (a) the sum of</w:t>
            </w:r>
          </w:p>
        </w:tc>
        <w:tc>
          <w:tcPr>
            <w:tcW w:w="720" w:type="dxa"/>
            <w:vAlign w:val="bottom"/>
          </w:tcPr>
          <w:p>
            <w:pPr>
              <w:spacing w:after="0"/>
              <w:rPr>
                <w:sz w:val="13"/>
                <w:szCs w:val="13"/>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the present values of the remaining scheduled payments of principal</w:t>
            </w:r>
          </w:p>
        </w:tc>
        <w:tc>
          <w:tcPr>
            <w:tcW w:w="72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and interest thereon discounted to the redemption date (assuming</w:t>
            </w:r>
          </w:p>
        </w:tc>
        <w:tc>
          <w:tcPr>
            <w:tcW w:w="720" w:type="dxa"/>
            <w:vAlign w:val="bottom"/>
          </w:tcPr>
          <w:p>
            <w:pPr>
              <w:spacing w:after="0"/>
              <w:rPr>
                <w:sz w:val="12"/>
                <w:szCs w:val="12"/>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the 2054 notes matured on the applicable Par Call Date) on a semi-</w:t>
            </w:r>
          </w:p>
        </w:tc>
        <w:tc>
          <w:tcPr>
            <w:tcW w:w="720" w:type="dxa"/>
            <w:vAlign w:val="bottom"/>
          </w:tcPr>
          <w:p>
            <w:pPr>
              <w:spacing w:after="0"/>
              <w:rPr>
                <w:sz w:val="13"/>
                <w:szCs w:val="13"/>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annual basis (assuming a 360-day year consisting of twelve 30-</w:t>
            </w:r>
          </w:p>
        </w:tc>
        <w:tc>
          <w:tcPr>
            <w:tcW w:w="72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day months) at the Treasury Rate plus 15 basis points, less</w:t>
            </w:r>
          </w:p>
        </w:tc>
        <w:tc>
          <w:tcPr>
            <w:tcW w:w="720" w:type="dxa"/>
            <w:vAlign w:val="bottom"/>
          </w:tcPr>
          <w:p>
            <w:pPr>
              <w:spacing w:after="0"/>
              <w:rPr>
                <w:sz w:val="12"/>
                <w:szCs w:val="12"/>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(b) interest accrued to the redemption date, and (2) 100% of the</w:t>
            </w:r>
          </w:p>
        </w:tc>
        <w:tc>
          <w:tcPr>
            <w:tcW w:w="720" w:type="dxa"/>
            <w:vAlign w:val="bottom"/>
          </w:tcPr>
          <w:p>
            <w:pPr>
              <w:spacing w:after="0"/>
              <w:rPr>
                <w:sz w:val="13"/>
                <w:szCs w:val="13"/>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principal amount of the 2054 notes to be redeemed, plus, in either</w:t>
            </w:r>
          </w:p>
        </w:tc>
        <w:tc>
          <w:tcPr>
            <w:tcW w:w="720" w:type="dxa"/>
            <w:vAlign w:val="bottom"/>
          </w:tcPr>
          <w:p>
            <w:pPr>
              <w:spacing w:after="0"/>
              <w:rPr>
                <w:sz w:val="12"/>
                <w:szCs w:val="12"/>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case, accrued and unpaid interest thereon to the redemption date.</w:t>
            </w:r>
          </w:p>
        </w:tc>
        <w:tc>
          <w:tcPr>
            <w:tcW w:w="720" w:type="dxa"/>
            <w:vAlign w:val="bottom"/>
          </w:tcPr>
          <w:p>
            <w:pPr>
              <w:spacing w:after="0"/>
              <w:rPr>
                <w:sz w:val="14"/>
                <w:szCs w:val="14"/>
                <w:color w:val="auto"/>
              </w:rPr>
            </w:pPr>
          </w:p>
        </w:tc>
      </w:tr>
      <w:tr>
        <w:trPr>
          <w:trHeight w:val="232"/>
        </w:trPr>
        <w:tc>
          <w:tcPr>
            <w:tcW w:w="78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On or after April 15, 2054, we may redeem the 2054 notes at our</w:t>
            </w:r>
          </w:p>
        </w:tc>
        <w:tc>
          <w:tcPr>
            <w:tcW w:w="720" w:type="dxa"/>
            <w:vAlign w:val="bottom"/>
          </w:tcPr>
          <w:p>
            <w:pPr>
              <w:spacing w:after="0"/>
              <w:rPr>
                <w:sz w:val="20"/>
                <w:szCs w:val="20"/>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option, in whole or in part, at any time and from time to time, at a</w:t>
            </w:r>
          </w:p>
        </w:tc>
        <w:tc>
          <w:tcPr>
            <w:tcW w:w="720" w:type="dxa"/>
            <w:vAlign w:val="bottom"/>
          </w:tcPr>
          <w:p>
            <w:pPr>
              <w:spacing w:after="0"/>
              <w:rPr>
                <w:sz w:val="13"/>
                <w:szCs w:val="13"/>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redemption price equal to 100% of the principal amount of the 2054</w:t>
            </w:r>
          </w:p>
        </w:tc>
        <w:tc>
          <w:tcPr>
            <w:tcW w:w="720" w:type="dxa"/>
            <w:vAlign w:val="bottom"/>
          </w:tcPr>
          <w:p>
            <w:pPr>
              <w:spacing w:after="0"/>
              <w:rPr>
                <w:sz w:val="12"/>
                <w:szCs w:val="12"/>
                <w:color w:val="auto"/>
              </w:rPr>
            </w:pPr>
          </w:p>
        </w:tc>
      </w:tr>
      <w:tr>
        <w:trPr>
          <w:trHeight w:val="148"/>
        </w:trPr>
        <w:tc>
          <w:tcPr>
            <w:tcW w:w="78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4380" w:type="dxa"/>
            <w:vAlign w:val="bottom"/>
            <w:tcBorders>
              <w:right w:val="single" w:sz="8" w:color="auto"/>
            </w:tcBorders>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notes to be redeemed, plus accrued and unpaid interest thereon to</w:t>
            </w:r>
          </w:p>
        </w:tc>
        <w:tc>
          <w:tcPr>
            <w:tcW w:w="720" w:type="dxa"/>
            <w:vAlign w:val="bottom"/>
          </w:tcPr>
          <w:p>
            <w:pPr>
              <w:spacing w:after="0"/>
              <w:rPr>
                <w:sz w:val="12"/>
                <w:szCs w:val="12"/>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the redemption date.</w:t>
            </w:r>
          </w:p>
        </w:tc>
        <w:tc>
          <w:tcPr>
            <w:tcW w:w="720" w:type="dxa"/>
            <w:vAlign w:val="bottom"/>
          </w:tcPr>
          <w:p>
            <w:pPr>
              <w:spacing w:after="0"/>
              <w:rPr>
                <w:sz w:val="14"/>
                <w:szCs w:val="14"/>
                <w:color w:val="auto"/>
              </w:rPr>
            </w:pPr>
          </w:p>
        </w:tc>
      </w:tr>
      <w:tr>
        <w:trPr>
          <w:trHeight w:val="242"/>
        </w:trPr>
        <w:tc>
          <w:tcPr>
            <w:tcW w:w="7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See “Description of Notes — Optional Redemption” in this</w:t>
            </w:r>
          </w:p>
        </w:tc>
        <w:tc>
          <w:tcPr>
            <w:tcW w:w="720" w:type="dxa"/>
            <w:vAlign w:val="bottom"/>
          </w:tcPr>
          <w:p>
            <w:pPr>
              <w:spacing w:after="0"/>
              <w:rPr>
                <w:sz w:val="21"/>
                <w:szCs w:val="21"/>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prospectus supplement.</w:t>
            </w:r>
          </w:p>
        </w:tc>
        <w:tc>
          <w:tcPr>
            <w:tcW w:w="720" w:type="dxa"/>
            <w:vAlign w:val="bottom"/>
          </w:tcPr>
          <w:p>
            <w:pPr>
              <w:spacing w:after="0"/>
              <w:rPr>
                <w:sz w:val="14"/>
                <w:szCs w:val="14"/>
                <w:color w:val="auto"/>
              </w:rPr>
            </w:pPr>
          </w:p>
        </w:tc>
      </w:tr>
      <w:tr>
        <w:trPr>
          <w:trHeight w:val="213"/>
        </w:trPr>
        <w:tc>
          <w:tcPr>
            <w:tcW w:w="780" w:type="dxa"/>
            <w:vAlign w:val="bottom"/>
            <w:tcBorders>
              <w:right w:val="single" w:sz="8" w:color="auto"/>
            </w:tcBorders>
          </w:tcPr>
          <w:p>
            <w:pPr>
              <w:spacing w:after="0"/>
              <w:rPr>
                <w:sz w:val="18"/>
                <w:szCs w:val="18"/>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of Control Offer</w:t>
            </w: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If a change of control triggering event occurs, holders of the notes</w:t>
            </w:r>
          </w:p>
        </w:tc>
        <w:tc>
          <w:tcPr>
            <w:tcW w:w="720" w:type="dxa"/>
            <w:vAlign w:val="bottom"/>
          </w:tcPr>
          <w:p>
            <w:pPr>
              <w:spacing w:after="0"/>
              <w:rPr>
                <w:sz w:val="18"/>
                <w:szCs w:val="18"/>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of each series may require us to purchase all or a portion of such</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holders’ notes at a price equal to 101% of the principal amount, plus</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accrued interest, if any, to the date of purchase. See “Description of</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Notes — Change of Control Offer” in this prospectus supplement.</w:t>
            </w:r>
          </w:p>
        </w:tc>
        <w:tc>
          <w:tcPr>
            <w:tcW w:w="720" w:type="dxa"/>
            <w:vAlign w:val="bottom"/>
          </w:tcPr>
          <w:p>
            <w:pPr>
              <w:spacing w:after="0"/>
              <w:rPr>
                <w:sz w:val="14"/>
                <w:szCs w:val="14"/>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Ranking</w:t>
            </w: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The notes and the guarantees will constitute the senior unsecured</w:t>
            </w:r>
          </w:p>
        </w:tc>
        <w:tc>
          <w:tcPr>
            <w:tcW w:w="720" w:type="dxa"/>
            <w:vAlign w:val="bottom"/>
          </w:tcPr>
          <w:p>
            <w:pPr>
              <w:spacing w:after="0"/>
              <w:rPr>
                <w:sz w:val="19"/>
                <w:szCs w:val="19"/>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debt of Waste Management, Inc. and WM Holdings, respectively,</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and will rank equally with all of our and its other existing and future</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senior obligations from time to time outstanding.</w:t>
            </w:r>
          </w:p>
        </w:tc>
        <w:tc>
          <w:tcPr>
            <w:tcW w:w="720" w:type="dxa"/>
            <w:vAlign w:val="bottom"/>
          </w:tcPr>
          <w:p>
            <w:pPr>
              <w:spacing w:after="0"/>
              <w:rPr>
                <w:sz w:val="14"/>
                <w:szCs w:val="14"/>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Covenants</w:t>
            </w: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We will issue the notes under an indenture containing covenants for</w:t>
            </w:r>
          </w:p>
        </w:tc>
        <w:tc>
          <w:tcPr>
            <w:tcW w:w="720" w:type="dxa"/>
            <w:vAlign w:val="bottom"/>
          </w:tcPr>
          <w:p>
            <w:pPr>
              <w:spacing w:after="0"/>
              <w:rPr>
                <w:sz w:val="19"/>
                <w:szCs w:val="19"/>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your benefit. These covenants restrict our ability, with certain</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exceptions, to:</w:t>
            </w:r>
          </w:p>
        </w:tc>
        <w:tc>
          <w:tcPr>
            <w:tcW w:w="720" w:type="dxa"/>
            <w:vAlign w:val="bottom"/>
          </w:tcPr>
          <w:p>
            <w:pPr>
              <w:spacing w:after="0"/>
              <w:rPr>
                <w:sz w:val="14"/>
                <w:szCs w:val="14"/>
                <w:color w:val="auto"/>
              </w:rPr>
            </w:pPr>
          </w:p>
        </w:tc>
      </w:tr>
      <w:tr>
        <w:trPr>
          <w:trHeight w:val="256"/>
        </w:trPr>
        <w:tc>
          <w:tcPr>
            <w:tcW w:w="780" w:type="dxa"/>
            <w:vAlign w:val="bottom"/>
            <w:tcBorders>
              <w:right w:val="single" w:sz="8" w:color="auto"/>
            </w:tcBorders>
          </w:tcPr>
          <w:p>
            <w:pPr>
              <w:spacing w:after="0"/>
              <w:rPr>
                <w:sz w:val="22"/>
                <w:szCs w:val="22"/>
                <w:color w:val="auto"/>
              </w:rPr>
            </w:pPr>
          </w:p>
        </w:tc>
        <w:tc>
          <w:tcPr>
            <w:tcW w:w="1920" w:type="dxa"/>
            <w:vAlign w:val="bottom"/>
          </w:tcPr>
          <w:p>
            <w:pPr>
              <w:spacing w:after="0"/>
              <w:rPr>
                <w:sz w:val="22"/>
                <w:szCs w:val="22"/>
                <w:color w:val="auto"/>
              </w:rPr>
            </w:pPr>
          </w:p>
        </w:tc>
        <w:tc>
          <w:tcPr>
            <w:tcW w:w="5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3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create, incur or assume debt secured by liens;</w:t>
            </w:r>
          </w:p>
        </w:tc>
        <w:tc>
          <w:tcPr>
            <w:tcW w:w="720" w:type="dxa"/>
            <w:vAlign w:val="bottom"/>
          </w:tcPr>
          <w:p>
            <w:pPr>
              <w:spacing w:after="0"/>
              <w:rPr>
                <w:sz w:val="22"/>
                <w:szCs w:val="22"/>
                <w:color w:val="auto"/>
              </w:rPr>
            </w:pPr>
          </w:p>
        </w:tc>
      </w:tr>
      <w:tr>
        <w:trPr>
          <w:trHeight w:val="266"/>
        </w:trPr>
        <w:tc>
          <w:tcPr>
            <w:tcW w:w="780" w:type="dxa"/>
            <w:vAlign w:val="bottom"/>
            <w:tcBorders>
              <w:right w:val="single" w:sz="8" w:color="auto"/>
            </w:tcBorders>
          </w:tcPr>
          <w:p>
            <w:pPr>
              <w:spacing w:after="0"/>
              <w:rPr>
                <w:sz w:val="23"/>
                <w:szCs w:val="23"/>
                <w:color w:val="auto"/>
              </w:rPr>
            </w:pPr>
          </w:p>
        </w:tc>
        <w:tc>
          <w:tcPr>
            <w:tcW w:w="1920" w:type="dxa"/>
            <w:vAlign w:val="bottom"/>
          </w:tcPr>
          <w:p>
            <w:pPr>
              <w:spacing w:after="0"/>
              <w:rPr>
                <w:sz w:val="23"/>
                <w:szCs w:val="23"/>
                <w:color w:val="auto"/>
              </w:rPr>
            </w:pPr>
          </w:p>
        </w:tc>
        <w:tc>
          <w:tcPr>
            <w:tcW w:w="5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3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engage in sale and leaseback transactions; and</w:t>
            </w:r>
          </w:p>
        </w:tc>
        <w:tc>
          <w:tcPr>
            <w:tcW w:w="720" w:type="dxa"/>
            <w:vAlign w:val="bottom"/>
          </w:tcPr>
          <w:p>
            <w:pPr>
              <w:spacing w:after="0"/>
              <w:rPr>
                <w:sz w:val="23"/>
                <w:szCs w:val="23"/>
                <w:color w:val="auto"/>
              </w:rPr>
            </w:pPr>
          </w:p>
        </w:tc>
      </w:tr>
      <w:tr>
        <w:trPr>
          <w:trHeight w:val="252"/>
        </w:trPr>
        <w:tc>
          <w:tcPr>
            <w:tcW w:w="7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5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3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merge, consolidate or transfer all or substantially all of our</w:t>
            </w:r>
          </w:p>
        </w:tc>
        <w:tc>
          <w:tcPr>
            <w:tcW w:w="720" w:type="dxa"/>
            <w:vAlign w:val="bottom"/>
          </w:tcPr>
          <w:p>
            <w:pPr>
              <w:spacing w:after="0"/>
              <w:rPr>
                <w:sz w:val="21"/>
                <w:szCs w:val="21"/>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assets.</w:t>
            </w:r>
          </w:p>
        </w:tc>
        <w:tc>
          <w:tcPr>
            <w:tcW w:w="720" w:type="dxa"/>
            <w:vAlign w:val="bottom"/>
          </w:tcPr>
          <w:p>
            <w:pPr>
              <w:spacing w:after="0"/>
              <w:rPr>
                <w:sz w:val="14"/>
                <w:szCs w:val="14"/>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1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Use of Proceeds</w:t>
            </w: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We expect the net proceeds from the offering of the notes to be</w:t>
            </w:r>
          </w:p>
        </w:tc>
        <w:tc>
          <w:tcPr>
            <w:tcW w:w="720" w:type="dxa"/>
            <w:vAlign w:val="bottom"/>
          </w:tcPr>
          <w:p>
            <w:pPr>
              <w:spacing w:after="0"/>
              <w:rPr>
                <w:sz w:val="19"/>
                <w:szCs w:val="19"/>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920" w:type="dxa"/>
            <w:vAlign w:val="bottom"/>
          </w:tcPr>
          <w:p>
            <w:pPr>
              <w:spacing w:after="0"/>
              <w:rPr>
                <w:sz w:val="13"/>
                <w:szCs w:val="13"/>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$5.148 billion, after deducting the underwriting discounts and</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438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3"/>
                <w:szCs w:val="13"/>
                <w:color w:val="auto"/>
              </w:rPr>
              <w:t>estimated expenses of the offering that we will pay.</w:t>
            </w:r>
          </w:p>
        </w:tc>
        <w:tc>
          <w:tcPr>
            <w:tcW w:w="720" w:type="dxa"/>
            <w:vAlign w:val="bottom"/>
          </w:tcPr>
          <w:p>
            <w:pPr>
              <w:spacing w:after="0"/>
              <w:rPr>
                <w:sz w:val="14"/>
                <w:szCs w:val="14"/>
                <w:color w:val="auto"/>
              </w:rPr>
            </w:pPr>
          </w:p>
        </w:tc>
      </w:tr>
      <w:tr>
        <w:trPr>
          <w:trHeight w:val="309"/>
        </w:trPr>
        <w:tc>
          <w:tcPr>
            <w:tcW w:w="780" w:type="dxa"/>
            <w:vAlign w:val="bottom"/>
            <w:tcBorders>
              <w:right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12"/>
        </w:trPr>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S-5</w:t>
            </w:r>
          </w:p>
        </w:tc>
        <w:tc>
          <w:tcPr>
            <w:tcW w:w="720" w:type="dxa"/>
            <w:vAlign w:val="bottom"/>
          </w:tcPr>
          <w:p>
            <w:pPr>
              <w:spacing w:after="0"/>
              <w:rPr>
                <w:sz w:val="18"/>
                <w:szCs w:val="18"/>
                <w:color w:val="auto"/>
              </w:rPr>
            </w:pPr>
          </w:p>
        </w:tc>
      </w:tr>
      <w:tr>
        <w:trPr>
          <w:trHeight w:val="294"/>
        </w:trPr>
        <w:tc>
          <w:tcPr>
            <w:tcW w:w="7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-24765</wp:posOffset>
            </wp:positionV>
            <wp:extent cx="3175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-24765</wp:posOffset>
            </wp:positionV>
            <wp:extent cx="3175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 w:name="page8"/>
    <w:bookmarkEnd w:id="7"/>
    <w:p>
      <w:pPr>
        <w:ind w:left="600"/>
        <w:spacing w:after="0"/>
        <w:rPr>
          <w:sz w:val="20"/>
          <w:szCs w:val="20"/>
          <w:color w:val="auto"/>
        </w:rPr>
      </w:pPr>
      <w:r>
        <w:rPr>
          <w:rFonts w:ascii="Calibri" w:cs="Calibri" w:eastAsia="Calibri" w:hAnsi="Calibri"/>
          <w:sz w:val="10"/>
          <w:szCs w:val="10"/>
          <w:color w:val="003366"/>
        </w:rPr>
        <w:t>TABLE OF CONTENTS</w:t>
      </w:r>
    </w:p>
    <w:p>
      <w:pPr>
        <w:spacing w:after="0" w:line="355" w:lineRule="exact"/>
        <w:rPr>
          <w:sz w:val="20"/>
          <w:szCs w:val="20"/>
          <w:color w:val="auto"/>
        </w:rPr>
      </w:pPr>
    </w:p>
    <w:tbl>
      <w:tblPr>
        <w:tblLayout w:type="fixed"/>
        <w:tblInd w:w="600" w:type="dxa"/>
        <w:tblCellMar>
          <w:top w:w="0" w:type="dxa"/>
          <w:left w:w="0" w:type="dxa"/>
          <w:bottom w:w="0" w:type="dxa"/>
          <w:right w:w="0" w:type="dxa"/>
        </w:tblCellMar>
      </w:tblPr>
      <w:tr>
        <w:trPr>
          <w:trHeight w:val="386"/>
        </w:trPr>
        <w:tc>
          <w:tcPr>
            <w:tcW w:w="780" w:type="dxa"/>
            <w:vAlign w:val="bottom"/>
            <w:tcBorders>
              <w:right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450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We have elected to draw $5.2 billion principal amount of</w:t>
            </w:r>
          </w:p>
        </w:tc>
        <w:tc>
          <w:tcPr>
            <w:tcW w:w="720" w:type="dxa"/>
            <w:vAlign w:val="bottom"/>
          </w:tcPr>
          <w:p>
            <w:pPr>
              <w:spacing w:after="0"/>
              <w:rPr>
                <w:sz w:val="24"/>
                <w:szCs w:val="24"/>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borrowings under our delayed draw Term Credit Agreement, dated</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as of August 28, 2024 (the “Term Credit Agreement”), with the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banks party thereto (the “Term Credit Banks”) and JPMorgan Chase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Bank, N.A., as administrative agent for the Term Credit Banks. We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intend to fund consideration for the Merger and to pay related fees</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and expenses with borrowings under the Term Credit Agreement,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together with borrowings under our commercial paper program and</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cash on hand. We intend to use the net proceeds from the offering of</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the notes to repay such borrowings under our Term Credit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Agreement upon completion of the Merger. Consummation of this</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offering is not contingent on the completion of the Merger. If for</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any reason the Merger is not consummated, we intend to use the net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proceeds from this offering for general corporate purposes, which</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may include (but is not limited to) (i) the repayment or redemption</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of our senior notes, (ii) the funding of acquisitions and, (iii) upon</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the Company’s return to target leverage ratios, share repurchases. If</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the Merger is not consummated, our management team will retain</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broad discretion as to the allocation of the net proceeds of this</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offering. Pending application of the net proceeds of this offering for</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the foregoing purposes, we may use the net proceeds to repay any</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current or future borrowings under our commercial paper program</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used to pay the consideration for the Merger and for working</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capital, which is fully supported by our $3.5 billion revolving credit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facility, for short-term investments or for general corporate</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purposes.</w:t>
            </w:r>
          </w:p>
        </w:tc>
        <w:tc>
          <w:tcPr>
            <w:tcW w:w="720" w:type="dxa"/>
            <w:vAlign w:val="bottom"/>
          </w:tcPr>
          <w:p>
            <w:pPr>
              <w:spacing w:after="0"/>
              <w:rPr>
                <w:sz w:val="14"/>
                <w:szCs w:val="14"/>
                <w:color w:val="auto"/>
              </w:rPr>
            </w:pPr>
          </w:p>
        </w:tc>
      </w:tr>
      <w:tr>
        <w:trPr>
          <w:trHeight w:val="266"/>
        </w:trPr>
        <w:tc>
          <w:tcPr>
            <w:tcW w:w="780" w:type="dxa"/>
            <w:vAlign w:val="bottom"/>
            <w:tcBorders>
              <w:right w:val="single" w:sz="8" w:color="auto"/>
            </w:tcBorders>
          </w:tcPr>
          <w:p>
            <w:pPr>
              <w:spacing w:after="0"/>
              <w:rPr>
                <w:sz w:val="23"/>
                <w:szCs w:val="23"/>
                <w:color w:val="auto"/>
              </w:rPr>
            </w:pPr>
          </w:p>
        </w:tc>
        <w:tc>
          <w:tcPr>
            <w:tcW w:w="1800" w:type="dxa"/>
            <w:vAlign w:val="bottom"/>
          </w:tcPr>
          <w:p>
            <w:pPr>
              <w:spacing w:after="0"/>
              <w:rPr>
                <w:sz w:val="23"/>
                <w:szCs w:val="2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See “Use of Proceeds” in this prospectus supplement.</w:t>
            </w:r>
          </w:p>
        </w:tc>
        <w:tc>
          <w:tcPr>
            <w:tcW w:w="720" w:type="dxa"/>
            <w:vAlign w:val="bottom"/>
          </w:tcPr>
          <w:p>
            <w:pPr>
              <w:spacing w:after="0"/>
              <w:rPr>
                <w:sz w:val="23"/>
                <w:szCs w:val="23"/>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Conflicts of Interest</w:t>
            </w: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Certain underwriters or their respective affiliates in this offering are</w:t>
            </w:r>
          </w:p>
        </w:tc>
        <w:tc>
          <w:tcPr>
            <w:tcW w:w="720" w:type="dxa"/>
            <w:vAlign w:val="bottom"/>
          </w:tcPr>
          <w:p>
            <w:pPr>
              <w:spacing w:after="0"/>
              <w:rPr>
                <w:sz w:val="19"/>
                <w:szCs w:val="19"/>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lenders under the Term Credit Agreement and may receive 5% or</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more of the net proceeds of this offering by reason of the repayment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of amounts outstanding under the Term Credit Agreement.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Additionally, certain underwriters or their respective affiliates in</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this offering are dealers under our commercial paper program and</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may receive 5% or more of the net proceeds of this offering by</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reason of the repayment of any current or future amounts</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outstanding under our commercial paper program, which is fully</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supported by our $3.5 billion revolving credit facility. Accordingly,</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such underwriters are deemed to have a “conflict of interest” within</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the meaning of Rule 5121 of the Financial Industry Regulatory</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Authority, Inc. (“FINRA Rule 5121”), and this offering will be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conducted in accordance with FINRA Rule 5121, which requires</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prominent disclosure of the nature of the conflict of interest in the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prospectus supplement. Pursuant to FINRA Rule 5121(a)(1)(C), the</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appointment of a “qualified independent underwriter” is not</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necessary in connection with this offering as the notes offered</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hereby are “investment grade rated” ​(as defined in FINRA</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Rule 5121). See “Underwriting (Conflicts of Interest) — Conflicts</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of Interest” in this prospectus supplement.</w:t>
            </w:r>
          </w:p>
        </w:tc>
        <w:tc>
          <w:tcPr>
            <w:tcW w:w="720" w:type="dxa"/>
            <w:vAlign w:val="bottom"/>
          </w:tcPr>
          <w:p>
            <w:pPr>
              <w:spacing w:after="0"/>
              <w:rPr>
                <w:sz w:val="14"/>
                <w:szCs w:val="14"/>
                <w:color w:val="auto"/>
              </w:rPr>
            </w:pPr>
          </w:p>
        </w:tc>
      </w:tr>
      <w:tr>
        <w:trPr>
          <w:trHeight w:val="236"/>
        </w:trPr>
        <w:tc>
          <w:tcPr>
            <w:tcW w:w="780" w:type="dxa"/>
            <w:vAlign w:val="bottom"/>
            <w:tcBorders>
              <w:right w:val="single" w:sz="8" w:color="auto"/>
            </w:tcBorders>
          </w:tcPr>
          <w:p>
            <w:pPr>
              <w:spacing w:after="0"/>
              <w:rPr>
                <w:sz w:val="20"/>
                <w:szCs w:val="20"/>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Trustee</w:t>
            </w: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The Bank of New York Mellon Trust Company, N.A.</w:t>
            </w:r>
          </w:p>
        </w:tc>
        <w:tc>
          <w:tcPr>
            <w:tcW w:w="720" w:type="dxa"/>
            <w:vAlign w:val="bottom"/>
          </w:tcPr>
          <w:p>
            <w:pPr>
              <w:spacing w:after="0"/>
              <w:rPr>
                <w:sz w:val="20"/>
                <w:szCs w:val="20"/>
                <w:color w:val="auto"/>
              </w:rPr>
            </w:pPr>
          </w:p>
        </w:tc>
      </w:tr>
      <w:tr>
        <w:trPr>
          <w:trHeight w:val="223"/>
        </w:trPr>
        <w:tc>
          <w:tcPr>
            <w:tcW w:w="780" w:type="dxa"/>
            <w:vAlign w:val="bottom"/>
            <w:tcBorders>
              <w:right w:val="single" w:sz="8" w:color="auto"/>
            </w:tcBorders>
          </w:tcPr>
          <w:p>
            <w:pPr>
              <w:spacing w:after="0"/>
              <w:rPr>
                <w:sz w:val="19"/>
                <w:szCs w:val="19"/>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Further Issuances</w:t>
            </w: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We may create and issue additional notes of each series ranking</w:t>
            </w:r>
          </w:p>
        </w:tc>
        <w:tc>
          <w:tcPr>
            <w:tcW w:w="720" w:type="dxa"/>
            <w:vAlign w:val="bottom"/>
          </w:tcPr>
          <w:p>
            <w:pPr>
              <w:spacing w:after="0"/>
              <w:rPr>
                <w:sz w:val="19"/>
                <w:szCs w:val="19"/>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equally and ratably with the notes of such series offered by this</w:t>
            </w:r>
          </w:p>
        </w:tc>
        <w:tc>
          <w:tcPr>
            <w:tcW w:w="720" w:type="dxa"/>
            <w:vAlign w:val="bottom"/>
          </w:tcPr>
          <w:p>
            <w:pPr>
              <w:spacing w:after="0"/>
              <w:rPr>
                <w:sz w:val="13"/>
                <w:szCs w:val="13"/>
                <w:color w:val="auto"/>
              </w:rPr>
            </w:pPr>
          </w:p>
        </w:tc>
      </w:tr>
      <w:tr>
        <w:trPr>
          <w:trHeight w:val="157"/>
        </w:trPr>
        <w:tc>
          <w:tcPr>
            <w:tcW w:w="780" w:type="dxa"/>
            <w:vAlign w:val="bottom"/>
            <w:tcBorders>
              <w:righ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prospectus supplement in all respects, so that such additional notes</w:t>
            </w:r>
          </w:p>
        </w:tc>
        <w:tc>
          <w:tcPr>
            <w:tcW w:w="720" w:type="dxa"/>
            <w:vAlign w:val="bottom"/>
          </w:tcPr>
          <w:p>
            <w:pPr>
              <w:spacing w:after="0"/>
              <w:rPr>
                <w:sz w:val="13"/>
                <w:szCs w:val="13"/>
                <w:color w:val="auto"/>
              </w:rPr>
            </w:pPr>
          </w:p>
        </w:tc>
      </w:tr>
      <w:tr>
        <w:trPr>
          <w:trHeight w:val="171"/>
        </w:trPr>
        <w:tc>
          <w:tcPr>
            <w:tcW w:w="780" w:type="dxa"/>
            <w:vAlign w:val="bottom"/>
            <w:tcBorders>
              <w:right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450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will be consolidated and form a single series with the notes of such</w:t>
            </w:r>
          </w:p>
        </w:tc>
        <w:tc>
          <w:tcPr>
            <w:tcW w:w="720" w:type="dxa"/>
            <w:vAlign w:val="bottom"/>
          </w:tcPr>
          <w:p>
            <w:pPr>
              <w:spacing w:after="0"/>
              <w:rPr>
                <w:sz w:val="14"/>
                <w:szCs w:val="14"/>
                <w:color w:val="auto"/>
              </w:rPr>
            </w:pPr>
          </w:p>
        </w:tc>
      </w:tr>
      <w:tr>
        <w:trPr>
          <w:trHeight w:val="220"/>
        </w:trPr>
        <w:tc>
          <w:tcPr>
            <w:tcW w:w="780" w:type="dxa"/>
            <w:vAlign w:val="bottom"/>
            <w:tcBorders>
              <w:right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r>
      <w:tr>
        <w:trPr>
          <w:trHeight w:val="222"/>
        </w:trPr>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50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S-6</w:t>
            </w:r>
          </w:p>
        </w:tc>
        <w:tc>
          <w:tcPr>
            <w:tcW w:w="720" w:type="dxa"/>
            <w:vAlign w:val="bottom"/>
          </w:tcPr>
          <w:p>
            <w:pPr>
              <w:spacing w:after="0"/>
              <w:rPr>
                <w:sz w:val="19"/>
                <w:szCs w:val="19"/>
                <w:color w:val="auto"/>
              </w:rPr>
            </w:pPr>
          </w:p>
        </w:tc>
      </w:tr>
      <w:tr>
        <w:trPr>
          <w:trHeight w:val="285"/>
        </w:trPr>
        <w:tc>
          <w:tcPr>
            <w:tcW w:w="7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-24765</wp:posOffset>
            </wp:positionV>
            <wp:extent cx="3175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-24765</wp:posOffset>
            </wp:positionV>
            <wp:extent cx="3175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 w:name="page9"/>
    <w:bookmarkEnd w:id="8"/>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238125</wp:posOffset>
            </wp:positionV>
            <wp:extent cx="4022090" cy="5801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22090" cy="58019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1520" w:type="dxa"/>
        <w:tblCellMar>
          <w:top w:w="0" w:type="dxa"/>
          <w:left w:w="0" w:type="dxa"/>
          <w:bottom w:w="0" w:type="dxa"/>
          <w:right w:w="0" w:type="dxa"/>
        </w:tblCellMar>
      </w:tblPr>
      <w:tr>
        <w:trPr>
          <w:trHeight w:val="157"/>
        </w:trPr>
        <w:tc>
          <w:tcPr>
            <w:tcW w:w="1460" w:type="dxa"/>
            <w:vAlign w:val="bottom"/>
          </w:tcPr>
          <w:p>
            <w:pPr>
              <w:spacing w:after="0"/>
              <w:rPr>
                <w:sz w:val="13"/>
                <w:szCs w:val="13"/>
                <w:color w:val="auto"/>
              </w:rPr>
            </w:pP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series offered by this prospectus supplement and will have the same</w:t>
            </w:r>
          </w:p>
        </w:tc>
      </w:tr>
      <w:tr>
        <w:trPr>
          <w:trHeight w:val="157"/>
        </w:trPr>
        <w:tc>
          <w:tcPr>
            <w:tcW w:w="1460" w:type="dxa"/>
            <w:vAlign w:val="bottom"/>
          </w:tcPr>
          <w:p>
            <w:pPr>
              <w:spacing w:after="0"/>
              <w:rPr>
                <w:sz w:val="13"/>
                <w:szCs w:val="13"/>
                <w:color w:val="auto"/>
              </w:rPr>
            </w:pP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terms, as to status, redemption or otherwise except for the issue</w:t>
            </w:r>
          </w:p>
        </w:tc>
      </w:tr>
      <w:tr>
        <w:trPr>
          <w:trHeight w:val="157"/>
        </w:trPr>
        <w:tc>
          <w:tcPr>
            <w:tcW w:w="1460" w:type="dxa"/>
            <w:vAlign w:val="bottom"/>
          </w:tcPr>
          <w:p>
            <w:pPr>
              <w:spacing w:after="0"/>
              <w:rPr>
                <w:sz w:val="13"/>
                <w:szCs w:val="13"/>
                <w:color w:val="auto"/>
              </w:rPr>
            </w:pP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date, the initial interest payment date, if applicable, and the payment</w:t>
            </w:r>
          </w:p>
        </w:tc>
      </w:tr>
      <w:tr>
        <w:trPr>
          <w:trHeight w:val="157"/>
        </w:trPr>
        <w:tc>
          <w:tcPr>
            <w:tcW w:w="1460" w:type="dxa"/>
            <w:vAlign w:val="bottom"/>
          </w:tcPr>
          <w:p>
            <w:pPr>
              <w:spacing w:after="0"/>
              <w:rPr>
                <w:sz w:val="13"/>
                <w:szCs w:val="13"/>
                <w:color w:val="auto"/>
              </w:rPr>
            </w:pP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of interest accruing prior to the issue date of such additional notes;</w:t>
            </w:r>
          </w:p>
        </w:tc>
      </w:tr>
      <w:tr>
        <w:trPr>
          <w:trHeight w:val="157"/>
        </w:trPr>
        <w:tc>
          <w:tcPr>
            <w:tcW w:w="1460" w:type="dxa"/>
            <w:vAlign w:val="bottom"/>
          </w:tcPr>
          <w:p>
            <w:pPr>
              <w:spacing w:after="0"/>
              <w:rPr>
                <w:sz w:val="13"/>
                <w:szCs w:val="13"/>
                <w:color w:val="auto"/>
              </w:rPr>
            </w:pP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provided, however, that a separate CUSIP or ISIN will be issued for</w:t>
            </w:r>
          </w:p>
        </w:tc>
      </w:tr>
      <w:tr>
        <w:trPr>
          <w:trHeight w:val="157"/>
        </w:trPr>
        <w:tc>
          <w:tcPr>
            <w:tcW w:w="1460" w:type="dxa"/>
            <w:vAlign w:val="bottom"/>
          </w:tcPr>
          <w:p>
            <w:pPr>
              <w:spacing w:after="0"/>
              <w:rPr>
                <w:sz w:val="13"/>
                <w:szCs w:val="13"/>
                <w:color w:val="auto"/>
              </w:rPr>
            </w:pP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the additional notes unless the notes and the additional notes are</w:t>
            </w:r>
          </w:p>
        </w:tc>
      </w:tr>
      <w:tr>
        <w:trPr>
          <w:trHeight w:val="171"/>
        </w:trPr>
        <w:tc>
          <w:tcPr>
            <w:tcW w:w="1460" w:type="dxa"/>
            <w:vAlign w:val="bottom"/>
          </w:tcPr>
          <w:p>
            <w:pPr>
              <w:spacing w:after="0"/>
              <w:rPr>
                <w:sz w:val="14"/>
                <w:szCs w:val="14"/>
                <w:color w:val="auto"/>
              </w:rPr>
            </w:pP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fungible for U.S. federal income tax purposes.</w:t>
            </w:r>
          </w:p>
        </w:tc>
      </w:tr>
      <w:tr>
        <w:trPr>
          <w:trHeight w:val="206"/>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auto"/>
              </w:rPr>
              <w:t>Risk Factors</w:t>
            </w: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 xml:space="preserve">See page </w:t>
            </w:r>
            <w:r>
              <w:rPr>
                <w:rFonts w:ascii="Times New Roman" w:cs="Times New Roman" w:eastAsia="Times New Roman" w:hAnsi="Times New Roman"/>
                <w:sz w:val="13"/>
                <w:szCs w:val="13"/>
                <w:color w:val="0000EE"/>
              </w:rPr>
              <w:t>S-8</w:t>
            </w:r>
            <w:r>
              <w:rPr>
                <w:rFonts w:ascii="Times New Roman" w:cs="Times New Roman" w:eastAsia="Times New Roman" w:hAnsi="Times New Roman"/>
                <w:sz w:val="13"/>
                <w:szCs w:val="13"/>
                <w:color w:val="auto"/>
              </w:rPr>
              <w:t xml:space="preserve"> of this prospectus supplement and page </w:t>
            </w:r>
            <w:r>
              <w:rPr>
                <w:rFonts w:ascii="Times New Roman" w:cs="Times New Roman" w:eastAsia="Times New Roman" w:hAnsi="Times New Roman"/>
                <w:sz w:val="13"/>
                <w:szCs w:val="13"/>
                <w:color w:val="0000EE"/>
              </w:rPr>
              <w:t>8</w:t>
            </w:r>
            <w:r>
              <w:rPr>
                <w:rFonts w:ascii="Times New Roman" w:cs="Times New Roman" w:eastAsia="Times New Roman" w:hAnsi="Times New Roman"/>
                <w:sz w:val="13"/>
                <w:szCs w:val="13"/>
                <w:color w:val="auto"/>
              </w:rPr>
              <w:t xml:space="preserve"> of the</w:t>
            </w:r>
          </w:p>
        </w:tc>
      </w:tr>
      <w:tr>
        <w:trPr>
          <w:trHeight w:val="20"/>
        </w:trPr>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54"/>
        </w:trPr>
        <w:tc>
          <w:tcPr>
            <w:tcW w:w="1460" w:type="dxa"/>
            <w:vAlign w:val="bottom"/>
          </w:tcPr>
          <w:p>
            <w:pPr>
              <w:spacing w:after="0"/>
              <w:rPr>
                <w:sz w:val="13"/>
                <w:szCs w:val="13"/>
                <w:color w:val="auto"/>
              </w:rPr>
            </w:pP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accompanying prospectus for a discussion of the risks you should</w:t>
            </w:r>
          </w:p>
        </w:tc>
      </w:tr>
      <w:tr>
        <w:trPr>
          <w:trHeight w:val="171"/>
        </w:trPr>
        <w:tc>
          <w:tcPr>
            <w:tcW w:w="1460" w:type="dxa"/>
            <w:vAlign w:val="bottom"/>
          </w:tcPr>
          <w:p>
            <w:pPr>
              <w:spacing w:after="0"/>
              <w:rPr>
                <w:sz w:val="14"/>
                <w:szCs w:val="14"/>
                <w:color w:val="auto"/>
              </w:rPr>
            </w:pPr>
          </w:p>
        </w:tc>
        <w:tc>
          <w:tcPr>
            <w:tcW w:w="452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consider before investing in the notes.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9" w:name="page10"/>
    <w:bookmarkEnd w:id="9"/>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i w:val="1"/>
          <w:iCs w:val="1"/>
          <w:color w:val="auto"/>
        </w:rPr>
        <w:t>You should carefully consider the risk factors identified in Part I, Item 1A., “Risk Factors,” of our</w:t>
      </w:r>
    </w:p>
    <w:p>
      <w:pPr>
        <w:spacing w:after="0" w:line="14" w:lineRule="exact"/>
        <w:rPr>
          <w:sz w:val="20"/>
          <w:szCs w:val="20"/>
          <w:color w:val="auto"/>
        </w:rPr>
      </w:pPr>
    </w:p>
    <w:p>
      <w:pPr>
        <w:ind w:left="1520"/>
        <w:spacing w:after="0"/>
        <w:rPr>
          <w:rFonts w:ascii="Times New Roman" w:cs="Times New Roman" w:eastAsia="Times New Roman" w:hAnsi="Times New Roman"/>
          <w:sz w:val="13"/>
          <w:szCs w:val="13"/>
          <w:i w:val="1"/>
          <w:iCs w:val="1"/>
          <w:color w:val="0000EE"/>
        </w:rPr>
      </w:pPr>
      <w:hyperlink r:id="rId54">
        <w:r>
          <w:rPr>
            <w:rFonts w:ascii="Times New Roman" w:cs="Times New Roman" w:eastAsia="Times New Roman" w:hAnsi="Times New Roman"/>
            <w:sz w:val="13"/>
            <w:szCs w:val="13"/>
            <w:i w:val="1"/>
            <w:iCs w:val="1"/>
            <w:u w:val="single" w:color="auto"/>
            <w:color w:val="0000EE"/>
          </w:rPr>
          <w:t>Annual Report on Form 10-K for the year ended December 31, 2023</w:t>
        </w:r>
      </w:hyperlink>
      <w:r>
        <w:rPr>
          <w:rFonts w:ascii="Times New Roman" w:cs="Times New Roman" w:eastAsia="Times New Roman" w:hAnsi="Times New Roman"/>
          <w:sz w:val="13"/>
          <w:szCs w:val="13"/>
          <w:i w:val="1"/>
          <w:iCs w:val="1"/>
          <w:color w:val="000000"/>
        </w:rPr>
        <w:t>,</w:t>
      </w:r>
      <w:r>
        <w:rPr>
          <w:rFonts w:ascii="Times New Roman" w:cs="Times New Roman" w:eastAsia="Times New Roman" w:hAnsi="Times New Roman"/>
          <w:sz w:val="13"/>
          <w:szCs w:val="13"/>
          <w:i w:val="1"/>
          <w:iCs w:val="1"/>
          <w:color w:val="0000EE"/>
        </w:rPr>
        <w:t xml:space="preserve"> </w:t>
      </w:r>
      <w:r>
        <w:rPr>
          <w:rFonts w:ascii="Times New Roman" w:cs="Times New Roman" w:eastAsia="Times New Roman" w:hAnsi="Times New Roman"/>
          <w:sz w:val="13"/>
          <w:szCs w:val="13"/>
          <w:i w:val="1"/>
          <w:iCs w:val="1"/>
          <w:color w:val="000000"/>
        </w:rPr>
        <w:t>as updated by Part II, Item 1A., “Risk</w:t>
      </w:r>
    </w:p>
    <w:p>
      <w:pPr>
        <w:spacing w:after="0" w:line="7" w:lineRule="exact"/>
        <w:rPr>
          <w:sz w:val="20"/>
          <w:szCs w:val="20"/>
          <w:color w:val="auto"/>
        </w:rPr>
      </w:pPr>
    </w:p>
    <w:p>
      <w:pPr>
        <w:ind w:left="1520" w:right="1559"/>
        <w:spacing w:after="0" w:line="242" w:lineRule="auto"/>
        <w:rPr>
          <w:rFonts w:ascii="Times New Roman" w:cs="Times New Roman" w:eastAsia="Times New Roman" w:hAnsi="Times New Roman"/>
          <w:sz w:val="13"/>
          <w:szCs w:val="13"/>
          <w:i w:val="1"/>
          <w:iCs w:val="1"/>
          <w:color w:val="0000EE"/>
        </w:rPr>
      </w:pPr>
      <w:hyperlink r:id="rId55">
        <w:r>
          <w:rPr>
            <w:rFonts w:ascii="Times New Roman" w:cs="Times New Roman" w:eastAsia="Times New Roman" w:hAnsi="Times New Roman"/>
            <w:sz w:val="13"/>
            <w:szCs w:val="13"/>
            <w:i w:val="1"/>
            <w:iCs w:val="1"/>
            <w:color w:val="auto"/>
          </w:rPr>
          <w:t xml:space="preserve">Factors,” of our Quarterly Reports on Form 10- Q for the quarters ended </w:t>
        </w:r>
        <w:r>
          <w:rPr>
            <w:rFonts w:ascii="Times New Roman" w:cs="Times New Roman" w:eastAsia="Times New Roman" w:hAnsi="Times New Roman"/>
            <w:sz w:val="13"/>
            <w:szCs w:val="13"/>
            <w:i w:val="1"/>
            <w:iCs w:val="1"/>
            <w:u w:val="single" w:color="auto"/>
            <w:color w:val="0000EE"/>
          </w:rPr>
          <w:t>March 31, 2024</w:t>
        </w:r>
        <w:r>
          <w:rPr>
            <w:rFonts w:ascii="Times New Roman" w:cs="Times New Roman" w:eastAsia="Times New Roman" w:hAnsi="Times New Roman"/>
            <w:sz w:val="13"/>
            <w:szCs w:val="13"/>
            <w:i w:val="1"/>
            <w:iCs w:val="1"/>
            <w:color w:val="auto"/>
          </w:rPr>
          <w:t xml:space="preserve"> and </w:t>
        </w:r>
        <w:r>
          <w:rPr>
            <w:rFonts w:ascii="Times New Roman" w:cs="Times New Roman" w:eastAsia="Times New Roman" w:hAnsi="Times New Roman"/>
            <w:sz w:val="13"/>
            <w:szCs w:val="13"/>
            <w:i w:val="1"/>
            <w:iCs w:val="1"/>
            <w:u w:val="single" w:color="auto"/>
            <w:color w:val="0000EE"/>
          </w:rPr>
          <w:t>June 30,</w:t>
        </w:r>
      </w:hyperlink>
      <w:r>
        <w:rPr>
          <w:rFonts w:ascii="Times New Roman" w:cs="Times New Roman" w:eastAsia="Times New Roman" w:hAnsi="Times New Roman"/>
          <w:sz w:val="13"/>
          <w:szCs w:val="13"/>
          <w:i w:val="1"/>
          <w:iCs w:val="1"/>
          <w:color w:val="auto"/>
        </w:rPr>
        <w:t xml:space="preserve"> </w:t>
      </w:r>
      <w:hyperlink r:id="rId55">
        <w:r>
          <w:rPr>
            <w:rFonts w:ascii="Times New Roman" w:cs="Times New Roman" w:eastAsia="Times New Roman" w:hAnsi="Times New Roman"/>
            <w:sz w:val="13"/>
            <w:szCs w:val="13"/>
            <w:i w:val="1"/>
            <w:iCs w:val="1"/>
            <w:u w:val="single" w:color="auto"/>
            <w:color w:val="0000EE"/>
          </w:rPr>
          <w:t>2024</w:t>
        </w:r>
        <w:r>
          <w:rPr>
            <w:rFonts w:ascii="Times New Roman" w:cs="Times New Roman" w:eastAsia="Times New Roman" w:hAnsi="Times New Roman"/>
            <w:sz w:val="13"/>
            <w:szCs w:val="13"/>
            <w:i w:val="1"/>
            <w:iCs w:val="1"/>
            <w:color w:val="0000EE"/>
          </w:rPr>
          <w:t xml:space="preserve"> </w:t>
        </w:r>
        <w:r>
          <w:rPr>
            <w:rFonts w:ascii="Times New Roman" w:cs="Times New Roman" w:eastAsia="Times New Roman" w:hAnsi="Times New Roman"/>
            <w:sz w:val="13"/>
            <w:szCs w:val="13"/>
            <w:i w:val="1"/>
            <w:iCs w:val="1"/>
            <w:color w:val="000000"/>
          </w:rPr>
          <w:t xml:space="preserve">and the risks identified in our other filings with the SEC before making an investment in the notes. </w:t>
        </w:r>
      </w:hyperlink>
      <w:r>
        <w:rPr>
          <w:rFonts w:ascii="Times New Roman" w:cs="Times New Roman" w:eastAsia="Times New Roman" w:hAnsi="Times New Roman"/>
          <w:sz w:val="13"/>
          <w:szCs w:val="13"/>
          <w:i w:val="1"/>
          <w:iCs w:val="1"/>
          <w:color w:val="0000EE"/>
        </w:rPr>
        <w:t xml:space="preserve">You </w:t>
      </w:r>
      <w:r>
        <w:rPr>
          <w:rFonts w:ascii="Times New Roman" w:cs="Times New Roman" w:eastAsia="Times New Roman" w:hAnsi="Times New Roman"/>
          <w:sz w:val="13"/>
          <w:szCs w:val="13"/>
          <w:i w:val="1"/>
          <w:iCs w:val="1"/>
          <w:color w:val="000000"/>
        </w:rPr>
        <w:t>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Risks Related to the Notes</w:t>
      </w:r>
    </w:p>
    <w:p>
      <w:pPr>
        <w:spacing w:after="0" w:line="163" w:lineRule="exact"/>
        <w:rPr>
          <w:sz w:val="20"/>
          <w:szCs w:val="20"/>
          <w:color w:val="auto"/>
        </w:rPr>
      </w:pPr>
    </w:p>
    <w:p>
      <w:pPr>
        <w:ind w:left="1520" w:right="1779"/>
        <w:spacing w:after="0" w:line="293" w:lineRule="auto"/>
        <w:rPr>
          <w:sz w:val="20"/>
          <w:szCs w:val="20"/>
          <w:color w:val="auto"/>
        </w:rPr>
      </w:pPr>
      <w:r>
        <w:rPr>
          <w:rFonts w:ascii="Times New Roman" w:cs="Times New Roman" w:eastAsia="Times New Roman" w:hAnsi="Times New Roman"/>
          <w:sz w:val="13"/>
          <w:szCs w:val="13"/>
          <w:b w:val="1"/>
          <w:bCs w:val="1"/>
          <w:i w:val="1"/>
          <w:iCs w:val="1"/>
          <w:color w:val="auto"/>
        </w:rPr>
        <w:t>Our substantial indebtedness could impair our financial condition and our ability to fulfill our debt obligations, including our obligations under the notes.</w:t>
      </w:r>
    </w:p>
    <w:p>
      <w:pPr>
        <w:spacing w:after="0" w:line="62" w:lineRule="exact"/>
        <w:rPr>
          <w:sz w:val="20"/>
          <w:szCs w:val="20"/>
          <w:color w:val="auto"/>
        </w:rPr>
      </w:pPr>
    </w:p>
    <w:p>
      <w:pPr>
        <w:ind w:left="1520" w:right="1599" w:firstLine="262"/>
        <w:spacing w:after="0" w:line="256" w:lineRule="auto"/>
        <w:rPr>
          <w:sz w:val="20"/>
          <w:szCs w:val="20"/>
          <w:color w:val="auto"/>
        </w:rPr>
      </w:pPr>
      <w:r>
        <w:rPr>
          <w:rFonts w:ascii="Times New Roman" w:cs="Times New Roman" w:eastAsia="Times New Roman" w:hAnsi="Times New Roman"/>
          <w:sz w:val="13"/>
          <w:szCs w:val="13"/>
          <w:color w:val="auto"/>
        </w:rPr>
        <w:t>We have substantial indebtedness. At September 30, 2024, our ratio of total debt to total capitalization was 67.6%, and we had $16.7 billion of total debt. In addition, as of September 30, 2024, we had approximately $1.0 billion of total letters of credit outstanding under our various facilities and certain bi-lateral agreements, including $171 million of such outstanding letters of credit that were issued under and supported by our $3.5 billion revolving credit facility. Our indebtedness that bears interest at a floating rate makes us vulnerable to changes in interest rates. As of September 30, 2024, we had approximately</w:t>
      </w:r>
    </w:p>
    <w:p>
      <w:pPr>
        <w:spacing w:after="0" w:line="1" w:lineRule="exact"/>
        <w:rPr>
          <w:sz w:val="20"/>
          <w:szCs w:val="20"/>
          <w:color w:val="auto"/>
        </w:rPr>
      </w:pPr>
    </w:p>
    <w:p>
      <w:pPr>
        <w:jc w:val="both"/>
        <w:ind w:left="1520" w:right="1539"/>
        <w:spacing w:after="0" w:line="252" w:lineRule="auto"/>
        <w:rPr>
          <w:sz w:val="20"/>
          <w:szCs w:val="20"/>
          <w:color w:val="auto"/>
        </w:rPr>
      </w:pPr>
      <w:r>
        <w:rPr>
          <w:rFonts w:ascii="Times New Roman" w:cs="Times New Roman" w:eastAsia="Times New Roman" w:hAnsi="Times New Roman"/>
          <w:sz w:val="13"/>
          <w:szCs w:val="13"/>
          <w:color w:val="auto"/>
        </w:rPr>
        <w:t>$1.9 billion of debt maturing within the next 12 months, including: (i) $1.2 billion of tax-exempt bonds with term interest rate periods that expire within the next 12 months, which is prior to their scheduled maturities;</w:t>
      </w:r>
    </w:p>
    <w:p>
      <w:pPr>
        <w:spacing w:after="0" w:line="1" w:lineRule="exact"/>
        <w:rPr>
          <w:sz w:val="20"/>
          <w:szCs w:val="20"/>
          <w:color w:val="auto"/>
        </w:rPr>
      </w:pPr>
    </w:p>
    <w:p>
      <w:pPr>
        <w:ind w:left="1520" w:right="1559" w:hanging="6"/>
        <w:spacing w:after="0" w:line="256" w:lineRule="auto"/>
        <w:tabs>
          <w:tab w:leader="none" w:pos="1726"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$422 million of 3.125% senior notes that mature in March 2025; and (iii) $254 million of other debt with scheduled maturities within the next 12 months, including $110 million of tax-exempt bonds. Our level of indebtedness and the covenants contained in the agreements governing our debt could have important consequences, including:</w:t>
      </w:r>
    </w:p>
    <w:p>
      <w:pPr>
        <w:spacing w:after="0" w:line="56" w:lineRule="exact"/>
        <w:rPr>
          <w:rFonts w:ascii="Times New Roman" w:cs="Times New Roman" w:eastAsia="Times New Roman" w:hAnsi="Times New Roman"/>
          <w:sz w:val="13"/>
          <w:szCs w:val="13"/>
          <w:color w:val="auto"/>
        </w:rPr>
      </w:pPr>
    </w:p>
    <w:p>
      <w:pPr>
        <w:ind w:left="1900" w:right="1839" w:hanging="124"/>
        <w:spacing w:after="0" w:line="269" w:lineRule="auto"/>
        <w:tabs>
          <w:tab w:leader="none" w:pos="190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making it more difficult for us to satisfy our obligations with respect to the notes and our other indebtedness, which could in turn result in an event of default on such other indebtedness or the notes;</w:t>
      </w:r>
    </w:p>
    <w:p>
      <w:pPr>
        <w:spacing w:after="0" w:line="48" w:lineRule="exact"/>
        <w:rPr>
          <w:rFonts w:ascii="Times New Roman" w:cs="Times New Roman" w:eastAsia="Times New Roman" w:hAnsi="Times New Roman"/>
          <w:sz w:val="13"/>
          <w:szCs w:val="13"/>
          <w:color w:val="auto"/>
        </w:rPr>
      </w:pPr>
    </w:p>
    <w:p>
      <w:pPr>
        <w:ind w:left="1900" w:right="2079" w:hanging="124"/>
        <w:spacing w:after="0" w:line="286" w:lineRule="auto"/>
        <w:tabs>
          <w:tab w:leader="none" w:pos="190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impairing our ability to obtain additional financing in the future for working capital, capital expenditures, acquisitions, general corporate purposes or other purposes;</w:t>
      </w:r>
    </w:p>
    <w:p>
      <w:pPr>
        <w:spacing w:after="0" w:line="37" w:lineRule="exact"/>
        <w:rPr>
          <w:rFonts w:ascii="Times New Roman" w:cs="Times New Roman" w:eastAsia="Times New Roman" w:hAnsi="Times New Roman"/>
          <w:sz w:val="13"/>
          <w:szCs w:val="13"/>
          <w:color w:val="auto"/>
        </w:rPr>
      </w:pPr>
    </w:p>
    <w:p>
      <w:pPr>
        <w:jc w:val="both"/>
        <w:ind w:left="1900" w:right="1979" w:hanging="124"/>
        <w:spacing w:after="0" w:line="269" w:lineRule="auto"/>
        <w:tabs>
          <w:tab w:leader="none" w:pos="190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48" w:lineRule="exact"/>
        <w:rPr>
          <w:rFonts w:ascii="Times New Roman" w:cs="Times New Roman" w:eastAsia="Times New Roman" w:hAnsi="Times New Roman"/>
          <w:sz w:val="13"/>
          <w:szCs w:val="13"/>
          <w:color w:val="auto"/>
        </w:rPr>
      </w:pPr>
    </w:p>
    <w:p>
      <w:pPr>
        <w:ind w:left="1900" w:right="1779" w:hanging="124"/>
        <w:spacing w:after="0" w:line="286" w:lineRule="auto"/>
        <w:tabs>
          <w:tab w:leader="none" w:pos="190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our flexibility in planning for, or reacting to, changes in our business and the industry in which we operate; and</w:t>
      </w:r>
    </w:p>
    <w:p>
      <w:pPr>
        <w:spacing w:after="0" w:line="37" w:lineRule="exact"/>
        <w:rPr>
          <w:rFonts w:ascii="Times New Roman" w:cs="Times New Roman" w:eastAsia="Times New Roman" w:hAnsi="Times New Roman"/>
          <w:sz w:val="13"/>
          <w:szCs w:val="13"/>
          <w:color w:val="auto"/>
        </w:rPr>
      </w:pPr>
    </w:p>
    <w:p>
      <w:pPr>
        <w:ind w:left="1900" w:right="1599" w:hanging="124"/>
        <w:spacing w:after="0" w:line="263" w:lineRule="auto"/>
        <w:tabs>
          <w:tab w:leader="none" w:pos="190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placing us at a competitive disadvantage compared to our competitors that have proportionately less debt.</w:t>
      </w:r>
    </w:p>
    <w:p>
      <w:pPr>
        <w:spacing w:after="0" w:line="259" w:lineRule="exact"/>
        <w:rPr>
          <w:sz w:val="20"/>
          <w:szCs w:val="20"/>
          <w:color w:val="auto"/>
        </w:rPr>
      </w:pPr>
    </w:p>
    <w:p>
      <w:pPr>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are not prohibited under the indenture governing the notes from incurring additional indebtedness. We expect closing of the Merger to occur in the fourth quarter of 2024. We have elected to draw $5.2 billion principal amount of borrowings under our Term Credit Agreement. We intend to fund consideration for the Merger and to pay related fees and expenses with borrowings under the Term Credit Agreement, together with borrowings under our commercial paper program and cash on hand. We intend to use the net proceeds from the offering of the notes to repay such borrowings under our Term Credit Agreement upon completion of the Merger. Although our $3.5 billion revolving credit facility and our Term Credit Agreement require us to maintain a specified ratio of Total Debt to EBITDA (as defined in our $3.5 billion revolving credit facility and our Term Credit Agreement, as applicable), following this offering of notes and the use of proceeds contemplated hereby, we expect to have the ability to incur additional indebtedness, including</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0" w:name="page11"/>
    <w:bookmarkEnd w:id="1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79"/>
        <w:spacing w:after="0" w:line="261" w:lineRule="auto"/>
        <w:rPr>
          <w:sz w:val="20"/>
          <w:szCs w:val="20"/>
          <w:color w:val="auto"/>
        </w:rPr>
      </w:pPr>
      <w:r>
        <w:rPr>
          <w:rFonts w:ascii="Times New Roman" w:cs="Times New Roman" w:eastAsia="Times New Roman" w:hAnsi="Times New Roman"/>
          <w:sz w:val="13"/>
          <w:szCs w:val="13"/>
          <w:color w:val="auto"/>
        </w:rPr>
        <w:t>indebtedness related to the Merger, while remaining in compliance with this covenant. Our incurrence of additional indebtedness would exacerbate the negative consequences mentioned above, and could adversely affect our ability to service and repay the notes.</w:t>
      </w:r>
    </w:p>
    <w:p>
      <w:pPr>
        <w:spacing w:after="0" w:line="11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We are a holding company and we depend upon cash distributions from our subsidiaries to service our debt.</w:t>
      </w:r>
    </w:p>
    <w:p>
      <w:pPr>
        <w:spacing w:after="0" w:line="120" w:lineRule="exact"/>
        <w:rPr>
          <w:sz w:val="20"/>
          <w:szCs w:val="20"/>
          <w:color w:val="auto"/>
        </w:rPr>
      </w:pPr>
    </w:p>
    <w:p>
      <w:pPr>
        <w:ind w:left="1520" w:right="1559" w:firstLine="262"/>
        <w:spacing w:after="0" w:line="245" w:lineRule="auto"/>
        <w:rPr>
          <w:sz w:val="20"/>
          <w:szCs w:val="20"/>
          <w:color w:val="auto"/>
        </w:rPr>
      </w:pPr>
      <w:r>
        <w:rPr>
          <w:rFonts w:ascii="Times New Roman" w:cs="Times New Roman" w:eastAsia="Times New Roman" w:hAnsi="Times New Roman"/>
          <w:sz w:val="13"/>
          <w:szCs w:val="13"/>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8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b w:val="1"/>
          <w:bCs w:val="1"/>
          <w:i w:val="1"/>
          <w:iCs w:val="1"/>
          <w:color w:val="auto"/>
        </w:rPr>
        <w:t>Downgrades in our credit ratings or changes in the debt markets may adversely affect the market price of the notes.</w:t>
      </w:r>
    </w:p>
    <w:p>
      <w:pPr>
        <w:spacing w:after="0" w:line="12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market price for the notes will depend on a number of factors, including:</w:t>
      </w:r>
    </w:p>
    <w:p>
      <w:pPr>
        <w:spacing w:after="0" w:line="87" w:lineRule="exact"/>
        <w:rPr>
          <w:sz w:val="20"/>
          <w:szCs w:val="20"/>
          <w:color w:val="auto"/>
        </w:rPr>
      </w:pPr>
    </w:p>
    <w:p>
      <w:pPr>
        <w:ind w:left="1900" w:hanging="124"/>
        <w:spacing w:after="0"/>
        <w:tabs>
          <w:tab w:leader="none" w:pos="19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credit ratings with major credit rating agencies;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prevailing interest rates being paid by other companies similar to us;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price of our common stock;</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financial condition, operating performance and future prospects; and</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overall condition of the financial markets and global and domestic economies.</w:t>
      </w:r>
    </w:p>
    <w:p>
      <w:pPr>
        <w:spacing w:after="0" w:line="106" w:lineRule="exact"/>
        <w:rPr>
          <w:sz w:val="20"/>
          <w:szCs w:val="20"/>
          <w:color w:val="auto"/>
        </w:rPr>
      </w:pPr>
    </w:p>
    <w:p>
      <w:pPr>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The condition of the financial markets and prevailing interest rates have fluctuated in the past and are likely to fluctuate in the future. Such fluctuations could have an adverse effect on the price of the notes. In addition, credit rating agencies continually review their ratings for the companies that they follow, including us. The credit rating agencies also evaluate the industries in which we operate as a whole and may change their credit rating for us based on their overall view of such industries. A negative change in our rating could have an adverse effect on the price of the notes.</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The notes will be effectively subordinated to certain of our subsidiaries’ debt and our secured debt.</w:t>
      </w:r>
    </w:p>
    <w:p>
      <w:pPr>
        <w:spacing w:after="0" w:line="120" w:lineRule="exact"/>
        <w:rPr>
          <w:sz w:val="20"/>
          <w:szCs w:val="20"/>
          <w:color w:val="auto"/>
        </w:rPr>
      </w:pPr>
    </w:p>
    <w:p>
      <w:pPr>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September 30, 2024 was $373 million. As of September 30, 2024, our operating subsidiaries had $2.3 billion of indebtedness and WM Holdings had $223 million of long-term debt (excluding guarantees of $12.5 billion of our senior debt), in each case excluding intercompany loans. For a description of the ranking of the notes, see “Description of Notes — Ranking” in this prospectus supplement.</w:t>
      </w:r>
    </w:p>
    <w:p>
      <w:pPr>
        <w:spacing w:after="0" w:line="28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Fraudulent transfer statutes may limit your rights under the guarantees of the notes.</w:t>
      </w:r>
    </w:p>
    <w:p>
      <w:pPr>
        <w:spacing w:after="0" w:line="120" w:lineRule="exact"/>
        <w:rPr>
          <w:sz w:val="20"/>
          <w:szCs w:val="20"/>
          <w:color w:val="auto"/>
        </w:rPr>
      </w:pPr>
    </w:p>
    <w:p>
      <w:pPr>
        <w:jc w:val="both"/>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187960</wp:posOffset>
            </wp:positionV>
            <wp:extent cx="498411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 w:name="page12"/>
    <w:bookmarkEnd w:id="1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39"/>
        <w:spacing w:after="0" w:line="247" w:lineRule="auto"/>
        <w:rPr>
          <w:sz w:val="20"/>
          <w:szCs w:val="20"/>
          <w:color w:val="auto"/>
        </w:rPr>
      </w:pPr>
      <w:r>
        <w:rPr>
          <w:rFonts w:ascii="Times New Roman" w:cs="Times New Roman" w:eastAsia="Times New Roman" w:hAnsi="Times New Roman"/>
          <w:sz w:val="13"/>
          <w:szCs w:val="13"/>
          <w:color w:val="auto"/>
        </w:rPr>
        <w:t>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26" w:lineRule="exact"/>
        <w:rPr>
          <w:sz w:val="20"/>
          <w:szCs w:val="20"/>
          <w:color w:val="auto"/>
        </w:rPr>
      </w:pPr>
    </w:p>
    <w:p>
      <w:pPr>
        <w:ind w:left="1520" w:right="1519"/>
        <w:spacing w:after="0" w:line="293" w:lineRule="auto"/>
        <w:rPr>
          <w:sz w:val="20"/>
          <w:szCs w:val="20"/>
          <w:color w:val="auto"/>
        </w:rPr>
      </w:pPr>
      <w:r>
        <w:rPr>
          <w:rFonts w:ascii="Times New Roman" w:cs="Times New Roman" w:eastAsia="Times New Roman" w:hAnsi="Times New Roman"/>
          <w:sz w:val="13"/>
          <w:szCs w:val="13"/>
          <w:b w:val="1"/>
          <w:bCs w:val="1"/>
          <w:i w:val="1"/>
          <w:iCs w:val="1"/>
          <w:color w:val="auto"/>
        </w:rPr>
        <w:t>We may not have sufficient funds to purchase the notes upon a change of control triggering event, and this covenant provides limited protection to investors.</w:t>
      </w:r>
    </w:p>
    <w:p>
      <w:pPr>
        <w:spacing w:after="0" w:line="52" w:lineRule="exact"/>
        <w:rPr>
          <w:sz w:val="20"/>
          <w:szCs w:val="20"/>
          <w:color w:val="auto"/>
        </w:rPr>
      </w:pPr>
    </w:p>
    <w:p>
      <w:pPr>
        <w:ind w:left="1520" w:right="1579" w:firstLine="262"/>
        <w:spacing w:after="0" w:line="249" w:lineRule="auto"/>
        <w:rPr>
          <w:sz w:val="20"/>
          <w:szCs w:val="20"/>
          <w:color w:val="auto"/>
        </w:rPr>
      </w:pPr>
      <w:r>
        <w:rPr>
          <w:rFonts w:ascii="Times New Roman" w:cs="Times New Roman" w:eastAsia="Times New Roman" w:hAnsi="Times New Roman"/>
          <w:sz w:val="13"/>
          <w:szCs w:val="13"/>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w:t>
      </w:r>
    </w:p>
    <w:p>
      <w:pPr>
        <w:spacing w:after="0" w:line="80" w:lineRule="exact"/>
        <w:rPr>
          <w:sz w:val="20"/>
          <w:szCs w:val="20"/>
          <w:color w:val="auto"/>
        </w:rPr>
      </w:pPr>
    </w:p>
    <w:p>
      <w:pPr>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279" w:lineRule="exact"/>
        <w:rPr>
          <w:sz w:val="20"/>
          <w:szCs w:val="20"/>
          <w:color w:val="auto"/>
        </w:rPr>
      </w:pPr>
    </w:p>
    <w:p>
      <w:pPr>
        <w:ind w:left="1520" w:right="1639"/>
        <w:spacing w:after="0" w:line="265" w:lineRule="auto"/>
        <w:rPr>
          <w:sz w:val="20"/>
          <w:szCs w:val="20"/>
          <w:color w:val="auto"/>
        </w:rPr>
      </w:pPr>
      <w:r>
        <w:rPr>
          <w:rFonts w:ascii="Times New Roman" w:cs="Times New Roman" w:eastAsia="Times New Roman" w:hAnsi="Times New Roman"/>
          <w:sz w:val="13"/>
          <w:szCs w:val="13"/>
          <w:b w:val="1"/>
          <w:bCs w:val="1"/>
          <w:i w:val="1"/>
          <w:iCs w:val="1"/>
          <w:color w:val="auto"/>
        </w:rPr>
        <w:t>The offering of the notes is not conditioned on the consummation of the Merger, and if the Merger is not consummated, our management team will retain broad discretion to invest or spend the proceeds of the offering of the notes in ways that you may not support.</w:t>
      </w:r>
    </w:p>
    <w:p>
      <w:pPr>
        <w:spacing w:after="0" w:line="69" w:lineRule="exact"/>
        <w:rPr>
          <w:sz w:val="20"/>
          <w:szCs w:val="20"/>
          <w:color w:val="auto"/>
        </w:rPr>
      </w:pPr>
    </w:p>
    <w:p>
      <w:pPr>
        <w:ind w:left="1520" w:right="1579" w:firstLine="262"/>
        <w:spacing w:after="0" w:line="254" w:lineRule="auto"/>
        <w:rPr>
          <w:sz w:val="20"/>
          <w:szCs w:val="20"/>
          <w:color w:val="auto"/>
        </w:rPr>
      </w:pPr>
      <w:r>
        <w:rPr>
          <w:rFonts w:ascii="Times New Roman" w:cs="Times New Roman" w:eastAsia="Times New Roman" w:hAnsi="Times New Roman"/>
          <w:sz w:val="13"/>
          <w:szCs w:val="13"/>
          <w:color w:val="auto"/>
        </w:rPr>
        <w:t>We estimate that the net proceeds to us, after deducting the underwriting discounts and estimated offering expenses payable by us, will be approximately $5.148 billion. We have elected to draw $5.2 billion principal amount of borrowings under our Term Credit Agreement. We intend to fund consideration for the Merger and to pay related fees and expenses with borrowings under the Term Credit Agreement, together with borrowings under our commercial paper program and cash on hand. We intend to use the net proceeds from the offering of the notes to repay such borrowings under our Term Credit Agreement upon completion of the Merger. Consummation of this offering is not contingent on the completion of the Merger. Because the Merger is subject to the satisfaction or waiver of certain conditions, we cannot assure you that the Merger will be consummated in the anticipated timeframe or at all. If for any reason the Merger is not consummated, we intend to use the net proceeds from the offering of the notes for general corporate purposes, which may include (but is not limited to) (i) the repayment or redemption of our senior notes,</w:t>
      </w:r>
    </w:p>
    <w:p>
      <w:pPr>
        <w:spacing w:after="0" w:line="4" w:lineRule="exact"/>
        <w:rPr>
          <w:sz w:val="20"/>
          <w:szCs w:val="20"/>
          <w:color w:val="auto"/>
        </w:rPr>
      </w:pPr>
    </w:p>
    <w:p>
      <w:pPr>
        <w:ind w:left="1520" w:right="1599" w:hanging="6"/>
        <w:spacing w:after="0" w:line="256" w:lineRule="auto"/>
        <w:tabs>
          <w:tab w:leader="none" w:pos="1726"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funding of acquisitions and, (iii) upon the Company’s return to target leverage ratios, share repurchases. See “Use of Proceeds.” If the Merger is not consummated, our management team will retain broad discretion in the application of the net proceeds of this offering, and you will not have the opportunity, as part of your investment decision, to assess whether the proceeds are being used in ways that you support.</w:t>
      </w:r>
    </w:p>
    <w:p>
      <w:pPr>
        <w:spacing w:after="0" w:line="28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You may not be able to sell the notes for a profit or at all.</w:t>
      </w:r>
    </w:p>
    <w:p>
      <w:pPr>
        <w:spacing w:after="0" w:line="110" w:lineRule="exact"/>
        <w:rPr>
          <w:sz w:val="20"/>
          <w:szCs w:val="20"/>
          <w:color w:val="auto"/>
        </w:rPr>
      </w:pPr>
    </w:p>
    <w:p>
      <w:pPr>
        <w:ind w:left="1520" w:right="1519" w:firstLine="262"/>
        <w:spacing w:after="0" w:line="257" w:lineRule="auto"/>
        <w:rPr>
          <w:sz w:val="20"/>
          <w:szCs w:val="20"/>
          <w:color w:val="auto"/>
        </w:rPr>
      </w:pPr>
      <w:r>
        <w:rPr>
          <w:rFonts w:ascii="Times New Roman" w:cs="Times New Roman" w:eastAsia="Times New Roman" w:hAnsi="Times New Roman"/>
          <w:sz w:val="13"/>
          <w:szCs w:val="13"/>
          <w:color w:val="auto"/>
        </w:rPr>
        <w:t>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2" w:name="page13"/>
    <w:bookmarkEnd w:id="12"/>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18" w:lineRule="exact"/>
        <w:rPr>
          <w:sz w:val="20"/>
          <w:szCs w:val="20"/>
          <w:color w:val="auto"/>
        </w:rPr>
      </w:pPr>
    </w:p>
    <w:p>
      <w:pPr>
        <w:ind w:left="1520" w:right="1879" w:firstLine="262"/>
        <w:spacing w:after="0" w:line="286" w:lineRule="auto"/>
        <w:rPr>
          <w:sz w:val="20"/>
          <w:szCs w:val="20"/>
          <w:color w:val="auto"/>
        </w:rPr>
      </w:pPr>
      <w:r>
        <w:rPr>
          <w:rFonts w:ascii="Times New Roman" w:cs="Times New Roman" w:eastAsia="Times New Roman" w:hAnsi="Times New Roman"/>
          <w:sz w:val="13"/>
          <w:szCs w:val="13"/>
          <w:color w:val="auto"/>
        </w:rPr>
        <w:t>We expect the net proceeds from the offering of the notes to be $5.148 billion, after deducting the underwriting discounts and estimated expenses of the offering that we will pay.</w:t>
      </w:r>
    </w:p>
    <w:p>
      <w:pPr>
        <w:spacing w:after="0" w:line="67" w:lineRule="exact"/>
        <w:rPr>
          <w:sz w:val="20"/>
          <w:szCs w:val="20"/>
          <w:color w:val="auto"/>
        </w:rPr>
      </w:pPr>
    </w:p>
    <w:p>
      <w:pPr>
        <w:ind w:left="1520" w:right="1519" w:firstLine="262"/>
        <w:spacing w:after="0" w:line="255" w:lineRule="auto"/>
        <w:rPr>
          <w:sz w:val="20"/>
          <w:szCs w:val="20"/>
          <w:color w:val="auto"/>
        </w:rPr>
      </w:pPr>
      <w:r>
        <w:rPr>
          <w:rFonts w:ascii="Times New Roman" w:cs="Times New Roman" w:eastAsia="Times New Roman" w:hAnsi="Times New Roman"/>
          <w:sz w:val="13"/>
          <w:szCs w:val="13"/>
          <w:color w:val="auto"/>
        </w:rPr>
        <w:t>We have elected to draw $5.2 billion principal amount of borrowings under our Term Credit Agreement. We intend to fund consideration for the Merger and to pay related fees and expenses with borrowings under the Term Credit Agreement, together with borrowings under our commercial paper program and cash on hand. We intend to use the net proceeds from the offering of notes to repay such borrowings under our Term Credit Agreement upon completion of the Merger. Consummation of this offering is not contingent on the completion of the Merger. If for any reason the Merger is not consummated, we intend to use the net proceeds from this offering for general corporate purposes, which may include (but is not limited to) (i) the repayment or redemption of our senior notes, (ii) the funding of acquisitions and, (iii) upon the Company’s return to target leverage ratios, share repurchases. If the Merger is not consummated, our management team will retain broad discretion as to the allocation of the net proceeds of this offering. Pending application of the net proceeds of this offering for the foregoing purposes, we may use the net proceeds to repay any current or future borrowings under our commercial paper program used to pay the consideration for the Merger and for working capital, which is fully supported by our $3.5 billion revolving credit facility, for short-term investments or for general corporate purposes.</w:t>
      </w:r>
    </w:p>
    <w:p>
      <w:pPr>
        <w:spacing w:after="0" w:line="237" w:lineRule="exact"/>
        <w:rPr>
          <w:sz w:val="20"/>
          <w:szCs w:val="20"/>
          <w:color w:val="auto"/>
        </w:rPr>
      </w:pPr>
    </w:p>
    <w:p>
      <w:pPr>
        <w:ind w:left="1520" w:right="1559" w:firstLine="262"/>
        <w:spacing w:after="0" w:line="255" w:lineRule="auto"/>
        <w:rPr>
          <w:sz w:val="20"/>
          <w:szCs w:val="20"/>
          <w:color w:val="auto"/>
        </w:rPr>
      </w:pPr>
      <w:r>
        <w:rPr>
          <w:rFonts w:ascii="Times New Roman" w:cs="Times New Roman" w:eastAsia="Times New Roman" w:hAnsi="Times New Roman"/>
          <w:sz w:val="13"/>
          <w:szCs w:val="13"/>
          <w:color w:val="auto"/>
        </w:rPr>
        <w:t>Certain underwriters or their respective affiliates in this offering are lenders under the Term Credit Agreement and may receive 5% or more of the net proceeds of this offering by reason of the repayment of amounts outstanding under the Term Credit Agreement. Additionally, certain underwriters or their respective affiliates in this offering are dealers under our commercial paper program and may receive 5% or more of the net proceeds of this offering by reason of the repayment of any current or future amounts outstanding under our commercial paper program, which is fully supported by our $3.5 billion revolving credit facility.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w:t>
      </w:r>
    </w:p>
    <w:p>
      <w:pPr>
        <w:spacing w:after="0" w:line="248" w:lineRule="exact"/>
        <w:rPr>
          <w:sz w:val="20"/>
          <w:szCs w:val="20"/>
          <w:color w:val="auto"/>
        </w:rPr>
      </w:pPr>
    </w:p>
    <w:p>
      <w:pPr>
        <w:ind w:left="1520" w:right="1639" w:firstLine="262"/>
        <w:spacing w:after="0" w:line="269" w:lineRule="auto"/>
        <w:rPr>
          <w:sz w:val="20"/>
          <w:szCs w:val="20"/>
          <w:color w:val="auto"/>
        </w:rPr>
      </w:pPr>
      <w:r>
        <w:rPr>
          <w:rFonts w:ascii="Times New Roman" w:cs="Times New Roman" w:eastAsia="Times New Roman" w:hAnsi="Times New Roman"/>
          <w:sz w:val="13"/>
          <w:szCs w:val="13"/>
          <w:color w:val="auto"/>
        </w:rPr>
        <w:t>We expect the sales of each series of notes will take place concurrently. However, the sales of each series of notes are not conditioned upon each other, and we may consummate the sale of one series and not the others or consummate the sales at different times.</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Term Credit Agreement</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On August 28, 2024, we entered into the Term Credit Agreement in a principal amount of up to</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$7.2 billion with the Term Credit Banks and JPMorgan Chase Bank, N.A., as administrative agent for the</w:t>
      </w:r>
    </w:p>
    <w:p>
      <w:pPr>
        <w:spacing w:after="0" w:line="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Term Credit Banks. WM Holdings guarantees our obligations under the Term Credit Agreement. We have</w:t>
      </w:r>
    </w:p>
    <w:p>
      <w:pPr>
        <w:spacing w:after="0" w:line="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elected to draw $5.2 billion principal amount of borrowings under the Term Credit Agreement to fund</w:t>
      </w:r>
    </w:p>
    <w:p>
      <w:pPr>
        <w:spacing w:after="0" w:line="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consideration for the Merger and to pay related fees and expenses.</w:t>
      </w:r>
    </w:p>
    <w:p>
      <w:pPr>
        <w:spacing w:after="0" w:line="15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Commercial Paper Program</w:t>
      </w:r>
    </w:p>
    <w:p>
      <w:pPr>
        <w:spacing w:after="0" w:line="108" w:lineRule="exact"/>
        <w:rPr>
          <w:sz w:val="20"/>
          <w:szCs w:val="20"/>
          <w:color w:val="auto"/>
        </w:rPr>
      </w:pPr>
    </w:p>
    <w:p>
      <w:pPr>
        <w:ind w:left="1520" w:right="1619" w:firstLine="262"/>
        <w:spacing w:after="0" w:line="258" w:lineRule="auto"/>
        <w:rPr>
          <w:sz w:val="20"/>
          <w:szCs w:val="20"/>
          <w:color w:val="auto"/>
        </w:rPr>
      </w:pPr>
      <w:r>
        <w:rPr>
          <w:rFonts w:ascii="Times New Roman" w:cs="Times New Roman" w:eastAsia="Times New Roman" w:hAnsi="Times New Roman"/>
          <w:sz w:val="13"/>
          <w:szCs w:val="13"/>
          <w:color w:val="auto"/>
        </w:rPr>
        <w:t>Our commercial paper program enables us to borrow up to $3.5 billion, which capacity is reduced by the aggregate amount of borrowings outstanding under our $3.5 billion revolving credit facility, for up to 397 days at competitive interest rates. As of September 30, 2024, we had no outstanding borrowings under our commercial paper program. As of October 29, 2024, we had $598 million of outstanding borrowings under our commercial paper program (net of related discount on issuance) with a weighted average interest rate of 4.91% and a weighted average maturity of 25.3 days. We expect any current or future proceeds of our commercial paper program to be used to pay the consideration for the Merger and for working capital.</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3" w:name="page14"/>
    <w:bookmarkEnd w:id="13"/>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CAPITALIZATION</w:t>
      </w:r>
    </w:p>
    <w:p>
      <w:pPr>
        <w:spacing w:after="0" w:line="118" w:lineRule="exact"/>
        <w:rPr>
          <w:sz w:val="20"/>
          <w:szCs w:val="20"/>
          <w:color w:val="auto"/>
        </w:rPr>
      </w:pPr>
    </w:p>
    <w:p>
      <w:pPr>
        <w:ind w:left="1520" w:right="1619" w:firstLine="262"/>
        <w:spacing w:after="0" w:line="256" w:lineRule="auto"/>
        <w:rPr>
          <w:sz w:val="20"/>
          <w:szCs w:val="20"/>
          <w:color w:val="auto"/>
        </w:rPr>
      </w:pPr>
      <w:r>
        <w:rPr>
          <w:rFonts w:ascii="Times New Roman" w:cs="Times New Roman" w:eastAsia="Times New Roman" w:hAnsi="Times New Roman"/>
          <w:sz w:val="13"/>
          <w:szCs w:val="13"/>
          <w:color w:val="auto"/>
        </w:rPr>
        <w:t>The following table sets forth our consolidated cash and cash equivalents and consolidated capitalization as of September 30, 2024 on an actual basis and as adjusted to give effect to (A) the offering of the notes and (B) the receipt of the net proceeds therefrom. The following tables do not reflect (1) the application of the net proceeds from the offering of the notes as described under “Use of Proceeds”, (2) the consummation of the Exchange Offer and Consent Solicitation, including up to $500.0 million aggregate principal amount of senior notes that the Company intends to issue in connection with the Exchange Offer,</w:t>
      </w:r>
    </w:p>
    <w:p>
      <w:pPr>
        <w:spacing w:after="0" w:line="1" w:lineRule="exact"/>
        <w:rPr>
          <w:sz w:val="20"/>
          <w:szCs w:val="20"/>
          <w:color w:val="auto"/>
        </w:rPr>
      </w:pPr>
    </w:p>
    <w:p>
      <w:pPr>
        <w:jc w:val="both"/>
        <w:ind w:left="1520" w:right="1719" w:hanging="6"/>
        <w:spacing w:after="0" w:line="265" w:lineRule="auto"/>
        <w:tabs>
          <w:tab w:leader="none" w:pos="1716"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election to draw $5.2 billion principal amount of borrowings under the Term Credit Agreement or any issuance of commercial paper in connection with the Merger or (4) the consummation of the Merger.</w:t>
      </w:r>
    </w:p>
    <w:p>
      <w:pPr>
        <w:spacing w:after="0" w:line="79" w:lineRule="exact"/>
        <w:rPr>
          <w:sz w:val="20"/>
          <w:szCs w:val="20"/>
          <w:color w:val="auto"/>
        </w:rPr>
      </w:pPr>
    </w:p>
    <w:p>
      <w:pPr>
        <w:jc w:val="both"/>
        <w:ind w:left="1520" w:right="1519" w:firstLine="262"/>
        <w:spacing w:after="0" w:line="264" w:lineRule="auto"/>
        <w:rPr>
          <w:sz w:val="20"/>
          <w:szCs w:val="20"/>
          <w:color w:val="auto"/>
        </w:rPr>
      </w:pPr>
      <w:r>
        <w:rPr>
          <w:rFonts w:ascii="Times New Roman" w:cs="Times New Roman" w:eastAsia="Times New Roman" w:hAnsi="Times New Roman"/>
          <w:sz w:val="13"/>
          <w:szCs w:val="13"/>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84" w:lineRule="exact"/>
        <w:rPr>
          <w:sz w:val="20"/>
          <w:szCs w:val="20"/>
          <w:color w:val="auto"/>
        </w:rPr>
      </w:pPr>
    </w:p>
    <w:tbl>
      <w:tblPr>
        <w:tblLayout w:type="fixed"/>
        <w:tblInd w:w="1520" w:type="dxa"/>
        <w:tblCellMar>
          <w:top w:w="0" w:type="dxa"/>
          <w:left w:w="0" w:type="dxa"/>
          <w:bottom w:w="0" w:type="dxa"/>
          <w:right w:w="0" w:type="dxa"/>
        </w:tblCellMar>
      </w:tblPr>
      <w:tr>
        <w:trPr>
          <w:trHeight w:val="166"/>
        </w:trPr>
        <w:tc>
          <w:tcPr>
            <w:tcW w:w="2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60" w:type="dxa"/>
            <w:vAlign w:val="bottom"/>
          </w:tcPr>
          <w:p>
            <w:pPr>
              <w:ind w:left="21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September 30, 2024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7"/>
        </w:trPr>
        <w:tc>
          <w:tcPr>
            <w:tcW w:w="2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60" w:type="dxa"/>
            <w:vAlign w:val="bottom"/>
          </w:tcPr>
          <w:p>
            <w:pPr>
              <w:ind w:left="22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0"/>
                <w:szCs w:val="10"/>
                <w:b w:val="1"/>
                <w:bCs w:val="1"/>
                <w:color w:val="auto"/>
              </w:rPr>
              <w:t>Actual</w:t>
            </w:r>
          </w:p>
        </w:tc>
        <w:tc>
          <w:tcPr>
            <w:tcW w:w="900" w:type="dxa"/>
            <w:vAlign w:val="bottom"/>
            <w:tcBorders>
              <w:bottom w:val="single" w:sz="8" w:color="auto"/>
            </w:tcBorders>
          </w:tcPr>
          <w:p>
            <w:pPr>
              <w:ind w:left="80"/>
              <w:spacing w:after="0" w:line="157" w:lineRule="exact"/>
              <w:rPr>
                <w:sz w:val="20"/>
                <w:szCs w:val="20"/>
                <w:color w:val="auto"/>
              </w:rPr>
            </w:pPr>
            <w:r>
              <w:rPr>
                <w:rFonts w:ascii="Times New Roman" w:cs="Times New Roman" w:eastAsia="Times New Roman" w:hAnsi="Times New Roman"/>
                <w:sz w:val="18"/>
                <w:szCs w:val="18"/>
                <w:b w:val="1"/>
                <w:bCs w:val="1"/>
                <w:color w:val="auto"/>
                <w:vertAlign w:val="subscript"/>
              </w:rPr>
              <w:t>​ ​</w:t>
            </w:r>
            <w:r>
              <w:rPr>
                <w:rFonts w:ascii="Times New Roman" w:cs="Times New Roman" w:eastAsia="Times New Roman" w:hAnsi="Times New Roman"/>
                <w:sz w:val="10"/>
                <w:szCs w:val="10"/>
                <w:b w:val="1"/>
                <w:bCs w:val="1"/>
                <w:color w:val="auto"/>
              </w:rPr>
              <w:t xml:space="preserve"> As Adjusted</w:t>
            </w:r>
            <w:r>
              <w:rPr>
                <w:rFonts w:ascii="Times New Roman" w:cs="Times New Roman" w:eastAsia="Times New Roman" w:hAnsi="Times New Roman"/>
                <w:sz w:val="12"/>
                <w:szCs w:val="12"/>
                <w:b w:val="1"/>
                <w:bCs w:val="1"/>
                <w:color w:val="auto"/>
                <w:vertAlign w:val="superscript"/>
              </w:rPr>
              <w:t>(a)</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0"/>
        </w:trPr>
        <w:tc>
          <w:tcPr>
            <w:tcW w:w="2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260" w:type="dxa"/>
            <w:vAlign w:val="bottom"/>
          </w:tcPr>
          <w:p>
            <w:pPr>
              <w:ind w:left="218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(Unaudited, Dollars in millions)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-635</wp:posOffset>
            </wp:positionV>
            <wp:extent cx="3797300" cy="1187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797300" cy="11874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-94615</wp:posOffset>
            </wp:positionV>
            <wp:extent cx="9969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99695" cy="635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p>
      <w:pPr>
        <w:spacing w:after="0" w:line="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-1270</wp:posOffset>
            </wp:positionV>
            <wp:extent cx="3797300" cy="112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797300" cy="112395"/>
                    </a:xfrm>
                    <a:prstGeom prst="rect">
                      <a:avLst/>
                    </a:prstGeom>
                    <a:noFill/>
                  </pic:spPr>
                </pic:pic>
              </a:graphicData>
            </a:graphic>
          </wp:anchor>
        </w:drawing>
      </w:r>
    </w:p>
    <w:p>
      <w:pPr>
        <w:ind w:left="1640"/>
        <w:spacing w:after="0" w:line="217" w:lineRule="auto"/>
        <w:rPr>
          <w:sz w:val="20"/>
          <w:szCs w:val="20"/>
          <w:color w:val="auto"/>
        </w:rPr>
      </w:pPr>
      <w:r>
        <w:rPr>
          <w:rFonts w:ascii="Times New Roman" w:cs="Times New Roman" w:eastAsia="Times New Roman" w:hAnsi="Times New Roman"/>
          <w:sz w:val="13"/>
          <w:szCs w:val="13"/>
          <w:color w:val="auto"/>
        </w:rPr>
        <w:t>Commercial paper program</w:t>
      </w:r>
      <w:r>
        <w:rPr>
          <w:rFonts w:ascii="Times New Roman" w:cs="Times New Roman" w:eastAsia="Times New Roman" w:hAnsi="Times New Roman"/>
          <w:sz w:val="17"/>
          <w:szCs w:val="17"/>
          <w:color w:val="auto"/>
          <w:vertAlign w:val="superscript"/>
        </w:rPr>
        <w:t>(b)</w:t>
      </w:r>
    </w:p>
    <w:p>
      <w:pPr>
        <w:ind w:left="1640"/>
        <w:spacing w:after="0" w:line="217" w:lineRule="auto"/>
        <w:rPr>
          <w:sz w:val="20"/>
          <w:szCs w:val="20"/>
          <w:color w:val="auto"/>
        </w:rPr>
      </w:pPr>
      <w:r>
        <w:rPr>
          <w:rFonts w:ascii="Times New Roman" w:cs="Times New Roman" w:eastAsia="Times New Roman" w:hAnsi="Times New Roman"/>
          <w:sz w:val="13"/>
          <w:szCs w:val="13"/>
          <w:color w:val="auto"/>
        </w:rPr>
        <w:t>$3.5 billion revolving credit facility</w:t>
      </w:r>
      <w:r>
        <w:rPr>
          <w:rFonts w:ascii="Times New Roman" w:cs="Times New Roman" w:eastAsia="Times New Roman" w:hAnsi="Times New Roman"/>
          <w:sz w:val="17"/>
          <w:szCs w:val="17"/>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-635</wp:posOffset>
            </wp:positionV>
            <wp:extent cx="3797300" cy="112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797300" cy="112395"/>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3"/>
          <w:szCs w:val="13"/>
          <w:color w:val="auto"/>
        </w:rPr>
        <w:t>Term Credit Agreement</w:t>
      </w:r>
      <w:r>
        <w:rPr>
          <w:rFonts w:ascii="Times New Roman" w:cs="Times New Roman" w:eastAsia="Times New Roman" w:hAnsi="Times New Roman"/>
          <w:sz w:val="17"/>
          <w:szCs w:val="17"/>
          <w:color w:val="auto"/>
          <w:vertAlign w:val="superscript"/>
        </w:rPr>
        <w:t>(c)</w:t>
      </w:r>
    </w:p>
    <w:p>
      <w:pPr>
        <w:spacing w:after="0" w:line="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Senior notes, maturing through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-6350</wp:posOffset>
            </wp:positionV>
            <wp:extent cx="3797300" cy="2063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797300" cy="206375"/>
                    </a:xfrm>
                    <a:prstGeom prst="rect">
                      <a:avLst/>
                    </a:prstGeom>
                    <a:noFill/>
                  </pic:spPr>
                </pic:pic>
              </a:graphicData>
            </a:graphic>
          </wp:anchor>
        </w:drawing>
      </w:r>
    </w:p>
    <w:p>
      <w:pPr>
        <w:ind w:left="1780" w:hanging="130"/>
        <w:spacing w:after="0" w:line="252" w:lineRule="auto"/>
        <w:rPr>
          <w:sz w:val="20"/>
          <w:szCs w:val="20"/>
          <w:color w:val="auto"/>
        </w:rPr>
      </w:pPr>
      <w:r>
        <w:rPr>
          <w:rFonts w:ascii="Times New Roman" w:cs="Times New Roman" w:eastAsia="Times New Roman" w:hAnsi="Times New Roman"/>
          <w:sz w:val="13"/>
          <w:szCs w:val="13"/>
          <w:color w:val="auto"/>
        </w:rPr>
        <w:t>4.500% Senior Notes due 2028 offered hereby (including unamortized discount)</w:t>
      </w:r>
    </w:p>
    <w:p>
      <w:pPr>
        <w:ind w:left="1780" w:hanging="130"/>
        <w:spacing w:after="0" w:line="260" w:lineRule="auto"/>
        <w:rPr>
          <w:sz w:val="20"/>
          <w:szCs w:val="20"/>
          <w:color w:val="auto"/>
        </w:rPr>
      </w:pPr>
      <w:r>
        <w:rPr>
          <w:rFonts w:ascii="Times New Roman" w:cs="Times New Roman" w:eastAsia="Times New Roman" w:hAnsi="Times New Roman"/>
          <w:sz w:val="13"/>
          <w:szCs w:val="13"/>
          <w:color w:val="auto"/>
        </w:rPr>
        <w:t>4.650% Senior Notes due 2030 offered hereby (including 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0</wp:posOffset>
            </wp:positionV>
            <wp:extent cx="3797300" cy="206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797300" cy="206375"/>
                    </a:xfrm>
                    <a:prstGeom prst="rect">
                      <a:avLst/>
                    </a:prstGeom>
                    <a:noFill/>
                  </pic:spPr>
                </pic:pic>
              </a:graphicData>
            </a:graphic>
          </wp:anchor>
        </w:drawing>
      </w:r>
    </w:p>
    <w:p>
      <w:pPr>
        <w:ind w:left="1780" w:hanging="130"/>
        <w:spacing w:after="0" w:line="260" w:lineRule="auto"/>
        <w:rPr>
          <w:sz w:val="20"/>
          <w:szCs w:val="20"/>
          <w:color w:val="auto"/>
        </w:rPr>
      </w:pPr>
      <w:r>
        <w:rPr>
          <w:rFonts w:ascii="Times New Roman" w:cs="Times New Roman" w:eastAsia="Times New Roman" w:hAnsi="Times New Roman"/>
          <w:sz w:val="13"/>
          <w:szCs w:val="13"/>
          <w:color w:val="auto"/>
        </w:rPr>
        <w:t>4.800% Senior Notes due 2032 offered hereby (including unamortized discount)</w:t>
      </w:r>
    </w:p>
    <w:p>
      <w:pPr>
        <w:spacing w:after="0" w:line="1" w:lineRule="exact"/>
        <w:rPr>
          <w:sz w:val="20"/>
          <w:szCs w:val="20"/>
          <w:color w:val="auto"/>
        </w:rPr>
      </w:pPr>
    </w:p>
    <w:p>
      <w:pPr>
        <w:ind w:left="1780" w:hanging="130"/>
        <w:spacing w:after="0" w:line="260" w:lineRule="auto"/>
        <w:rPr>
          <w:sz w:val="20"/>
          <w:szCs w:val="20"/>
          <w:color w:val="auto"/>
        </w:rPr>
      </w:pPr>
      <w:r>
        <w:rPr>
          <w:rFonts w:ascii="Times New Roman" w:cs="Times New Roman" w:eastAsia="Times New Roman" w:hAnsi="Times New Roman"/>
          <w:sz w:val="13"/>
          <w:szCs w:val="13"/>
          <w:color w:val="auto"/>
        </w:rPr>
        <w:t>4.950% Senior Notes due 2035 offered hereby (including unamortized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0</wp:posOffset>
            </wp:positionV>
            <wp:extent cx="3797300" cy="206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797300" cy="206375"/>
                    </a:xfrm>
                    <a:prstGeom prst="rect">
                      <a:avLst/>
                    </a:prstGeom>
                    <a:noFill/>
                  </pic:spPr>
                </pic:pic>
              </a:graphicData>
            </a:graphic>
          </wp:anchor>
        </w:drawing>
      </w:r>
    </w:p>
    <w:p>
      <w:pPr>
        <w:ind w:left="1780" w:hanging="130"/>
        <w:spacing w:after="0" w:line="263" w:lineRule="auto"/>
        <w:rPr>
          <w:sz w:val="20"/>
          <w:szCs w:val="20"/>
          <w:color w:val="auto"/>
        </w:rPr>
      </w:pPr>
      <w:r>
        <w:rPr>
          <w:rFonts w:ascii="Times New Roman" w:cs="Times New Roman" w:eastAsia="Times New Roman" w:hAnsi="Times New Roman"/>
          <w:sz w:val="13"/>
          <w:szCs w:val="13"/>
          <w:color w:val="auto"/>
        </w:rPr>
        <w:t>5.350% Senior Notes due 2054 offered hereby (including unamortized discount)</w:t>
      </w:r>
    </w:p>
    <w:p>
      <w:pPr>
        <w:ind w:left="1640"/>
        <w:spacing w:after="0"/>
        <w:rPr>
          <w:sz w:val="20"/>
          <w:szCs w:val="20"/>
          <w:color w:val="auto"/>
        </w:rPr>
      </w:pPr>
      <w:r>
        <w:rPr>
          <w:rFonts w:ascii="Times New Roman" w:cs="Times New Roman" w:eastAsia="Times New Roman" w:hAnsi="Times New Roman"/>
          <w:sz w:val="13"/>
          <w:szCs w:val="13"/>
          <w:color w:val="auto"/>
        </w:rPr>
        <w:t>Canadian senior notes, C$500 million maturing September 2026</w:t>
      </w:r>
      <w:r>
        <w:rPr>
          <w:rFonts w:ascii="Times New Roman" w:cs="Times New Roman" w:eastAsia="Times New Roman" w:hAnsi="Times New Roman"/>
          <w:sz w:val="17"/>
          <w:szCs w:val="17"/>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-7620</wp:posOffset>
            </wp:positionV>
            <wp:extent cx="3797300" cy="118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797300" cy="118745"/>
                    </a:xfrm>
                    <a:prstGeom prst="rect">
                      <a:avLst/>
                    </a:prstGeom>
                    <a:noFill/>
                  </pic:spPr>
                </pic:pic>
              </a:graphicData>
            </a:graphic>
          </wp:anchor>
        </w:drawing>
      </w:r>
    </w:p>
    <w:p>
      <w:pPr>
        <w:ind w:left="1640"/>
        <w:spacing w:after="0"/>
        <w:rPr>
          <w:sz w:val="20"/>
          <w:szCs w:val="20"/>
          <w:color w:val="auto"/>
        </w:rPr>
      </w:pPr>
      <w:r>
        <w:rPr>
          <w:rFonts w:ascii="Times New Roman" w:cs="Times New Roman" w:eastAsia="Times New Roman" w:hAnsi="Times New Roman"/>
          <w:sz w:val="13"/>
          <w:szCs w:val="13"/>
          <w:color w:val="auto"/>
        </w:rPr>
        <w:t>Tax-exempt bonds, maturing through 2053</w:t>
      </w:r>
      <w:r>
        <w:rPr>
          <w:rFonts w:ascii="Times New Roman" w:cs="Times New Roman" w:eastAsia="Times New Roman" w:hAnsi="Times New Roman"/>
          <w:sz w:val="17"/>
          <w:szCs w:val="17"/>
          <w:color w:val="auto"/>
          <w:vertAlign w:val="superscript"/>
        </w:rPr>
        <w:t>(e)</w:t>
      </w:r>
    </w:p>
    <w:p>
      <w:pPr>
        <w:ind w:left="1640"/>
        <w:spacing w:after="0" w:line="231" w:lineRule="auto"/>
        <w:rPr>
          <w:sz w:val="20"/>
          <w:szCs w:val="20"/>
          <w:color w:val="auto"/>
        </w:rPr>
      </w:pPr>
      <w:r>
        <w:rPr>
          <w:rFonts w:ascii="Times New Roman" w:cs="Times New Roman" w:eastAsia="Times New Roman" w:hAnsi="Times New Roman"/>
          <w:sz w:val="13"/>
          <w:szCs w:val="13"/>
          <w:color w:val="auto"/>
        </w:rPr>
        <w:t>Financing leases and other, maturing through 2082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5,762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68"/>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 ​ ​</w:t>
            </w:r>
          </w:p>
        </w:tc>
        <w:tc>
          <w:tcPr>
            <w:tcW w:w="340" w:type="dxa"/>
            <w:vAlign w:val="bottom"/>
          </w:tcPr>
          <w:p>
            <w:pPr>
              <w:spacing w:after="0"/>
              <w:rPr>
                <w:sz w:val="14"/>
                <w:szCs w:val="14"/>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340" w:type="dxa"/>
            <w:vAlign w:val="bottom"/>
          </w:tcPr>
          <w:p>
            <w:pPr>
              <w:spacing w:after="0"/>
              <w:rPr>
                <w:sz w:val="14"/>
                <w:szCs w:val="14"/>
                <w:color w:val="auto"/>
              </w:rPr>
            </w:pPr>
          </w:p>
        </w:tc>
        <w:tc>
          <w:tcPr>
            <w:tcW w:w="1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7"/>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3"/>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1"/>
        </w:trPr>
        <w:tc>
          <w:tcPr>
            <w:tcW w:w="980" w:type="dxa"/>
            <w:vAlign w:val="bottom"/>
            <w:gridSpan w:val="4"/>
          </w:tcPr>
          <w:p>
            <w:pPr>
              <w:jc w:val="right"/>
              <w:ind w:right="54"/>
              <w:spacing w:after="0"/>
              <w:rPr>
                <w:sz w:val="20"/>
                <w:szCs w:val="20"/>
                <w:color w:val="auto"/>
              </w:rPr>
            </w:pPr>
            <w:r>
              <w:rPr>
                <w:rFonts w:ascii="Times New Roman" w:cs="Times New Roman" w:eastAsia="Times New Roman" w:hAnsi="Times New Roman"/>
                <w:sz w:val="13"/>
                <w:szCs w:val="13"/>
                <w:color w:val="auto"/>
              </w:rPr>
              <w:t>​ ​ ​ ​ 12,720 ​​ ​</w:t>
            </w: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12,720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05"/>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25"/>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700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25"/>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750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25"/>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1,500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25"/>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 ​​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1,250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7"/>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370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83"/>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2,823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48"/>
        </w:trPr>
        <w:tc>
          <w:tcPr>
            <w:tcW w:w="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3"/>
                <w:szCs w:val="13"/>
                <w:color w:val="auto"/>
              </w:rPr>
              <w:t>​ ​ ​ ​</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865</w:t>
            </w:r>
          </w:p>
        </w:tc>
        <w:tc>
          <w:tcPr>
            <w:tcW w:w="300" w:type="dxa"/>
            <w:vAlign w:val="bottom"/>
          </w:tcPr>
          <w:p>
            <w:pPr>
              <w:jc w:val="right"/>
              <w:ind w:right="54"/>
              <w:spacing w:after="0" w:line="149" w:lineRule="exact"/>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line="149" w:lineRule="exact"/>
              <w:rPr>
                <w:sz w:val="20"/>
                <w:szCs w:val="20"/>
                <w:color w:val="auto"/>
              </w:rPr>
            </w:pPr>
            <w:r>
              <w:rPr>
                <w:rFonts w:ascii="Times New Roman" w:cs="Times New Roman" w:eastAsia="Times New Roman" w:hAnsi="Times New Roman"/>
                <w:sz w:val="13"/>
                <w:szCs w:val="13"/>
                <w:color w:val="auto"/>
              </w:rPr>
              <w:t>865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00" w:space="420"/>
            <w:col w:w="3099"/>
          </w:cols>
          <w:pgMar w:left="1440" w:top="110" w:right="1440" w:bottom="1440" w:gutter="0" w:footer="0" w:header="0"/>
          <w:type w:val="continuous"/>
        </w:sectPr>
      </w:pPr>
    </w:p>
    <w:tbl>
      <w:tblPr>
        <w:tblLayout w:type="fixed"/>
        <w:tblInd w:w="600" w:type="dxa"/>
        <w:tblCellMar>
          <w:top w:w="0" w:type="dxa"/>
          <w:left w:w="0" w:type="dxa"/>
          <w:bottom w:w="0" w:type="dxa"/>
          <w:right w:w="0" w:type="dxa"/>
        </w:tblCellMar>
      </w:tblPr>
      <w:tr>
        <w:trPr>
          <w:trHeight w:val="189"/>
        </w:trPr>
        <w:tc>
          <w:tcPr>
            <w:tcW w:w="920" w:type="dxa"/>
            <w:vAlign w:val="bottom"/>
          </w:tcPr>
          <w:p>
            <w:pPr>
              <w:spacing w:after="0"/>
              <w:rPr>
                <w:sz w:val="16"/>
                <w:szCs w:val="16"/>
                <w:color w:val="auto"/>
              </w:rPr>
            </w:pPr>
          </w:p>
        </w:tc>
        <w:tc>
          <w:tcPr>
            <w:tcW w:w="44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3"/>
                <w:szCs w:val="13"/>
                <w:color w:val="auto"/>
              </w:rPr>
              <w:t>Debt issuance costs, discounts and other</w:t>
            </w:r>
            <w:r>
              <w:rPr>
                <w:rFonts w:ascii="Times New Roman" w:cs="Times New Roman" w:eastAsia="Times New Roman" w:hAnsi="Times New Roman"/>
                <w:sz w:val="17"/>
                <w:szCs w:val="17"/>
                <w:color w:val="auto"/>
                <w:vertAlign w:val="superscript"/>
              </w:rPr>
              <w:t>(f)</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(125)​​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Borders>
              <w:right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(125)</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9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7"/>
        </w:trPr>
        <w:tc>
          <w:tcPr>
            <w:tcW w:w="920" w:type="dxa"/>
            <w:vAlign w:val="bottom"/>
          </w:tcPr>
          <w:p>
            <w:pPr>
              <w:spacing w:after="0"/>
              <w:rPr>
                <w:sz w:val="15"/>
                <w:szCs w:val="15"/>
                <w:color w:val="auto"/>
              </w:rPr>
            </w:pPr>
          </w:p>
        </w:tc>
        <w:tc>
          <w:tcPr>
            <w:tcW w:w="4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debt</w:t>
            </w:r>
          </w:p>
        </w:tc>
        <w:tc>
          <w:tcPr>
            <w:tcW w:w="980" w:type="dxa"/>
            <w:vAlign w:val="bottom"/>
            <w:gridSpan w:val="4"/>
          </w:tcPr>
          <w:p>
            <w:pPr>
              <w:jc w:val="right"/>
              <w:ind w:right="54"/>
              <w:spacing w:after="0"/>
              <w:rPr>
                <w:sz w:val="20"/>
                <w:szCs w:val="20"/>
                <w:color w:val="auto"/>
              </w:rPr>
            </w:pPr>
            <w:r>
              <w:rPr>
                <w:rFonts w:ascii="Times New Roman" w:cs="Times New Roman" w:eastAsia="Times New Roman" w:hAnsi="Times New Roman"/>
                <w:sz w:val="13"/>
                <w:szCs w:val="13"/>
                <w:color w:val="auto"/>
              </w:rPr>
              <w:t>​ ​ ​ ​ 16,653 ​​ ​</w:t>
            </w: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 21,853</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9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57"/>
        </w:trPr>
        <w:tc>
          <w:tcPr>
            <w:tcW w:w="9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 ​ ​ ​</w:t>
            </w:r>
          </w:p>
        </w:tc>
        <w:tc>
          <w:tcPr>
            <w:tcW w:w="34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w:t>
            </w:r>
          </w:p>
        </w:tc>
        <w:tc>
          <w:tcPr>
            <w:tcW w:w="3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7"/>
        </w:trPr>
        <w:tc>
          <w:tcPr>
            <w:tcW w:w="9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Waste Management, Inc. Stockholders’ Equity:</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340" w:type="dxa"/>
            <w:vAlign w:val="bottom"/>
          </w:tcPr>
          <w:p>
            <w:pPr>
              <w:spacing w:after="0"/>
              <w:rPr>
                <w:sz w:val="14"/>
                <w:szCs w:val="14"/>
                <w:color w:val="auto"/>
              </w:rPr>
            </w:pP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Pr>
          <w:p>
            <w:pPr>
              <w:spacing w:after="0"/>
              <w:rPr>
                <w:sz w:val="14"/>
                <w:szCs w:val="14"/>
                <w:color w:val="auto"/>
              </w:rPr>
            </w:pPr>
          </w:p>
        </w:tc>
        <w:tc>
          <w:tcPr>
            <w:tcW w:w="1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54"/>
        </w:trPr>
        <w:tc>
          <w:tcPr>
            <w:tcW w:w="920" w:type="dxa"/>
            <w:vAlign w:val="bottom"/>
          </w:tcPr>
          <w:p>
            <w:pPr>
              <w:spacing w:after="0"/>
              <w:rPr>
                <w:sz w:val="13"/>
                <w:szCs w:val="13"/>
                <w:color w:val="auto"/>
              </w:rPr>
            </w:pPr>
          </w:p>
        </w:tc>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$0.01 par value; 1,500,000,000 shares authorized;</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00" w:type="dxa"/>
            <w:vAlign w:val="bottom"/>
          </w:tcPr>
          <w:p>
            <w:pPr>
              <w:spacing w:after="0"/>
              <w:rPr>
                <w:sz w:val="13"/>
                <w:szCs w:val="13"/>
                <w:color w:val="auto"/>
              </w:rPr>
            </w:pPr>
          </w:p>
        </w:tc>
      </w:tr>
      <w:tr>
        <w:trPr>
          <w:trHeight w:val="170"/>
        </w:trPr>
        <w:tc>
          <w:tcPr>
            <w:tcW w:w="920" w:type="dxa"/>
            <w:vAlign w:val="bottom"/>
          </w:tcPr>
          <w:p>
            <w:pPr>
              <w:spacing w:after="0"/>
              <w:rPr>
                <w:sz w:val="14"/>
                <w:szCs w:val="14"/>
                <w:color w:val="auto"/>
              </w:rPr>
            </w:pPr>
          </w:p>
        </w:tc>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630,282,461 shares issued</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00" w:type="dxa"/>
            <w:vAlign w:val="bottom"/>
            <w:tcBorders>
              <w:right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6</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7"/>
        </w:trPr>
        <w:tc>
          <w:tcPr>
            <w:tcW w:w="920" w:type="dxa"/>
            <w:vAlign w:val="bottom"/>
          </w:tcPr>
          <w:p>
            <w:pPr>
              <w:spacing w:after="0"/>
              <w:rPr>
                <w:sz w:val="14"/>
                <w:szCs w:val="14"/>
                <w:color w:val="auto"/>
              </w:rPr>
            </w:pPr>
          </w:p>
        </w:tc>
        <w:tc>
          <w:tcPr>
            <w:tcW w:w="4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5,485</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5,485</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7"/>
        </w:trPr>
        <w:tc>
          <w:tcPr>
            <w:tcW w:w="920" w:type="dxa"/>
            <w:vAlign w:val="bottom"/>
          </w:tcPr>
          <w:p>
            <w:pPr>
              <w:spacing w:after="0"/>
              <w:rPr>
                <w:sz w:val="14"/>
                <w:szCs w:val="14"/>
                <w:color w:val="auto"/>
              </w:rPr>
            </w:pPr>
          </w:p>
        </w:tc>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980" w:type="dxa"/>
            <w:vAlign w:val="bottom"/>
            <w:tcBorders>
              <w:right w:val="single" w:sz="8" w:color="CCEEFF"/>
            </w:tcBorders>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 ​ ​ ​ 15,563 ​​ ​</w:t>
            </w:r>
          </w:p>
        </w:tc>
        <w:tc>
          <w:tcPr>
            <w:tcW w:w="6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 15,563</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67"/>
        </w:trPr>
        <w:tc>
          <w:tcPr>
            <w:tcW w:w="920" w:type="dxa"/>
            <w:vAlign w:val="bottom"/>
          </w:tcPr>
          <w:p>
            <w:pPr>
              <w:spacing w:after="0"/>
              <w:rPr>
                <w:sz w:val="14"/>
                <w:szCs w:val="14"/>
                <w:color w:val="auto"/>
              </w:rPr>
            </w:pPr>
          </w:p>
        </w:tc>
        <w:tc>
          <w:tcPr>
            <w:tcW w:w="4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(76)​​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(76)</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7"/>
        </w:trPr>
        <w:tc>
          <w:tcPr>
            <w:tcW w:w="920" w:type="dxa"/>
            <w:vAlign w:val="bottom"/>
          </w:tcPr>
          <w:p>
            <w:pPr>
              <w:spacing w:after="0"/>
              <w:rPr>
                <w:sz w:val="16"/>
                <w:szCs w:val="16"/>
                <w:color w:val="auto"/>
              </w:rPr>
            </w:pPr>
          </w:p>
        </w:tc>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Treasury stock at cost, 228,928,455 shares</w:t>
            </w:r>
          </w:p>
        </w:tc>
        <w:tc>
          <w:tcPr>
            <w:tcW w:w="980" w:type="dxa"/>
            <w:vAlign w:val="bottom"/>
            <w:tcBorders>
              <w:right w:val="single" w:sz="8" w:color="CCEEFF"/>
            </w:tcBorders>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 ​ ​ ​(12,999)​​ ​</w:t>
            </w:r>
          </w:p>
        </w:tc>
        <w:tc>
          <w:tcPr>
            <w:tcW w:w="6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​(12,999)</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9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57"/>
        </w:trPr>
        <w:tc>
          <w:tcPr>
            <w:tcW w:w="920" w:type="dxa"/>
            <w:vAlign w:val="bottom"/>
          </w:tcPr>
          <w:p>
            <w:pPr>
              <w:spacing w:after="0"/>
              <w:rPr>
                <w:sz w:val="13"/>
                <w:szCs w:val="13"/>
                <w:color w:val="auto"/>
              </w:rPr>
            </w:pPr>
          </w:p>
        </w:tc>
        <w:tc>
          <w:tcPr>
            <w:tcW w:w="4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Waste Management, Inc. stockholders’ equity</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7,979</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7,979</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7"/>
        </w:trPr>
        <w:tc>
          <w:tcPr>
            <w:tcW w:w="920" w:type="dxa"/>
            <w:vAlign w:val="bottom"/>
          </w:tcPr>
          <w:p>
            <w:pPr>
              <w:spacing w:after="0"/>
              <w:rPr>
                <w:sz w:val="16"/>
                <w:szCs w:val="16"/>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640" w:type="dxa"/>
            <w:vAlign w:val="bottom"/>
            <w:tcBorders>
              <w:right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(7)​​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tcBorders>
              <w:right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9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7"/>
        </w:trPr>
        <w:tc>
          <w:tcPr>
            <w:tcW w:w="920" w:type="dxa"/>
            <w:vAlign w:val="bottom"/>
          </w:tcPr>
          <w:p>
            <w:pPr>
              <w:spacing w:after="0"/>
              <w:rPr>
                <w:sz w:val="15"/>
                <w:szCs w:val="15"/>
                <w:color w:val="auto"/>
              </w:rPr>
            </w:pPr>
          </w:p>
        </w:tc>
        <w:tc>
          <w:tcPr>
            <w:tcW w:w="4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equity</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 ​ ​</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7,972</w:t>
            </w:r>
          </w:p>
        </w:tc>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7,972</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9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debt and equity</w:t>
            </w:r>
          </w:p>
        </w:tc>
        <w:tc>
          <w:tcPr>
            <w:tcW w:w="980" w:type="dxa"/>
            <w:vAlign w:val="bottom"/>
            <w:tcBorders>
              <w:right w:val="single" w:sz="8" w:color="CCEEFF"/>
            </w:tcBorders>
            <w:gridSpan w:val="4"/>
            <w:shd w:val="clear" w:color="auto" w:fill="CCEEFF"/>
          </w:tcPr>
          <w:p>
            <w:pPr>
              <w:jc w:val="right"/>
              <w:ind w:right="54"/>
              <w:spacing w:after="0" w:line="167" w:lineRule="exact"/>
              <w:rPr>
                <w:sz w:val="20"/>
                <w:szCs w:val="20"/>
                <w:color w:val="auto"/>
              </w:rPr>
            </w:pPr>
            <w:r>
              <w:rPr>
                <w:rFonts w:ascii="Times New Roman" w:cs="Times New Roman" w:eastAsia="Times New Roman" w:hAnsi="Times New Roman"/>
                <w:sz w:val="19"/>
                <w:szCs w:val="19"/>
                <w:color w:val="auto"/>
                <w:vertAlign w:val="subscript"/>
              </w:rPr>
              <w:t>​ ​ ​</w:t>
            </w:r>
            <w:r>
              <w:rPr>
                <w:rFonts w:ascii="Times New Roman" w:cs="Times New Roman" w:eastAsia="Times New Roman" w:hAnsi="Times New Roman"/>
                <w:sz w:val="11"/>
                <w:szCs w:val="11"/>
                <w:color w:val="auto"/>
              </w:rPr>
              <w:t xml:space="preserve">$ 24,625 </w:t>
            </w:r>
            <w:r>
              <w:rPr>
                <w:rFonts w:ascii="Times New Roman" w:cs="Times New Roman" w:eastAsia="Times New Roman" w:hAnsi="Times New Roman"/>
                <w:sz w:val="19"/>
                <w:szCs w:val="19"/>
                <w:color w:val="auto"/>
                <w:vertAlign w:val="subscript"/>
              </w:rPr>
              <w:t>​​ ​</w:t>
            </w:r>
          </w:p>
        </w:tc>
        <w:tc>
          <w:tcPr>
            <w:tcW w:w="600" w:type="dxa"/>
            <w:vAlign w:val="bottom"/>
            <w:tcBorders>
              <w:right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w:t>
            </w:r>
            <w:r>
              <w:rPr>
                <w:rFonts w:ascii="Times New Roman" w:cs="Times New Roman" w:eastAsia="Times New Roman" w:hAnsi="Times New Roman"/>
                <w:sz w:val="11"/>
                <w:szCs w:val="11"/>
                <w:color w:val="auto"/>
              </w:rPr>
              <w:t>$ 29,825</w:t>
            </w:r>
          </w:p>
        </w:tc>
        <w:tc>
          <w:tcPr>
            <w:tcW w:w="900" w:type="dxa"/>
            <w:vAlign w:val="bottom"/>
          </w:tcPr>
          <w:p>
            <w:pPr>
              <w:jc w:val="right"/>
              <w:ind w:right="875"/>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443"/>
        </w:trPr>
        <w:tc>
          <w:tcPr>
            <w:tcW w:w="920" w:type="dxa"/>
            <w:vAlign w:val="bottom"/>
          </w:tcPr>
          <w:p>
            <w:pPr>
              <w:spacing w:after="0"/>
              <w:rPr>
                <w:sz w:val="24"/>
                <w:szCs w:val="24"/>
                <w:color w:val="auto"/>
              </w:rPr>
            </w:pPr>
          </w:p>
        </w:tc>
        <w:tc>
          <w:tcPr>
            <w:tcW w:w="4400" w:type="dxa"/>
            <w:vAlign w:val="bottom"/>
            <w:tcBorders>
              <w:top w:val="single" w:sz="8" w:color="CCEEFF"/>
            </w:tcBorders>
          </w:tcPr>
          <w:p>
            <w:pPr>
              <w:ind w:left="2840"/>
              <w:spacing w:after="0"/>
              <w:rPr>
                <w:sz w:val="20"/>
                <w:szCs w:val="20"/>
                <w:color w:val="auto"/>
              </w:rPr>
            </w:pPr>
            <w:r>
              <w:rPr>
                <w:rFonts w:ascii="Times New Roman" w:cs="Times New Roman" w:eastAsia="Times New Roman" w:hAnsi="Times New Roman"/>
                <w:sz w:val="13"/>
                <w:szCs w:val="13"/>
                <w:color w:val="auto"/>
              </w:rPr>
              <w:t>S-12</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9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-624205</wp:posOffset>
            </wp:positionV>
            <wp:extent cx="37973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797300" cy="635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-1841500</wp:posOffset>
            </wp:positionV>
            <wp:extent cx="37973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797300" cy="6350"/>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-24765</wp:posOffset>
            </wp:positionV>
            <wp:extent cx="3175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-24765</wp:posOffset>
            </wp:positionV>
            <wp:extent cx="3175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14" w:name="page15"/>
    <w:bookmarkEnd w:id="14"/>
    <w:p>
      <w:pPr>
        <w:ind w:left="60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403860</wp:posOffset>
            </wp:positionV>
            <wp:extent cx="89916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8991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80" w:right="1559" w:hanging="266"/>
        <w:spacing w:after="0" w:line="259" w:lineRule="auto"/>
        <w:tabs>
          <w:tab w:leader="none" w:pos="17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give effect to (1) the application of the net proceeds from the offering of the notes as described under “Use of Proceeds”, (2) the consummation of the Exchange Offer and Consent Solicitation, including up to $500.0 million aggregate principal amount of senior notes that the Company intends to issue in connection with the Exchange Offer, (3) our election to draw $5.2 billion principal amount of borrowings under the Term Credit Agreement or any issuance of commercial paper in connection with the Merger or (4) the consummation of the Merger.</w:t>
      </w:r>
    </w:p>
    <w:p>
      <w:pPr>
        <w:spacing w:after="0" w:line="35" w:lineRule="exact"/>
        <w:rPr>
          <w:rFonts w:ascii="Times New Roman" w:cs="Times New Roman" w:eastAsia="Times New Roman" w:hAnsi="Times New Roman"/>
          <w:sz w:val="13"/>
          <w:szCs w:val="13"/>
          <w:color w:val="auto"/>
        </w:rPr>
      </w:pPr>
    </w:p>
    <w:p>
      <w:pPr>
        <w:ind w:left="1780" w:right="1539" w:hanging="266"/>
        <w:spacing w:after="0" w:line="261" w:lineRule="auto"/>
        <w:tabs>
          <w:tab w:leader="none" w:pos="17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$3.5 billion revolving credit facility expires in May 2029 and provides us with credit capacity to be used for cash borrowings, including borrowings in Canadian dollars up to the U.S. dollar equivalent of $375 million, to support letters of credit and to support our commercial paper program. Our remaining uncommitted letter of credit capacity is provided under facilities with terms extending through December 2027.</w:t>
      </w:r>
    </w:p>
    <w:p>
      <w:pPr>
        <w:spacing w:after="0" w:line="72" w:lineRule="exact"/>
        <w:rPr>
          <w:rFonts w:ascii="Times New Roman" w:cs="Times New Roman" w:eastAsia="Times New Roman" w:hAnsi="Times New Roman"/>
          <w:sz w:val="13"/>
          <w:szCs w:val="13"/>
          <w:color w:val="auto"/>
        </w:rPr>
      </w:pPr>
    </w:p>
    <w:p>
      <w:pPr>
        <w:ind w:left="1780" w:right="1539"/>
        <w:spacing w:after="0" w:line="25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 rates we pay on outstanding U.S. or Canadian loans are based on a secured overnight financing rate administered by the Federal Reserve Bank of New York (“SOFR”) or the Canadian Overnight Repo Rate Average, as administered by the Bank of Canada (“CORRA”), respectively, plus a spread depending on our senior public debt rating assigned by Moody’s Investors Service, Inc. and Standard and Poor’s Global Ratings. The spread above SOFR or CORRA can range from 0.585% to 1.025% per annum, plus a credit adjustment spread of 0.10% per annum on SOFR-based rates to account for the transition from the use of LIBOR to SOFR in such rate calculations. WM Holdings guarantees all of the obligations under our $3.5 billion revolving credit facility.</w:t>
      </w:r>
    </w:p>
    <w:p>
      <w:pPr>
        <w:spacing w:after="0" w:line="86" w:lineRule="exact"/>
        <w:rPr>
          <w:rFonts w:ascii="Times New Roman" w:cs="Times New Roman" w:eastAsia="Times New Roman" w:hAnsi="Times New Roman"/>
          <w:sz w:val="13"/>
          <w:szCs w:val="13"/>
          <w:color w:val="auto"/>
        </w:rPr>
      </w:pPr>
    </w:p>
    <w:p>
      <w:pPr>
        <w:ind w:left="1780" w:right="1659"/>
        <w:spacing w:after="0" w:line="25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October 29, 2024, we had $598 million of outstanding borrowings under our commercial paper program (net of related discount on issuance) with a weighted average interest rate of 4.91% and a weighted average maturity of 25.3 days, which is fully supported by our $3.5 billion revolving credit facility. As of September 30, 2024, we had no borrowings under, and $171 million of letters of credit issued under and supported by, our $3.5 billion revolving credit facility, leaving unused and available credit capacity under this facility of $3.3 billion.</w:t>
      </w:r>
    </w:p>
    <w:p>
      <w:pPr>
        <w:spacing w:after="0" w:line="84" w:lineRule="exact"/>
        <w:rPr>
          <w:rFonts w:ascii="Times New Roman" w:cs="Times New Roman" w:eastAsia="Times New Roman" w:hAnsi="Times New Roman"/>
          <w:sz w:val="13"/>
          <w:szCs w:val="13"/>
          <w:color w:val="auto"/>
        </w:rPr>
      </w:pPr>
    </w:p>
    <w:p>
      <w:pPr>
        <w:ind w:left="1780" w:right="1559" w:hanging="266"/>
        <w:spacing w:after="0" w:line="257" w:lineRule="auto"/>
        <w:tabs>
          <w:tab w:leader="none" w:pos="17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elected to draw $5.2 billion principal amount of borrowings under the Term Credit Agreement to fund consideration for the Merger and to pay related fees and expenses. Borrowings under the Term Credit Agreement will bear interest at a base rate or are based on SOFR for the applicable interest period (a “Term SOFR Loan”), plus a spread depending on our senior public debt rating assigned by Moody’s Investors Service, Inc. and Standard and Poor’s Global Ratings. Under the Term Credit Agreement, (i) the applicable margin for Term SOFR Loans varies between 0.90% and 1.250% per annum and (ii) the applicable margin for base rate loans varies between zero and 0.250% per annum. WM Holdings also guarantees all of the obligations under the Term Credit Agreement.</w:t>
      </w:r>
    </w:p>
    <w:p>
      <w:pPr>
        <w:spacing w:after="0" w:line="76" w:lineRule="exact"/>
        <w:rPr>
          <w:rFonts w:ascii="Times New Roman" w:cs="Times New Roman" w:eastAsia="Times New Roman" w:hAnsi="Times New Roman"/>
          <w:sz w:val="13"/>
          <w:szCs w:val="13"/>
          <w:color w:val="auto"/>
        </w:rPr>
      </w:pPr>
    </w:p>
    <w:p>
      <w:pPr>
        <w:ind w:left="1780" w:right="1599" w:hanging="266"/>
        <w:spacing w:after="0" w:line="264" w:lineRule="auto"/>
        <w:tabs>
          <w:tab w:leader="none" w:pos="17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September 2019, Waste Management of Canada Corporation, our indirect wholly owned subsidiary, issued C$500 million, or $370 million based on the conversion rate as of September 30, 2024, of 2.6% senior notes due 2026, all of which are fully and unconditionally guaranteed on a senior unsecured basis by us and WM Holdings.</w:t>
      </w:r>
    </w:p>
    <w:p>
      <w:pPr>
        <w:spacing w:after="0" w:line="79" w:lineRule="exact"/>
        <w:rPr>
          <w:rFonts w:ascii="Times New Roman" w:cs="Times New Roman" w:eastAsia="Times New Roman" w:hAnsi="Times New Roman"/>
          <w:sz w:val="13"/>
          <w:szCs w:val="13"/>
          <w:color w:val="auto"/>
        </w:rPr>
      </w:pPr>
    </w:p>
    <w:p>
      <w:pPr>
        <w:ind w:left="1780" w:right="1579" w:hanging="266"/>
        <w:spacing w:after="0" w:line="264" w:lineRule="auto"/>
        <w:tabs>
          <w:tab w:leader="none" w:pos="17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79" w:lineRule="exact"/>
        <w:rPr>
          <w:rFonts w:ascii="Times New Roman" w:cs="Times New Roman" w:eastAsia="Times New Roman" w:hAnsi="Times New Roman"/>
          <w:sz w:val="13"/>
          <w:szCs w:val="13"/>
          <w:color w:val="auto"/>
        </w:rPr>
      </w:pPr>
    </w:p>
    <w:p>
      <w:pPr>
        <w:ind w:left="1780" w:right="1859" w:hanging="266"/>
        <w:spacing w:after="0" w:line="286" w:lineRule="auto"/>
        <w:tabs>
          <w:tab w:leader="none" w:pos="17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 Adjusted column with respect to this line item does not include any debt issuance costs or unamortized discounts associated with the notes.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 w:name="page16"/>
    <w:bookmarkEnd w:id="15"/>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NOTES</w:t>
      </w:r>
    </w:p>
    <w:p>
      <w:pPr>
        <w:spacing w:after="0" w:line="116" w:lineRule="exact"/>
        <w:rPr>
          <w:sz w:val="20"/>
          <w:szCs w:val="20"/>
          <w:color w:val="auto"/>
        </w:rPr>
      </w:pPr>
    </w:p>
    <w:p>
      <w:pPr>
        <w:ind w:left="1520" w:right="1599" w:firstLine="262"/>
        <w:spacing w:after="0" w:line="262" w:lineRule="auto"/>
        <w:rPr>
          <w:sz w:val="20"/>
          <w:szCs w:val="20"/>
          <w:color w:val="auto"/>
        </w:rPr>
      </w:pPr>
      <w:r>
        <w:rPr>
          <w:rFonts w:ascii="Times New Roman" w:cs="Times New Roman" w:eastAsia="Times New Roman" w:hAnsi="Times New Roman"/>
          <w:sz w:val="13"/>
          <w:szCs w:val="13"/>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18" w:lineRule="exact"/>
        <w:rPr>
          <w:sz w:val="20"/>
          <w:szCs w:val="20"/>
          <w:color w:val="auto"/>
        </w:rPr>
      </w:pPr>
    </w:p>
    <w:p>
      <w:pPr>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are offering $5,200,000,000 of our senior notes, consisting of $1,000,000,000 of our 4.500% senior notes due 2028, $700,000,000 of our 4.650% senior notes due 2030, $750,000,000 of our 4.800% senior notes due 2032, $1,500,000,000 of our 4.950% senior notes due 2035 and $1,250,000,000 of our 5.350% senior notes due 2054. The notes of each series will be issued under and pursuant to an Indenture dated as of September 10, 1997 (the “Indenture”), between us and The Bank of New York Mellon Trust Company, N.A. (the current successor to the initial trustee, Texas Commerce Bank National Association), as trustee (the “Trustee”). The 2028 notes, 2030 notes, 2032 notes, 2035 notes and 2054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235" w:lineRule="exact"/>
        <w:rPr>
          <w:sz w:val="20"/>
          <w:szCs w:val="20"/>
          <w:color w:val="auto"/>
        </w:rPr>
      </w:pPr>
    </w:p>
    <w:p>
      <w:pPr>
        <w:ind w:left="1780"/>
        <w:spacing w:after="0"/>
        <w:tabs>
          <w:tab w:leader="none" w:pos="2440" w:val="left"/>
        </w:tabs>
        <w:rPr>
          <w:sz w:val="20"/>
          <w:szCs w:val="20"/>
          <w:color w:val="auto"/>
        </w:rPr>
      </w:pPr>
      <w:r>
        <w:rPr>
          <w:rFonts w:ascii="Times New Roman" w:cs="Times New Roman" w:eastAsia="Times New Roman" w:hAnsi="Times New Roman"/>
          <w:sz w:val="13"/>
          <w:szCs w:val="13"/>
          <w:i w:val="1"/>
          <w:iCs w:val="1"/>
          <w:color w:val="auto"/>
        </w:rPr>
        <w:t>The Notes.</w:t>
      </w:r>
      <w:r>
        <w:rPr>
          <w:sz w:val="20"/>
          <w:szCs w:val="20"/>
          <w:color w:val="auto"/>
        </w:rPr>
        <w:tab/>
      </w:r>
      <w:r>
        <w:rPr>
          <w:rFonts w:ascii="Times New Roman" w:cs="Times New Roman" w:eastAsia="Times New Roman" w:hAnsi="Times New Roman"/>
          <w:sz w:val="13"/>
          <w:szCs w:val="13"/>
          <w:color w:val="auto"/>
        </w:rPr>
        <w:t>Each series of the notes will:</w:t>
      </w:r>
    </w:p>
    <w:p>
      <w:pPr>
        <w:spacing w:after="0" w:line="89" w:lineRule="exact"/>
        <w:rPr>
          <w:sz w:val="20"/>
          <w:szCs w:val="20"/>
          <w:color w:val="auto"/>
        </w:rPr>
      </w:pPr>
    </w:p>
    <w:p>
      <w:pPr>
        <w:ind w:left="1900" w:hanging="124"/>
        <w:spacing w:after="0"/>
        <w:tabs>
          <w:tab w:leader="none" w:pos="19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our general unsecured, senior obligations;</w:t>
      </w:r>
    </w:p>
    <w:p>
      <w:pPr>
        <w:spacing w:after="0" w:line="96" w:lineRule="exact"/>
        <w:rPr>
          <w:rFonts w:ascii="Times New Roman" w:cs="Times New Roman" w:eastAsia="Times New Roman" w:hAnsi="Times New Roman"/>
          <w:sz w:val="13"/>
          <w:szCs w:val="13"/>
          <w:color w:val="auto"/>
        </w:rPr>
      </w:pPr>
    </w:p>
    <w:p>
      <w:pPr>
        <w:ind w:left="1900" w:right="1579" w:hanging="124"/>
        <w:spacing w:after="0" w:line="264" w:lineRule="auto"/>
        <w:tabs>
          <w:tab w:leader="none" w:pos="19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 a new and separate series of debt securities issued under the Indenture and will be initially limited to an aggregate principal amount as follows: $1,000,000,000 in the case of the 2028 notes, $700,000,000 in the case of the 2030 notes, $750,000,000 in the case of the 2032 notes, $1,500,000,000 in the case of the 2035 notes and $1,250,000,000 in the case of the 2054 notes;</w:t>
      </w:r>
    </w:p>
    <w:p>
      <w:pPr>
        <w:spacing w:after="0" w:line="50" w:lineRule="exact"/>
        <w:rPr>
          <w:rFonts w:ascii="Times New Roman" w:cs="Times New Roman" w:eastAsia="Times New Roman" w:hAnsi="Times New Roman"/>
          <w:sz w:val="13"/>
          <w:szCs w:val="13"/>
          <w:color w:val="auto"/>
        </w:rPr>
      </w:pPr>
    </w:p>
    <w:p>
      <w:pPr>
        <w:ind w:left="1900" w:right="1659" w:hanging="124"/>
        <w:spacing w:after="0" w:line="269" w:lineRule="auto"/>
        <w:tabs>
          <w:tab w:leader="none" w:pos="19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mature on March 15, 2028, in the case of the 2028 notes, March 15, 2030, in the case of the 2030 notes, March 15, 2032, in the case of the 2032 notes, March 15, 2035, in the case of the 2035 notes and October 15, 2054, in the case of the 2054 notes;</w:t>
      </w:r>
    </w:p>
    <w:p>
      <w:pPr>
        <w:spacing w:after="0" w:line="48"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unconditionally guaranteed by our wholly owned subsidiary WM Holdings;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be entitled to the benefit of any sinking fund;</w:t>
      </w:r>
    </w:p>
    <w:p>
      <w:pPr>
        <w:spacing w:after="0" w:line="86" w:lineRule="exact"/>
        <w:rPr>
          <w:rFonts w:ascii="Times New Roman" w:cs="Times New Roman" w:eastAsia="Times New Roman" w:hAnsi="Times New Roman"/>
          <w:sz w:val="13"/>
          <w:szCs w:val="13"/>
          <w:color w:val="auto"/>
        </w:rPr>
      </w:pPr>
    </w:p>
    <w:p>
      <w:pPr>
        <w:ind w:left="1900" w:right="1699" w:hanging="124"/>
        <w:spacing w:after="0" w:line="263" w:lineRule="auto"/>
        <w:tabs>
          <w:tab w:leader="none" w:pos="19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issued in minimum denominations of $2,000 and integral multiples of $1,000 in excess thereof; and</w:t>
      </w:r>
    </w:p>
    <w:p>
      <w:pPr>
        <w:spacing w:after="0" w:line="229" w:lineRule="exact"/>
        <w:rPr>
          <w:rFonts w:ascii="Times New Roman" w:cs="Times New Roman" w:eastAsia="Times New Roman" w:hAnsi="Times New Roman"/>
          <w:sz w:val="13"/>
          <w:szCs w:val="13"/>
          <w:color w:val="auto"/>
        </w:rPr>
      </w:pPr>
    </w:p>
    <w:p>
      <w:pPr>
        <w:ind w:left="1900" w:right="1579" w:hanging="124"/>
        <w:spacing w:after="0" w:line="267" w:lineRule="auto"/>
        <w:tabs>
          <w:tab w:leader="none" w:pos="19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237" w:lineRule="exact"/>
        <w:rPr>
          <w:sz w:val="20"/>
          <w:szCs w:val="20"/>
          <w:color w:val="auto"/>
        </w:rPr>
      </w:pPr>
    </w:p>
    <w:p>
      <w:pPr>
        <w:ind w:left="1780"/>
        <w:spacing w:after="0"/>
        <w:tabs>
          <w:tab w:leader="none" w:pos="2320" w:val="left"/>
        </w:tabs>
        <w:rPr>
          <w:sz w:val="20"/>
          <w:szCs w:val="20"/>
          <w:color w:val="auto"/>
        </w:rPr>
      </w:pPr>
      <w:r>
        <w:rPr>
          <w:rFonts w:ascii="Times New Roman" w:cs="Times New Roman" w:eastAsia="Times New Roman" w:hAnsi="Times New Roman"/>
          <w:sz w:val="13"/>
          <w:szCs w:val="13"/>
          <w:i w:val="1"/>
          <w:iCs w:val="1"/>
          <w:color w:val="auto"/>
        </w:rPr>
        <w:t>Interest.</w:t>
      </w:r>
      <w:r>
        <w:rPr>
          <w:sz w:val="20"/>
          <w:szCs w:val="20"/>
          <w:color w:val="auto"/>
        </w:rPr>
        <w:tab/>
      </w:r>
      <w:r>
        <w:rPr>
          <w:rFonts w:ascii="Times New Roman" w:cs="Times New Roman" w:eastAsia="Times New Roman" w:hAnsi="Times New Roman"/>
          <w:sz w:val="13"/>
          <w:szCs w:val="13"/>
          <w:color w:val="auto"/>
        </w:rPr>
        <w:t>Interest will:</w:t>
      </w:r>
    </w:p>
    <w:p>
      <w:pPr>
        <w:spacing w:after="0" w:line="89" w:lineRule="exact"/>
        <w:rPr>
          <w:sz w:val="20"/>
          <w:szCs w:val="20"/>
          <w:color w:val="auto"/>
        </w:rPr>
      </w:pPr>
    </w:p>
    <w:p>
      <w:pPr>
        <w:ind w:left="1900" w:hanging="124"/>
        <w:spacing w:after="0"/>
        <w:tabs>
          <w:tab w:leader="none" w:pos="19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accrue on the 2028 notes at the rate of 4.500% per annum, accrue on the 2030 notes at the rate of</w:t>
      </w:r>
    </w:p>
    <w:p>
      <w:pPr>
        <w:spacing w:after="0" w:line="21" w:lineRule="exact"/>
        <w:rPr>
          <w:rFonts w:ascii="Times New Roman" w:cs="Times New Roman" w:eastAsia="Times New Roman" w:hAnsi="Times New Roman"/>
          <w:sz w:val="13"/>
          <w:szCs w:val="13"/>
          <w:color w:val="auto"/>
        </w:rPr>
      </w:pPr>
    </w:p>
    <w:p>
      <w:pPr>
        <w:ind w:left="1900" w:right="1539"/>
        <w:spacing w:after="0" w:line="26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4.650% per annum, accrue on the 2032 notes at the rate of 4.800% per annum, accrue on the 2035 notes at the rate of 4.950% per annum and accrue on the 2054 notes at the rate of 5.350% per annum;</w:t>
      </w:r>
    </w:p>
    <w:p>
      <w:pPr>
        <w:spacing w:after="0" w:line="49"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accrue from November 4, 2024 or the most recent interest payment date;</w:t>
      </w:r>
    </w:p>
    <w:p>
      <w:pPr>
        <w:spacing w:after="0" w:line="86" w:lineRule="exact"/>
        <w:rPr>
          <w:rFonts w:ascii="Times New Roman" w:cs="Times New Roman" w:eastAsia="Times New Roman" w:hAnsi="Times New Roman"/>
          <w:sz w:val="13"/>
          <w:szCs w:val="13"/>
          <w:color w:val="auto"/>
        </w:rPr>
      </w:pPr>
    </w:p>
    <w:p>
      <w:pPr>
        <w:ind w:left="1900" w:right="1659" w:hanging="124"/>
        <w:spacing w:after="0" w:line="269" w:lineRule="auto"/>
        <w:tabs>
          <w:tab w:leader="none" w:pos="19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payable in cash semi-annually in arrears on March 15 and September 15 of each year, beginning on March 15, 2025 for the 2028 notes, the 2030 notes, the 2032 notes and the 2035 notes, and on April 15 and October 15 of each year, beginning on April 15, 2025 for the 2054 notes;</w:t>
      </w:r>
    </w:p>
    <w:p>
      <w:pPr>
        <w:spacing w:after="0" w:line="48" w:lineRule="exact"/>
        <w:rPr>
          <w:rFonts w:ascii="Times New Roman" w:cs="Times New Roman" w:eastAsia="Times New Roman" w:hAnsi="Times New Roman"/>
          <w:sz w:val="13"/>
          <w:szCs w:val="13"/>
          <w:color w:val="auto"/>
        </w:rPr>
      </w:pPr>
    </w:p>
    <w:p>
      <w:pPr>
        <w:ind w:left="1900" w:right="1599" w:hanging="124"/>
        <w:spacing w:after="0" w:line="267" w:lineRule="auto"/>
        <w:tabs>
          <w:tab w:leader="none" w:pos="19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 payable to holders of record on the March 1 and September 1 immediately preceding the related interest payment dates for the 2028 notes, the 2030 notes, the 2032 notes and the 2035 notes, and on the April 1 and October 1 immediately preceding the related interest payment dates for the 2054 notes; and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6" w:name="page17"/>
    <w:bookmarkEnd w:id="16"/>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 be computed on the basis of a 360-day year consisting of twelve 30-day months.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Payment and Transfer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Beneficial interests in notes in global form will be shown on, and transfers of interests in notes in</w:t>
      </w:r>
    </w:p>
    <w:p>
      <w:pPr>
        <w:spacing w:after="0" w:line="12" w:lineRule="exact"/>
        <w:rPr>
          <w:sz w:val="20"/>
          <w:szCs w:val="20"/>
          <w:color w:val="auto"/>
        </w:rPr>
      </w:pPr>
    </w:p>
    <w:p>
      <w:pPr>
        <w:ind w:left="1520" w:right="1639"/>
        <w:spacing w:after="0" w:line="246" w:lineRule="auto"/>
        <w:rPr>
          <w:sz w:val="20"/>
          <w:szCs w:val="20"/>
          <w:color w:val="auto"/>
        </w:rPr>
      </w:pPr>
      <w:r>
        <w:rPr>
          <w:rFonts w:ascii="Times New Roman" w:cs="Times New Roman" w:eastAsia="Times New Roman" w:hAnsi="Times New Roman"/>
          <w:sz w:val="13"/>
          <w:szCs w:val="13"/>
          <w:color w:val="auto"/>
        </w:rPr>
        <w:t>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pacing w:after="0" w:line="81" w:lineRule="exact"/>
        <w:rPr>
          <w:sz w:val="20"/>
          <w:szCs w:val="20"/>
          <w:color w:val="auto"/>
        </w:rPr>
      </w:pPr>
    </w:p>
    <w:p>
      <w:pPr>
        <w:ind w:left="1520" w:right="1539" w:firstLine="262"/>
        <w:spacing w:after="0" w:line="250" w:lineRule="auto"/>
        <w:rPr>
          <w:sz w:val="20"/>
          <w:szCs w:val="20"/>
          <w:color w:val="auto"/>
        </w:rPr>
      </w:pPr>
      <w:r>
        <w:rPr>
          <w:rFonts w:ascii="Times New Roman" w:cs="Times New Roman" w:eastAsia="Times New Roman" w:hAnsi="Times New Roman"/>
          <w:sz w:val="13"/>
          <w:szCs w:val="13"/>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79" w:lineRule="exact"/>
        <w:rPr>
          <w:sz w:val="20"/>
          <w:szCs w:val="20"/>
          <w:color w:val="auto"/>
        </w:rPr>
      </w:pPr>
    </w:p>
    <w:p>
      <w:pPr>
        <w:ind w:left="1520" w:right="1659" w:firstLine="262"/>
        <w:spacing w:after="0" w:line="249" w:lineRule="auto"/>
        <w:rPr>
          <w:sz w:val="20"/>
          <w:szCs w:val="20"/>
          <w:color w:val="auto"/>
        </w:rPr>
      </w:pPr>
      <w:r>
        <w:rPr>
          <w:rFonts w:ascii="Times New Roman" w:cs="Times New Roman" w:eastAsia="Times New Roman" w:hAnsi="Times New Roman"/>
          <w:sz w:val="13"/>
          <w:szCs w:val="13"/>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23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registered holder of a note will be treated as the owner of it for all purposes.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Optional Redemption</w:t>
      </w:r>
    </w:p>
    <w:p>
      <w:pPr>
        <w:spacing w:after="0" w:line="118" w:lineRule="exact"/>
        <w:rPr>
          <w:sz w:val="20"/>
          <w:szCs w:val="20"/>
          <w:color w:val="auto"/>
        </w:rPr>
      </w:pPr>
    </w:p>
    <w:p>
      <w:pPr>
        <w:ind w:left="1520" w:right="1659" w:firstLine="262"/>
        <w:spacing w:after="0" w:line="261" w:lineRule="auto"/>
        <w:rPr>
          <w:sz w:val="20"/>
          <w:szCs w:val="20"/>
          <w:color w:val="auto"/>
        </w:rPr>
      </w:pPr>
      <w:r>
        <w:rPr>
          <w:rFonts w:ascii="Times New Roman" w:cs="Times New Roman" w:eastAsia="Times New Roman" w:hAnsi="Times New Roman"/>
          <w:sz w:val="13"/>
          <w:szCs w:val="13"/>
          <w:color w:val="auto"/>
        </w:rPr>
        <w:t>Prior to  the applicable Par Call Date for each series of notes, we may redeem the notes of such series at our option, in whole or in part, at any time and from time to time, at a redemption price (expressed as a percentage of principal amount and rounded to three decimal places) equal to the greater of:</w:t>
      </w:r>
    </w:p>
    <w:p>
      <w:pPr>
        <w:spacing w:after="0" w:line="63" w:lineRule="exact"/>
        <w:rPr>
          <w:sz w:val="20"/>
          <w:szCs w:val="20"/>
          <w:color w:val="auto"/>
        </w:rPr>
      </w:pPr>
    </w:p>
    <w:p>
      <w:pPr>
        <w:ind w:left="1520" w:right="1579" w:firstLine="256"/>
        <w:spacing w:after="0" w:line="250" w:lineRule="auto"/>
        <w:tabs>
          <w:tab w:leader="none" w:pos="204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sum of the present values of the remaining scheduled payments of principal and interest on the notes of the applicable series to be redeemed discounted to the redemption date (assuming the notes of the applicable series matured on the applicable Par Call Date) on a semi-annual basis (assuming a 360-day year consisting of twelve 30-day months) at the Treasury Rate plus 10 basis points for the 2028 notes, 10 basis points for the 2030 notes, 10 basis points for the 2032 notes, 15 basis points for the 2035 notes and 15 basis points for the 2054 notes, less (b) interest accrued to the redemption date, and</w:t>
      </w:r>
    </w:p>
    <w:p>
      <w:pPr>
        <w:spacing w:after="0" w:line="78" w:lineRule="exact"/>
        <w:rPr>
          <w:rFonts w:ascii="Times New Roman" w:cs="Times New Roman" w:eastAsia="Times New Roman" w:hAnsi="Times New Roman"/>
          <w:sz w:val="13"/>
          <w:szCs w:val="13"/>
          <w:color w:val="auto"/>
        </w:rPr>
      </w:pPr>
    </w:p>
    <w:p>
      <w:pPr>
        <w:ind w:left="2040" w:hanging="264"/>
        <w:spacing w:after="0"/>
        <w:tabs>
          <w:tab w:leader="none" w:pos="20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 of the principal amount of the notes of the applicable series to be redeemed,</w:t>
      </w:r>
    </w:p>
    <w:p>
      <w:pPr>
        <w:spacing w:after="0" w:line="1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plus, in either case, accrued and unpaid interest thereon to the redemption date.</w:t>
      </w:r>
    </w:p>
    <w:p>
      <w:pPr>
        <w:spacing w:after="0" w:line="106" w:lineRule="exact"/>
        <w:rPr>
          <w:sz w:val="20"/>
          <w:szCs w:val="20"/>
          <w:color w:val="auto"/>
        </w:rPr>
      </w:pPr>
    </w:p>
    <w:p>
      <w:pPr>
        <w:ind w:left="1520" w:right="1619" w:firstLine="262"/>
        <w:spacing w:after="0" w:line="253" w:lineRule="auto"/>
        <w:rPr>
          <w:sz w:val="20"/>
          <w:szCs w:val="20"/>
          <w:color w:val="auto"/>
        </w:rPr>
      </w:pPr>
      <w:r>
        <w:rPr>
          <w:rFonts w:ascii="Times New Roman" w:cs="Times New Roman" w:eastAsia="Times New Roman" w:hAnsi="Times New Roman"/>
          <w:sz w:val="13"/>
          <w:szCs w:val="13"/>
          <w:color w:val="auto"/>
        </w:rPr>
        <w:t>On or after the applicable Par Call Date for each series of notes, we may redeem the notes of such series at our option, in whole or in part, at any time and from time to time, at a redemption price equal to 100% of the principal amount of the notes of the applicable series to be redeemed, plus accrued and unpaid interest on the notes of the applicable series to be redeemed to the redemption date.</w:t>
      </w:r>
    </w:p>
    <w:p>
      <w:pPr>
        <w:spacing w:after="0" w:line="76" w:lineRule="exact"/>
        <w:rPr>
          <w:sz w:val="20"/>
          <w:szCs w:val="20"/>
          <w:color w:val="auto"/>
        </w:rPr>
      </w:pPr>
    </w:p>
    <w:p>
      <w:pPr>
        <w:ind w:left="1520" w:right="1579" w:firstLine="262"/>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 Call Date</w:t>
      </w:r>
      <w:r>
        <w:rPr>
          <w:rFonts w:ascii="Times New Roman" w:cs="Times New Roman" w:eastAsia="Times New Roman" w:hAnsi="Times New Roman"/>
          <w:sz w:val="13"/>
          <w:szCs w:val="13"/>
          <w:color w:val="auto"/>
        </w:rPr>
        <w:t>” means (i) February 15, 2028 (one month prior to the maturity date), in the case of the 2028 notes, (ii) February 15, 2030 (one month prior to the maturity date), in the case of the 2030 notes, (iii) January 15, 2032 (two months prior to the maturity date), in the case of the 2032 notes, (iv) December 15, 2034 (three months prior to the maturity date), in the case of the 2035 notes and (v) April 15, 2054</w:t>
      </w:r>
    </w:p>
    <w:p>
      <w:pPr>
        <w:spacing w:after="0" w:line="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(six months prior to the maturity date), in the case of the 2054 notes.</w:t>
      </w:r>
    </w:p>
    <w:p>
      <w:pPr>
        <w:spacing w:after="0" w:line="91" w:lineRule="exact"/>
        <w:rPr>
          <w:sz w:val="20"/>
          <w:szCs w:val="20"/>
          <w:color w:val="auto"/>
        </w:rPr>
      </w:pPr>
    </w:p>
    <w:p>
      <w:pPr>
        <w:ind w:left="1520" w:right="1619" w:firstLine="262"/>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Treasury Rate</w:t>
      </w:r>
      <w:r>
        <w:rPr>
          <w:rFonts w:ascii="Times New Roman" w:cs="Times New Roman" w:eastAsia="Times New Roman" w:hAnsi="Times New Roman"/>
          <w:sz w:val="13"/>
          <w:szCs w:val="13"/>
          <w:color w:val="auto"/>
        </w:rPr>
        <w:t>” means, with respect to any redemption date, the yield determined by us in accordance with the following two paragraphs.</w:t>
      </w:r>
    </w:p>
    <w:p>
      <w:pPr>
        <w:spacing w:after="0" w:line="64" w:lineRule="exact"/>
        <w:rPr>
          <w:sz w:val="20"/>
          <w:szCs w:val="20"/>
          <w:color w:val="auto"/>
        </w:rPr>
      </w:pPr>
    </w:p>
    <w:p>
      <w:pPr>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7" w:name="page18"/>
    <w:bookmarkEnd w:id="1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99"/>
        <w:spacing w:after="0" w:line="244" w:lineRule="auto"/>
        <w:rPr>
          <w:sz w:val="20"/>
          <w:szCs w:val="20"/>
          <w:color w:val="auto"/>
        </w:rPr>
      </w:pPr>
      <w:r>
        <w:rPr>
          <w:rFonts w:ascii="Times New Roman" w:cs="Times New Roman" w:eastAsia="Times New Roman" w:hAnsi="Times New Roman"/>
          <w:sz w:val="13"/>
          <w:szCs w:val="13"/>
          <w:color w:val="auto"/>
        </w:rPr>
        <w:t>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43" w:lineRule="exact"/>
        <w:rPr>
          <w:sz w:val="20"/>
          <w:szCs w:val="20"/>
          <w:color w:val="auto"/>
        </w:rPr>
      </w:pPr>
    </w:p>
    <w:p>
      <w:pPr>
        <w:ind w:left="1520" w:right="1539" w:firstLine="262"/>
        <w:spacing w:after="0" w:line="243" w:lineRule="auto"/>
        <w:rPr>
          <w:sz w:val="20"/>
          <w:szCs w:val="20"/>
          <w:color w:val="auto"/>
        </w:rPr>
      </w:pPr>
      <w:r>
        <w:rPr>
          <w:rFonts w:ascii="Times New Roman" w:cs="Times New Roman" w:eastAsia="Times New Roman" w:hAnsi="Times New Roman"/>
          <w:sz w:val="13"/>
          <w:szCs w:val="13"/>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92" w:lineRule="exact"/>
        <w:rPr>
          <w:sz w:val="20"/>
          <w:szCs w:val="20"/>
          <w:color w:val="auto"/>
        </w:rPr>
      </w:pPr>
    </w:p>
    <w:p>
      <w:pPr>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78" w:lineRule="exact"/>
        <w:rPr>
          <w:sz w:val="20"/>
          <w:szCs w:val="20"/>
          <w:color w:val="auto"/>
        </w:rPr>
      </w:pPr>
    </w:p>
    <w:p>
      <w:pPr>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Defeasance</w:t>
      </w:r>
    </w:p>
    <w:p>
      <w:pPr>
        <w:spacing w:after="0" w:line="108" w:lineRule="exact"/>
        <w:rPr>
          <w:sz w:val="20"/>
          <w:szCs w:val="20"/>
          <w:color w:val="auto"/>
        </w:rPr>
      </w:pPr>
    </w:p>
    <w:p>
      <w:pPr>
        <w:ind w:left="1520" w:right="1659" w:firstLine="262"/>
        <w:spacing w:after="0" w:line="261" w:lineRule="auto"/>
        <w:rPr>
          <w:sz w:val="20"/>
          <w:szCs w:val="20"/>
          <w:color w:val="auto"/>
        </w:rPr>
      </w:pPr>
      <w:r>
        <w:rPr>
          <w:rFonts w:ascii="Times New Roman" w:cs="Times New Roman" w:eastAsia="Times New Roman" w:hAnsi="Times New Roman"/>
          <w:sz w:val="13"/>
          <w:szCs w:val="13"/>
          <w:color w:val="auto"/>
        </w:rPr>
        <w:t>Each series of notes will be subject to legal defeasance and to covenant defeasance as provided under “Description of the Debt Securities — Provisions Applicable to Each Indenture — Defeasance” in the accompanying prospectus.</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 w:name="page19"/>
    <w:bookmarkEnd w:id="1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Satisfaction and Discharge</w:t>
      </w:r>
    </w:p>
    <w:p>
      <w:pPr>
        <w:spacing w:after="0" w:line="118" w:lineRule="exact"/>
        <w:rPr>
          <w:sz w:val="20"/>
          <w:szCs w:val="20"/>
          <w:color w:val="auto"/>
        </w:rPr>
      </w:pPr>
    </w:p>
    <w:p>
      <w:pPr>
        <w:ind w:left="1520" w:right="1559" w:firstLine="262"/>
        <w:spacing w:after="0" w:line="261" w:lineRule="auto"/>
        <w:rPr>
          <w:sz w:val="20"/>
          <w:szCs w:val="20"/>
          <w:color w:val="auto"/>
        </w:rPr>
      </w:pPr>
      <w:r>
        <w:rPr>
          <w:rFonts w:ascii="Times New Roman" w:cs="Times New Roman" w:eastAsia="Times New Roman" w:hAnsi="Times New Roman"/>
          <w:sz w:val="13"/>
          <w:szCs w:val="13"/>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73" w:lineRule="exact"/>
        <w:rPr>
          <w:sz w:val="20"/>
          <w:szCs w:val="20"/>
          <w:color w:val="auto"/>
        </w:rPr>
      </w:pPr>
    </w:p>
    <w:p>
      <w:pPr>
        <w:ind w:left="2040" w:hanging="264"/>
        <w:spacing w:after="0"/>
        <w:tabs>
          <w:tab w:leader="none" w:pos="20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w:t>
      </w:r>
    </w:p>
    <w:p>
      <w:pPr>
        <w:spacing w:after="0" w:line="106" w:lineRule="exact"/>
        <w:rPr>
          <w:rFonts w:ascii="Times New Roman" w:cs="Times New Roman" w:eastAsia="Times New Roman" w:hAnsi="Times New Roman"/>
          <w:sz w:val="13"/>
          <w:szCs w:val="13"/>
          <w:color w:val="auto"/>
        </w:rPr>
      </w:pPr>
    </w:p>
    <w:p>
      <w:pPr>
        <w:ind w:left="1780" w:right="1599" w:firstLine="259"/>
        <w:spacing w:after="0" w:line="253" w:lineRule="auto"/>
        <w:tabs>
          <w:tab w:leader="none" w:pos="2302"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77" w:lineRule="exact"/>
        <w:rPr>
          <w:rFonts w:ascii="Times New Roman" w:cs="Times New Roman" w:eastAsia="Times New Roman" w:hAnsi="Times New Roman"/>
          <w:sz w:val="13"/>
          <w:szCs w:val="13"/>
          <w:color w:val="auto"/>
        </w:rPr>
      </w:pPr>
    </w:p>
    <w:p>
      <w:pPr>
        <w:ind w:left="1780" w:right="1599" w:firstLine="259"/>
        <w:spacing w:after="0" w:line="245" w:lineRule="auto"/>
        <w:tabs>
          <w:tab w:leader="none" w:pos="2309"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U.S. legal tender, U.S. Governmental Obligations or a combination thereof,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w:t>
      </w:r>
    </w:p>
    <w:p>
      <w:pPr>
        <w:spacing w:after="0" w:line="2" w:lineRule="exact"/>
        <w:rPr>
          <w:rFonts w:ascii="Times New Roman" w:cs="Times New Roman" w:eastAsia="Times New Roman" w:hAnsi="Times New Roman"/>
          <w:sz w:val="13"/>
          <w:szCs w:val="13"/>
          <w:color w:val="auto"/>
        </w:rPr>
      </w:pPr>
    </w:p>
    <w:p>
      <w:pPr>
        <w:ind w:left="1780" w:right="197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 we will deposit any deficit in trust on or prior to the redemption date as necessary to pay the applicable premium as determined by such date);</w:t>
      </w:r>
    </w:p>
    <w:p>
      <w:pPr>
        <w:spacing w:after="0" w:line="79" w:lineRule="exact"/>
        <w:rPr>
          <w:rFonts w:ascii="Times New Roman" w:cs="Times New Roman" w:eastAsia="Times New Roman" w:hAnsi="Times New Roman"/>
          <w:sz w:val="13"/>
          <w:szCs w:val="13"/>
          <w:color w:val="auto"/>
        </w:rPr>
      </w:pPr>
    </w:p>
    <w:p>
      <w:pPr>
        <w:ind w:left="1520" w:right="1779" w:firstLine="256"/>
        <w:spacing w:after="0" w:line="271" w:lineRule="auto"/>
        <w:tabs>
          <w:tab w:leader="none" w:pos="204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paid all other sums payable under the Indenture by us with respect to the notes of that series; and</w:t>
      </w:r>
    </w:p>
    <w:p>
      <w:pPr>
        <w:spacing w:after="0" w:line="65" w:lineRule="exact"/>
        <w:rPr>
          <w:rFonts w:ascii="Times New Roman" w:cs="Times New Roman" w:eastAsia="Times New Roman" w:hAnsi="Times New Roman"/>
          <w:sz w:val="13"/>
          <w:szCs w:val="13"/>
          <w:color w:val="auto"/>
        </w:rPr>
      </w:pPr>
    </w:p>
    <w:p>
      <w:pPr>
        <w:ind w:left="1520" w:right="1659" w:firstLine="256"/>
        <w:spacing w:after="0" w:line="261" w:lineRule="auto"/>
        <w:tabs>
          <w:tab w:leader="none" w:pos="204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71" w:lineRule="exact"/>
        <w:rPr>
          <w:sz w:val="20"/>
          <w:szCs w:val="20"/>
          <w:color w:val="auto"/>
        </w:rPr>
      </w:pPr>
    </w:p>
    <w:p>
      <w:pPr>
        <w:ind w:left="1520" w:right="1679" w:firstLine="262"/>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U.S. Governmental Obligations</w:t>
      </w:r>
      <w:r>
        <w:rPr>
          <w:rFonts w:ascii="Times New Roman" w:cs="Times New Roman" w:eastAsia="Times New Roman" w:hAnsi="Times New Roman"/>
          <w:sz w:val="13"/>
          <w:szCs w:val="13"/>
          <w:color w:val="auto"/>
        </w:rPr>
        <w:t>” means direct non-callable obligations of, or guaranteed by, the United States of America for the payment of which guarantee or obligations the full faith and credit of the United States is pledged.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Ranking</w:t>
      </w:r>
    </w:p>
    <w:p>
      <w:pPr>
        <w:spacing w:after="0" w:line="108" w:lineRule="exact"/>
        <w:rPr>
          <w:sz w:val="20"/>
          <w:szCs w:val="20"/>
          <w:color w:val="auto"/>
        </w:rPr>
      </w:pPr>
    </w:p>
    <w:p>
      <w:pPr>
        <w:ind w:left="1520" w:right="1559" w:firstLine="262"/>
        <w:spacing w:after="0" w:line="261" w:lineRule="auto"/>
        <w:rPr>
          <w:sz w:val="20"/>
          <w:szCs w:val="20"/>
          <w:color w:val="auto"/>
        </w:rPr>
      </w:pPr>
      <w:r>
        <w:rPr>
          <w:rFonts w:ascii="Times New Roman" w:cs="Times New Roman" w:eastAsia="Times New Roman" w:hAnsi="Times New Roman"/>
          <w:sz w:val="13"/>
          <w:szCs w:val="13"/>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73" w:lineRule="exact"/>
        <w:rPr>
          <w:sz w:val="20"/>
          <w:szCs w:val="20"/>
          <w:color w:val="auto"/>
        </w:rPr>
      </w:pPr>
    </w:p>
    <w:p>
      <w:pPr>
        <w:ind w:left="1520" w:right="1539" w:firstLine="262"/>
        <w:spacing w:after="0" w:line="260" w:lineRule="auto"/>
        <w:rPr>
          <w:sz w:val="20"/>
          <w:szCs w:val="20"/>
          <w:color w:val="auto"/>
        </w:rPr>
      </w:pPr>
      <w:r>
        <w:rPr>
          <w:rFonts w:ascii="Times New Roman" w:cs="Times New Roman" w:eastAsia="Times New Roman" w:hAnsi="Times New Roman"/>
          <w:sz w:val="13"/>
          <w:szCs w:val="13"/>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243" w:lineRule="exact"/>
        <w:rPr>
          <w:sz w:val="20"/>
          <w:szCs w:val="20"/>
          <w:color w:val="auto"/>
        </w:rPr>
      </w:pPr>
    </w:p>
    <w:p>
      <w:pPr>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 w:name="page20"/>
    <w:bookmarkEnd w:id="19"/>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659"/>
        <w:spacing w:after="0" w:line="250" w:lineRule="auto"/>
        <w:rPr>
          <w:sz w:val="20"/>
          <w:szCs w:val="20"/>
          <w:color w:val="auto"/>
        </w:rPr>
      </w:pPr>
      <w:r>
        <w:rPr>
          <w:rFonts w:ascii="Times New Roman" w:cs="Times New Roman" w:eastAsia="Times New Roman" w:hAnsi="Times New Roman"/>
          <w:sz w:val="13"/>
          <w:szCs w:val="13"/>
          <w:color w:val="auto"/>
        </w:rPr>
        <w:t>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79" w:lineRule="exact"/>
        <w:rPr>
          <w:sz w:val="20"/>
          <w:szCs w:val="20"/>
          <w:color w:val="auto"/>
        </w:rPr>
      </w:pPr>
    </w:p>
    <w:p>
      <w:pPr>
        <w:ind w:left="1520" w:right="1659" w:firstLine="262"/>
        <w:spacing w:after="0" w:line="261" w:lineRule="auto"/>
        <w:rPr>
          <w:sz w:val="20"/>
          <w:szCs w:val="20"/>
          <w:color w:val="auto"/>
        </w:rPr>
      </w:pPr>
      <w:r>
        <w:rPr>
          <w:rFonts w:ascii="Times New Roman" w:cs="Times New Roman" w:eastAsia="Times New Roman" w:hAnsi="Times New Roman"/>
          <w:sz w:val="13"/>
          <w:szCs w:val="13"/>
          <w:color w:val="auto"/>
        </w:rPr>
        <w:t>As of September 30, 2024, our operating subsidiaries had $2.3 billion of indebtedness and WM Holdings had $223 million of long-term debt (excluding guarantees of $12.5 billion of our senior debt), in each case excluding intercompany loans.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Guarantees</w:t>
      </w:r>
    </w:p>
    <w:p>
      <w:pPr>
        <w:spacing w:after="0" w:line="118" w:lineRule="exact"/>
        <w:rPr>
          <w:sz w:val="20"/>
          <w:szCs w:val="20"/>
          <w:color w:val="auto"/>
        </w:rPr>
      </w:pPr>
    </w:p>
    <w:p>
      <w:pPr>
        <w:ind w:left="1520" w:right="1559" w:firstLine="262"/>
        <w:spacing w:after="0" w:line="260" w:lineRule="auto"/>
        <w:rPr>
          <w:sz w:val="20"/>
          <w:szCs w:val="20"/>
          <w:color w:val="auto"/>
        </w:rPr>
      </w:pPr>
      <w:r>
        <w:rPr>
          <w:rFonts w:ascii="Times New Roman" w:cs="Times New Roman" w:eastAsia="Times New Roman" w:hAnsi="Times New Roman"/>
          <w:sz w:val="13"/>
          <w:szCs w:val="13"/>
          <w:color w:val="auto"/>
        </w:rPr>
        <w:t>WM Holdings will unconditionally guarantee our obligations under the notes of each series.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233" w:lineRule="exact"/>
        <w:rPr>
          <w:sz w:val="20"/>
          <w:szCs w:val="20"/>
          <w:color w:val="auto"/>
        </w:rPr>
      </w:pPr>
    </w:p>
    <w:p>
      <w:pPr>
        <w:jc w:val="both"/>
        <w:ind w:left="1520" w:right="1779" w:firstLine="262"/>
        <w:spacing w:after="0" w:line="269" w:lineRule="auto"/>
        <w:rPr>
          <w:sz w:val="20"/>
          <w:szCs w:val="20"/>
          <w:color w:val="auto"/>
        </w:rPr>
      </w:pPr>
      <w:r>
        <w:rPr>
          <w:rFonts w:ascii="Times New Roman" w:cs="Times New Roman" w:eastAsia="Times New Roman" w:hAnsi="Times New Roman"/>
          <w:sz w:val="13"/>
          <w:szCs w:val="13"/>
          <w:color w:val="auto"/>
        </w:rPr>
        <w:t>The guarantees of the notes shall be binding on WM Holdings, its successors and assigns, and shall continue in full force and effect for the benefit of holders of the notes of each series until the earliest to occur of:</w:t>
      </w:r>
    </w:p>
    <w:p>
      <w:pPr>
        <w:spacing w:after="0" w:line="48" w:lineRule="exact"/>
        <w:rPr>
          <w:sz w:val="20"/>
          <w:szCs w:val="20"/>
          <w:color w:val="auto"/>
        </w:rPr>
      </w:pPr>
    </w:p>
    <w:p>
      <w:pPr>
        <w:ind w:left="1900" w:hanging="124"/>
        <w:spacing w:after="0"/>
        <w:tabs>
          <w:tab w:leader="none" w:pos="19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consolidation or merger of WM Holdings into Waste Management, Inc. or its successor;</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consolidation or merger of Waste Management, Inc. or its successor into WM Holdings;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in full of all interest and principal due on the notes of that series; or</w:t>
      </w:r>
    </w:p>
    <w:p>
      <w:pPr>
        <w:spacing w:after="0" w:line="86" w:lineRule="exact"/>
        <w:rPr>
          <w:rFonts w:ascii="Times New Roman" w:cs="Times New Roman" w:eastAsia="Times New Roman" w:hAnsi="Times New Roman"/>
          <w:sz w:val="13"/>
          <w:szCs w:val="13"/>
          <w:color w:val="auto"/>
        </w:rPr>
      </w:pPr>
    </w:p>
    <w:p>
      <w:pPr>
        <w:ind w:left="1900" w:right="1539" w:hanging="124"/>
        <w:spacing w:after="0" w:line="261" w:lineRule="auto"/>
        <w:tabs>
          <w:tab w:leader="none" w:pos="19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release of the guarantees by WM Holdings of obligations of Waste Management, Inc. under each of its $3.5 billion revolving credit facility (or any replacement or new principal credit facility) and its Term Credit Agreement. Our $3.5 billion revolving credit facility and our Term Credit Agreement each currently state that WM Holdings’ guarantees under such facility can only be released with the written consent of each of the lenders that is a party thereto.</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Change of Control Offer</w:t>
      </w:r>
    </w:p>
    <w:p>
      <w:pPr>
        <w:spacing w:after="0" w:line="118" w:lineRule="exact"/>
        <w:rPr>
          <w:sz w:val="20"/>
          <w:szCs w:val="20"/>
          <w:color w:val="auto"/>
        </w:rPr>
      </w:pPr>
    </w:p>
    <w:p>
      <w:pPr>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If a change of control triggering event occurs, unless we have exercised our option to redeem the notes of a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86" w:lineRule="exact"/>
        <w:rPr>
          <w:sz w:val="20"/>
          <w:szCs w:val="20"/>
          <w:color w:val="auto"/>
        </w:rPr>
      </w:pPr>
    </w:p>
    <w:p>
      <w:pPr>
        <w:ind w:left="1520" w:right="1599" w:firstLine="262"/>
        <w:spacing w:after="0" w:line="257" w:lineRule="auto"/>
        <w:rPr>
          <w:sz w:val="20"/>
          <w:szCs w:val="20"/>
          <w:color w:val="auto"/>
        </w:rPr>
      </w:pPr>
      <w:r>
        <w:rPr>
          <w:rFonts w:ascii="Times New Roman" w:cs="Times New Roman" w:eastAsia="Times New Roman" w:hAnsi="Times New Roman"/>
          <w:sz w:val="13"/>
          <w:szCs w:val="13"/>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7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Upon the change of control payment date, we will, to the extent lawful:</w:t>
      </w:r>
    </w:p>
    <w:p>
      <w:pPr>
        <w:spacing w:after="0" w:line="87" w:lineRule="exact"/>
        <w:rPr>
          <w:sz w:val="20"/>
          <w:szCs w:val="20"/>
          <w:color w:val="auto"/>
        </w:rPr>
      </w:pPr>
    </w:p>
    <w:p>
      <w:pPr>
        <w:ind w:left="1900" w:right="1739" w:hanging="124"/>
        <w:spacing w:after="0" w:line="286" w:lineRule="auto"/>
        <w:tabs>
          <w:tab w:leader="none" w:pos="19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accept for payment all notes or portions of notes properly tendered and not withdrawn pursuant to the change of control offer;</w:t>
      </w: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0" w:name="page21"/>
    <w:bookmarkEnd w:id="2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00" w:right="1819" w:hanging="124"/>
        <w:spacing w:after="0" w:line="286" w:lineRule="auto"/>
        <w:tabs>
          <w:tab w:leader="none" w:pos="19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deposit with the paying agent an amount equal to the change of control payment in respect of all notes or portions of notes properly tendered; and</w:t>
      </w:r>
    </w:p>
    <w:p>
      <w:pPr>
        <w:spacing w:after="0" w:line="37" w:lineRule="exact"/>
        <w:rPr>
          <w:rFonts w:ascii="Times New Roman" w:cs="Times New Roman" w:eastAsia="Times New Roman" w:hAnsi="Times New Roman"/>
          <w:sz w:val="13"/>
          <w:szCs w:val="13"/>
          <w:color w:val="auto"/>
        </w:rPr>
      </w:pPr>
    </w:p>
    <w:p>
      <w:pPr>
        <w:ind w:left="1900" w:right="1619" w:hanging="124"/>
        <w:spacing w:after="0" w:line="286" w:lineRule="auto"/>
        <w:tabs>
          <w:tab w:leader="none" w:pos="19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deliver or cause to be delivered to the Trustee the notes properly accepted together with an officers’ certificate stating the aggregate principal amount of notes or portions of notes being repurchased.</w:t>
      </w:r>
    </w:p>
    <w:p>
      <w:pPr>
        <w:spacing w:after="0" w:line="67" w:lineRule="exact"/>
        <w:rPr>
          <w:sz w:val="20"/>
          <w:szCs w:val="20"/>
          <w:color w:val="auto"/>
        </w:rPr>
      </w:pPr>
    </w:p>
    <w:p>
      <w:pPr>
        <w:ind w:left="1520" w:right="1559" w:firstLine="262"/>
        <w:spacing w:after="0" w:line="247" w:lineRule="auto"/>
        <w:rPr>
          <w:sz w:val="20"/>
          <w:szCs w:val="20"/>
          <w:color w:val="auto"/>
        </w:rPr>
      </w:pPr>
      <w:r>
        <w:rPr>
          <w:rFonts w:ascii="Times New Roman" w:cs="Times New Roman" w:eastAsia="Times New Roman" w:hAnsi="Times New Roman"/>
          <w:sz w:val="13"/>
          <w:szCs w:val="13"/>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84" w:lineRule="exact"/>
        <w:rPr>
          <w:sz w:val="20"/>
          <w:szCs w:val="20"/>
          <w:color w:val="auto"/>
        </w:rPr>
      </w:pPr>
    </w:p>
    <w:p>
      <w:pPr>
        <w:ind w:left="1520" w:right="1579" w:firstLine="262"/>
        <w:spacing w:after="0" w:line="258" w:lineRule="auto"/>
        <w:rPr>
          <w:sz w:val="20"/>
          <w:szCs w:val="20"/>
          <w:color w:val="auto"/>
        </w:rPr>
      </w:pPr>
      <w:r>
        <w:rPr>
          <w:rFonts w:ascii="Times New Roman" w:cs="Times New Roman" w:eastAsia="Times New Roman" w:hAnsi="Times New Roman"/>
          <w:sz w:val="13"/>
          <w:szCs w:val="13"/>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75" w:lineRule="exact"/>
        <w:rPr>
          <w:sz w:val="20"/>
          <w:szCs w:val="20"/>
          <w:color w:val="auto"/>
        </w:rPr>
      </w:pPr>
    </w:p>
    <w:p>
      <w:pPr>
        <w:ind w:left="1520" w:right="2039" w:firstLine="262"/>
        <w:spacing w:after="0" w:line="286" w:lineRule="auto"/>
        <w:rPr>
          <w:sz w:val="20"/>
          <w:szCs w:val="20"/>
          <w:color w:val="auto"/>
        </w:rPr>
      </w:pPr>
      <w:r>
        <w:rPr>
          <w:rFonts w:ascii="Times New Roman" w:cs="Times New Roman" w:eastAsia="Times New Roman" w:hAnsi="Times New Roman"/>
          <w:sz w:val="13"/>
          <w:szCs w:val="13"/>
          <w:color w:val="auto"/>
        </w:rPr>
        <w:t>For purposes of the change of control offer provisions of the notes, the following terms will be applicable:</w:t>
      </w:r>
    </w:p>
    <w:p>
      <w:pPr>
        <w:spacing w:after="0" w:line="65" w:lineRule="exact"/>
        <w:rPr>
          <w:sz w:val="20"/>
          <w:szCs w:val="20"/>
          <w:color w:val="auto"/>
        </w:rPr>
      </w:pPr>
    </w:p>
    <w:p>
      <w:pPr>
        <w:ind w:left="1520" w:right="1559" w:firstLine="262"/>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change of control</w:t>
      </w:r>
      <w:r>
        <w:rPr>
          <w:rFonts w:ascii="Times New Roman" w:cs="Times New Roman" w:eastAsia="Times New Roman" w:hAnsi="Times New Roman"/>
          <w:sz w:val="13"/>
          <w:szCs w:val="13"/>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246" w:lineRule="exact"/>
        <w:rPr>
          <w:sz w:val="20"/>
          <w:szCs w:val="20"/>
          <w:color w:val="auto"/>
        </w:rPr>
      </w:pPr>
    </w:p>
    <w:p>
      <w:pPr>
        <w:ind w:left="1520" w:right="1659" w:firstLine="262"/>
        <w:spacing w:after="0" w:line="263" w:lineRule="auto"/>
        <w:rPr>
          <w:sz w:val="20"/>
          <w:szCs w:val="20"/>
          <w:color w:val="auto"/>
        </w:rPr>
      </w:pPr>
      <w:r>
        <w:rPr>
          <w:rFonts w:ascii="Times New Roman" w:cs="Times New Roman" w:eastAsia="Times New Roman" w:hAnsi="Times New Roman"/>
          <w:sz w:val="13"/>
          <w:szCs w:val="13"/>
          <w:color w:val="auto"/>
        </w:rPr>
        <w:t>Notwithstanding the preceding, a transaction will not be deemed to involve a change of control under clause (2) above if (i) we become a direct or indirect wholly owned subsidiary of a holding company and</w:t>
      </w:r>
    </w:p>
    <w:p>
      <w:pPr>
        <w:spacing w:after="0" w:line="1" w:lineRule="exact"/>
        <w:rPr>
          <w:sz w:val="20"/>
          <w:szCs w:val="20"/>
          <w:color w:val="auto"/>
        </w:rPr>
      </w:pPr>
    </w:p>
    <w:p>
      <w:pPr>
        <w:ind w:left="1520" w:right="1539" w:hanging="6"/>
        <w:spacing w:after="0" w:line="255" w:lineRule="auto"/>
        <w:tabs>
          <w:tab w:leader="none" w:pos="1726"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76" w:lineRule="exact"/>
        <w:rPr>
          <w:sz w:val="20"/>
          <w:szCs w:val="20"/>
          <w:color w:val="auto"/>
        </w:rPr>
      </w:pPr>
    </w:p>
    <w:p>
      <w:pPr>
        <w:ind w:left="1520" w:right="1659" w:firstLine="262"/>
        <w:spacing w:after="0" w:line="258" w:lineRule="auto"/>
        <w:rPr>
          <w:sz w:val="20"/>
          <w:szCs w:val="20"/>
          <w:color w:val="auto"/>
        </w:rPr>
      </w:pPr>
      <w:r>
        <w:rPr>
          <w:rFonts w:ascii="Times New Roman" w:cs="Times New Roman" w:eastAsia="Times New Roman" w:hAnsi="Times New Roman"/>
          <w:sz w:val="13"/>
          <w:szCs w:val="13"/>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 w:name="page22"/>
    <w:bookmarkEnd w:id="2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20" w:right="1819" w:firstLine="262"/>
        <w:spacing w:after="0" w:line="29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change of control triggering event</w:t>
      </w:r>
      <w:r>
        <w:rPr>
          <w:rFonts w:ascii="Times New Roman" w:cs="Times New Roman" w:eastAsia="Times New Roman" w:hAnsi="Times New Roman"/>
          <w:sz w:val="13"/>
          <w:szCs w:val="13"/>
          <w:color w:val="auto"/>
        </w:rPr>
        <w:t>” means the occurrence of both a change of control and a rating event.</w:t>
      </w:r>
    </w:p>
    <w:p>
      <w:pPr>
        <w:spacing w:after="0" w:line="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Fitch</w:t>
      </w:r>
      <w:r>
        <w:rPr>
          <w:rFonts w:ascii="Times New Roman" w:cs="Times New Roman" w:eastAsia="Times New Roman" w:hAnsi="Times New Roman"/>
          <w:sz w:val="13"/>
          <w:szCs w:val="13"/>
          <w:color w:val="auto"/>
        </w:rPr>
        <w:t>” means Fitch Inc. and its successors.</w:t>
      </w:r>
    </w:p>
    <w:p>
      <w:pPr>
        <w:spacing w:after="0" w:line="106" w:lineRule="exact"/>
        <w:rPr>
          <w:sz w:val="20"/>
          <w:szCs w:val="20"/>
          <w:color w:val="auto"/>
        </w:rPr>
      </w:pPr>
    </w:p>
    <w:p>
      <w:pPr>
        <w:ind w:left="1520" w:right="1579" w:firstLine="262"/>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investment grade rating</w:t>
      </w:r>
      <w:r>
        <w:rPr>
          <w:rFonts w:ascii="Times New Roman" w:cs="Times New Roman" w:eastAsia="Times New Roman" w:hAnsi="Times New Roman"/>
          <w:sz w:val="13"/>
          <w:szCs w:val="13"/>
          <w:color w:val="auto"/>
        </w:rPr>
        <w:t>” means a rating equal to or higher than BBB — (or the equivalent) by Fitch, Baa3 (or the equivalent) by Moody’s and BBB — (or the equivalent) by S&amp;P, and the equivalent investment grade credit rating from any replacement rating agency or rating agencies selected by us.</w:t>
      </w:r>
    </w:p>
    <w:p>
      <w:pPr>
        <w:spacing w:after="0" w:line="6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Moody’s</w:t>
      </w:r>
      <w:r>
        <w:rPr>
          <w:rFonts w:ascii="Times New Roman" w:cs="Times New Roman" w:eastAsia="Times New Roman" w:hAnsi="Times New Roman"/>
          <w:sz w:val="13"/>
          <w:szCs w:val="13"/>
          <w:color w:val="auto"/>
        </w:rPr>
        <w:t>” means Moody’s Investors Service, Inc. and its successors.</w:t>
      </w:r>
    </w:p>
    <w:p>
      <w:pPr>
        <w:spacing w:after="0" w:line="116" w:lineRule="exact"/>
        <w:rPr>
          <w:sz w:val="20"/>
          <w:szCs w:val="20"/>
          <w:color w:val="auto"/>
        </w:rPr>
      </w:pPr>
    </w:p>
    <w:p>
      <w:pPr>
        <w:ind w:left="1520" w:right="1619" w:firstLine="262"/>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rating agencies</w:t>
      </w:r>
      <w:r>
        <w:rPr>
          <w:rFonts w:ascii="Times New Roman" w:cs="Times New Roman" w:eastAsia="Times New Roman" w:hAnsi="Times New Roman"/>
          <w:sz w:val="13"/>
          <w:szCs w:val="13"/>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77" w:lineRule="exact"/>
        <w:rPr>
          <w:sz w:val="20"/>
          <w:szCs w:val="20"/>
          <w:color w:val="auto"/>
        </w:rPr>
      </w:pPr>
    </w:p>
    <w:p>
      <w:pPr>
        <w:ind w:left="1520" w:right="1539" w:firstLine="262"/>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rating event</w:t>
      </w:r>
      <w:r>
        <w:rPr>
          <w:rFonts w:ascii="Times New Roman" w:cs="Times New Roman" w:eastAsia="Times New Roman" w:hAnsi="Times New Roman"/>
          <w:sz w:val="13"/>
          <w:szCs w:val="13"/>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23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S&amp;P</w:t>
      </w:r>
      <w:r>
        <w:rPr>
          <w:rFonts w:ascii="Times New Roman" w:cs="Times New Roman" w:eastAsia="Times New Roman" w:hAnsi="Times New Roman"/>
          <w:sz w:val="13"/>
          <w:szCs w:val="13"/>
          <w:color w:val="auto"/>
        </w:rPr>
        <w:t>” means S&amp;P Global Ratings, a division of S&amp;P Global Inc., and its successors.</w:t>
      </w:r>
    </w:p>
    <w:p>
      <w:pPr>
        <w:spacing w:after="0" w:line="106" w:lineRule="exact"/>
        <w:rPr>
          <w:sz w:val="20"/>
          <w:szCs w:val="20"/>
          <w:color w:val="auto"/>
        </w:rPr>
      </w:pPr>
    </w:p>
    <w:p>
      <w:pPr>
        <w:ind w:left="1520" w:right="1539" w:firstLine="262"/>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voting stock</w:t>
      </w:r>
      <w:r>
        <w:rPr>
          <w:rFonts w:ascii="Times New Roman" w:cs="Times New Roman" w:eastAsia="Times New Roman" w:hAnsi="Times New Roman"/>
          <w:sz w:val="13"/>
          <w:szCs w:val="13"/>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Certain Covenants</w:t>
      </w:r>
    </w:p>
    <w:p>
      <w:pPr>
        <w:spacing w:after="0" w:line="11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Certain covenants in the Indenture limit our ability and the ability of our subsidiaries to:</w:t>
      </w:r>
    </w:p>
    <w:p>
      <w:pPr>
        <w:spacing w:after="0" w:line="87" w:lineRule="exact"/>
        <w:rPr>
          <w:sz w:val="20"/>
          <w:szCs w:val="20"/>
          <w:color w:val="auto"/>
        </w:rPr>
      </w:pPr>
    </w:p>
    <w:p>
      <w:pPr>
        <w:ind w:left="1900" w:hanging="124"/>
        <w:spacing w:after="0"/>
        <w:tabs>
          <w:tab w:leader="none" w:pos="1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incur or assume debt secured by liens;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sale and leaseback transactions; and</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 consolidate or transfer all or substantially all of our assets.</w:t>
      </w:r>
    </w:p>
    <w:p>
      <w:pPr>
        <w:spacing w:after="0" w:line="106" w:lineRule="exact"/>
        <w:rPr>
          <w:sz w:val="20"/>
          <w:szCs w:val="20"/>
          <w:color w:val="auto"/>
        </w:rPr>
      </w:pPr>
    </w:p>
    <w:p>
      <w:pPr>
        <w:ind w:left="1520" w:right="1639" w:firstLine="262"/>
        <w:spacing w:after="0" w:line="261" w:lineRule="auto"/>
        <w:rPr>
          <w:sz w:val="20"/>
          <w:szCs w:val="20"/>
          <w:color w:val="auto"/>
        </w:rPr>
      </w:pPr>
      <w:r>
        <w:rPr>
          <w:rFonts w:ascii="Times New Roman" w:cs="Times New Roman" w:eastAsia="Times New Roman" w:hAnsi="Times New Roman"/>
          <w:sz w:val="13"/>
          <w:szCs w:val="13"/>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Further Issuances</w:t>
      </w:r>
    </w:p>
    <w:p>
      <w:pPr>
        <w:spacing w:after="0" w:line="118" w:lineRule="exact"/>
        <w:rPr>
          <w:sz w:val="20"/>
          <w:szCs w:val="20"/>
          <w:color w:val="auto"/>
        </w:rPr>
      </w:pPr>
    </w:p>
    <w:p>
      <w:pPr>
        <w:ind w:left="1520" w:right="1559" w:firstLine="262"/>
        <w:spacing w:after="0" w:line="248" w:lineRule="auto"/>
        <w:rPr>
          <w:sz w:val="20"/>
          <w:szCs w:val="20"/>
          <w:color w:val="auto"/>
        </w:rPr>
      </w:pPr>
      <w:r>
        <w:rPr>
          <w:rFonts w:ascii="Times New Roman" w:cs="Times New Roman" w:eastAsia="Times New Roman" w:hAnsi="Times New Roman"/>
          <w:sz w:val="13"/>
          <w:szCs w:val="13"/>
          <w:color w:val="auto"/>
        </w:rPr>
        <w:t>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Book-Entry Systems</w:t>
      </w:r>
    </w:p>
    <w:p>
      <w:pPr>
        <w:spacing w:after="0" w:line="118" w:lineRule="exact"/>
        <w:rPr>
          <w:sz w:val="20"/>
          <w:szCs w:val="20"/>
          <w:color w:val="auto"/>
        </w:rPr>
      </w:pPr>
    </w:p>
    <w:p>
      <w:pPr>
        <w:ind w:left="1520" w:right="1619" w:firstLine="262"/>
        <w:spacing w:after="0" w:line="253" w:lineRule="auto"/>
        <w:rPr>
          <w:sz w:val="20"/>
          <w:szCs w:val="20"/>
          <w:color w:val="auto"/>
        </w:rPr>
      </w:pPr>
      <w:r>
        <w:rPr>
          <w:rFonts w:ascii="Times New Roman" w:cs="Times New Roman" w:eastAsia="Times New Roman" w:hAnsi="Times New Roman"/>
          <w:sz w:val="13"/>
          <w:szCs w:val="13"/>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w:t>
      </w: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 w:name="page23"/>
    <w:bookmarkEnd w:id="2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679"/>
        <w:spacing w:after="0" w:line="286" w:lineRule="auto"/>
        <w:rPr>
          <w:sz w:val="20"/>
          <w:szCs w:val="20"/>
          <w:color w:val="auto"/>
        </w:rPr>
      </w:pPr>
      <w:r>
        <w:rPr>
          <w:rFonts w:ascii="Times New Roman" w:cs="Times New Roman" w:eastAsia="Times New Roman" w:hAnsi="Times New Roman"/>
          <w:sz w:val="13"/>
          <w:szCs w:val="13"/>
          <w:color w:val="auto"/>
        </w:rPr>
        <w:t>references to payments and notices to the holders refer to payments and notices to the nominee of DTC as the registered holder of the notes.</w:t>
      </w:r>
    </w:p>
    <w:p>
      <w:pPr>
        <w:spacing w:after="0" w:line="67" w:lineRule="exact"/>
        <w:rPr>
          <w:sz w:val="20"/>
          <w:szCs w:val="20"/>
          <w:color w:val="auto"/>
        </w:rPr>
      </w:pPr>
    </w:p>
    <w:p>
      <w:pPr>
        <w:ind w:left="1520" w:right="1579" w:firstLine="262"/>
        <w:spacing w:after="0" w:line="264" w:lineRule="auto"/>
        <w:rPr>
          <w:sz w:val="20"/>
          <w:szCs w:val="20"/>
          <w:color w:val="auto"/>
        </w:rPr>
      </w:pPr>
      <w:r>
        <w:rPr>
          <w:rFonts w:ascii="Times New Roman" w:cs="Times New Roman" w:eastAsia="Times New Roman" w:hAnsi="Times New Roman"/>
          <w:sz w:val="13"/>
          <w:szCs w:val="13"/>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80" w:lineRule="exact"/>
        <w:rPr>
          <w:sz w:val="20"/>
          <w:szCs w:val="20"/>
          <w:color w:val="auto"/>
        </w:rPr>
      </w:pPr>
    </w:p>
    <w:p>
      <w:pPr>
        <w:ind w:left="1520" w:right="1559" w:firstLine="262"/>
        <w:spacing w:after="0" w:line="258" w:lineRule="auto"/>
        <w:rPr>
          <w:sz w:val="20"/>
          <w:szCs w:val="20"/>
          <w:color w:val="auto"/>
        </w:rPr>
      </w:pPr>
      <w:r>
        <w:rPr>
          <w:rFonts w:ascii="Times New Roman" w:cs="Times New Roman" w:eastAsia="Times New Roman" w:hAnsi="Times New Roman"/>
          <w:sz w:val="13"/>
          <w:szCs w:val="13"/>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75" w:lineRule="exact"/>
        <w:rPr>
          <w:sz w:val="20"/>
          <w:szCs w:val="20"/>
          <w:color w:val="auto"/>
        </w:rPr>
      </w:pPr>
    </w:p>
    <w:p>
      <w:pPr>
        <w:ind w:left="1520" w:right="1599" w:firstLine="262"/>
        <w:spacing w:after="0" w:line="269" w:lineRule="auto"/>
        <w:rPr>
          <w:sz w:val="20"/>
          <w:szCs w:val="20"/>
          <w:color w:val="auto"/>
        </w:rPr>
      </w:pPr>
      <w:r>
        <w:rPr>
          <w:rFonts w:ascii="Times New Roman" w:cs="Times New Roman" w:eastAsia="Times New Roman" w:hAnsi="Times New Roman"/>
          <w:sz w:val="13"/>
          <w:szCs w:val="13"/>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3"/>
          <w:szCs w:val="13"/>
          <w:b w:val="1"/>
          <w:bCs w:val="1"/>
          <w:color w:val="auto"/>
        </w:rPr>
        <w:t>DTC</w:t>
      </w:r>
    </w:p>
    <w:p>
      <w:pPr>
        <w:spacing w:after="0" w:line="118"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3"/>
          <w:szCs w:val="13"/>
          <w:color w:val="auto"/>
        </w:rPr>
        <w:t>DTC has advised us and the underwriters as follows:</w:t>
      </w:r>
    </w:p>
    <w:p>
      <w:pPr>
        <w:spacing w:after="0" w:line="96" w:lineRule="exact"/>
        <w:rPr>
          <w:sz w:val="20"/>
          <w:szCs w:val="20"/>
          <w:color w:val="auto"/>
        </w:rPr>
      </w:pPr>
    </w:p>
    <w:p>
      <w:pPr>
        <w:ind w:left="1900" w:right="1679" w:hanging="124"/>
        <w:spacing w:after="0" w:line="264" w:lineRule="auto"/>
        <w:tabs>
          <w:tab w:leader="none" w:pos="1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70" w:lineRule="exact"/>
        <w:rPr>
          <w:rFonts w:ascii="Times New Roman" w:cs="Times New Roman" w:eastAsia="Times New Roman" w:hAnsi="Times New Roman"/>
          <w:sz w:val="13"/>
          <w:szCs w:val="13"/>
          <w:color w:val="auto"/>
        </w:rPr>
      </w:pPr>
    </w:p>
    <w:p>
      <w:pPr>
        <w:ind w:left="1900" w:right="1539" w:hanging="124"/>
        <w:spacing w:after="0" w:line="264" w:lineRule="auto"/>
        <w:tabs>
          <w:tab w:leader="none" w:pos="1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60" w:lineRule="exact"/>
        <w:rPr>
          <w:rFonts w:ascii="Times New Roman" w:cs="Times New Roman" w:eastAsia="Times New Roman" w:hAnsi="Times New Roman"/>
          <w:sz w:val="13"/>
          <w:szCs w:val="13"/>
          <w:color w:val="auto"/>
        </w:rPr>
      </w:pPr>
    </w:p>
    <w:p>
      <w:pPr>
        <w:ind w:left="1900" w:right="1579" w:hanging="124"/>
        <w:spacing w:after="0" w:line="261" w:lineRule="auto"/>
        <w:tabs>
          <w:tab w:leader="none" w:pos="1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2"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rules applicable to DTC and its direct and indirect participants are on file with the SEC.</w:t>
      </w:r>
    </w:p>
    <w:p>
      <w:pPr>
        <w:spacing w:after="0" w:line="116" w:lineRule="exact"/>
        <w:rPr>
          <w:sz w:val="20"/>
          <w:szCs w:val="20"/>
          <w:color w:val="auto"/>
        </w:rPr>
      </w:pPr>
    </w:p>
    <w:p>
      <w:pPr>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7" w:lineRule="exact"/>
        <w:rPr>
          <w:sz w:val="20"/>
          <w:szCs w:val="20"/>
          <w:color w:val="auto"/>
        </w:rPr>
      </w:pPr>
    </w:p>
    <w:p>
      <w:pPr>
        <w:ind w:left="1520" w:right="1579" w:firstLine="262"/>
        <w:spacing w:after="0" w:line="261" w:lineRule="auto"/>
        <w:rPr>
          <w:sz w:val="20"/>
          <w:szCs w:val="20"/>
          <w:color w:val="auto"/>
        </w:rPr>
      </w:pPr>
      <w:r>
        <w:rPr>
          <w:rFonts w:ascii="Times New Roman" w:cs="Times New Roman" w:eastAsia="Times New Roman" w:hAnsi="Times New Roman"/>
          <w:sz w:val="13"/>
          <w:szCs w:val="13"/>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3" w:name="page24"/>
    <w:bookmarkEnd w:id="2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719"/>
        <w:spacing w:after="0" w:line="261" w:lineRule="auto"/>
        <w:rPr>
          <w:sz w:val="20"/>
          <w:szCs w:val="20"/>
          <w:color w:val="auto"/>
        </w:rPr>
      </w:pPr>
      <w:r>
        <w:rPr>
          <w:rFonts w:ascii="Times New Roman" w:cs="Times New Roman" w:eastAsia="Times New Roman" w:hAnsi="Times New Roman"/>
          <w:sz w:val="13"/>
          <w:szCs w:val="13"/>
          <w:color w:val="auto"/>
        </w:rPr>
        <w:t>whose accounts such notes are credited, which may or may not be the beneficial owners. The direct and indirect DTC participants will remain responsible for keeping account of their holdings on behalf of their customers.</w:t>
      </w:r>
    </w:p>
    <w:p>
      <w:pPr>
        <w:spacing w:after="0" w:line="73" w:lineRule="exact"/>
        <w:rPr>
          <w:sz w:val="20"/>
          <w:szCs w:val="20"/>
          <w:color w:val="auto"/>
        </w:rPr>
      </w:pPr>
    </w:p>
    <w:p>
      <w:pPr>
        <w:ind w:left="1520" w:right="1699" w:firstLine="262"/>
        <w:spacing w:after="0" w:line="253" w:lineRule="auto"/>
        <w:rPr>
          <w:sz w:val="20"/>
          <w:szCs w:val="20"/>
          <w:color w:val="auto"/>
        </w:rPr>
      </w:pPr>
      <w:r>
        <w:rPr>
          <w:rFonts w:ascii="Times New Roman" w:cs="Times New Roman" w:eastAsia="Times New Roman" w:hAnsi="Times New Roman"/>
          <w:sz w:val="13"/>
          <w:szCs w:val="13"/>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78" w:lineRule="exact"/>
        <w:rPr>
          <w:sz w:val="20"/>
          <w:szCs w:val="20"/>
          <w:color w:val="auto"/>
        </w:rPr>
      </w:pPr>
    </w:p>
    <w:p>
      <w:pPr>
        <w:ind w:left="1520" w:right="1799" w:firstLine="262"/>
        <w:spacing w:after="0" w:line="261" w:lineRule="auto"/>
        <w:rPr>
          <w:sz w:val="20"/>
          <w:szCs w:val="20"/>
          <w:color w:val="auto"/>
        </w:rPr>
      </w:pPr>
      <w:r>
        <w:rPr>
          <w:rFonts w:ascii="Times New Roman" w:cs="Times New Roman" w:eastAsia="Times New Roman" w:hAnsi="Times New Roman"/>
          <w:sz w:val="13"/>
          <w:szCs w:val="13"/>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73" w:lineRule="exact"/>
        <w:rPr>
          <w:sz w:val="20"/>
          <w:szCs w:val="20"/>
          <w:color w:val="auto"/>
        </w:rPr>
      </w:pPr>
    </w:p>
    <w:p>
      <w:pPr>
        <w:ind w:left="1520" w:right="1699" w:firstLine="262"/>
        <w:spacing w:after="0" w:line="249" w:lineRule="auto"/>
        <w:rPr>
          <w:sz w:val="20"/>
          <w:szCs w:val="20"/>
          <w:color w:val="auto"/>
        </w:rPr>
      </w:pPr>
      <w:r>
        <w:rPr>
          <w:rFonts w:ascii="Times New Roman" w:cs="Times New Roman" w:eastAsia="Times New Roman" w:hAnsi="Times New Roman"/>
          <w:sz w:val="13"/>
          <w:szCs w:val="13"/>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80" w:lineRule="exact"/>
        <w:rPr>
          <w:sz w:val="20"/>
          <w:szCs w:val="20"/>
          <w:color w:val="auto"/>
        </w:rPr>
      </w:pPr>
    </w:p>
    <w:p>
      <w:pPr>
        <w:ind w:left="1520" w:right="1699" w:firstLine="262"/>
        <w:spacing w:after="0" w:line="249" w:lineRule="auto"/>
        <w:rPr>
          <w:sz w:val="20"/>
          <w:szCs w:val="20"/>
          <w:color w:val="auto"/>
        </w:rPr>
      </w:pPr>
      <w:r>
        <w:rPr>
          <w:rFonts w:ascii="Times New Roman" w:cs="Times New Roman" w:eastAsia="Times New Roman" w:hAnsi="Times New Roman"/>
          <w:sz w:val="13"/>
          <w:szCs w:val="13"/>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235" w:lineRule="exact"/>
        <w:rPr>
          <w:sz w:val="20"/>
          <w:szCs w:val="20"/>
          <w:color w:val="auto"/>
        </w:rPr>
      </w:pPr>
    </w:p>
    <w:p>
      <w:pPr>
        <w:ind w:left="1520" w:right="1559" w:firstLine="262"/>
        <w:spacing w:after="0" w:line="245" w:lineRule="auto"/>
        <w:rPr>
          <w:sz w:val="20"/>
          <w:szCs w:val="20"/>
          <w:color w:val="auto"/>
        </w:rPr>
      </w:pPr>
      <w:r>
        <w:rPr>
          <w:rFonts w:ascii="Times New Roman" w:cs="Times New Roman" w:eastAsia="Times New Roman" w:hAnsi="Times New Roman"/>
          <w:sz w:val="13"/>
          <w:szCs w:val="13"/>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239" w:lineRule="exact"/>
        <w:rPr>
          <w:sz w:val="20"/>
          <w:szCs w:val="20"/>
          <w:color w:val="auto"/>
        </w:rPr>
      </w:pPr>
    </w:p>
    <w:p>
      <w:pPr>
        <w:ind w:left="1520" w:right="1679" w:firstLine="262"/>
        <w:spacing w:after="0" w:line="246" w:lineRule="auto"/>
        <w:rPr>
          <w:sz w:val="20"/>
          <w:szCs w:val="20"/>
          <w:color w:val="auto"/>
        </w:rPr>
      </w:pPr>
      <w:r>
        <w:rPr>
          <w:rFonts w:ascii="Times New Roman" w:cs="Times New Roman" w:eastAsia="Times New Roman" w:hAnsi="Times New Roman"/>
          <w:sz w:val="13"/>
          <w:szCs w:val="13"/>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84" w:lineRule="exact"/>
        <w:rPr>
          <w:sz w:val="20"/>
          <w:szCs w:val="20"/>
          <w:color w:val="auto"/>
        </w:rPr>
      </w:pPr>
    </w:p>
    <w:p>
      <w:pPr>
        <w:ind w:left="1520" w:right="1719" w:firstLine="262"/>
        <w:spacing w:after="0" w:line="253" w:lineRule="auto"/>
        <w:rPr>
          <w:sz w:val="20"/>
          <w:szCs w:val="20"/>
          <w:color w:val="auto"/>
        </w:rPr>
      </w:pPr>
      <w:r>
        <w:rPr>
          <w:rFonts w:ascii="Times New Roman" w:cs="Times New Roman" w:eastAsia="Times New Roman" w:hAnsi="Times New Roman"/>
          <w:sz w:val="13"/>
          <w:szCs w:val="13"/>
          <w:color w:val="auto"/>
        </w:rPr>
        <w:t>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78" w:lineRule="exact"/>
        <w:rPr>
          <w:sz w:val="20"/>
          <w:szCs w:val="20"/>
          <w:color w:val="auto"/>
        </w:rPr>
      </w:pPr>
    </w:p>
    <w:p>
      <w:pPr>
        <w:ind w:left="1520" w:right="1759" w:firstLine="262"/>
        <w:spacing w:after="0" w:line="261" w:lineRule="auto"/>
        <w:rPr>
          <w:sz w:val="20"/>
          <w:szCs w:val="20"/>
          <w:color w:val="auto"/>
        </w:rPr>
      </w:pPr>
      <w:r>
        <w:rPr>
          <w:rFonts w:ascii="Times New Roman" w:cs="Times New Roman" w:eastAsia="Times New Roman" w:hAnsi="Times New Roman"/>
          <w:sz w:val="13"/>
          <w:szCs w:val="13"/>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Euroclear</w:t>
      </w:r>
    </w:p>
    <w:p>
      <w:pPr>
        <w:spacing w:after="0" w:line="118" w:lineRule="exact"/>
        <w:rPr>
          <w:sz w:val="20"/>
          <w:szCs w:val="20"/>
          <w:color w:val="auto"/>
        </w:rPr>
      </w:pPr>
    </w:p>
    <w:p>
      <w:pPr>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w:t>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4" w:name="page25"/>
    <w:bookmarkEnd w:id="2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639"/>
        <w:spacing w:after="0" w:line="261" w:lineRule="auto"/>
        <w:rPr>
          <w:sz w:val="20"/>
          <w:szCs w:val="20"/>
          <w:color w:val="auto"/>
        </w:rPr>
      </w:pPr>
      <w:r>
        <w:rPr>
          <w:rFonts w:ascii="Times New Roman" w:cs="Times New Roman" w:eastAsia="Times New Roman" w:hAnsi="Times New Roman"/>
          <w:sz w:val="13"/>
          <w:szCs w:val="13"/>
          <w:color w:val="auto"/>
        </w:rPr>
        <w:t>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73" w:lineRule="exact"/>
        <w:rPr>
          <w:sz w:val="20"/>
          <w:szCs w:val="20"/>
          <w:color w:val="auto"/>
        </w:rPr>
      </w:pPr>
    </w:p>
    <w:p>
      <w:pPr>
        <w:ind w:left="1520" w:right="1559" w:firstLine="262"/>
        <w:spacing w:after="0" w:line="247" w:lineRule="auto"/>
        <w:rPr>
          <w:sz w:val="20"/>
          <w:szCs w:val="20"/>
          <w:color w:val="auto"/>
        </w:rPr>
      </w:pPr>
      <w:r>
        <w:rPr>
          <w:rFonts w:ascii="Times New Roman" w:cs="Times New Roman" w:eastAsia="Times New Roman" w:hAnsi="Times New Roman"/>
          <w:sz w:val="13"/>
          <w:szCs w:val="13"/>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81" w:lineRule="exact"/>
        <w:rPr>
          <w:sz w:val="20"/>
          <w:szCs w:val="20"/>
          <w:color w:val="auto"/>
        </w:rPr>
      </w:pPr>
    </w:p>
    <w:p>
      <w:pPr>
        <w:ind w:left="1520" w:right="1739" w:firstLine="262"/>
        <w:spacing w:after="0" w:line="271" w:lineRule="auto"/>
        <w:rPr>
          <w:sz w:val="20"/>
          <w:szCs w:val="20"/>
          <w:color w:val="auto"/>
        </w:rPr>
      </w:pPr>
      <w:r>
        <w:rPr>
          <w:rFonts w:ascii="Times New Roman" w:cs="Times New Roman" w:eastAsia="Times New Roman" w:hAnsi="Times New Roman"/>
          <w:sz w:val="13"/>
          <w:szCs w:val="13"/>
          <w:color w:val="auto"/>
        </w:rPr>
        <w:t>The Euroclear Operator is a Belgian bank, which is regulated and examined by the Belgian Banking Commission and the National Bank of Belgium.</w:t>
      </w:r>
    </w:p>
    <w:p>
      <w:pPr>
        <w:spacing w:after="0" w:line="66" w:lineRule="exact"/>
        <w:rPr>
          <w:sz w:val="20"/>
          <w:szCs w:val="20"/>
          <w:color w:val="auto"/>
        </w:rPr>
      </w:pPr>
    </w:p>
    <w:p>
      <w:pPr>
        <w:ind w:left="1520" w:right="1619" w:firstLine="262"/>
        <w:spacing w:after="0" w:line="249" w:lineRule="auto"/>
        <w:rPr>
          <w:sz w:val="20"/>
          <w:szCs w:val="20"/>
          <w:color w:val="auto"/>
        </w:rPr>
      </w:pPr>
      <w:r>
        <w:rPr>
          <w:rFonts w:ascii="Times New Roman" w:cs="Times New Roman" w:eastAsia="Times New Roman" w:hAnsi="Times New Roman"/>
          <w:sz w:val="13"/>
          <w:szCs w:val="13"/>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235" w:lineRule="exact"/>
        <w:rPr>
          <w:sz w:val="20"/>
          <w:szCs w:val="20"/>
          <w:color w:val="auto"/>
        </w:rPr>
      </w:pPr>
    </w:p>
    <w:p>
      <w:pPr>
        <w:ind w:left="1520" w:right="1559" w:firstLine="262"/>
        <w:spacing w:after="0" w:line="253" w:lineRule="auto"/>
        <w:rPr>
          <w:sz w:val="20"/>
          <w:szCs w:val="20"/>
          <w:color w:val="auto"/>
        </w:rPr>
      </w:pPr>
      <w:r>
        <w:rPr>
          <w:rFonts w:ascii="Times New Roman" w:cs="Times New Roman" w:eastAsia="Times New Roman" w:hAnsi="Times New Roman"/>
          <w:sz w:val="13"/>
          <w:szCs w:val="13"/>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78" w:lineRule="exact"/>
        <w:rPr>
          <w:sz w:val="20"/>
          <w:szCs w:val="20"/>
          <w:color w:val="auto"/>
        </w:rPr>
      </w:pPr>
    </w:p>
    <w:p>
      <w:pPr>
        <w:ind w:left="1520" w:right="1639" w:firstLine="262"/>
        <w:spacing w:after="0" w:line="261" w:lineRule="auto"/>
        <w:rPr>
          <w:sz w:val="20"/>
          <w:szCs w:val="20"/>
          <w:color w:val="auto"/>
        </w:rPr>
      </w:pPr>
      <w:r>
        <w:rPr>
          <w:rFonts w:ascii="Times New Roman" w:cs="Times New Roman" w:eastAsia="Times New Roman" w:hAnsi="Times New Roman"/>
          <w:sz w:val="13"/>
          <w:szCs w:val="13"/>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73" w:lineRule="exact"/>
        <w:rPr>
          <w:sz w:val="20"/>
          <w:szCs w:val="20"/>
          <w:color w:val="auto"/>
        </w:rPr>
      </w:pPr>
    </w:p>
    <w:p>
      <w:pPr>
        <w:ind w:left="1520" w:right="1619" w:firstLine="262"/>
        <w:spacing w:after="0" w:line="247" w:lineRule="auto"/>
        <w:rPr>
          <w:sz w:val="20"/>
          <w:szCs w:val="20"/>
          <w:color w:val="auto"/>
        </w:rPr>
      </w:pPr>
      <w:r>
        <w:rPr>
          <w:rFonts w:ascii="Times New Roman" w:cs="Times New Roman" w:eastAsia="Times New Roman" w:hAnsi="Times New Roman"/>
          <w:sz w:val="13"/>
          <w:szCs w:val="13"/>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1520" w:right="1619" w:firstLine="262"/>
        <w:spacing w:after="0" w:line="249" w:lineRule="auto"/>
        <w:rPr>
          <w:sz w:val="20"/>
          <w:szCs w:val="20"/>
          <w:color w:val="auto"/>
        </w:rPr>
      </w:pPr>
      <w:r>
        <w:rPr>
          <w:rFonts w:ascii="Times New Roman" w:cs="Times New Roman" w:eastAsia="Times New Roman" w:hAnsi="Times New Roman"/>
          <w:sz w:val="13"/>
          <w:szCs w:val="13"/>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80" w:lineRule="exact"/>
        <w:rPr>
          <w:sz w:val="20"/>
          <w:szCs w:val="20"/>
          <w:color w:val="auto"/>
        </w:rPr>
      </w:pPr>
    </w:p>
    <w:p>
      <w:pPr>
        <w:ind w:left="1520" w:right="1579" w:firstLine="262"/>
        <w:spacing w:after="0" w:line="247" w:lineRule="auto"/>
        <w:rPr>
          <w:sz w:val="20"/>
          <w:szCs w:val="20"/>
          <w:color w:val="auto"/>
        </w:rPr>
      </w:pPr>
      <w:r>
        <w:rPr>
          <w:rFonts w:ascii="Times New Roman" w:cs="Times New Roman" w:eastAsia="Times New Roman" w:hAnsi="Times New Roman"/>
          <w:sz w:val="13"/>
          <w:szCs w:val="13"/>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84" w:lineRule="exact"/>
        <w:rPr>
          <w:sz w:val="20"/>
          <w:szCs w:val="20"/>
          <w:color w:val="auto"/>
        </w:rPr>
      </w:pPr>
    </w:p>
    <w:p>
      <w:pPr>
        <w:ind w:left="1520" w:right="1759" w:firstLine="262"/>
        <w:spacing w:after="0" w:line="249" w:lineRule="auto"/>
        <w:rPr>
          <w:sz w:val="20"/>
          <w:szCs w:val="20"/>
          <w:color w:val="auto"/>
        </w:rPr>
      </w:pPr>
      <w:r>
        <w:rPr>
          <w:rFonts w:ascii="Times New Roman" w:cs="Times New Roman" w:eastAsia="Times New Roman" w:hAnsi="Times New Roman"/>
          <w:sz w:val="13"/>
          <w:szCs w:val="13"/>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5" w:name="page26"/>
    <w:bookmarkEnd w:id="2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Clearstream</w:t>
      </w:r>
    </w:p>
    <w:p>
      <w:pPr>
        <w:spacing w:after="0" w:line="118" w:lineRule="exact"/>
        <w:rPr>
          <w:sz w:val="20"/>
          <w:szCs w:val="20"/>
          <w:color w:val="auto"/>
        </w:rPr>
      </w:pPr>
    </w:p>
    <w:p>
      <w:pPr>
        <w:ind w:left="1520" w:right="1579" w:firstLine="262"/>
        <w:spacing w:after="0" w:line="256" w:lineRule="auto"/>
        <w:rPr>
          <w:sz w:val="20"/>
          <w:szCs w:val="20"/>
          <w:color w:val="auto"/>
        </w:rPr>
      </w:pPr>
      <w:r>
        <w:rPr>
          <w:rFonts w:ascii="Times New Roman" w:cs="Times New Roman" w:eastAsia="Times New Roman" w:hAnsi="Times New Roman"/>
          <w:sz w:val="13"/>
          <w:szCs w:val="13"/>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247" w:lineRule="exact"/>
        <w:rPr>
          <w:sz w:val="20"/>
          <w:szCs w:val="20"/>
          <w:color w:val="auto"/>
        </w:rPr>
      </w:pPr>
    </w:p>
    <w:p>
      <w:pPr>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237" w:lineRule="exact"/>
        <w:rPr>
          <w:sz w:val="20"/>
          <w:szCs w:val="20"/>
          <w:color w:val="auto"/>
        </w:rPr>
      </w:pPr>
    </w:p>
    <w:p>
      <w:pPr>
        <w:jc w:val="both"/>
        <w:ind w:left="1520" w:right="1659" w:firstLine="262"/>
        <w:spacing w:after="0" w:line="269" w:lineRule="auto"/>
        <w:rPr>
          <w:sz w:val="20"/>
          <w:szCs w:val="20"/>
          <w:color w:val="auto"/>
        </w:rPr>
      </w:pPr>
      <w:r>
        <w:rPr>
          <w:rFonts w:ascii="Times New Roman" w:cs="Times New Roman" w:eastAsia="Times New Roman" w:hAnsi="Times New Roman"/>
          <w:sz w:val="13"/>
          <w:szCs w:val="13"/>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8" w:lineRule="exact"/>
        <w:rPr>
          <w:sz w:val="20"/>
          <w:szCs w:val="20"/>
          <w:color w:val="auto"/>
        </w:rPr>
      </w:pPr>
    </w:p>
    <w:p>
      <w:pPr>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5" w:lineRule="exact"/>
        <w:rPr>
          <w:sz w:val="20"/>
          <w:szCs w:val="20"/>
          <w:color w:val="auto"/>
        </w:rPr>
      </w:pPr>
    </w:p>
    <w:p>
      <w:pPr>
        <w:ind w:left="1520" w:right="1599" w:firstLine="262"/>
        <w:spacing w:after="0" w:line="261" w:lineRule="auto"/>
        <w:rPr>
          <w:sz w:val="20"/>
          <w:szCs w:val="20"/>
          <w:color w:val="auto"/>
        </w:rPr>
      </w:pPr>
      <w:r>
        <w:rPr>
          <w:rFonts w:ascii="Times New Roman" w:cs="Times New Roman" w:eastAsia="Times New Roman" w:hAnsi="Times New Roman"/>
          <w:sz w:val="13"/>
          <w:szCs w:val="13"/>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72" w:lineRule="exact"/>
        <w:rPr>
          <w:sz w:val="20"/>
          <w:szCs w:val="20"/>
          <w:color w:val="auto"/>
        </w:rPr>
      </w:pPr>
    </w:p>
    <w:p>
      <w:pPr>
        <w:ind w:left="1520" w:right="1619" w:firstLine="262"/>
        <w:spacing w:after="0" w:line="257" w:lineRule="auto"/>
        <w:rPr>
          <w:sz w:val="20"/>
          <w:szCs w:val="20"/>
          <w:color w:val="auto"/>
        </w:rPr>
      </w:pPr>
      <w:r>
        <w:rPr>
          <w:rFonts w:ascii="Times New Roman" w:cs="Times New Roman" w:eastAsia="Times New Roman" w:hAnsi="Times New Roman"/>
          <w:sz w:val="13"/>
          <w:szCs w:val="13"/>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247" w:lineRule="exact"/>
        <w:rPr>
          <w:sz w:val="20"/>
          <w:szCs w:val="20"/>
          <w:color w:val="auto"/>
        </w:rPr>
      </w:pPr>
    </w:p>
    <w:p>
      <w:pPr>
        <w:ind w:left="1520" w:right="1639" w:firstLine="262"/>
        <w:spacing w:after="0" w:line="261" w:lineRule="auto"/>
        <w:rPr>
          <w:sz w:val="20"/>
          <w:szCs w:val="20"/>
          <w:color w:val="auto"/>
        </w:rPr>
      </w:pPr>
      <w:r>
        <w:rPr>
          <w:rFonts w:ascii="Times New Roman" w:cs="Times New Roman" w:eastAsia="Times New Roman" w:hAnsi="Times New Roman"/>
          <w:sz w:val="13"/>
          <w:szCs w:val="13"/>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6" w:name="page27"/>
    <w:bookmarkEnd w:id="26"/>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CERTAIN U.S. FEDERAL TAX CONSIDERATIONS FOR NON-U.S. HOLDERS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Scope of Discussion</w:t>
      </w:r>
    </w:p>
    <w:p>
      <w:pPr>
        <w:spacing w:after="0" w:line="118" w:lineRule="exact"/>
        <w:rPr>
          <w:sz w:val="20"/>
          <w:szCs w:val="20"/>
          <w:color w:val="auto"/>
        </w:rPr>
      </w:pPr>
    </w:p>
    <w:p>
      <w:pPr>
        <w:ind w:left="1520" w:right="1519" w:firstLine="262"/>
        <w:spacing w:after="0" w:line="256" w:lineRule="auto"/>
        <w:rPr>
          <w:sz w:val="20"/>
          <w:szCs w:val="20"/>
          <w:color w:val="auto"/>
        </w:rPr>
      </w:pPr>
      <w:r>
        <w:rPr>
          <w:rFonts w:ascii="Times New Roman" w:cs="Times New Roman" w:eastAsia="Times New Roman" w:hAnsi="Times New Roman"/>
          <w:sz w:val="13"/>
          <w:szCs w:val="13"/>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of the date of this prospectus supplement and all of which are subject to change or differing interpretations, possibly with retroactive effect. This discussion is limited to non-U.S. holders who purchase the notes at their “issue price”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87" w:lineRule="exact"/>
        <w:rPr>
          <w:sz w:val="20"/>
          <w:szCs w:val="20"/>
          <w:color w:val="auto"/>
        </w:rPr>
      </w:pPr>
    </w:p>
    <w:p>
      <w:pPr>
        <w:ind w:left="1520" w:right="1519" w:firstLine="262"/>
        <w:spacing w:after="0" w:line="254" w:lineRule="auto"/>
        <w:rPr>
          <w:sz w:val="20"/>
          <w:szCs w:val="20"/>
          <w:color w:val="auto"/>
        </w:rPr>
      </w:pPr>
      <w:r>
        <w:rPr>
          <w:rFonts w:ascii="Times New Roman" w:cs="Times New Roman" w:eastAsia="Times New Roman" w:hAnsi="Times New Roman"/>
          <w:sz w:val="13"/>
          <w:szCs w:val="13"/>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who are tendering or otherwise having redeemed any existing notes issued by us in any substantially contemporaneous transaction.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241" w:lineRule="exact"/>
        <w:rPr>
          <w:sz w:val="20"/>
          <w:szCs w:val="20"/>
          <w:color w:val="auto"/>
        </w:rPr>
      </w:pPr>
    </w:p>
    <w:p>
      <w:pPr>
        <w:ind w:left="1520" w:right="1559" w:firstLine="262"/>
        <w:spacing w:after="0" w:line="259" w:lineRule="auto"/>
        <w:rPr>
          <w:sz w:val="20"/>
          <w:szCs w:val="20"/>
          <w:color w:val="auto"/>
        </w:rPr>
      </w:pPr>
      <w:r>
        <w:rPr>
          <w:rFonts w:ascii="Times New Roman" w:cs="Times New Roman" w:eastAsia="Times New Roman" w:hAnsi="Times New Roman"/>
          <w:sz w:val="13"/>
          <w:szCs w:val="13"/>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84" w:lineRule="exact"/>
        <w:rPr>
          <w:sz w:val="20"/>
          <w:szCs w:val="20"/>
          <w:color w:val="auto"/>
        </w:rPr>
      </w:pPr>
    </w:p>
    <w:p>
      <w:pPr>
        <w:ind w:left="1520" w:right="1639" w:firstLine="262"/>
        <w:spacing w:after="0" w:line="260" w:lineRule="auto"/>
        <w:rPr>
          <w:sz w:val="20"/>
          <w:szCs w:val="20"/>
          <w:color w:val="auto"/>
        </w:rPr>
      </w:pPr>
      <w:r>
        <w:rPr>
          <w:rFonts w:ascii="Times New Roman" w:cs="Times New Roman" w:eastAsia="Times New Roman" w:hAnsi="Times New Roman"/>
          <w:sz w:val="13"/>
          <w:szCs w:val="13"/>
          <w:color w:val="auto"/>
        </w:rPr>
        <w:t>THIS SUMMARY IS NOT A SUBSTITUTE FOR AN ANALYSIS OF THE TAX CONSEQUENCES RELATING TO THE PURCHASE, OWNERSHIP OR DISPOSITION OF THE NOTES IN LIGHT OF YOUR OWN SITUATION. WE URGE YOU TO CONSULT A TAX ADVISOR REGARDING THE PARTICULAR FEDERAL, STATE, LOCAL AND FOREIGN TAX CONSEQUENCES RELATING TO THE PURCHASE, OWNERSHIP OR DISPOSITION OF THE NOTES IN LIGHT OF YOUR OWN SITUATION.</w:t>
      </w:r>
    </w:p>
    <w:p>
      <w:pPr>
        <w:spacing w:after="0" w:line="243" w:lineRule="exact"/>
        <w:rPr>
          <w:sz w:val="20"/>
          <w:szCs w:val="20"/>
          <w:color w:val="auto"/>
        </w:rPr>
      </w:pPr>
    </w:p>
    <w:p>
      <w:pPr>
        <w:ind w:left="1520" w:right="1639" w:firstLine="262"/>
        <w:spacing w:after="0" w:line="269" w:lineRule="auto"/>
        <w:rPr>
          <w:sz w:val="20"/>
          <w:szCs w:val="20"/>
          <w:color w:val="auto"/>
        </w:rPr>
      </w:pPr>
      <w:r>
        <w:rPr>
          <w:rFonts w:ascii="Times New Roman" w:cs="Times New Roman" w:eastAsia="Times New Roman" w:hAnsi="Times New Roman"/>
          <w:sz w:val="13"/>
          <w:szCs w:val="13"/>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48" w:lineRule="exact"/>
        <w:rPr>
          <w:sz w:val="20"/>
          <w:szCs w:val="20"/>
          <w:color w:val="auto"/>
        </w:rPr>
      </w:pPr>
    </w:p>
    <w:p>
      <w:pPr>
        <w:ind w:left="1900" w:right="1759" w:hanging="124"/>
        <w:spacing w:after="0" w:line="269" w:lineRule="auto"/>
        <w:tabs>
          <w:tab w:leader="none" w:pos="19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48" w:lineRule="exact"/>
        <w:rPr>
          <w:rFonts w:ascii="Times New Roman" w:cs="Times New Roman" w:eastAsia="Times New Roman" w:hAnsi="Times New Roman"/>
          <w:sz w:val="13"/>
          <w:szCs w:val="13"/>
          <w:color w:val="auto"/>
        </w:rPr>
      </w:pPr>
    </w:p>
    <w:p>
      <w:pPr>
        <w:ind w:left="1900" w:right="1599" w:hanging="124"/>
        <w:spacing w:after="0" w:line="269" w:lineRule="auto"/>
        <w:tabs>
          <w:tab w:leader="none" w:pos="19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other entity taxable as a corporation for U.S. federal income tax purposes, that was created or organized in or under the laws of the United States, any state thereof or the District of Columbia;</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7" w:name="page28"/>
    <w:bookmarkEnd w:id="2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00" w:hanging="124"/>
        <w:spacing w:after="0"/>
        <w:tabs>
          <w:tab w:leader="none" w:pos="19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whose income is subject to U.S. federal income taxation regardless of its source; or</w:t>
      </w:r>
    </w:p>
    <w:p>
      <w:pPr>
        <w:spacing w:after="0" w:line="86" w:lineRule="exact"/>
        <w:rPr>
          <w:rFonts w:ascii="Times New Roman" w:cs="Times New Roman" w:eastAsia="Times New Roman" w:hAnsi="Times New Roman"/>
          <w:sz w:val="13"/>
          <w:szCs w:val="13"/>
          <w:color w:val="auto"/>
        </w:rPr>
      </w:pPr>
    </w:p>
    <w:p>
      <w:pPr>
        <w:ind w:left="1900" w:right="1659" w:hanging="124"/>
        <w:spacing w:after="0" w:line="264" w:lineRule="auto"/>
        <w:tabs>
          <w:tab w:leader="none" w:pos="19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Payments of Additional Amounts</w:t>
      </w:r>
    </w:p>
    <w:p>
      <w:pPr>
        <w:spacing w:after="0" w:line="118" w:lineRule="exact"/>
        <w:rPr>
          <w:sz w:val="20"/>
          <w:szCs w:val="20"/>
          <w:color w:val="auto"/>
        </w:rPr>
      </w:pPr>
    </w:p>
    <w:p>
      <w:pPr>
        <w:ind w:left="1520" w:right="1559" w:firstLine="262"/>
        <w:spacing w:after="0" w:line="254" w:lineRule="auto"/>
        <w:rPr>
          <w:sz w:val="20"/>
          <w:szCs w:val="20"/>
          <w:color w:val="auto"/>
        </w:rPr>
      </w:pPr>
      <w:r>
        <w:rPr>
          <w:rFonts w:ascii="Times New Roman" w:cs="Times New Roman" w:eastAsia="Times New Roman" w:hAnsi="Times New Roman"/>
          <w:sz w:val="13"/>
          <w:szCs w:val="13"/>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If you take a different position, then you may be required to disclose your contrary position to the IRS in the manner required by applicable Treasury regulations. Our determination is not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tax advisors regarding the possible application of the contingent payment debt instrument rules to the notes.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Interest on the Notes</w:t>
      </w:r>
    </w:p>
    <w:p>
      <w:pPr>
        <w:spacing w:after="0" w:line="118" w:lineRule="exact"/>
        <w:rPr>
          <w:sz w:val="20"/>
          <w:szCs w:val="20"/>
          <w:color w:val="auto"/>
        </w:rPr>
      </w:pPr>
    </w:p>
    <w:p>
      <w:pPr>
        <w:ind w:left="1520" w:right="1539" w:firstLine="262"/>
        <w:spacing w:after="0" w:line="264" w:lineRule="auto"/>
        <w:rPr>
          <w:sz w:val="20"/>
          <w:szCs w:val="20"/>
          <w:color w:val="auto"/>
        </w:rPr>
      </w:pPr>
      <w:r>
        <w:rPr>
          <w:rFonts w:ascii="Times New Roman" w:cs="Times New Roman" w:eastAsia="Times New Roman" w:hAnsi="Times New Roman"/>
          <w:sz w:val="13"/>
          <w:szCs w:val="13"/>
          <w:color w:val="auto"/>
        </w:rPr>
        <w:t>Subject to the discussion of backup withholding and FATCA (as defined herein) withholding requirements discussed below, payments of interest on the notes generally will not be subject to U.S. federal income tax and will be exempt from withholding of U.S. federal income tax under the “portfolio interest” exemption if you properly certify as to your foreign status as described below, and:</w:t>
      </w:r>
    </w:p>
    <w:p>
      <w:pPr>
        <w:spacing w:after="0" w:line="50" w:lineRule="exact"/>
        <w:rPr>
          <w:sz w:val="20"/>
          <w:szCs w:val="20"/>
          <w:color w:val="auto"/>
        </w:rPr>
      </w:pPr>
    </w:p>
    <w:p>
      <w:pPr>
        <w:ind w:left="1900" w:right="1599" w:hanging="124"/>
        <w:spacing w:after="0" w:line="286" w:lineRule="auto"/>
        <w:tabs>
          <w:tab w:leader="none" w:pos="1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paid on the notes is not effectively connected with your conduct of a trade or business in the United States;</w:t>
      </w:r>
    </w:p>
    <w:p>
      <w:pPr>
        <w:spacing w:after="0" w:line="37" w:lineRule="exact"/>
        <w:rPr>
          <w:rFonts w:ascii="Times New Roman" w:cs="Times New Roman" w:eastAsia="Times New Roman" w:hAnsi="Times New Roman"/>
          <w:sz w:val="13"/>
          <w:szCs w:val="13"/>
          <w:color w:val="auto"/>
        </w:rPr>
      </w:pPr>
    </w:p>
    <w:p>
      <w:pPr>
        <w:ind w:left="1900" w:right="1599" w:hanging="124"/>
        <w:spacing w:after="0" w:line="286" w:lineRule="auto"/>
        <w:tabs>
          <w:tab w:leader="none" w:pos="1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are not a bank whose receipt of interest on the notes is in connection with an extension of credit made pursuant to a loan agreement entered into in the ordinary course of your trade or business;</w:t>
      </w:r>
    </w:p>
    <w:p>
      <w:pPr>
        <w:spacing w:after="0" w:line="37" w:lineRule="exact"/>
        <w:rPr>
          <w:rFonts w:ascii="Times New Roman" w:cs="Times New Roman" w:eastAsia="Times New Roman" w:hAnsi="Times New Roman"/>
          <w:sz w:val="13"/>
          <w:szCs w:val="13"/>
          <w:color w:val="auto"/>
        </w:rPr>
      </w:pPr>
    </w:p>
    <w:p>
      <w:pPr>
        <w:ind w:left="1900" w:right="1719" w:hanging="124"/>
        <w:spacing w:after="0" w:line="286" w:lineRule="auto"/>
        <w:tabs>
          <w:tab w:leader="none" w:pos="1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do not own, actually or constructively, 10% or more of the total combined voting power of all classes of our stock entitled to vote; and</w:t>
      </w:r>
    </w:p>
    <w:p>
      <w:pPr>
        <w:spacing w:after="0" w:line="37" w:lineRule="exact"/>
        <w:rPr>
          <w:rFonts w:ascii="Times New Roman" w:cs="Times New Roman" w:eastAsia="Times New Roman" w:hAnsi="Times New Roman"/>
          <w:sz w:val="13"/>
          <w:szCs w:val="13"/>
          <w:color w:val="auto"/>
        </w:rPr>
      </w:pPr>
    </w:p>
    <w:p>
      <w:pPr>
        <w:ind w:left="1900" w:right="1819" w:hanging="124"/>
        <w:spacing w:after="0" w:line="286" w:lineRule="auto"/>
        <w:tabs>
          <w:tab w:leader="none" w:pos="1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are not a “controlled foreign corporation” that is related to us through actual or constructive stock ownership (as provided in the Code).</w:t>
      </w:r>
    </w:p>
    <w:p>
      <w:pPr>
        <w:spacing w:after="0" w:line="67" w:lineRule="exact"/>
        <w:rPr>
          <w:sz w:val="20"/>
          <w:szCs w:val="20"/>
          <w:color w:val="auto"/>
        </w:rPr>
      </w:pPr>
    </w:p>
    <w:p>
      <w:pPr>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w:t>
      </w:r>
    </w:p>
    <w:p>
      <w:pPr>
        <w:spacing w:after="0" w:line="234" w:lineRule="exact"/>
        <w:rPr>
          <w:sz w:val="20"/>
          <w:szCs w:val="20"/>
          <w:color w:val="auto"/>
        </w:rPr>
      </w:pPr>
    </w:p>
    <w:p>
      <w:pPr>
        <w:ind w:left="1520" w:right="1619" w:firstLine="262"/>
        <w:spacing w:after="0" w:line="262" w:lineRule="auto"/>
        <w:rPr>
          <w:sz w:val="20"/>
          <w:szCs w:val="20"/>
          <w:color w:val="auto"/>
        </w:rPr>
      </w:pPr>
      <w:r>
        <w:rPr>
          <w:rFonts w:ascii="Times New Roman" w:cs="Times New Roman" w:eastAsia="Times New Roman" w:hAnsi="Times New Roman"/>
          <w:sz w:val="13"/>
          <w:szCs w:val="13"/>
          <w:color w:val="auto"/>
        </w:rPr>
        <w:t>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8" w:name="page29"/>
    <w:bookmarkEnd w:id="2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99"/>
        <w:spacing w:after="0" w:line="253" w:lineRule="auto"/>
        <w:rPr>
          <w:sz w:val="20"/>
          <w:szCs w:val="20"/>
          <w:color w:val="auto"/>
        </w:rPr>
      </w:pPr>
      <w:r>
        <w:rPr>
          <w:rFonts w:ascii="Times New Roman" w:cs="Times New Roman" w:eastAsia="Times New Roman" w:hAnsi="Times New Roman"/>
          <w:sz w:val="13"/>
          <w:szCs w:val="13"/>
          <w:color w:val="auto"/>
        </w:rPr>
        <w:t>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 Income or Gain Effectively Connected with a U.S. Trade or Business.”</w:t>
      </w:r>
    </w:p>
    <w:p>
      <w:pPr>
        <w:spacing w:after="0" w:line="78" w:lineRule="exact"/>
        <w:rPr>
          <w:sz w:val="20"/>
          <w:szCs w:val="20"/>
          <w:color w:val="auto"/>
        </w:rPr>
      </w:pPr>
    </w:p>
    <w:p>
      <w:pPr>
        <w:ind w:left="1520" w:right="1959" w:firstLine="262"/>
        <w:spacing w:after="0" w:line="286" w:lineRule="auto"/>
        <w:rPr>
          <w:sz w:val="20"/>
          <w:szCs w:val="20"/>
          <w:color w:val="auto"/>
        </w:rPr>
      </w:pPr>
      <w:r>
        <w:rPr>
          <w:rFonts w:ascii="Times New Roman" w:cs="Times New Roman" w:eastAsia="Times New Roman" w:hAnsi="Times New Roman"/>
          <w:sz w:val="13"/>
          <w:szCs w:val="13"/>
          <w:color w:val="auto"/>
        </w:rPr>
        <w:t>It is anticipated, and this discussion assumes, that the notes will not be issued with more than de minimis original issue discount for U.S. federal income tax purposes.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Sale, Redemption, Exchange, Retirement or Other Taxable Disposition of Notes</w:t>
      </w:r>
    </w:p>
    <w:p>
      <w:pPr>
        <w:spacing w:after="0" w:line="118" w:lineRule="exact"/>
        <w:rPr>
          <w:sz w:val="20"/>
          <w:szCs w:val="20"/>
          <w:color w:val="auto"/>
        </w:rPr>
      </w:pPr>
    </w:p>
    <w:p>
      <w:pPr>
        <w:ind w:left="1520" w:right="1899" w:firstLine="262"/>
        <w:spacing w:after="0" w:line="253" w:lineRule="auto"/>
        <w:rPr>
          <w:sz w:val="20"/>
          <w:szCs w:val="20"/>
          <w:color w:val="auto"/>
        </w:rPr>
      </w:pPr>
      <w:r>
        <w:rPr>
          <w:rFonts w:ascii="Times New Roman" w:cs="Times New Roman" w:eastAsia="Times New Roman" w:hAnsi="Times New Roman"/>
          <w:sz w:val="13"/>
          <w:szCs w:val="13"/>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49" w:lineRule="exact"/>
        <w:rPr>
          <w:sz w:val="20"/>
          <w:szCs w:val="20"/>
          <w:color w:val="auto"/>
        </w:rPr>
      </w:pPr>
    </w:p>
    <w:p>
      <w:pPr>
        <w:ind w:left="1900" w:right="1559" w:hanging="124"/>
        <w:spacing w:after="0" w:line="286" w:lineRule="auto"/>
        <w:tabs>
          <w:tab w:leader="none" w:pos="19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your conduct of a U.S. trade or business (and, if required by an applicable tax treaty, is attributable to your permanent establishment in the United States); or</w:t>
      </w:r>
    </w:p>
    <w:p>
      <w:pPr>
        <w:spacing w:after="0" w:line="37" w:lineRule="exact"/>
        <w:rPr>
          <w:rFonts w:ascii="Times New Roman" w:cs="Times New Roman" w:eastAsia="Times New Roman" w:hAnsi="Times New Roman"/>
          <w:sz w:val="13"/>
          <w:szCs w:val="13"/>
          <w:color w:val="auto"/>
        </w:rPr>
      </w:pPr>
    </w:p>
    <w:p>
      <w:pPr>
        <w:ind w:left="1900" w:right="1659" w:hanging="124"/>
        <w:spacing w:after="0" w:line="286" w:lineRule="auto"/>
        <w:tabs>
          <w:tab w:leader="none" w:pos="19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are an individual who has been present in the United States for 183 days or more in the taxable year of disposition and certain other requirements are met.</w:t>
      </w:r>
    </w:p>
    <w:p>
      <w:pPr>
        <w:spacing w:after="0" w:line="57" w:lineRule="exact"/>
        <w:rPr>
          <w:sz w:val="20"/>
          <w:szCs w:val="20"/>
          <w:color w:val="auto"/>
        </w:rPr>
      </w:pPr>
    </w:p>
    <w:p>
      <w:pPr>
        <w:ind w:left="1520" w:right="1559" w:firstLine="262"/>
        <w:spacing w:after="0" w:line="253" w:lineRule="auto"/>
        <w:rPr>
          <w:sz w:val="20"/>
          <w:szCs w:val="20"/>
          <w:color w:val="auto"/>
        </w:rPr>
      </w:pPr>
      <w:r>
        <w:rPr>
          <w:rFonts w:ascii="Times New Roman" w:cs="Times New Roman" w:eastAsia="Times New Roman" w:hAnsi="Times New Roman"/>
          <w:sz w:val="13"/>
          <w:szCs w:val="13"/>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78" w:lineRule="exact"/>
        <w:rPr>
          <w:sz w:val="20"/>
          <w:szCs w:val="20"/>
          <w:color w:val="auto"/>
        </w:rPr>
      </w:pPr>
    </w:p>
    <w:p>
      <w:pPr>
        <w:jc w:val="both"/>
        <w:ind w:left="1520" w:right="1599" w:firstLine="262"/>
        <w:spacing w:after="0" w:line="253" w:lineRule="auto"/>
        <w:rPr>
          <w:sz w:val="20"/>
          <w:szCs w:val="20"/>
          <w:color w:val="auto"/>
        </w:rPr>
      </w:pPr>
      <w:r>
        <w:rPr>
          <w:rFonts w:ascii="Times New Roman" w:cs="Times New Roman" w:eastAsia="Times New Roman" w:hAnsi="Times New Roman"/>
          <w:sz w:val="13"/>
          <w:szCs w:val="13"/>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Income or Gain Effectively Connected with a U.S. Trade or Business</w:t>
      </w:r>
    </w:p>
    <w:p>
      <w:pPr>
        <w:spacing w:after="0" w:line="108" w:lineRule="exact"/>
        <w:rPr>
          <w:sz w:val="20"/>
          <w:szCs w:val="20"/>
          <w:color w:val="auto"/>
        </w:rPr>
      </w:pPr>
    </w:p>
    <w:p>
      <w:pPr>
        <w:ind w:left="1520" w:right="1519" w:firstLine="262"/>
        <w:spacing w:after="0" w:line="245" w:lineRule="auto"/>
        <w:rPr>
          <w:sz w:val="20"/>
          <w:szCs w:val="20"/>
          <w:color w:val="auto"/>
        </w:rPr>
      </w:pPr>
      <w:r>
        <w:rPr>
          <w:rFonts w:ascii="Times New Roman" w:cs="Times New Roman" w:eastAsia="Times New Roman" w:hAnsi="Times New Roman"/>
          <w:sz w:val="13"/>
          <w:szCs w:val="13"/>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Reporting and Backup Withholding</w:t>
      </w:r>
    </w:p>
    <w:p>
      <w:pPr>
        <w:spacing w:after="0" w:line="108" w:lineRule="exact"/>
        <w:rPr>
          <w:sz w:val="20"/>
          <w:szCs w:val="20"/>
          <w:color w:val="auto"/>
        </w:rPr>
      </w:pPr>
    </w:p>
    <w:p>
      <w:pPr>
        <w:ind w:left="1520" w:right="1679" w:firstLine="262"/>
        <w:spacing w:after="0" w:line="253" w:lineRule="auto"/>
        <w:rPr>
          <w:sz w:val="20"/>
          <w:szCs w:val="20"/>
          <w:color w:val="auto"/>
        </w:rPr>
      </w:pPr>
      <w:r>
        <w:rPr>
          <w:rFonts w:ascii="Times New Roman" w:cs="Times New Roman" w:eastAsia="Times New Roman" w:hAnsi="Times New Roman"/>
          <w:sz w:val="13"/>
          <w:szCs w:val="13"/>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78" w:lineRule="exact"/>
        <w:rPr>
          <w:sz w:val="20"/>
          <w:szCs w:val="20"/>
          <w:color w:val="auto"/>
        </w:rPr>
      </w:pPr>
    </w:p>
    <w:p>
      <w:pPr>
        <w:ind w:left="1520" w:right="1579" w:firstLine="262"/>
        <w:spacing w:after="0" w:line="254" w:lineRule="auto"/>
        <w:rPr>
          <w:sz w:val="20"/>
          <w:szCs w:val="20"/>
          <w:color w:val="auto"/>
        </w:rPr>
      </w:pPr>
      <w:r>
        <w:rPr>
          <w:rFonts w:ascii="Times New Roman" w:cs="Times New Roman" w:eastAsia="Times New Roman" w:hAnsi="Times New Roman"/>
          <w:sz w:val="13"/>
          <w:szCs w:val="13"/>
          <w:color w:val="auto"/>
        </w:rPr>
        <w:t>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233" w:lineRule="exact"/>
        <w:rPr>
          <w:sz w:val="20"/>
          <w:szCs w:val="20"/>
          <w:color w:val="auto"/>
        </w:rPr>
      </w:pPr>
    </w:p>
    <w:p>
      <w:pPr>
        <w:ind w:left="1520" w:right="1699" w:firstLine="262"/>
        <w:spacing w:after="0" w:line="271" w:lineRule="auto"/>
        <w:rPr>
          <w:sz w:val="20"/>
          <w:szCs w:val="20"/>
          <w:color w:val="auto"/>
        </w:rPr>
      </w:pPr>
      <w:r>
        <w:rPr>
          <w:rFonts w:ascii="Times New Roman" w:cs="Times New Roman" w:eastAsia="Times New Roman" w:hAnsi="Times New Roman"/>
          <w:sz w:val="13"/>
          <w:szCs w:val="13"/>
          <w:color w:val="auto"/>
        </w:rPr>
        <w:t>Payment of the proceeds of a sale, redemption, exchange, retirement or other taxable disposition of a note effected by the U.S. office of a U.S. or foreign broker will be subject to information reporting</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9" w:name="page30"/>
    <w:bookmarkEnd w:id="2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39"/>
        <w:spacing w:after="0" w:line="256" w:lineRule="auto"/>
        <w:rPr>
          <w:sz w:val="20"/>
          <w:szCs w:val="20"/>
          <w:color w:val="auto"/>
        </w:rPr>
      </w:pPr>
      <w:r>
        <w:rPr>
          <w:rFonts w:ascii="Times New Roman" w:cs="Times New Roman" w:eastAsia="Times New Roman" w:hAnsi="Times New Roman"/>
          <w:sz w:val="13"/>
          <w:szCs w:val="13"/>
          <w:color w:val="auto"/>
        </w:rPr>
        <w:t>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 is:</w:t>
      </w:r>
    </w:p>
    <w:p>
      <w:pPr>
        <w:spacing w:after="0" w:line="217" w:lineRule="exact"/>
        <w:rPr>
          <w:sz w:val="20"/>
          <w:szCs w:val="20"/>
          <w:color w:val="auto"/>
        </w:rPr>
      </w:pPr>
    </w:p>
    <w:p>
      <w:pPr>
        <w:ind w:left="1900" w:hanging="124"/>
        <w:spacing w:after="0"/>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United States person;</w:t>
      </w:r>
    </w:p>
    <w:p>
      <w:pPr>
        <w:spacing w:after="0" w:line="86" w:lineRule="exact"/>
        <w:rPr>
          <w:rFonts w:ascii="Times New Roman" w:cs="Times New Roman" w:eastAsia="Times New Roman" w:hAnsi="Times New Roman"/>
          <w:sz w:val="13"/>
          <w:szCs w:val="13"/>
          <w:color w:val="auto"/>
        </w:rPr>
      </w:pPr>
    </w:p>
    <w:p>
      <w:pPr>
        <w:ind w:left="1900" w:right="1539" w:hanging="124"/>
        <w:spacing w:after="0" w:line="286" w:lineRule="auto"/>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foreign person that derives 50% or more of its gross income for certain periods from the conduct of a trade or business in the United States;</w:t>
      </w:r>
    </w:p>
    <w:p>
      <w:pPr>
        <w:spacing w:after="0" w:line="37"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controlled foreign corporation for U.S. federal income tax purposes; or</w:t>
      </w:r>
    </w:p>
    <w:p>
      <w:pPr>
        <w:spacing w:after="0" w:line="86" w:lineRule="exact"/>
        <w:rPr>
          <w:rFonts w:ascii="Times New Roman" w:cs="Times New Roman" w:eastAsia="Times New Roman" w:hAnsi="Times New Roman"/>
          <w:sz w:val="13"/>
          <w:szCs w:val="13"/>
          <w:color w:val="auto"/>
        </w:rPr>
      </w:pPr>
    </w:p>
    <w:p>
      <w:pPr>
        <w:ind w:left="1900" w:right="1759" w:hanging="124"/>
        <w:spacing w:after="0" w:line="269" w:lineRule="auto"/>
        <w:tabs>
          <w:tab w:leader="none" w:pos="19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foreign partnership that, at any time during its taxable year, has more than 50% of its income or capital interests owned by United States persons or is engaged in the conduct of a U.S. trade or business.</w:t>
      </w:r>
    </w:p>
    <w:p>
      <w:pPr>
        <w:spacing w:after="0" w:line="78" w:lineRule="exact"/>
        <w:rPr>
          <w:sz w:val="20"/>
          <w:szCs w:val="20"/>
          <w:color w:val="auto"/>
        </w:rPr>
      </w:pPr>
    </w:p>
    <w:p>
      <w:pPr>
        <w:ind w:left="1520" w:right="1599" w:firstLine="262"/>
        <w:spacing w:after="0" w:line="269" w:lineRule="auto"/>
        <w:rPr>
          <w:sz w:val="20"/>
          <w:szCs w:val="20"/>
          <w:color w:val="auto"/>
        </w:rPr>
      </w:pPr>
      <w:r>
        <w:rPr>
          <w:rFonts w:ascii="Times New Roman" w:cs="Times New Roman" w:eastAsia="Times New Roman" w:hAnsi="Times New Roman"/>
          <w:sz w:val="13"/>
          <w:szCs w:val="13"/>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78" w:lineRule="exact"/>
        <w:rPr>
          <w:sz w:val="20"/>
          <w:szCs w:val="20"/>
          <w:color w:val="auto"/>
        </w:rPr>
      </w:pPr>
    </w:p>
    <w:p>
      <w:pPr>
        <w:ind w:left="1520" w:right="1819" w:firstLine="262"/>
        <w:spacing w:after="0" w:line="269" w:lineRule="auto"/>
        <w:rPr>
          <w:sz w:val="20"/>
          <w:szCs w:val="20"/>
          <w:color w:val="auto"/>
        </w:rPr>
      </w:pPr>
      <w:r>
        <w:rPr>
          <w:rFonts w:ascii="Times New Roman" w:cs="Times New Roman" w:eastAsia="Times New Roman" w:hAnsi="Times New Roman"/>
          <w:sz w:val="13"/>
          <w:szCs w:val="13"/>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Foreign Accounts Tax Compliance Act</w:t>
      </w:r>
    </w:p>
    <w:p>
      <w:pPr>
        <w:spacing w:after="0" w:line="108" w:lineRule="exact"/>
        <w:rPr>
          <w:sz w:val="20"/>
          <w:szCs w:val="20"/>
          <w:color w:val="auto"/>
        </w:rPr>
      </w:pPr>
    </w:p>
    <w:p>
      <w:pPr>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2" w:lineRule="exact"/>
        <w:rPr>
          <w:sz w:val="20"/>
          <w:szCs w:val="20"/>
          <w:color w:val="auto"/>
        </w:rPr>
      </w:pPr>
    </w:p>
    <w:p>
      <w:pPr>
        <w:ind w:left="1520" w:right="1559" w:hanging="6"/>
        <w:spacing w:after="0" w:line="254" w:lineRule="auto"/>
        <w:tabs>
          <w:tab w:leader="none" w:pos="176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0" w:name="page31"/>
    <w:bookmarkEnd w:id="3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20" w:right="1539" w:firstLine="262"/>
        <w:spacing w:after="0" w:line="262" w:lineRule="auto"/>
        <w:rPr>
          <w:sz w:val="20"/>
          <w:szCs w:val="20"/>
          <w:color w:val="auto"/>
        </w:rPr>
      </w:pPr>
      <w:r>
        <w:rPr>
          <w:rFonts w:ascii="Times New Roman" w:cs="Times New Roman" w:eastAsia="Times New Roman" w:hAnsi="Times New Roman"/>
          <w:sz w:val="13"/>
          <w:szCs w:val="13"/>
          <w:b w:val="1"/>
          <w:bCs w:val="1"/>
          <w:color w:val="auto"/>
        </w:rPr>
        <w:t>The preceding discussion of certain U.S. federal tax considerations is for general information only and is not tax advice. We urge each prospective investor to consult its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1" w:name="page32"/>
    <w:bookmarkEnd w:id="31"/>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UNDERWRITING (CONFLICTS OF INTEREST)</w:t>
      </w:r>
    </w:p>
    <w:p>
      <w:pPr>
        <w:spacing w:after="0" w:line="118" w:lineRule="exact"/>
        <w:rPr>
          <w:sz w:val="20"/>
          <w:szCs w:val="20"/>
          <w:color w:val="auto"/>
        </w:rPr>
      </w:pPr>
    </w:p>
    <w:p>
      <w:pPr>
        <w:ind w:left="1520" w:right="1699" w:firstLine="262"/>
        <w:spacing w:after="0" w:line="277" w:lineRule="auto"/>
        <w:rPr>
          <w:sz w:val="20"/>
          <w:szCs w:val="20"/>
          <w:color w:val="auto"/>
        </w:rPr>
      </w:pPr>
      <w:r>
        <w:rPr>
          <w:rFonts w:ascii="Times New Roman" w:cs="Times New Roman" w:eastAsia="Times New Roman" w:hAnsi="Times New Roman"/>
          <w:sz w:val="13"/>
          <w:szCs w:val="13"/>
          <w:color w:val="auto"/>
        </w:rPr>
        <w:t>J.P. Morgan Securities LLC, Barclays Capital Inc., Deutsche Bank Securities Inc., Goldman Sachs &amp; Co. LLC, Mizuho Securities USA LLC and Scotia Capital (USA) Inc. are acting as joint book-running managers of the offering and as representatives of the underwriters named below.</w:t>
      </w:r>
    </w:p>
    <w:p>
      <w:pPr>
        <w:spacing w:after="0" w:line="82" w:lineRule="exact"/>
        <w:rPr>
          <w:sz w:val="20"/>
          <w:szCs w:val="20"/>
          <w:color w:val="auto"/>
        </w:rPr>
      </w:pPr>
    </w:p>
    <w:p>
      <w:pPr>
        <w:ind w:left="1520" w:right="1699" w:firstLine="262"/>
        <w:spacing w:after="0" w:line="274" w:lineRule="auto"/>
        <w:rPr>
          <w:sz w:val="20"/>
          <w:szCs w:val="20"/>
          <w:color w:val="auto"/>
        </w:rPr>
      </w:pPr>
      <w:r>
        <w:rPr>
          <w:rFonts w:ascii="Times New Roman" w:cs="Times New Roman" w:eastAsia="Times New Roman" w:hAnsi="Times New Roman"/>
          <w:sz w:val="13"/>
          <w:szCs w:val="13"/>
          <w:color w:val="auto"/>
        </w:rPr>
        <w:t>Subject to the terms and conditions stated in the underwriting agreement dated the date of this prospectus supplement, the underwriters named below have severally, and not jointly, agreed to purchase, and we have agreed to sell to the underwriters, the principal amount of notes set forth opposite the respective underwriters’ names.</w:t>
      </w:r>
    </w:p>
    <w:p>
      <w:pPr>
        <w:spacing w:after="0" w:line="98" w:lineRule="exact"/>
        <w:rPr>
          <w:sz w:val="20"/>
          <w:szCs w:val="20"/>
          <w:color w:val="auto"/>
        </w:rPr>
      </w:pPr>
    </w:p>
    <w:tbl>
      <w:tblPr>
        <w:tblLayout w:type="fixed"/>
        <w:tblInd w:w="1520" w:type="dxa"/>
        <w:tblCellMar>
          <w:top w:w="0" w:type="dxa"/>
          <w:left w:w="0" w:type="dxa"/>
          <w:bottom w:w="0" w:type="dxa"/>
          <w:right w:w="0" w:type="dxa"/>
        </w:tblCellMar>
      </w:tblPr>
      <w:tr>
        <w:trPr>
          <w:trHeight w:val="118"/>
        </w:trPr>
        <w:tc>
          <w:tcPr>
            <w:tcW w:w="1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740" w:type="dxa"/>
            <w:vAlign w:val="bottom"/>
            <w:gridSpan w:val="2"/>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Principal</w:t>
            </w:r>
          </w:p>
        </w:tc>
      </w:tr>
      <w:tr>
        <w:trPr>
          <w:trHeight w:val="118"/>
        </w:trPr>
        <w:tc>
          <w:tcPr>
            <w:tcW w:w="1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Amount of</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Amount of</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Amount of</w:t>
            </w: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Amount of</w:t>
            </w:r>
          </w:p>
        </w:tc>
        <w:tc>
          <w:tcPr>
            <w:tcW w:w="740" w:type="dxa"/>
            <w:vAlign w:val="bottom"/>
            <w:gridSpan w:val="2"/>
          </w:tcPr>
          <w:p>
            <w:pPr>
              <w:jc w:val="right"/>
              <w:ind w:right="195"/>
              <w:spacing w:after="0"/>
              <w:rPr>
                <w:sz w:val="20"/>
                <w:szCs w:val="20"/>
                <w:color w:val="auto"/>
              </w:rPr>
            </w:pPr>
            <w:r>
              <w:rPr>
                <w:rFonts w:ascii="Times New Roman" w:cs="Times New Roman" w:eastAsia="Times New Roman" w:hAnsi="Times New Roman"/>
                <w:sz w:val="10"/>
                <w:szCs w:val="10"/>
                <w:b w:val="1"/>
                <w:bCs w:val="1"/>
                <w:color w:val="auto"/>
              </w:rPr>
              <w:t>Amount of</w:t>
            </w:r>
          </w:p>
        </w:tc>
      </w:tr>
      <w:tr>
        <w:trPr>
          <w:trHeight w:val="157"/>
        </w:trPr>
        <w:tc>
          <w:tcPr>
            <w:tcW w:w="18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Underwriters</w:t>
            </w:r>
          </w:p>
        </w:tc>
        <w:tc>
          <w:tcPr>
            <w:tcW w:w="1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gridSpan w:val="2"/>
          </w:tcPr>
          <w:p>
            <w:pPr>
              <w:jc w:val="right"/>
              <w:ind w:right="60"/>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2028 Notes   </w:t>
            </w:r>
            <w:r>
              <w:rPr>
                <w:rFonts w:ascii="Times New Roman" w:cs="Times New Roman" w:eastAsia="Times New Roman" w:hAnsi="Times New Roman"/>
                <w:sz w:val="18"/>
                <w:szCs w:val="18"/>
                <w:b w:val="1"/>
                <w:bCs w:val="1"/>
                <w:color w:val="auto"/>
                <w:vertAlign w:val="subscript"/>
              </w:rPr>
              <w:t>​​</w:t>
            </w:r>
          </w:p>
        </w:tc>
        <w:tc>
          <w:tcPr>
            <w:tcW w:w="780" w:type="dxa"/>
            <w:vAlign w:val="bottom"/>
            <w:gridSpan w:val="2"/>
          </w:tcPr>
          <w:p>
            <w:pPr>
              <w:jc w:val="right"/>
              <w:ind w:right="80"/>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2030 Notes   </w:t>
            </w:r>
            <w:r>
              <w:rPr>
                <w:rFonts w:ascii="Times New Roman" w:cs="Times New Roman" w:eastAsia="Times New Roman" w:hAnsi="Times New Roman"/>
                <w:sz w:val="18"/>
                <w:szCs w:val="18"/>
                <w:b w:val="1"/>
                <w:bCs w:val="1"/>
                <w:color w:val="auto"/>
                <w:vertAlign w:val="subscript"/>
              </w:rPr>
              <w:t>​​</w:t>
            </w:r>
          </w:p>
        </w:tc>
        <w:tc>
          <w:tcPr>
            <w:tcW w:w="760" w:type="dxa"/>
            <w:vAlign w:val="bottom"/>
            <w:gridSpan w:val="2"/>
          </w:tcPr>
          <w:p>
            <w:pPr>
              <w:jc w:val="right"/>
              <w:ind w:right="60"/>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2032 Notes   </w:t>
            </w:r>
            <w:r>
              <w:rPr>
                <w:rFonts w:ascii="Times New Roman" w:cs="Times New Roman" w:eastAsia="Times New Roman" w:hAnsi="Times New Roman"/>
                <w:sz w:val="18"/>
                <w:szCs w:val="18"/>
                <w:b w:val="1"/>
                <w:bCs w:val="1"/>
                <w:color w:val="auto"/>
                <w:vertAlign w:val="subscript"/>
              </w:rPr>
              <w:t>​​</w:t>
            </w:r>
          </w:p>
        </w:tc>
        <w:tc>
          <w:tcPr>
            <w:tcW w:w="860" w:type="dxa"/>
            <w:vAlign w:val="bottom"/>
            <w:gridSpan w:val="3"/>
          </w:tcPr>
          <w:p>
            <w:pPr>
              <w:jc w:val="right"/>
              <w:ind w:right="80"/>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2035 Notes   </w:t>
            </w:r>
            <w:r>
              <w:rPr>
                <w:rFonts w:ascii="Times New Roman" w:cs="Times New Roman" w:eastAsia="Times New Roman" w:hAnsi="Times New Roman"/>
                <w:sz w:val="18"/>
                <w:szCs w:val="18"/>
                <w:b w:val="1"/>
                <w:bCs w:val="1"/>
                <w:color w:val="auto"/>
                <w:vertAlign w:val="subscript"/>
              </w:rPr>
              <w:t>​​</w:t>
            </w:r>
          </w:p>
        </w:tc>
        <w:tc>
          <w:tcPr>
            <w:tcW w:w="7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0"/>
                <w:szCs w:val="10"/>
                <w:b w:val="1"/>
                <w:bCs w:val="1"/>
                <w:color w:val="auto"/>
              </w:rPr>
              <w:t xml:space="preserve">2054 Notes   </w:t>
            </w:r>
            <w:r>
              <w:rPr>
                <w:rFonts w:ascii="Times New Roman" w:cs="Times New Roman" w:eastAsia="Times New Roman" w:hAnsi="Times New Roman"/>
                <w:sz w:val="18"/>
                <w:szCs w:val="18"/>
                <w:b w:val="1"/>
                <w:bCs w:val="1"/>
                <w:color w:val="auto"/>
                <w:vertAlign w:val="subscript"/>
              </w:rPr>
              <w:t>​</w:t>
            </w:r>
          </w:p>
        </w:tc>
      </w:tr>
      <w:tr>
        <w:trPr>
          <w:trHeight w:val="20"/>
        </w:trPr>
        <w:tc>
          <w:tcPr>
            <w:tcW w:w="18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J.P. Morgan Securities LLC</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150,000,000​​​​$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Barclays Capital Inc.</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98,000,000​​​​$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68,600,000​​​​$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73,500,000​​​​$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147,000,000​​​​$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122,500,000​</w:t>
            </w:r>
          </w:p>
        </w:tc>
      </w:tr>
      <w:tr>
        <w:trPr>
          <w:trHeight w:val="18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Deutsche Bank Securities Inc.</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73,500,000​​​​$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147,000,000​​​​$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Goldman Sachs &amp; Co. LLC</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98,000,000​​​​$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68,600,000​​​​$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73,500,000​​​​$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147,000,000​​​​$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122,500,000​</w:t>
            </w:r>
          </w:p>
        </w:tc>
      </w:tr>
      <w:tr>
        <w:trPr>
          <w:trHeight w:val="18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Mizuho Securities USA LLC</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73,500,000​​​​$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147,000,000​​​​$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Scotia Capital (USA) Inc.</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98,000,000​​​​$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68,600,000​​​​$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73,500,000​​​​$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147,000,000​​​​$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122,500,000​</w:t>
            </w:r>
          </w:p>
        </w:tc>
      </w:tr>
      <w:tr>
        <w:trPr>
          <w:trHeight w:val="18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BNP Paribas Securities Corp.</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22,500,000​​​​$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MUFG Securities Americas Inc.</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21,000,000​​​​$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22,500,000​​​​$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45,000,000​​​​$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37,500,000​</w:t>
            </w:r>
          </w:p>
        </w:tc>
      </w:tr>
      <w:tr>
        <w:trPr>
          <w:trHeight w:val="18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PNC Capital Markets LLC</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22,500,000​​​​$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RBC Capital Markets, LLC</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21,000,000​​​​$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22,500,000​​​​$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45,000,000​​​​$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37,500,000​</w:t>
            </w:r>
          </w:p>
        </w:tc>
      </w:tr>
      <w:tr>
        <w:trPr>
          <w:trHeight w:val="160"/>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SMBC Nikko Securities America,</w:t>
            </w:r>
          </w:p>
        </w:tc>
        <w:tc>
          <w:tcPr>
            <w:tcW w:w="140" w:type="dxa"/>
            <w:vAlign w:val="bottom"/>
            <w:tcBorders>
              <w:lef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22,500,000​​​​$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37,500,000​</w:t>
            </w:r>
          </w:p>
        </w:tc>
        <w:tc>
          <w:tcPr>
            <w:tcW w:w="20" w:type="dxa"/>
            <w:vAlign w:val="bottom"/>
          </w:tcPr>
          <w:p>
            <w:pPr>
              <w:spacing w:after="0"/>
              <w:rPr>
                <w:sz w:val="15"/>
                <w:szCs w:val="15"/>
                <w:color w:val="auto"/>
              </w:rPr>
            </w:pP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Truist Securities, Inc.</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21,000,000​​​​$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22,500,000​​​​$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45,000,000​​​​$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37,500,000​</w:t>
            </w:r>
          </w:p>
        </w:tc>
      </w:tr>
      <w:tr>
        <w:trPr>
          <w:trHeight w:val="18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Bancorp Investments, Inc.</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22,500,000​​​​$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Wells Fargo Securities, LLC</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21,000,000​​​​$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22,500,000​​​​$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45,000,000​​​​$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37,500,000​</w:t>
            </w:r>
          </w:p>
        </w:tc>
      </w:tr>
      <w:tr>
        <w:trPr>
          <w:trHeight w:val="18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Academy Securities, Inc.</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Loop Capital Markets LLC</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14,000,000​​​​$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30,000,000​​​​$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25,000,000​</w:t>
            </w:r>
          </w:p>
        </w:tc>
      </w:tr>
      <w:tr>
        <w:trPr>
          <w:trHeight w:val="18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Blaylock Van, LLC</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7,500,000​​​​$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880" w:type="dxa"/>
            <w:vAlign w:val="bottom"/>
          </w:tcPr>
          <w:p>
            <w:pPr>
              <w:spacing w:after="0"/>
              <w:rPr>
                <w:sz w:val="20"/>
                <w:szCs w:val="20"/>
                <w:color w:val="auto"/>
              </w:rPr>
            </w:pPr>
            <w:r>
              <w:rPr>
                <w:rFonts w:ascii="Times New Roman" w:cs="Times New Roman" w:eastAsia="Times New Roman" w:hAnsi="Times New Roman"/>
                <w:sz w:val="12"/>
                <w:szCs w:val="12"/>
                <w:color w:val="auto"/>
              </w:rPr>
              <w:t>Mischler Financial Group, Inc.</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10,000,000​​​​$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7,000,000​​​​$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7,500,000​​​​$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12,500,000​</w:t>
            </w:r>
          </w:p>
        </w:tc>
      </w:tr>
      <w:tr>
        <w:trPr>
          <w:trHeight w:val="197"/>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Stern Brothers &amp; Co.</w:t>
            </w:r>
          </w:p>
        </w:tc>
        <w:tc>
          <w:tcPr>
            <w:tcW w:w="140" w:type="dxa"/>
            <w:vAlign w:val="bottom"/>
            <w:tcBorders>
              <w:left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perscript"/>
              </w:rPr>
              <w:t>$</w:t>
            </w:r>
          </w:p>
        </w:tc>
        <w:tc>
          <w:tcPr>
            <w:tcW w:w="84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2"/>
                <w:szCs w:val="12"/>
                <w:color w:val="auto"/>
              </w:rPr>
              <w:t>10,000,000</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2"/>
                <w:szCs w:val="12"/>
                <w:color w:val="auto"/>
              </w:rPr>
              <w:t>7,000,000</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2"/>
                <w:szCs w:val="12"/>
                <w:color w:val="auto"/>
              </w:rPr>
              <w:t>7,500,000</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spacing w:after="0" w:line="197" w:lineRule="exact"/>
              <w:rPr>
                <w:sz w:val="20"/>
                <w:szCs w:val="20"/>
                <w:color w:val="auto"/>
              </w:rPr>
            </w:pPr>
            <w:r>
              <w:rPr>
                <w:rFonts w:ascii="Times New Roman" w:cs="Times New Roman" w:eastAsia="Times New Roman" w:hAnsi="Times New Roman"/>
                <w:sz w:val="12"/>
                <w:szCs w:val="12"/>
                <w:color w:val="auto"/>
              </w:rPr>
              <w:t>15,000,000</w:t>
            </w: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188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8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tcPr>
          <w:p>
            <w:pPr>
              <w:spacing w:after="0" w:line="187"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21"/>
                <w:szCs w:val="21"/>
                <w:u w:val="single" w:color="auto"/>
                <w:color w:val="auto"/>
                <w:vertAlign w:val="superscript"/>
              </w:rPr>
              <w:t>$</w:t>
            </w:r>
          </w:p>
        </w:tc>
        <w:tc>
          <w:tcPr>
            <w:tcW w:w="8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1"/>
                <w:szCs w:val="11"/>
                <w:color w:val="auto"/>
              </w:rPr>
              <w:t>1,000,000,000</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p>
        </w:tc>
        <w:tc>
          <w:tcPr>
            <w:tcW w:w="7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1"/>
                <w:szCs w:val="11"/>
                <w:color w:val="auto"/>
              </w:rPr>
              <w:t>700,000,000</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p>
        </w:tc>
        <w:tc>
          <w:tcPr>
            <w:tcW w:w="76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1"/>
                <w:szCs w:val="11"/>
                <w:color w:val="auto"/>
              </w:rPr>
              <w:t>750,000,000</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p>
        </w:tc>
        <w:tc>
          <w:tcPr>
            <w:tcW w:w="86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1"/>
                <w:szCs w:val="11"/>
                <w:color w:val="auto"/>
              </w:rPr>
              <w:t>1,500,000,000</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u w:val="single" w:color="auto"/>
                <w:color w:val="auto"/>
              </w:rPr>
              <w:t>$</w:t>
            </w:r>
          </w:p>
        </w:tc>
        <w:tc>
          <w:tcPr>
            <w:tcW w:w="7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1"/>
                <w:szCs w:val="11"/>
                <w:color w:val="auto"/>
              </w:rPr>
              <w:t>1,250,000,000</w:t>
            </w:r>
            <w:r>
              <w:rPr>
                <w:rFonts w:ascii="Times New Roman" w:cs="Times New Roman" w:eastAsia="Times New Roman" w:hAnsi="Times New Roman"/>
                <w:sz w:val="21"/>
                <w:szCs w:val="21"/>
                <w:color w:val="auto"/>
                <w:vertAlign w:val="subscript"/>
              </w:rPr>
              <w:t>​</w:t>
            </w:r>
          </w:p>
        </w:tc>
      </w:tr>
      <w:tr>
        <w:trPr>
          <w:trHeight w:val="20"/>
        </w:trPr>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-2516505</wp:posOffset>
            </wp:positionV>
            <wp:extent cx="3746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-2516505</wp:posOffset>
            </wp:positionV>
            <wp:extent cx="3746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-2516505</wp:posOffset>
            </wp:positionV>
            <wp:extent cx="3746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-2516505</wp:posOffset>
            </wp:positionV>
            <wp:extent cx="3746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-2516505</wp:posOffset>
            </wp:positionV>
            <wp:extent cx="3746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144" w:lineRule="exact"/>
        <w:rPr>
          <w:sz w:val="20"/>
          <w:szCs w:val="20"/>
          <w:color w:val="auto"/>
        </w:rPr>
      </w:pPr>
    </w:p>
    <w:p>
      <w:pPr>
        <w:ind w:left="1520" w:right="1639" w:firstLine="262"/>
        <w:spacing w:after="0" w:line="277" w:lineRule="auto"/>
        <w:rPr>
          <w:sz w:val="20"/>
          <w:szCs w:val="20"/>
          <w:color w:val="auto"/>
        </w:rPr>
      </w:pPr>
      <w:r>
        <w:rPr>
          <w:rFonts w:ascii="Times New Roman" w:cs="Times New Roman" w:eastAsia="Times New Roman" w:hAnsi="Times New Roman"/>
          <w:sz w:val="13"/>
          <w:szCs w:val="13"/>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of a series if they purchase any of the notes of a series.</w:t>
      </w:r>
    </w:p>
    <w:p>
      <w:pPr>
        <w:spacing w:after="0" w:line="73" w:lineRule="exact"/>
        <w:rPr>
          <w:sz w:val="20"/>
          <w:szCs w:val="20"/>
          <w:color w:val="auto"/>
        </w:rPr>
      </w:pPr>
    </w:p>
    <w:p>
      <w:pPr>
        <w:ind w:left="1520" w:right="1619" w:firstLine="262"/>
        <w:spacing w:after="0" w:line="266" w:lineRule="auto"/>
        <w:rPr>
          <w:sz w:val="20"/>
          <w:szCs w:val="20"/>
          <w:color w:val="auto"/>
        </w:rPr>
      </w:pPr>
      <w:r>
        <w:rPr>
          <w:rFonts w:ascii="Times New Roman" w:cs="Times New Roman" w:eastAsia="Times New Roman" w:hAnsi="Times New Roman"/>
          <w:sz w:val="13"/>
          <w:szCs w:val="13"/>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0.150% of the principal amount of the 2028 notes, 0.225% of the principal amount of the 2030 notes, 0.250% of the principal amount of the 2032 notes, 0.300% of the principal amount of the 2035 notes and 0.525% of the principal amount of the 2054 notes. The underwriters may allow, and dealers may reallow, a concession not to exceed 0.100% of the principal amount of the 2028 notes, 0.125% of the principal amount of the 2030 notes, 0.150% of the principal amount of the 2032 notes, 0.150% of the principal amount of the 2035 notes and 0.350% of the principal amount of the 2054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187960</wp:posOffset>
            </wp:positionV>
            <wp:extent cx="498411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2" w:name="page33"/>
    <w:bookmarkEnd w:id="32"/>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79" w:firstLine="262"/>
        <w:spacing w:after="0" w:line="248" w:lineRule="auto"/>
        <w:rPr>
          <w:sz w:val="20"/>
          <w:szCs w:val="20"/>
          <w:color w:val="auto"/>
        </w:rPr>
      </w:pPr>
      <w:r>
        <w:rPr>
          <w:rFonts w:ascii="Times New Roman" w:cs="Times New Roman" w:eastAsia="Times New Roman" w:hAnsi="Times New Roman"/>
          <w:sz w:val="13"/>
          <w:szCs w:val="13"/>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82" w:lineRule="exact"/>
        <w:rPr>
          <w:sz w:val="20"/>
          <w:szCs w:val="20"/>
          <w:color w:val="auto"/>
        </w:rPr>
      </w:pPr>
    </w:p>
    <w:p>
      <w:pPr>
        <w:ind w:left="1520" w:right="1579" w:firstLine="262"/>
        <w:spacing w:after="0" w:line="253" w:lineRule="auto"/>
        <w:rPr>
          <w:sz w:val="20"/>
          <w:szCs w:val="20"/>
          <w:color w:val="auto"/>
        </w:rPr>
      </w:pPr>
      <w:r>
        <w:rPr>
          <w:rFonts w:ascii="Times New Roman" w:cs="Times New Roman" w:eastAsia="Times New Roman" w:hAnsi="Times New Roman"/>
          <w:sz w:val="13"/>
          <w:szCs w:val="13"/>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78" w:lineRule="exact"/>
        <w:rPr>
          <w:sz w:val="20"/>
          <w:szCs w:val="20"/>
          <w:color w:val="auto"/>
        </w:rPr>
      </w:pPr>
    </w:p>
    <w:p>
      <w:pPr>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78" w:lineRule="exact"/>
        <w:rPr>
          <w:sz w:val="20"/>
          <w:szCs w:val="20"/>
          <w:color w:val="auto"/>
        </w:rPr>
      </w:pPr>
    </w:p>
    <w:p>
      <w:pPr>
        <w:ind w:left="1520" w:right="1619" w:firstLine="262"/>
        <w:spacing w:after="0" w:line="271" w:lineRule="auto"/>
        <w:rPr>
          <w:sz w:val="20"/>
          <w:szCs w:val="20"/>
          <w:color w:val="auto"/>
        </w:rPr>
      </w:pPr>
      <w:r>
        <w:rPr>
          <w:rFonts w:ascii="Times New Roman" w:cs="Times New Roman" w:eastAsia="Times New Roman" w:hAnsi="Times New Roman"/>
          <w:sz w:val="13"/>
          <w:szCs w:val="13"/>
          <w:color w:val="auto"/>
        </w:rPr>
        <w:t>We estimate that our total expenses (not including the underwriting discounts) for this offering will be approximately $12.3 million.</w:t>
      </w:r>
    </w:p>
    <w:p>
      <w:pPr>
        <w:spacing w:after="0" w:line="66" w:lineRule="exact"/>
        <w:rPr>
          <w:sz w:val="20"/>
          <w:szCs w:val="20"/>
          <w:color w:val="auto"/>
        </w:rPr>
      </w:pPr>
    </w:p>
    <w:p>
      <w:pPr>
        <w:ind w:left="1520" w:right="1579" w:firstLine="262"/>
        <w:spacing w:after="0" w:line="261" w:lineRule="auto"/>
        <w:rPr>
          <w:sz w:val="20"/>
          <w:szCs w:val="20"/>
          <w:color w:val="auto"/>
        </w:rPr>
      </w:pPr>
      <w:r>
        <w:rPr>
          <w:rFonts w:ascii="Times New Roman" w:cs="Times New Roman" w:eastAsia="Times New Roman" w:hAnsi="Times New Roman"/>
          <w:sz w:val="13"/>
          <w:szCs w:val="13"/>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63" w:lineRule="exact"/>
        <w:rPr>
          <w:sz w:val="20"/>
          <w:szCs w:val="20"/>
          <w:color w:val="auto"/>
        </w:rPr>
      </w:pPr>
    </w:p>
    <w:p>
      <w:pPr>
        <w:jc w:val="both"/>
        <w:ind w:left="1520" w:right="1599" w:firstLine="262"/>
        <w:spacing w:after="0" w:line="261" w:lineRule="auto"/>
        <w:rPr>
          <w:sz w:val="20"/>
          <w:szCs w:val="20"/>
          <w:color w:val="auto"/>
        </w:rPr>
      </w:pPr>
      <w:r>
        <w:rPr>
          <w:rFonts w:ascii="Times New Roman" w:cs="Times New Roman" w:eastAsia="Times New Roman" w:hAnsi="Times New Roman"/>
          <w:sz w:val="13"/>
          <w:szCs w:val="13"/>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73" w:lineRule="exact"/>
        <w:rPr>
          <w:sz w:val="20"/>
          <w:szCs w:val="20"/>
          <w:color w:val="auto"/>
        </w:rPr>
      </w:pPr>
    </w:p>
    <w:p>
      <w:pPr>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We expect delivery of the notes will be made against payment therefor on or about November 4, 2024, which is the third business day following the date of pricing of the notes (such settlement being referred to as “T+3”). Under Rule 15c6-1 of the Exchange Act, trades in the secondary market generally are required to settle in one business day unless the parties to any such trade expressly agree otherwise. Accordingly, purchasers who wish to trade the notes on any date prior to one business day before delivery will be required, by virtue of the fact that the notes initially will settle in T+3, to specify an alternate settlement cycle at the time of any such trade to prevent failed settlement and should consult their own advisers.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Relationships</w:t>
      </w:r>
    </w:p>
    <w:p>
      <w:pPr>
        <w:spacing w:after="0" w:line="118" w:lineRule="exact"/>
        <w:rPr>
          <w:sz w:val="20"/>
          <w:szCs w:val="20"/>
          <w:color w:val="auto"/>
        </w:rPr>
      </w:pPr>
    </w:p>
    <w:p>
      <w:pPr>
        <w:ind w:left="1520" w:right="1639" w:firstLine="262"/>
        <w:spacing w:after="0" w:line="247" w:lineRule="auto"/>
        <w:rPr>
          <w:sz w:val="20"/>
          <w:szCs w:val="20"/>
          <w:color w:val="auto"/>
        </w:rPr>
      </w:pPr>
      <w:r>
        <w:rPr>
          <w:rFonts w:ascii="Times New Roman" w:cs="Times New Roman" w:eastAsia="Times New Roman" w:hAnsi="Times New Roman"/>
          <w:sz w:val="13"/>
          <w:szCs w:val="13"/>
          <w:color w:val="auto"/>
        </w:rPr>
        <w:t>Certain of the underwriters or one of their respective affiliates are lenders under our $3.5 billion revolving credit facility and our Term Credit Agreement.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in the past performed, and/or may in the future perform, investment banking, financial advisory, lending and/or commercial banking services for us and our subsidiaries, for which they have received, and/or may in the future receive, customary fees and expense reimbursements.</w:t>
      </w:r>
    </w:p>
    <w:p>
      <w:pPr>
        <w:spacing w:after="0" w:line="84" w:lineRule="exact"/>
        <w:rPr>
          <w:sz w:val="20"/>
          <w:szCs w:val="20"/>
          <w:color w:val="auto"/>
        </w:rPr>
      </w:pPr>
    </w:p>
    <w:p>
      <w:pPr>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3" w:name="page34"/>
    <w:bookmarkEnd w:id="3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799"/>
        <w:spacing w:after="0" w:line="269" w:lineRule="auto"/>
        <w:rPr>
          <w:sz w:val="20"/>
          <w:szCs w:val="20"/>
          <w:color w:val="auto"/>
        </w:rPr>
      </w:pPr>
      <w:r>
        <w:rPr>
          <w:rFonts w:ascii="Times New Roman" w:cs="Times New Roman" w:eastAsia="Times New Roman" w:hAnsi="Times New Roman"/>
          <w:sz w:val="13"/>
          <w:szCs w:val="13"/>
          <w:color w:val="auto"/>
        </w:rPr>
        <w:t>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Conflicts of Interest</w:t>
      </w:r>
    </w:p>
    <w:p>
      <w:pPr>
        <w:spacing w:after="0" w:line="118" w:lineRule="exact"/>
        <w:rPr>
          <w:sz w:val="20"/>
          <w:szCs w:val="20"/>
          <w:color w:val="auto"/>
        </w:rPr>
      </w:pPr>
    </w:p>
    <w:p>
      <w:pPr>
        <w:ind w:left="1520" w:right="1559" w:firstLine="262"/>
        <w:spacing w:after="0" w:line="255" w:lineRule="auto"/>
        <w:rPr>
          <w:sz w:val="20"/>
          <w:szCs w:val="20"/>
          <w:color w:val="auto"/>
        </w:rPr>
      </w:pPr>
      <w:r>
        <w:rPr>
          <w:rFonts w:ascii="Times New Roman" w:cs="Times New Roman" w:eastAsia="Times New Roman" w:hAnsi="Times New Roman"/>
          <w:sz w:val="13"/>
          <w:szCs w:val="13"/>
          <w:color w:val="auto"/>
        </w:rPr>
        <w:t>Certain underwriters or their respective affiliates in this offering are lenders under the Term Credit Agreement and may receive 5% or more of the net proceeds of this offering by reason of the repayment of amounts outstanding under the Term Credit Agreement. Additionally, certain underwriters or their respective affiliates in this offering are dealers under our commercial paper program and may receive 5% or more of the net proceeds of this offering by reason of the repayment of any current or future amounts outstanding under our commercial paper program, which is fully supported by our $3.5 billion revolving credit facility.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Selling Restrictions</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Australia</w:t>
      </w:r>
    </w:p>
    <w:p>
      <w:pPr>
        <w:spacing w:after="0" w:line="118" w:lineRule="exact"/>
        <w:rPr>
          <w:sz w:val="20"/>
          <w:szCs w:val="20"/>
          <w:color w:val="auto"/>
        </w:rPr>
      </w:pPr>
    </w:p>
    <w:p>
      <w:pPr>
        <w:ind w:left="1520" w:right="1519" w:firstLine="262"/>
        <w:spacing w:after="0" w:line="261" w:lineRule="auto"/>
        <w:rPr>
          <w:sz w:val="20"/>
          <w:szCs w:val="20"/>
          <w:color w:val="auto"/>
        </w:rPr>
      </w:pPr>
      <w:r>
        <w:rPr>
          <w:rFonts w:ascii="Times New Roman" w:cs="Times New Roman" w:eastAsia="Times New Roman" w:hAnsi="Times New Roman"/>
          <w:sz w:val="13"/>
          <w:szCs w:val="13"/>
          <w:color w:val="auto"/>
        </w:rPr>
        <w:t>No prospectus or other disclosure document (as defined in the Corporations Act 2001 (Cth) of Australia (the “Corporations Act”)) in relation to the notes has been, or will be, lodged with the Australian Securities and Investments Commission (“ASIC”), the Australian Securities Exchange operated by ASX Limited or any other regulatory body or agency in Australia. This document has not been lodged with ASIC and is only directed to certain categories of exempt persons. Accordingly, if you receive this document in Australia:</w:t>
      </w:r>
    </w:p>
    <w:p>
      <w:pPr>
        <w:spacing w:after="0" w:line="72" w:lineRule="exact"/>
        <w:rPr>
          <w:sz w:val="20"/>
          <w:szCs w:val="20"/>
          <w:color w:val="auto"/>
        </w:rPr>
      </w:pPr>
    </w:p>
    <w:p>
      <w:pPr>
        <w:ind w:left="2040" w:hanging="264"/>
        <w:spacing w:after="0"/>
        <w:tabs>
          <w:tab w:leader="none" w:pos="20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confirm and warrant that you are either:</w:t>
      </w:r>
    </w:p>
    <w:p>
      <w:pPr>
        <w:spacing w:after="0" w:line="116" w:lineRule="exact"/>
        <w:rPr>
          <w:rFonts w:ascii="Times New Roman" w:cs="Times New Roman" w:eastAsia="Times New Roman" w:hAnsi="Times New Roman"/>
          <w:sz w:val="13"/>
          <w:szCs w:val="13"/>
          <w:color w:val="auto"/>
        </w:rPr>
      </w:pPr>
    </w:p>
    <w:p>
      <w:pPr>
        <w:ind w:left="2300" w:hanging="261"/>
        <w:spacing w:after="0"/>
        <w:tabs>
          <w:tab w:leader="none" w:pos="230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“sophisticated investor” under section 708(8)(a) or (b) of the Corporations Act;</w:t>
      </w:r>
    </w:p>
    <w:p>
      <w:pPr>
        <w:spacing w:after="0" w:line="116" w:lineRule="exact"/>
        <w:rPr>
          <w:rFonts w:ascii="Times New Roman" w:cs="Times New Roman" w:eastAsia="Times New Roman" w:hAnsi="Times New Roman"/>
          <w:sz w:val="13"/>
          <w:szCs w:val="13"/>
          <w:color w:val="auto"/>
        </w:rPr>
      </w:pPr>
    </w:p>
    <w:p>
      <w:pPr>
        <w:ind w:left="2300" w:right="1559" w:hanging="261"/>
        <w:spacing w:after="0" w:line="267" w:lineRule="auto"/>
        <w:tabs>
          <w:tab w:leader="none" w:pos="230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238" w:lineRule="exact"/>
        <w:rPr>
          <w:rFonts w:ascii="Times New Roman" w:cs="Times New Roman" w:eastAsia="Times New Roman" w:hAnsi="Times New Roman"/>
          <w:sz w:val="13"/>
          <w:szCs w:val="13"/>
          <w:color w:val="auto"/>
        </w:rPr>
      </w:pPr>
    </w:p>
    <w:p>
      <w:pPr>
        <w:ind w:left="2300" w:hanging="261"/>
        <w:spacing w:after="0"/>
        <w:tabs>
          <w:tab w:leader="none" w:pos="230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associated with the Company under section 708(12) of the Corporations Act; or</w:t>
      </w:r>
    </w:p>
    <w:p>
      <w:pPr>
        <w:spacing w:after="0" w:line="116" w:lineRule="exact"/>
        <w:rPr>
          <w:rFonts w:ascii="Times New Roman" w:cs="Times New Roman" w:eastAsia="Times New Roman" w:hAnsi="Times New Roman"/>
          <w:sz w:val="13"/>
          <w:szCs w:val="13"/>
          <w:color w:val="auto"/>
        </w:rPr>
      </w:pPr>
    </w:p>
    <w:p>
      <w:pPr>
        <w:ind w:left="2300" w:right="1619" w:hanging="261"/>
        <w:spacing w:after="0" w:line="264" w:lineRule="auto"/>
        <w:tabs>
          <w:tab w:leader="none" w:pos="230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70" w:lineRule="exact"/>
        <w:rPr>
          <w:rFonts w:ascii="Times New Roman" w:cs="Times New Roman" w:eastAsia="Times New Roman" w:hAnsi="Times New Roman"/>
          <w:sz w:val="13"/>
          <w:szCs w:val="13"/>
          <w:color w:val="auto"/>
        </w:rPr>
      </w:pPr>
    </w:p>
    <w:p>
      <w:pPr>
        <w:ind w:left="2040" w:hanging="264"/>
        <w:spacing w:after="0"/>
        <w:tabs>
          <w:tab w:leader="none" w:pos="204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warrant and agree that you will not offer any of the notes for resale in Australia within</w:t>
      </w:r>
    </w:p>
    <w:p>
      <w:pPr>
        <w:spacing w:after="0" w:line="21" w:lineRule="exact"/>
        <w:rPr>
          <w:rFonts w:ascii="Times New Roman" w:cs="Times New Roman" w:eastAsia="Times New Roman" w:hAnsi="Times New Roman"/>
          <w:sz w:val="13"/>
          <w:szCs w:val="13"/>
          <w:color w:val="auto"/>
        </w:rPr>
      </w:pPr>
    </w:p>
    <w:p>
      <w:pPr>
        <w:ind w:left="2040" w:right="1559"/>
        <w:spacing w:after="0" w:line="26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 months of those notes being issued unless any such resale offer is exempt from the requirement to issue a disclosure document under section 708 of the Corporations Act.</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Canada</w:t>
      </w:r>
    </w:p>
    <w:p>
      <w:pPr>
        <w:spacing w:after="0" w:line="118" w:lineRule="exact"/>
        <w:rPr>
          <w:sz w:val="20"/>
          <w:szCs w:val="20"/>
          <w:color w:val="auto"/>
        </w:rPr>
      </w:pPr>
    </w:p>
    <w:p>
      <w:pPr>
        <w:ind w:left="1520" w:right="1559" w:firstLine="262"/>
        <w:spacing w:after="0" w:line="259" w:lineRule="auto"/>
        <w:rPr>
          <w:sz w:val="20"/>
          <w:szCs w:val="20"/>
          <w:color w:val="auto"/>
        </w:rPr>
      </w:pPr>
      <w:r>
        <w:rPr>
          <w:rFonts w:ascii="Times New Roman" w:cs="Times New Roman" w:eastAsia="Times New Roman" w:hAnsi="Times New Roman"/>
          <w:sz w:val="13"/>
          <w:szCs w:val="13"/>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187960</wp:posOffset>
            </wp:positionV>
            <wp:extent cx="498411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4" w:name="page35"/>
    <w:bookmarkEnd w:id="3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619" w:firstLine="262"/>
        <w:spacing w:after="0" w:line="248"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34" w:lineRule="exact"/>
        <w:rPr>
          <w:sz w:val="20"/>
          <w:szCs w:val="20"/>
          <w:color w:val="auto"/>
        </w:rPr>
      </w:pPr>
    </w:p>
    <w:p>
      <w:pPr>
        <w:ind w:left="1520" w:right="1939" w:firstLine="262"/>
        <w:spacing w:after="0" w:line="261" w:lineRule="auto"/>
        <w:rPr>
          <w:sz w:val="20"/>
          <w:szCs w:val="20"/>
          <w:color w:val="auto"/>
        </w:rPr>
      </w:pPr>
      <w:r>
        <w:rPr>
          <w:rFonts w:ascii="Times New Roman" w:cs="Times New Roman" w:eastAsia="Times New Roman" w:hAnsi="Times New Roman"/>
          <w:sz w:val="13"/>
          <w:szCs w:val="13"/>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European Economic Area</w:t>
      </w:r>
    </w:p>
    <w:p>
      <w:pPr>
        <w:spacing w:after="0" w:line="118" w:lineRule="exact"/>
        <w:rPr>
          <w:sz w:val="20"/>
          <w:szCs w:val="20"/>
          <w:color w:val="auto"/>
        </w:rPr>
      </w:pPr>
    </w:p>
    <w:p>
      <w:pPr>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233" w:lineRule="exact"/>
        <w:rPr>
          <w:sz w:val="20"/>
          <w:szCs w:val="20"/>
          <w:color w:val="auto"/>
        </w:rPr>
      </w:pPr>
    </w:p>
    <w:p>
      <w:pPr>
        <w:ind w:left="1520" w:right="1599" w:firstLine="262"/>
        <w:spacing w:after="0" w:line="261" w:lineRule="auto"/>
        <w:rPr>
          <w:sz w:val="20"/>
          <w:szCs w:val="20"/>
          <w:color w:val="auto"/>
        </w:rPr>
      </w:pPr>
      <w:r>
        <w:rPr>
          <w:rFonts w:ascii="Times New Roman" w:cs="Times New Roman" w:eastAsia="Times New Roman" w:hAnsi="Times New Roman"/>
          <w:sz w:val="13"/>
          <w:szCs w:val="13"/>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7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above selling restriction is in addition to any other selling restrictions set out below.</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Hong Kong</w:t>
      </w:r>
    </w:p>
    <w:p>
      <w:pPr>
        <w:spacing w:after="0" w:line="118" w:lineRule="exact"/>
        <w:rPr>
          <w:sz w:val="20"/>
          <w:szCs w:val="20"/>
          <w:color w:val="auto"/>
        </w:rPr>
      </w:pPr>
    </w:p>
    <w:p>
      <w:pPr>
        <w:ind w:left="1520" w:right="1559" w:firstLine="262"/>
        <w:spacing w:after="0" w:line="244" w:lineRule="auto"/>
        <w:rPr>
          <w:sz w:val="20"/>
          <w:szCs w:val="20"/>
          <w:color w:val="auto"/>
        </w:rPr>
      </w:pPr>
      <w:r>
        <w:rPr>
          <w:rFonts w:ascii="Times New Roman" w:cs="Times New Roman" w:eastAsia="Times New Roman" w:hAnsi="Times New Roman"/>
          <w:sz w:val="13"/>
          <w:szCs w:val="13"/>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4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Japan</w:t>
      </w:r>
    </w:p>
    <w:p>
      <w:pPr>
        <w:spacing w:after="0" w:line="108" w:lineRule="exact"/>
        <w:rPr>
          <w:sz w:val="20"/>
          <w:szCs w:val="20"/>
          <w:color w:val="auto"/>
        </w:rPr>
      </w:pPr>
    </w:p>
    <w:p>
      <w:pPr>
        <w:ind w:left="1520" w:right="1559" w:firstLine="262"/>
        <w:spacing w:after="0" w:line="250" w:lineRule="auto"/>
        <w:rPr>
          <w:sz w:val="20"/>
          <w:szCs w:val="20"/>
          <w:color w:val="auto"/>
        </w:rPr>
      </w:pPr>
      <w:r>
        <w:rPr>
          <w:rFonts w:ascii="Times New Roman" w:cs="Times New Roman" w:eastAsia="Times New Roman" w:hAnsi="Times New Roman"/>
          <w:sz w:val="13"/>
          <w:szCs w:val="13"/>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5" w:name="page36"/>
    <w:bookmarkEnd w:id="3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679"/>
        <w:spacing w:after="0" w:line="261" w:lineRule="auto"/>
        <w:rPr>
          <w:sz w:val="20"/>
          <w:szCs w:val="20"/>
          <w:color w:val="auto"/>
        </w:rPr>
      </w:pPr>
      <w:r>
        <w:rPr>
          <w:rFonts w:ascii="Times New Roman" w:cs="Times New Roman" w:eastAsia="Times New Roman" w:hAnsi="Times New Roman"/>
          <w:sz w:val="13"/>
          <w:szCs w:val="13"/>
          <w:color w:val="auto"/>
        </w:rPr>
        <w:t>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Singapore</w:t>
      </w:r>
    </w:p>
    <w:p>
      <w:pPr>
        <w:spacing w:after="0" w:line="118" w:lineRule="exact"/>
        <w:rPr>
          <w:sz w:val="20"/>
          <w:szCs w:val="20"/>
          <w:color w:val="auto"/>
        </w:rPr>
      </w:pPr>
    </w:p>
    <w:p>
      <w:pPr>
        <w:ind w:left="1520" w:right="1599" w:firstLine="262"/>
        <w:spacing w:after="0" w:line="244"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have not been and will not be registered as a prospectus under the Securities and Futures Act, Chapter 289 of Singapore (the “SFA”) by the Monetary Authority of Singapore and the offer of the notes in Singapore is made primarily pursuant to the exemption under Sections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Section 4A of SFA (an “Institutional Investor”) pursuant to Section 274 of the SFA, (b) to an accredited investor as defined in Section 4A of the SFA (an “Accredited Investor”) or other relevant person as defined in Section 275(2) of the SFA (a “Relevant Person”) and pursuant to Section 275(1) of the SFA, or to any person pursuant to an offer referred to in Section 275 (1A) of the SFA, and in accordance with the conditions specified in Section 275 of the SFA, or (c) otherwise pursuant to, and in accordance with, the conditions of any other applicable exemption or provision of the SFA.</w:t>
      </w:r>
    </w:p>
    <w:p>
      <w:pPr>
        <w:spacing w:after="0" w:line="237" w:lineRule="exact"/>
        <w:rPr>
          <w:sz w:val="20"/>
          <w:szCs w:val="20"/>
          <w:color w:val="auto"/>
        </w:rPr>
      </w:pPr>
    </w:p>
    <w:p>
      <w:pPr>
        <w:ind w:left="1520" w:right="1799" w:firstLine="262"/>
        <w:spacing w:after="0" w:line="286" w:lineRule="auto"/>
        <w:rPr>
          <w:sz w:val="20"/>
          <w:szCs w:val="20"/>
          <w:color w:val="auto"/>
        </w:rPr>
      </w:pPr>
      <w:r>
        <w:rPr>
          <w:rFonts w:ascii="Times New Roman" w:cs="Times New Roman" w:eastAsia="Times New Roman" w:hAnsi="Times New Roman"/>
          <w:sz w:val="13"/>
          <w:szCs w:val="13"/>
          <w:color w:val="auto"/>
        </w:rPr>
        <w:t>It is a condition of the offer that where the notes are subscribed for or acquired pursuant to an offer made in reliance on Section 275 of the SFA by a Relevant Person which is:</w:t>
      </w:r>
    </w:p>
    <w:p>
      <w:pPr>
        <w:spacing w:after="0" w:line="47" w:lineRule="exact"/>
        <w:rPr>
          <w:sz w:val="20"/>
          <w:szCs w:val="20"/>
          <w:color w:val="auto"/>
        </w:rPr>
      </w:pPr>
    </w:p>
    <w:p>
      <w:pPr>
        <w:ind w:left="2040" w:right="1779" w:hanging="264"/>
        <w:spacing w:after="0" w:line="269" w:lineRule="auto"/>
        <w:tabs>
          <w:tab w:leader="none" w:pos="20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(which is not an Accredited Investor),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3"/>
          <w:szCs w:val="13"/>
          <w:color w:val="auto"/>
        </w:rPr>
      </w:pPr>
    </w:p>
    <w:p>
      <w:pPr>
        <w:ind w:left="2040" w:right="1599" w:hanging="264"/>
        <w:spacing w:after="0" w:line="260" w:lineRule="auto"/>
        <w:tabs>
          <w:tab w:leader="none" w:pos="204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(where the trustee is not an accredited investor) whose sole purpose is to hold investments and each beneficiary of the trust is an individual who is an accredited investor, securities or securities-based derivatives contracts (each as defined in Section 2(1) of the SFA) of that corporation and the beneficiaries’ rights and interest (howsoever defined) in that trust shall not be transferred within six months after that corporation or that trust has subscribed for or acquired the notes except:</w:t>
      </w:r>
    </w:p>
    <w:p>
      <w:pPr>
        <w:spacing w:after="0" w:line="242" w:lineRule="exact"/>
        <w:rPr>
          <w:rFonts w:ascii="Times New Roman" w:cs="Times New Roman" w:eastAsia="Times New Roman" w:hAnsi="Times New Roman"/>
          <w:sz w:val="13"/>
          <w:szCs w:val="13"/>
          <w:color w:val="auto"/>
        </w:rPr>
      </w:pPr>
    </w:p>
    <w:p>
      <w:pPr>
        <w:ind w:left="2300" w:right="1579" w:hanging="261"/>
        <w:spacing w:after="0" w:line="269" w:lineRule="auto"/>
        <w:tabs>
          <w:tab w:leader="none" w:pos="230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 Institutional Investor, and Accredited Investor or other Relevant Person, or which arises from an offer referred to in Section 275(1A) of the SFA (in the case of that corporation) or Section 276(4)(i)(B) of the SFA (in the case of that trust);</w:t>
      </w:r>
    </w:p>
    <w:p>
      <w:pPr>
        <w:spacing w:after="0" w:line="67" w:lineRule="exact"/>
        <w:rPr>
          <w:rFonts w:ascii="Times New Roman" w:cs="Times New Roman" w:eastAsia="Times New Roman" w:hAnsi="Times New Roman"/>
          <w:sz w:val="13"/>
          <w:szCs w:val="13"/>
          <w:color w:val="auto"/>
        </w:rPr>
      </w:pPr>
    </w:p>
    <w:p>
      <w:pPr>
        <w:ind w:left="2300" w:hanging="261"/>
        <w:spacing w:after="0"/>
        <w:tabs>
          <w:tab w:leader="none" w:pos="230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no consideration is or will be given for the transfer;</w:t>
      </w:r>
    </w:p>
    <w:p>
      <w:pPr>
        <w:spacing w:after="0" w:line="116" w:lineRule="exact"/>
        <w:rPr>
          <w:rFonts w:ascii="Times New Roman" w:cs="Times New Roman" w:eastAsia="Times New Roman" w:hAnsi="Times New Roman"/>
          <w:sz w:val="13"/>
          <w:szCs w:val="13"/>
          <w:color w:val="auto"/>
        </w:rPr>
      </w:pPr>
    </w:p>
    <w:p>
      <w:pPr>
        <w:ind w:left="2300" w:hanging="261"/>
        <w:spacing w:after="0"/>
        <w:tabs>
          <w:tab w:leader="none" w:pos="230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transfer is by operation of law;</w:t>
      </w:r>
    </w:p>
    <w:p>
      <w:pPr>
        <w:spacing w:after="0" w:line="106" w:lineRule="exact"/>
        <w:rPr>
          <w:sz w:val="20"/>
          <w:szCs w:val="20"/>
          <w:color w:val="auto"/>
        </w:rPr>
      </w:pPr>
    </w:p>
    <w:p>
      <w:pPr>
        <w:ind w:left="2300" w:hanging="261"/>
        <w:spacing w:after="0"/>
        <w:tabs>
          <w:tab w:leader="none" w:pos="23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specified in Section 276(7) of the SFA; or</w:t>
      </w:r>
    </w:p>
    <w:p>
      <w:pPr>
        <w:spacing w:after="0" w:line="106" w:lineRule="exact"/>
        <w:rPr>
          <w:rFonts w:ascii="Times New Roman" w:cs="Times New Roman" w:eastAsia="Times New Roman" w:hAnsi="Times New Roman"/>
          <w:sz w:val="13"/>
          <w:szCs w:val="13"/>
          <w:color w:val="auto"/>
        </w:rPr>
      </w:pPr>
    </w:p>
    <w:p>
      <w:pPr>
        <w:ind w:left="2300" w:right="1919" w:hanging="261"/>
        <w:spacing w:after="0" w:line="286" w:lineRule="auto"/>
        <w:tabs>
          <w:tab w:leader="none" w:pos="23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specified in Regulation 37A of the Securities and Futures (Offers of Investments) (Securities and Securities-based Derivatives Contracts) Regulations 2018 of Singapore.</w:t>
      </w:r>
    </w:p>
    <w:p>
      <w:pPr>
        <w:spacing w:after="0" w:line="67" w:lineRule="exact"/>
        <w:rPr>
          <w:sz w:val="20"/>
          <w:szCs w:val="20"/>
          <w:color w:val="auto"/>
        </w:rPr>
      </w:pPr>
    </w:p>
    <w:p>
      <w:pPr>
        <w:ind w:left="1520" w:right="1579" w:firstLine="262"/>
        <w:spacing w:after="0" w:line="250" w:lineRule="auto"/>
        <w:rPr>
          <w:sz w:val="20"/>
          <w:szCs w:val="20"/>
          <w:color w:val="auto"/>
        </w:rPr>
      </w:pPr>
      <w:r>
        <w:rPr>
          <w:rFonts w:ascii="Times New Roman" w:cs="Times New Roman" w:eastAsia="Times New Roman" w:hAnsi="Times New Roman"/>
          <w:sz w:val="13"/>
          <w:szCs w:val="13"/>
          <w:color w:val="auto"/>
        </w:rPr>
        <w:t>Notification under Section 309B(1)(c) of the SFA — 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South Korea</w:t>
      </w:r>
    </w:p>
    <w:p>
      <w:pPr>
        <w:spacing w:after="0" w:line="118" w:lineRule="exact"/>
        <w:rPr>
          <w:sz w:val="20"/>
          <w:szCs w:val="20"/>
          <w:color w:val="auto"/>
        </w:rPr>
      </w:pPr>
    </w:p>
    <w:p>
      <w:pPr>
        <w:ind w:left="1520" w:right="1579" w:firstLine="262"/>
        <w:spacing w:after="0" w:line="253" w:lineRule="auto"/>
        <w:rPr>
          <w:sz w:val="20"/>
          <w:szCs w:val="20"/>
          <w:color w:val="auto"/>
        </w:rPr>
      </w:pPr>
      <w:r>
        <w:rPr>
          <w:rFonts w:ascii="Times New Roman" w:cs="Times New Roman" w:eastAsia="Times New Roman" w:hAnsi="Times New Roman"/>
          <w:sz w:val="13"/>
          <w:szCs w:val="13"/>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6" w:name="page37"/>
    <w:bookmarkEnd w:id="3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619"/>
        <w:spacing w:after="0" w:line="258" w:lineRule="auto"/>
        <w:rPr>
          <w:sz w:val="20"/>
          <w:szCs w:val="20"/>
          <w:color w:val="auto"/>
        </w:rPr>
      </w:pPr>
      <w:r>
        <w:rPr>
          <w:rFonts w:ascii="Times New Roman" w:cs="Times New Roman" w:eastAsia="Times New Roman" w:hAnsi="Times New Roman"/>
          <w:sz w:val="13"/>
          <w:szCs w:val="13"/>
          <w:color w:val="auto"/>
        </w:rPr>
        <w:t>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85" w:lineRule="exact"/>
        <w:rPr>
          <w:sz w:val="20"/>
          <w:szCs w:val="20"/>
          <w:color w:val="auto"/>
        </w:rPr>
      </w:pPr>
    </w:p>
    <w:p>
      <w:pPr>
        <w:ind w:left="1520" w:right="1579" w:firstLine="262"/>
        <w:spacing w:after="0" w:line="259" w:lineRule="auto"/>
        <w:rPr>
          <w:sz w:val="20"/>
          <w:szCs w:val="20"/>
          <w:color w:val="auto"/>
        </w:rPr>
      </w:pPr>
      <w:r>
        <w:rPr>
          <w:rFonts w:ascii="Times New Roman" w:cs="Times New Roman" w:eastAsia="Times New Roman" w:hAnsi="Times New Roman"/>
          <w:sz w:val="13"/>
          <w:szCs w:val="13"/>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Taiwan</w:t>
      </w:r>
    </w:p>
    <w:p>
      <w:pPr>
        <w:spacing w:after="0" w:line="118" w:lineRule="exact"/>
        <w:rPr>
          <w:sz w:val="20"/>
          <w:szCs w:val="20"/>
          <w:color w:val="auto"/>
        </w:rPr>
      </w:pPr>
    </w:p>
    <w:p>
      <w:pPr>
        <w:ind w:left="1520" w:right="1559" w:firstLine="262"/>
        <w:spacing w:after="0" w:line="255" w:lineRule="auto"/>
        <w:rPr>
          <w:sz w:val="20"/>
          <w:szCs w:val="20"/>
          <w:color w:val="auto"/>
        </w:rPr>
      </w:pPr>
      <w:r>
        <w:rPr>
          <w:rFonts w:ascii="Times New Roman" w:cs="Times New Roman" w:eastAsia="Times New Roman" w:hAnsi="Times New Roman"/>
          <w:sz w:val="13"/>
          <w:szCs w:val="13"/>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could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13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United Kingdom</w:t>
      </w:r>
    </w:p>
    <w:p>
      <w:pPr>
        <w:spacing w:after="0" w:line="10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The notes are not intended to be offered, sold or otherwise made available to any retail investor in the</w:t>
      </w:r>
    </w:p>
    <w:p>
      <w:pPr>
        <w:spacing w:after="0" w:line="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United Kingdom (“UK”). For these purposes:</w:t>
      </w:r>
    </w:p>
    <w:p>
      <w:pPr>
        <w:spacing w:after="0" w:line="103" w:lineRule="exact"/>
        <w:rPr>
          <w:sz w:val="20"/>
          <w:szCs w:val="20"/>
          <w:color w:val="auto"/>
        </w:rPr>
      </w:pPr>
    </w:p>
    <w:p>
      <w:pPr>
        <w:ind w:left="2040" w:hanging="264"/>
        <w:spacing w:after="0"/>
        <w:tabs>
          <w:tab w:leader="none" w:pos="20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expression “retail investor” means a person who is one (or more) of the following:</w:t>
      </w:r>
    </w:p>
    <w:p>
      <w:pPr>
        <w:spacing w:after="0" w:line="116" w:lineRule="exact"/>
        <w:rPr>
          <w:rFonts w:ascii="Times New Roman" w:cs="Times New Roman" w:eastAsia="Times New Roman" w:hAnsi="Times New Roman"/>
          <w:sz w:val="13"/>
          <w:szCs w:val="13"/>
          <w:color w:val="auto"/>
        </w:rPr>
      </w:pPr>
    </w:p>
    <w:p>
      <w:pPr>
        <w:jc w:val="both"/>
        <w:ind w:left="2300" w:right="1599" w:hanging="261"/>
        <w:spacing w:after="0" w:line="286" w:lineRule="auto"/>
        <w:tabs>
          <w:tab w:leader="none" w:pos="2300"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retail client as defined in point (8) of Article 2 of Regulation (EU) No 2017/565 as it forms part of domestic law by virtue of the European Union (Withdrawal) Act 2018 (“EUWA”); or</w:t>
      </w:r>
    </w:p>
    <w:p>
      <w:pPr>
        <w:spacing w:after="0" w:line="66" w:lineRule="exact"/>
        <w:rPr>
          <w:rFonts w:ascii="Times New Roman" w:cs="Times New Roman" w:eastAsia="Times New Roman" w:hAnsi="Times New Roman"/>
          <w:sz w:val="13"/>
          <w:szCs w:val="13"/>
          <w:color w:val="auto"/>
        </w:rPr>
      </w:pPr>
    </w:p>
    <w:p>
      <w:pPr>
        <w:ind w:left="2300" w:right="1619" w:hanging="261"/>
        <w:spacing w:after="0" w:line="261" w:lineRule="auto"/>
        <w:tabs>
          <w:tab w:leader="none" w:pos="2300"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 of Regulation (EU) No 600/2014 as it forms part of domestic law by virtue of the EUWA; or</w:t>
      </w:r>
    </w:p>
    <w:p>
      <w:pPr>
        <w:spacing w:after="0" w:line="72" w:lineRule="exact"/>
        <w:rPr>
          <w:rFonts w:ascii="Times New Roman" w:cs="Times New Roman" w:eastAsia="Times New Roman" w:hAnsi="Times New Roman"/>
          <w:sz w:val="13"/>
          <w:szCs w:val="13"/>
          <w:color w:val="auto"/>
        </w:rPr>
      </w:pPr>
    </w:p>
    <w:p>
      <w:pPr>
        <w:ind w:left="2300" w:hanging="261"/>
        <w:spacing w:after="0"/>
        <w:tabs>
          <w:tab w:leader="none" w:pos="2300" w:val="left"/>
        </w:tabs>
        <w:numPr>
          <w:ilvl w:val="1"/>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 qualified investor as defined in Article 2 of the UK Prospectus Regulation, and</w:t>
      </w:r>
    </w:p>
    <w:p>
      <w:pPr>
        <w:spacing w:after="0" w:line="116" w:lineRule="exact"/>
        <w:rPr>
          <w:rFonts w:ascii="Times New Roman" w:cs="Times New Roman" w:eastAsia="Times New Roman" w:hAnsi="Times New Roman"/>
          <w:sz w:val="13"/>
          <w:szCs w:val="13"/>
          <w:color w:val="auto"/>
        </w:rPr>
      </w:pPr>
    </w:p>
    <w:p>
      <w:pPr>
        <w:ind w:left="2040" w:right="1619" w:hanging="264"/>
        <w:spacing w:after="0" w:line="264" w:lineRule="auto"/>
        <w:tabs>
          <w:tab w:leader="none" w:pos="204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expression “offer” includes the communication in any form and by any means of sufficient information on the terms of the offer and the notes to be offered so as to enable an investor to decide to purchase or subscribe for the notes, and “UK Prospectus Regulation” means Regulation (EU) 2017/1129 as it forms part of domestic law by virtue of the EUWA.</w:t>
      </w:r>
    </w:p>
    <w:p>
      <w:pPr>
        <w:spacing w:after="0" w:line="80" w:lineRule="exact"/>
        <w:rPr>
          <w:sz w:val="20"/>
          <w:szCs w:val="20"/>
          <w:color w:val="auto"/>
        </w:rPr>
      </w:pPr>
    </w:p>
    <w:p>
      <w:pPr>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Consequently, no key information document required by Regulation (EU) No 1286/2014 as it forms part of domestic law by virtue of the EUWA (the “UK PRIIPs Regulation”) for offering or selling the notes or otherwise making it available to retail investors in the UK has been prepared and therefore offering or selling the notes or otherwise making it available to any retail investor in the UK may be unlawful under the UK PRIIPs Regulation.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7" w:name="page38"/>
    <w:bookmarkEnd w:id="3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are being distributed only to, and are directed only at, and any offer subsequently made may only be directed at persons who are “qualified investors” (as​ defined in the UK Prospectus Regulation), who also (i) have professional experience in matters relating to investments falling within Article 19(5) of the Financial Services and Markets Act 2000 (Financial Promotion) Order 2005, as amended (the “Order”) and/or (ii) are high net worth companies falling within Article 49(2)(a) to (d) of the Order or are persons to whom an invitation or inducement to engage in investment activity (within the meaning of Section 21 of the FSMA) in connection with the issue or sale of any securities may otherwise be lawfully communicated or caused to be communicated (all such persons together being referred to as “relevant persons”). This prospectus supplement and the accompanying prospectus must not be acted on or relied on in the UK by persons who are not relevant persons. In the UK, any investment or investment activity to which this prospectus supplement and the accompanying prospectus relate is only available to, and will be engaged in with, relevant persons.</w:t>
      </w:r>
    </w:p>
    <w:p>
      <w:pPr>
        <w:spacing w:after="0" w:line="13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Switzerland</w:t>
      </w:r>
    </w:p>
    <w:p>
      <w:pPr>
        <w:spacing w:after="0" w:line="118" w:lineRule="exact"/>
        <w:rPr>
          <w:sz w:val="20"/>
          <w:szCs w:val="20"/>
          <w:color w:val="auto"/>
        </w:rPr>
      </w:pPr>
    </w:p>
    <w:p>
      <w:pPr>
        <w:ind w:left="1520" w:right="1559" w:firstLine="262"/>
        <w:spacing w:after="0" w:line="257"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86" w:lineRule="exact"/>
        <w:rPr>
          <w:sz w:val="20"/>
          <w:szCs w:val="20"/>
          <w:color w:val="auto"/>
        </w:rPr>
      </w:pPr>
    </w:p>
    <w:p>
      <w:pPr>
        <w:jc w:val="both"/>
        <w:ind w:left="1520" w:right="1739" w:firstLine="262"/>
        <w:spacing w:after="0" w:line="259" w:lineRule="auto"/>
        <w:rPr>
          <w:sz w:val="20"/>
          <w:szCs w:val="20"/>
          <w:color w:val="auto"/>
        </w:rPr>
      </w:pPr>
      <w:r>
        <w:rPr>
          <w:rFonts w:ascii="Times New Roman" w:cs="Times New Roman" w:eastAsia="Times New Roman" w:hAnsi="Times New Roman"/>
          <w:sz w:val="13"/>
          <w:szCs w:val="13"/>
          <w:color w:val="auto"/>
        </w:rPr>
        <w:t>In particular, this prospectus supplement will not be filed with, and the offer of the notes will not be supervised by, the Swiss Financial Market Supervisory Authority, and the offer of the notes has not been and will not be authorized under the Swiss Federal Act on Collective Investment Schemes (the “CISA”).</w:t>
      </w:r>
    </w:p>
    <w:p>
      <w:pPr>
        <w:spacing w:after="0" w:line="2" w:lineRule="exact"/>
        <w:rPr>
          <w:sz w:val="20"/>
          <w:szCs w:val="20"/>
          <w:color w:val="auto"/>
        </w:rPr>
      </w:pPr>
    </w:p>
    <w:p>
      <w:pPr>
        <w:ind w:left="1520" w:right="1659"/>
        <w:spacing w:after="0" w:line="265" w:lineRule="auto"/>
        <w:rPr>
          <w:sz w:val="20"/>
          <w:szCs w:val="20"/>
          <w:color w:val="auto"/>
        </w:rPr>
      </w:pPr>
      <w:r>
        <w:rPr>
          <w:rFonts w:ascii="Times New Roman" w:cs="Times New Roman" w:eastAsia="Times New Roman" w:hAnsi="Times New Roman"/>
          <w:sz w:val="13"/>
          <w:szCs w:val="13"/>
          <w:color w:val="auto"/>
        </w:rPr>
        <w:t>The investor protection afforded to acquirers of interests in collective investment schemes under the CISA does not extend to acquirers of the notes.</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Dubai International Financial Centre</w:t>
      </w:r>
    </w:p>
    <w:p>
      <w:pPr>
        <w:spacing w:after="0" w:line="108" w:lineRule="exact"/>
        <w:rPr>
          <w:sz w:val="20"/>
          <w:szCs w:val="20"/>
          <w:color w:val="auto"/>
        </w:rPr>
      </w:pPr>
    </w:p>
    <w:p>
      <w:pPr>
        <w:ind w:left="1520" w:right="1559" w:firstLine="262"/>
        <w:spacing w:after="0" w:line="256" w:lineRule="auto"/>
        <w:rPr>
          <w:sz w:val="20"/>
          <w:szCs w:val="20"/>
          <w:color w:val="auto"/>
        </w:rPr>
      </w:pPr>
      <w:r>
        <w:rPr>
          <w:rFonts w:ascii="Times New Roman" w:cs="Times New Roman" w:eastAsia="Times New Roman" w:hAnsi="Times New Roman"/>
          <w:sz w:val="13"/>
          <w:szCs w:val="13"/>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United Arab Emirates</w:t>
      </w:r>
    </w:p>
    <w:p>
      <w:pPr>
        <w:spacing w:after="0" w:line="118" w:lineRule="exact"/>
        <w:rPr>
          <w:sz w:val="20"/>
          <w:szCs w:val="20"/>
          <w:color w:val="auto"/>
        </w:rPr>
      </w:pPr>
    </w:p>
    <w:p>
      <w:pPr>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The notes have not been, and are not being, publicly offered, sold, promoted or advertised in the United Arab Emirates (including the Abu Dhabi Global Market or the Dubai International Financial Centre) other than in compliance with the laws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The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8" w:name="page39"/>
    <w:bookmarkEnd w:id="38"/>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18" w:lineRule="exact"/>
        <w:rPr>
          <w:sz w:val="20"/>
          <w:szCs w:val="20"/>
          <w:color w:val="auto"/>
        </w:rPr>
      </w:pPr>
    </w:p>
    <w:p>
      <w:pPr>
        <w:jc w:val="both"/>
        <w:ind w:left="1520" w:right="1659" w:firstLine="262"/>
        <w:spacing w:after="0" w:line="286" w:lineRule="auto"/>
        <w:rPr>
          <w:sz w:val="20"/>
          <w:szCs w:val="20"/>
          <w:color w:val="auto"/>
        </w:rPr>
      </w:pPr>
      <w:r>
        <w:rPr>
          <w:rFonts w:ascii="Times New Roman" w:cs="Times New Roman" w:eastAsia="Times New Roman" w:hAnsi="Times New Roman"/>
          <w:sz w:val="13"/>
          <w:szCs w:val="13"/>
          <w:color w:val="auto"/>
        </w:rPr>
        <w:t>Certain legal matters in connection with the notes offered hereby will be passed upon for us by Baker Botts L.L.P., Houston, Texas, and for the underwriters by Gibson, Dunn &amp; Crutcher LLP, Houston, Texas.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18" w:lineRule="exact"/>
        <w:rPr>
          <w:sz w:val="20"/>
          <w:szCs w:val="20"/>
          <w:color w:val="auto"/>
        </w:rPr>
      </w:pPr>
    </w:p>
    <w:p>
      <w:pPr>
        <w:ind w:left="1520" w:right="1559" w:firstLine="262"/>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consolidated financial statements of Waste Management, Inc. appearing in Waste Management, Inc.’s </w:t>
      </w:r>
      <w:hyperlink r:id="rId54">
        <w:r>
          <w:rPr>
            <w:rFonts w:ascii="Times New Roman" w:cs="Times New Roman" w:eastAsia="Times New Roman" w:hAnsi="Times New Roman"/>
            <w:sz w:val="13"/>
            <w:szCs w:val="13"/>
            <w:u w:val="single" w:color="auto"/>
            <w:color w:val="0000EE"/>
          </w:rPr>
          <w:t>Annual Report (Form 10-K) for the year ended December 31, 2023</w:t>
        </w:r>
      </w:hyperlink>
      <w:r>
        <w:rPr>
          <w:rFonts w:ascii="Times New Roman" w:cs="Times New Roman" w:eastAsia="Times New Roman" w:hAnsi="Times New Roman"/>
          <w:sz w:val="13"/>
          <w:szCs w:val="13"/>
          <w:color w:val="auto"/>
        </w:rPr>
        <w:t>, and the effectiveness of Waste Management,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9" w:name="page40"/>
    <w:bookmarkEnd w:id="39"/>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18" w:lineRule="exact"/>
        <w:rPr>
          <w:sz w:val="20"/>
          <w:szCs w:val="20"/>
          <w:color w:val="auto"/>
        </w:rPr>
      </w:pPr>
    </w:p>
    <w:p>
      <w:pPr>
        <w:ind w:left="1520" w:right="1539" w:firstLine="262"/>
        <w:spacing w:after="0" w:line="253" w:lineRule="auto"/>
        <w:rPr>
          <w:sz w:val="20"/>
          <w:szCs w:val="20"/>
          <w:color w:val="auto"/>
        </w:rPr>
      </w:pPr>
      <w:r>
        <w:rPr>
          <w:rFonts w:ascii="Times New Roman" w:cs="Times New Roman" w:eastAsia="Times New Roman" w:hAnsi="Times New Roman"/>
          <w:sz w:val="13"/>
          <w:szCs w:val="13"/>
          <w:color w:val="auto"/>
        </w:rPr>
        <w:t xml:space="preserve">This prospectus supplement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Without limitation, all statements in this prospectus supplement regarding the pending acquisition of Stericycle, timing and ability to consummate the acquisition, and timing and settlement of the Exchange Offer are forward-looking statements.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the failure to implement our optimization, automation, growth, and cost savings initiatives and overall business strategy; failure to obtain the results anticipated from strategic initiatives, investments, acquisitions, including our pending acquisition of Stericycle, or new lines of business; failure to identify acquisition targets, consummate and integrate acquisitions, including our planned integration of Stericycle; our ability to consummate and finance the acquisition of Stericycle and achieve the anticipated benefits therefrom, including cost synergies; legal, regulatory and other matters that may affect the costs and timing of our ability to complete, integrate and deliver all of the expected benefits of the pending Stericycle acquisition, if at all; our ability to complete the transactions contemplated by the Exchange Offer and Consent Solicitation, including the satisfaction or waiver of any conditions described in the Offering Memorandum;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manage cybersecurity incidents or comply with privacy regulations; inability to adapt and manage the benefits and risks of artificial intelligence; negative outcomes of litigation or governmental proceedings, including those acquired through transactions, including the pending Stericycle acquisition; operations or management decisions or developments that result in impairment charges; other risks discussed in our filings with the SEC, including Part I, Item 1A of our Annual Report on Form 10-K for the year ended December 31, 2023 as updated by Part II, Item 1A of our Quarterly Reports on Form 10-Q; and other risks discussed in “Risk Factors” beginning on page </w:t>
      </w:r>
      <w:r>
        <w:rPr>
          <w:rFonts w:ascii="Times New Roman" w:cs="Times New Roman" w:eastAsia="Times New Roman" w:hAnsi="Times New Roman"/>
          <w:sz w:val="13"/>
          <w:szCs w:val="13"/>
          <w:u w:val="single" w:color="auto"/>
          <w:color w:val="0000EE"/>
        </w:rPr>
        <w:t>S-8</w:t>
      </w:r>
      <w:r>
        <w:rPr>
          <w:rFonts w:ascii="Times New Roman" w:cs="Times New Roman" w:eastAsia="Times New Roman" w:hAnsi="Times New Roman"/>
          <w:sz w:val="13"/>
          <w:szCs w:val="13"/>
          <w:color w:val="auto"/>
        </w:rPr>
        <w:t xml:space="preserve"> of this prospectus supplement. We assume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0" w:name="page41"/>
    <w:bookmarkEnd w:id="40"/>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 OF CERTAIN DOCUMENTS BY REFERENCE</w:t>
      </w:r>
    </w:p>
    <w:p>
      <w:pPr>
        <w:spacing w:after="0" w:line="116" w:lineRule="exact"/>
        <w:rPr>
          <w:sz w:val="20"/>
          <w:szCs w:val="20"/>
          <w:color w:val="auto"/>
        </w:rPr>
      </w:pPr>
    </w:p>
    <w:p>
      <w:pPr>
        <w:ind w:left="1520" w:right="1619" w:firstLine="262"/>
        <w:spacing w:after="0" w:line="265" w:lineRule="auto"/>
        <w:rPr>
          <w:sz w:val="20"/>
          <w:szCs w:val="20"/>
          <w:color w:val="auto"/>
        </w:rPr>
      </w:pPr>
      <w:r>
        <w:rPr>
          <w:rFonts w:ascii="Times New Roman" w:cs="Times New Roman" w:eastAsia="Times New Roman" w:hAnsi="Times New Roman"/>
          <w:sz w:val="13"/>
          <w:szCs w:val="13"/>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79" w:lineRule="exact"/>
        <w:rPr>
          <w:sz w:val="20"/>
          <w:szCs w:val="20"/>
          <w:color w:val="auto"/>
        </w:rPr>
      </w:pPr>
    </w:p>
    <w:p>
      <w:pPr>
        <w:ind w:left="1520" w:right="1539" w:firstLine="262"/>
        <w:spacing w:after="0" w:line="255" w:lineRule="auto"/>
        <w:rPr>
          <w:sz w:val="20"/>
          <w:szCs w:val="20"/>
          <w:color w:val="auto"/>
        </w:rPr>
      </w:pPr>
      <w:r>
        <w:rPr>
          <w:rFonts w:ascii="Times New Roman" w:cs="Times New Roman" w:eastAsia="Times New Roman" w:hAnsi="Times New Roman"/>
          <w:sz w:val="13"/>
          <w:szCs w:val="13"/>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1499"/>
        <w:spacing w:after="0"/>
        <w:tabs>
          <w:tab w:leader="none" w:pos="1420" w:val="left"/>
          <w:tab w:leader="none" w:pos="860" w:val="left"/>
        </w:tabs>
        <w:rPr>
          <w:sz w:val="20"/>
          <w:szCs w:val="20"/>
          <w:color w:val="auto"/>
        </w:rPr>
      </w:pPr>
      <w:r>
        <w:rPr>
          <w:rFonts w:ascii="Times New Roman" w:cs="Times New Roman" w:eastAsia="Times New Roman" w:hAnsi="Times New Roman"/>
          <w:sz w:val="10"/>
          <w:szCs w:val="10"/>
          <w:b w:val="1"/>
          <w:bCs w:val="1"/>
          <w:color w:val="auto"/>
        </w:rPr>
        <w:t>SEC Filing (Our SEC File Number is 1-12154)</w:t>
      </w:r>
      <w:r>
        <w:rPr>
          <w:sz w:val="20"/>
          <w:szCs w:val="20"/>
          <w:color w:val="auto"/>
        </w:rPr>
        <w:tab/>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Date Filed</w:t>
      </w:r>
      <w:r>
        <w:rPr>
          <w:sz w:val="20"/>
          <w:szCs w:val="20"/>
          <w:color w:val="auto"/>
        </w:rPr>
        <w:t xml:space="preserve"> </w:t>
      </w:r>
      <w:r>
        <w:rPr>
          <w:rFonts w:ascii="Times New Roman" w:cs="Times New Roman" w:eastAsia="Times New Roman" w:hAnsi="Times New Roman"/>
          <w:sz w:val="21"/>
          <w:szCs w:val="2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14605</wp:posOffset>
            </wp:positionV>
            <wp:extent cx="289750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897505" cy="635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50"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54">
        <w:r>
          <w:rPr>
            <w:rFonts w:ascii="Times New Roman" w:cs="Times New Roman" w:eastAsia="Times New Roman" w:hAnsi="Times New Roman"/>
            <w:sz w:val="13"/>
            <w:szCs w:val="13"/>
            <w:u w:val="single" w:color="auto"/>
            <w:color w:val="0000EE"/>
          </w:rPr>
          <w:t>Annual Report on Form 10-K for the year ended December 31, 2023</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05">
        <w:r>
          <w:rPr>
            <w:rFonts w:ascii="Times New Roman" w:cs="Times New Roman" w:eastAsia="Times New Roman" w:hAnsi="Times New Roman"/>
            <w:sz w:val="13"/>
            <w:szCs w:val="13"/>
            <w:u w:val="single" w:color="auto"/>
            <w:color w:val="0000EE"/>
          </w:rPr>
          <w:t>Quarterly Report on Form 10-Q for the quarter ended March 31, 2024</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55">
        <w:r>
          <w:rPr>
            <w:rFonts w:ascii="Times New Roman" w:cs="Times New Roman" w:eastAsia="Times New Roman" w:hAnsi="Times New Roman"/>
            <w:sz w:val="13"/>
            <w:szCs w:val="13"/>
            <w:u w:val="single" w:color="auto"/>
            <w:color w:val="0000EE"/>
          </w:rPr>
          <w:t>Quarterly Report on Form 10-Q for the quarter ended June 30, 2024</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06">
        <w:r>
          <w:rPr>
            <w:rFonts w:ascii="Times New Roman" w:cs="Times New Roman" w:eastAsia="Times New Roman" w:hAnsi="Times New Roman"/>
            <w:sz w:val="13"/>
            <w:szCs w:val="13"/>
            <w:u w:val="single" w:color="auto"/>
            <w:color w:val="0000EE"/>
          </w:rPr>
          <w:t>Quarterly Report on Form 10-Q for the quarter ended September 30, 2024</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07">
        <w:r>
          <w:rPr>
            <w:rFonts w:ascii="Times New Roman" w:cs="Times New Roman" w:eastAsia="Times New Roman" w:hAnsi="Times New Roman"/>
            <w:sz w:val="13"/>
            <w:szCs w:val="13"/>
            <w:u w:val="single" w:color="auto"/>
            <w:color w:val="0000EE"/>
          </w:rPr>
          <w:t>Current Report on Form 8-K</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08">
        <w:r>
          <w:rPr>
            <w:rFonts w:ascii="Times New Roman" w:cs="Times New Roman" w:eastAsia="Times New Roman" w:hAnsi="Times New Roman"/>
            <w:sz w:val="13"/>
            <w:szCs w:val="13"/>
            <w:u w:val="single" w:color="auto"/>
            <w:color w:val="0000EE"/>
          </w:rPr>
          <w:t>Current Report on Form 8-K</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09">
        <w:r>
          <w:rPr>
            <w:rFonts w:ascii="Times New Roman" w:cs="Times New Roman" w:eastAsia="Times New Roman" w:hAnsi="Times New Roman"/>
            <w:sz w:val="13"/>
            <w:szCs w:val="13"/>
            <w:u w:val="single" w:color="auto"/>
            <w:color w:val="0000EE"/>
          </w:rPr>
          <w:t>Current Report on Form 8-K</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10">
        <w:r>
          <w:rPr>
            <w:rFonts w:ascii="Times New Roman" w:cs="Times New Roman" w:eastAsia="Times New Roman" w:hAnsi="Times New Roman"/>
            <w:sz w:val="13"/>
            <w:szCs w:val="13"/>
            <w:u w:val="single" w:color="auto"/>
            <w:color w:val="0000EE"/>
          </w:rPr>
          <w:t>Current Report on Form 8-K</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11">
        <w:r>
          <w:rPr>
            <w:rFonts w:ascii="Times New Roman" w:cs="Times New Roman" w:eastAsia="Times New Roman" w:hAnsi="Times New Roman"/>
            <w:sz w:val="13"/>
            <w:szCs w:val="13"/>
            <w:u w:val="single" w:color="auto"/>
            <w:color w:val="0000EE"/>
          </w:rPr>
          <w:t xml:space="preserve">Current Report on Form 8-K </w:t>
        </w:r>
      </w:hyperlink>
      <w:hyperlink r:id="rId112">
        <w:r>
          <w:rPr>
            <w:rFonts w:ascii="Times New Roman" w:cs="Times New Roman" w:eastAsia="Times New Roman" w:hAnsi="Times New Roman"/>
            <w:sz w:val="13"/>
            <w:szCs w:val="13"/>
            <w:u w:val="single" w:color="auto"/>
            <w:color w:val="0000EE"/>
          </w:rPr>
          <w:t>(as amended by Form 8-K/A filed the same day)</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13">
        <w:r>
          <w:rPr>
            <w:rFonts w:ascii="Times New Roman" w:cs="Times New Roman" w:eastAsia="Times New Roman" w:hAnsi="Times New Roman"/>
            <w:sz w:val="13"/>
            <w:szCs w:val="13"/>
            <w:u w:val="single" w:color="auto"/>
            <w:color w:val="0000EE"/>
          </w:rPr>
          <w:t>Current Report on Form 8-K</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14">
        <w:r>
          <w:rPr>
            <w:rFonts w:ascii="Times New Roman" w:cs="Times New Roman" w:eastAsia="Times New Roman" w:hAnsi="Times New Roman"/>
            <w:sz w:val="13"/>
            <w:szCs w:val="13"/>
            <w:u w:val="single" w:color="auto"/>
            <w:color w:val="0000EE"/>
          </w:rPr>
          <w:t>Current Report on Form 8-K</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15">
        <w:r>
          <w:rPr>
            <w:rFonts w:ascii="Times New Roman" w:cs="Times New Roman" w:eastAsia="Times New Roman" w:hAnsi="Times New Roman"/>
            <w:sz w:val="13"/>
            <w:szCs w:val="13"/>
            <w:u w:val="single" w:color="auto"/>
            <w:color w:val="0000EE"/>
          </w:rPr>
          <w:t>Current Report on Form 8-K</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16">
        <w:r>
          <w:rPr>
            <w:rFonts w:ascii="Times New Roman" w:cs="Times New Roman" w:eastAsia="Times New Roman" w:hAnsi="Times New Roman"/>
            <w:sz w:val="13"/>
            <w:szCs w:val="13"/>
            <w:u w:val="single" w:color="auto"/>
            <w:color w:val="0000EE"/>
          </w:rPr>
          <w:t>Current Report on Form 8-K</w:t>
        </w:r>
      </w:hyperlink>
    </w:p>
    <w:p>
      <w:pPr>
        <w:spacing w:after="0" w:line="37"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17">
        <w:r>
          <w:rPr>
            <w:rFonts w:ascii="Times New Roman" w:cs="Times New Roman" w:eastAsia="Times New Roman" w:hAnsi="Times New Roman"/>
            <w:sz w:val="13"/>
            <w:szCs w:val="13"/>
            <w:u w:val="single" w:color="auto"/>
            <w:color w:val="0000EE"/>
          </w:rPr>
          <w:t>Current Report on Form 8-K</w:t>
        </w:r>
      </w:hyperlink>
    </w:p>
    <w:p>
      <w:pPr>
        <w:spacing w:after="0" w:line="28" w:lineRule="exact"/>
        <w:rPr>
          <w:sz w:val="20"/>
          <w:szCs w:val="20"/>
          <w:color w:val="auto"/>
        </w:rPr>
      </w:pPr>
    </w:p>
    <w:p>
      <w:pPr>
        <w:ind w:left="1640" w:hanging="130"/>
        <w:spacing w:after="0" w:line="269" w:lineRule="auto"/>
        <w:rPr>
          <w:rFonts w:ascii="Times New Roman" w:cs="Times New Roman" w:eastAsia="Times New Roman" w:hAnsi="Times New Roman"/>
          <w:sz w:val="13"/>
          <w:szCs w:val="13"/>
          <w:u w:val="single" w:color="auto"/>
          <w:color w:val="0000EE"/>
        </w:rPr>
      </w:pPr>
      <w:hyperlink r:id="rId118">
        <w:r>
          <w:rPr>
            <w:rFonts w:ascii="Times New Roman" w:cs="Times New Roman" w:eastAsia="Times New Roman" w:hAnsi="Times New Roman"/>
            <w:sz w:val="13"/>
            <w:szCs w:val="13"/>
            <w:u w:val="single" w:color="auto"/>
            <w:color w:val="0000EE"/>
          </w:rPr>
          <w:t>The portions of our proxy statement for our 2024 annual meeting of stockholders</w:t>
        </w:r>
      </w:hyperlink>
      <w:r>
        <w:rPr>
          <w:rFonts w:ascii="Times New Roman" w:cs="Times New Roman" w:eastAsia="Times New Roman" w:hAnsi="Times New Roman"/>
          <w:sz w:val="13"/>
          <w:szCs w:val="13"/>
          <w:u w:val="single" w:color="auto"/>
          <w:color w:val="0000EE"/>
        </w:rPr>
        <w:t xml:space="preserve"> </w:t>
      </w:r>
      <w:hyperlink r:id="rId118">
        <w:r>
          <w:rPr>
            <w:rFonts w:ascii="Times New Roman" w:cs="Times New Roman" w:eastAsia="Times New Roman" w:hAnsi="Times New Roman"/>
            <w:sz w:val="13"/>
            <w:szCs w:val="13"/>
            <w:u w:val="single" w:color="auto"/>
            <w:color w:val="0000EE"/>
          </w:rPr>
          <w:t>incorporated by reference in our Annual Report on Form 10-K for the year</w:t>
        </w:r>
      </w:hyperlink>
      <w:r>
        <w:rPr>
          <w:rFonts w:ascii="Times New Roman" w:cs="Times New Roman" w:eastAsia="Times New Roman" w:hAnsi="Times New Roman"/>
          <w:sz w:val="13"/>
          <w:szCs w:val="13"/>
          <w:u w:val="single" w:color="auto"/>
          <w:color w:val="0000EE"/>
        </w:rPr>
        <w:t xml:space="preserve"> </w:t>
      </w:r>
      <w:hyperlink r:id="rId118">
        <w:r>
          <w:rPr>
            <w:rFonts w:ascii="Times New Roman" w:cs="Times New Roman" w:eastAsia="Times New Roman" w:hAnsi="Times New Roman"/>
            <w:sz w:val="13"/>
            <w:szCs w:val="13"/>
            <w:u w:val="single" w:color="auto"/>
            <w:color w:val="0000EE"/>
          </w:rPr>
          <w:t>ended December 31, 2023</w:t>
        </w:r>
      </w:hyperlink>
    </w:p>
    <w:p>
      <w:pPr>
        <w:spacing w:after="0" w:line="20" w:lineRule="exact"/>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u w:val="single" w:color="auto"/>
          <w:color w:val="0000EE"/>
        </w:rPr>
        <w:br w:type="column"/>
      </w:r>
    </w:p>
    <w:p>
      <w:pPr>
        <w:spacing w:after="0" w:line="3" w:lineRule="exact"/>
        <w:rPr>
          <w:rFonts w:ascii="Times New Roman" w:cs="Times New Roman" w:eastAsia="Times New Roman" w:hAnsi="Times New Roman"/>
          <w:sz w:val="13"/>
          <w:szCs w:val="13"/>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5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February 13,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25,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July 25,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28,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1,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6,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10,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17,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5,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25,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September 3,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September 6,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September 10,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September 24, 2024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1"/>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spacing w:after="0"/>
              <w:rPr>
                <w:sz w:val="14"/>
                <w:szCs w:val="1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334"/>
        </w:trPr>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 2024</w:t>
            </w:r>
          </w:p>
        </w:tc>
        <w:tc>
          <w:tcPr>
            <w:tcW w:w="20" w:type="dxa"/>
            <w:vAlign w:val="bottom"/>
          </w:tcPr>
          <w:p>
            <w:pPr>
              <w:spacing w:after="0"/>
              <w:rPr>
                <w:sz w:val="24"/>
                <w:szCs w:val="24"/>
                <w:color w:val="auto"/>
              </w:rPr>
            </w:pPr>
          </w:p>
        </w:tc>
      </w:tr>
    </w:tbl>
    <w:p>
      <w:pPr>
        <w:spacing w:after="0" w:line="114" w:lineRule="exact"/>
        <w:rPr>
          <w:rFonts w:ascii="Times New Roman" w:cs="Times New Roman" w:eastAsia="Times New Roman" w:hAnsi="Times New Roman"/>
          <w:sz w:val="13"/>
          <w:szCs w:val="13"/>
          <w:u w:val="single" w:color="auto"/>
          <w:color w:val="0000EE"/>
        </w:rPr>
      </w:pPr>
    </w:p>
    <w:p>
      <w:pPr>
        <w:sectPr>
          <w:pgSz w:w="11900" w:h="16838" w:orient="portrait"/>
          <w:cols w:equalWidth="0" w:num="2">
            <w:col w:w="5980" w:space="100"/>
            <w:col w:w="2939"/>
          </w:cols>
          <w:pgMar w:left="1440" w:top="110" w:right="1440" w:bottom="1440" w:gutter="0" w:footer="0" w:header="0"/>
          <w:type w:val="continuous"/>
        </w:sectPr>
      </w:pPr>
    </w:p>
    <w:p>
      <w:pPr>
        <w:ind w:left="1520" w:right="1559" w:firstLine="262"/>
        <w:spacing w:after="0" w:line="258" w:lineRule="auto"/>
        <w:rPr>
          <w:sz w:val="20"/>
          <w:szCs w:val="20"/>
          <w:color w:val="auto"/>
        </w:rPr>
      </w:pPr>
      <w:r>
        <w:rPr>
          <w:rFonts w:ascii="Times New Roman" w:cs="Times New Roman" w:eastAsia="Times New Roman" w:hAnsi="Times New Roman"/>
          <w:sz w:val="13"/>
          <w:szCs w:val="13"/>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236" w:lineRule="exact"/>
        <w:rPr>
          <w:rFonts w:ascii="Times New Roman" w:cs="Times New Roman" w:eastAsia="Times New Roman" w:hAnsi="Times New Roman"/>
          <w:sz w:val="13"/>
          <w:szCs w:val="13"/>
          <w:u w:val="single" w:color="auto"/>
          <w:color w:val="0000EE"/>
        </w:rPr>
      </w:pPr>
    </w:p>
    <w:p>
      <w:pPr>
        <w:jc w:val="both"/>
        <w:ind w:left="1520" w:right="1639" w:firstLine="262"/>
        <w:spacing w:after="0" w:line="261" w:lineRule="auto"/>
        <w:rPr>
          <w:sz w:val="20"/>
          <w:szCs w:val="20"/>
          <w:color w:val="auto"/>
        </w:rPr>
      </w:pPr>
      <w:r>
        <w:rPr>
          <w:rFonts w:ascii="Times New Roman" w:cs="Times New Roman" w:eastAsia="Times New Roman" w:hAnsi="Times New Roman"/>
          <w:sz w:val="13"/>
          <w:szCs w:val="13"/>
          <w:color w:val="auto"/>
        </w:rPr>
        <w:t>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w:t>
      </w:r>
    </w:p>
    <w:p>
      <w:pPr>
        <w:spacing w:after="0" w:line="200" w:lineRule="exact"/>
        <w:rPr>
          <w:rFonts w:ascii="Times New Roman" w:cs="Times New Roman" w:eastAsia="Times New Roman" w:hAnsi="Times New Roman"/>
          <w:sz w:val="13"/>
          <w:szCs w:val="13"/>
          <w:u w:val="single" w:color="auto"/>
          <w:color w:val="0000EE"/>
        </w:rPr>
      </w:pPr>
    </w:p>
    <w:p>
      <w:pPr>
        <w:spacing w:after="0" w:line="200" w:lineRule="exact"/>
        <w:rPr>
          <w:rFonts w:ascii="Times New Roman" w:cs="Times New Roman" w:eastAsia="Times New Roman" w:hAnsi="Times New Roman"/>
          <w:sz w:val="13"/>
          <w:szCs w:val="13"/>
          <w:u w:val="single" w:color="auto"/>
          <w:color w:val="0000EE"/>
        </w:rPr>
      </w:pPr>
    </w:p>
    <w:p>
      <w:pPr>
        <w:spacing w:after="0" w:line="292" w:lineRule="exact"/>
        <w:rPr>
          <w:rFonts w:ascii="Times New Roman" w:cs="Times New Roman" w:eastAsia="Times New Roman" w:hAnsi="Times New Roman"/>
          <w:sz w:val="13"/>
          <w:szCs w:val="13"/>
          <w:u w:val="single" w:color="auto"/>
          <w:color w:val="0000EE"/>
        </w:rPr>
      </w:pPr>
    </w:p>
    <w:p>
      <w:pPr>
        <w:jc w:val="center"/>
        <w:ind w:right="39"/>
        <w:spacing w:after="0"/>
        <w:rPr>
          <w:sz w:val="20"/>
          <w:szCs w:val="20"/>
          <w:color w:val="auto"/>
        </w:rPr>
      </w:pPr>
      <w:r>
        <w:rPr>
          <w:rFonts w:ascii="Times New Roman" w:cs="Times New Roman" w:eastAsia="Times New Roman" w:hAnsi="Times New Roman"/>
          <w:sz w:val="13"/>
          <w:szCs w:val="13"/>
          <w:color w:val="auto"/>
        </w:rPr>
        <w:t>S-39</w:t>
      </w:r>
    </w:p>
    <w:p>
      <w:pPr>
        <w:spacing w:after="0" w:line="20" w:lineRule="exact"/>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u w:val="single" w:color="auto"/>
          <w:color w:val="0000EE"/>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41" w:name="page42"/>
    <w:bookmarkEnd w:id="41"/>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99" w:firstLine="262"/>
        <w:spacing w:after="0" w:line="264" w:lineRule="auto"/>
        <w:rPr>
          <w:sz w:val="20"/>
          <w:szCs w:val="20"/>
          <w:color w:val="auto"/>
        </w:rPr>
      </w:pPr>
      <w:r>
        <w:rPr>
          <w:rFonts w:ascii="Times New Roman" w:cs="Times New Roman" w:eastAsia="Times New Roman" w:hAnsi="Times New Roman"/>
          <w:sz w:val="13"/>
          <w:szCs w:val="13"/>
          <w:color w:val="auto"/>
        </w:rPr>
        <w:t>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w:t>
      </w:r>
    </w:p>
    <w:p>
      <w:pPr>
        <w:spacing w:after="0" w:line="8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color w:val="auto"/>
        </w:rPr>
        <w:t>Waste Management, Inc.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3"/>
          <w:szCs w:val="13"/>
          <w:color w:val="auto"/>
        </w:rPr>
        <w:t>800 Capitol Street, Suite 3000</w:t>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color w:val="auto"/>
        </w:rPr>
        <w:t>Houston, Texas 77002</w:t>
      </w:r>
    </w:p>
    <w:p>
      <w:pPr>
        <w:spacing w:after="0" w:line="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3"/>
          <w:szCs w:val="13"/>
          <w:color w:val="auto"/>
        </w:rPr>
        <w:t>Attn: Corporate Secretary</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3"/>
          <w:szCs w:val="13"/>
          <w:color w:val="auto"/>
        </w:rPr>
        <w:t>(713) 512-6200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2" w:name="page43"/>
    <w:bookmarkEnd w:id="42"/>
    <w:p>
      <w:pPr>
        <w:ind w:left="600"/>
        <w:spacing w:after="0"/>
        <w:rPr>
          <w:sz w:val="20"/>
          <w:szCs w:val="20"/>
          <w:color w:val="auto"/>
        </w:rPr>
      </w:pPr>
      <w:r>
        <w:rPr>
          <w:rFonts w:ascii="Calibri" w:cs="Calibri" w:eastAsia="Calibri" w:hAnsi="Calibri"/>
          <w:sz w:val="10"/>
          <w:szCs w:val="10"/>
          <w:color w:val="003366"/>
        </w:rPr>
        <w:t>TABLE OF CONTENTS</w:t>
      </w:r>
    </w:p>
    <w:p>
      <w:pPr>
        <w:spacing w:after="0" w:line="3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95885</wp:posOffset>
            </wp:positionV>
            <wp:extent cx="2029460" cy="543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2029460" cy="54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WASTE MANAGEMENT, INC.</w:t>
      </w:r>
    </w:p>
    <w:p>
      <w:pPr>
        <w:spacing w:after="0" w:line="15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DEBT SECURITIES</w:t>
      </w:r>
    </w:p>
    <w:p>
      <w:pPr>
        <w:spacing w:after="0" w:line="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PREFERRED STOCK</w:t>
      </w:r>
    </w:p>
    <w:p>
      <w:pPr>
        <w:ind w:left="4040"/>
        <w:spacing w:after="0" w:line="234" w:lineRule="auto"/>
        <w:rPr>
          <w:sz w:val="20"/>
          <w:szCs w:val="20"/>
          <w:color w:val="auto"/>
        </w:rPr>
      </w:pPr>
      <w:r>
        <w:rPr>
          <w:rFonts w:ascii="Times New Roman" w:cs="Times New Roman" w:eastAsia="Times New Roman" w:hAnsi="Times New Roman"/>
          <w:sz w:val="16"/>
          <w:szCs w:val="16"/>
          <w:b w:val="1"/>
          <w:bCs w:val="1"/>
          <w:color w:val="auto"/>
        </w:rPr>
        <w:t>WARRANTS</w:t>
      </w:r>
    </w:p>
    <w:p>
      <w:pPr>
        <w:spacing w:after="0" w:line="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GUARANTEES</w:t>
      </w:r>
    </w:p>
    <w:p>
      <w:pPr>
        <w:spacing w:after="0" w:line="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UNITS</w:t>
      </w:r>
    </w:p>
    <w:p>
      <w:pPr>
        <w:spacing w:after="0" w:line="91" w:lineRule="exact"/>
        <w:rPr>
          <w:sz w:val="20"/>
          <w:szCs w:val="20"/>
          <w:color w:val="auto"/>
        </w:rPr>
      </w:pPr>
    </w:p>
    <w:p>
      <w:pPr>
        <w:ind w:left="1520" w:right="1599" w:firstLine="262"/>
        <w:spacing w:after="0" w:line="264" w:lineRule="auto"/>
        <w:rPr>
          <w:sz w:val="20"/>
          <w:szCs w:val="20"/>
          <w:color w:val="auto"/>
        </w:rPr>
      </w:pPr>
      <w:r>
        <w:rPr>
          <w:rFonts w:ascii="Times New Roman" w:cs="Times New Roman" w:eastAsia="Times New Roman" w:hAnsi="Times New Roman"/>
          <w:sz w:val="13"/>
          <w:szCs w:val="13"/>
          <w:color w:val="auto"/>
        </w:rPr>
        <w:t>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w:t>
      </w:r>
    </w:p>
    <w:p>
      <w:pPr>
        <w:spacing w:after="0" w:line="80" w:lineRule="exact"/>
        <w:rPr>
          <w:sz w:val="20"/>
          <w:szCs w:val="20"/>
          <w:color w:val="auto"/>
        </w:rPr>
      </w:pPr>
    </w:p>
    <w:p>
      <w:pPr>
        <w:ind w:left="1520" w:right="1579" w:firstLine="262"/>
        <w:spacing w:after="0" w:line="264" w:lineRule="auto"/>
        <w:rPr>
          <w:sz w:val="20"/>
          <w:szCs w:val="20"/>
          <w:color w:val="auto"/>
        </w:rPr>
      </w:pPr>
      <w:r>
        <w:rPr>
          <w:rFonts w:ascii="Times New Roman" w:cs="Times New Roman" w:eastAsia="Times New Roman" w:hAnsi="Times New Roman"/>
          <w:sz w:val="13"/>
          <w:szCs w:val="13"/>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Our common stock is listed on the New York Stock Exchange under the symbol “WM.”</w:t>
      </w:r>
    </w:p>
    <w:p>
      <w:pPr>
        <w:spacing w:after="0" w:line="102" w:lineRule="exact"/>
        <w:rPr>
          <w:sz w:val="20"/>
          <w:szCs w:val="20"/>
          <w:color w:val="auto"/>
        </w:rPr>
      </w:pPr>
    </w:p>
    <w:p>
      <w:pPr>
        <w:ind w:left="1520" w:right="1559" w:firstLine="262"/>
        <w:spacing w:after="0" w:line="305" w:lineRule="auto"/>
        <w:rPr>
          <w:sz w:val="20"/>
          <w:szCs w:val="20"/>
          <w:color w:val="auto"/>
        </w:rPr>
      </w:pPr>
      <w:r>
        <w:rPr>
          <w:rFonts w:ascii="Times New Roman" w:cs="Times New Roman" w:eastAsia="Times New Roman" w:hAnsi="Times New Roman"/>
          <w:sz w:val="12"/>
          <w:szCs w:val="12"/>
          <w:b w:val="1"/>
          <w:bCs w:val="1"/>
          <w:color w:val="auto"/>
        </w:rPr>
        <w:t>Investing in our securities involves risks. See “</w:t>
      </w:r>
      <w:r>
        <w:rPr>
          <w:rFonts w:ascii="Times New Roman" w:cs="Times New Roman" w:eastAsia="Times New Roman" w:hAnsi="Times New Roman"/>
          <w:sz w:val="12"/>
          <w:szCs w:val="12"/>
          <w:b w:val="1"/>
          <w:bCs w:val="1"/>
          <w:i w:val="1"/>
          <w:iCs w:val="1"/>
          <w:color w:val="auto"/>
        </w:rPr>
        <w:t>Risk Factors</w:t>
      </w:r>
      <w:r>
        <w:rPr>
          <w:rFonts w:ascii="Times New Roman" w:cs="Times New Roman" w:eastAsia="Times New Roman" w:hAnsi="Times New Roman"/>
          <w:sz w:val="12"/>
          <w:szCs w:val="12"/>
          <w:b w:val="1"/>
          <w:bCs w:val="1"/>
          <w:color w:val="auto"/>
        </w:rPr>
        <w:t xml:space="preserve">” on page </w:t>
      </w:r>
      <w:r>
        <w:rPr>
          <w:rFonts w:ascii="Times New Roman" w:cs="Times New Roman" w:eastAsia="Times New Roman" w:hAnsi="Times New Roman"/>
          <w:sz w:val="12"/>
          <w:szCs w:val="12"/>
          <w:b w:val="1"/>
          <w:bCs w:val="1"/>
          <w:u w:val="single" w:color="auto"/>
          <w:color w:val="0000EE"/>
        </w:rPr>
        <w:t>8</w:t>
      </w:r>
      <w:r>
        <w:rPr>
          <w:rFonts w:ascii="Times New Roman" w:cs="Times New Roman" w:eastAsia="Times New Roman" w:hAnsi="Times New Roman"/>
          <w:sz w:val="12"/>
          <w:szCs w:val="12"/>
          <w:b w:val="1"/>
          <w:bCs w:val="1"/>
          <w:color w:val="auto"/>
        </w:rPr>
        <w:t xml:space="preserve"> of this prospectus, the risk factors included in our periodic reports that we file with the Securities and Exchange Commission and incorporated by reference herein and the applicable prospectus supplement before you invest in our securities.</w:t>
      </w:r>
    </w:p>
    <w:p>
      <w:pPr>
        <w:spacing w:after="0" w:line="56" w:lineRule="exact"/>
        <w:rPr>
          <w:sz w:val="20"/>
          <w:szCs w:val="20"/>
          <w:color w:val="auto"/>
        </w:rPr>
      </w:pPr>
    </w:p>
    <w:p>
      <w:pPr>
        <w:jc w:val="both"/>
        <w:ind w:left="1520" w:right="1599" w:firstLine="262"/>
        <w:spacing w:after="0" w:line="271" w:lineRule="auto"/>
        <w:rPr>
          <w:sz w:val="20"/>
          <w:szCs w:val="20"/>
          <w:color w:val="auto"/>
        </w:rPr>
      </w:pPr>
      <w:r>
        <w:rPr>
          <w:rFonts w:ascii="Times New Roman" w:cs="Times New Roman" w:eastAsia="Times New Roman" w:hAnsi="Times New Roman"/>
          <w:sz w:val="13"/>
          <w:szCs w:val="13"/>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This prospectus is dated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3" w:name="page44"/>
    <w:bookmarkEnd w:id="43"/>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20" w:right="1559" w:firstLine="262"/>
        <w:spacing w:after="0" w:line="257" w:lineRule="auto"/>
        <w:rPr>
          <w:sz w:val="20"/>
          <w:szCs w:val="20"/>
          <w:color w:val="auto"/>
        </w:rPr>
      </w:pPr>
      <w:r>
        <w:rPr>
          <w:rFonts w:ascii="Times New Roman" w:cs="Times New Roman" w:eastAsia="Times New Roman" w:hAnsi="Times New Roman"/>
          <w:sz w:val="13"/>
          <w:szCs w:val="13"/>
          <w:b w:val="1"/>
          <w:bCs w:val="1"/>
          <w:color w:val="auto"/>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149860</wp:posOffset>
            </wp:positionV>
            <wp:extent cx="89916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899160" cy="635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52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8"/>
        </w:trPr>
        <w:tc>
          <w:tcPr>
            <w:tcW w:w="1600" w:type="dxa"/>
            <w:vAlign w:val="bottom"/>
            <w:gridSpan w:val="10"/>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color w:val="0000EE"/>
              </w:rPr>
              <w:t>Forward-Looking Statements</w:t>
            </w:r>
          </w:p>
        </w:tc>
        <w:tc>
          <w:tcPr>
            <w:tcW w:w="3100" w:type="dxa"/>
            <w:vAlign w:val="bottom"/>
            <w:gridSpan w:val="5"/>
            <w:shd w:val="clear" w:color="auto" w:fill="CCEEFF"/>
          </w:tcPr>
          <w:p>
            <w:pPr>
              <w:spacing w:after="0"/>
              <w:rPr>
                <w:sz w:val="10"/>
                <w:szCs w:val="10"/>
                <w:color w:val="auto"/>
              </w:rPr>
            </w:pPr>
          </w:p>
        </w:tc>
        <w:tc>
          <w:tcPr>
            <w:tcW w:w="1280" w:type="dxa"/>
            <w:vAlign w:val="bottom"/>
            <w:gridSpan w:val="3"/>
            <w:shd w:val="clear" w:color="auto" w:fill="CCEEFF"/>
          </w:tcPr>
          <w:p>
            <w:pPr>
              <w:jc w:val="right"/>
              <w:spacing w:after="0" w:line="98" w:lineRule="exact"/>
              <w:rPr>
                <w:sz w:val="20"/>
                <w:szCs w:val="20"/>
                <w:color w:val="auto"/>
              </w:rPr>
            </w:pPr>
            <w:r>
              <w:rPr>
                <w:rFonts w:ascii="Times New Roman" w:cs="Times New Roman" w:eastAsia="Times New Roman" w:hAnsi="Times New Roman"/>
                <w:sz w:val="11"/>
                <w:szCs w:val="11"/>
                <w:color w:val="auto"/>
              </w:rPr>
              <w:t>​ ​</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0000EE"/>
              </w:rPr>
              <w:t>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00" w:type="dxa"/>
            <w:vAlign w:val="bottom"/>
            <w:tcBorders>
              <w:top w:val="single" w:sz="8" w:color="0000EE"/>
              <w:bottom w:val="single" w:sz="8" w:color="0000EE"/>
            </w:tcBorders>
            <w:gridSpan w:val="6"/>
          </w:tcPr>
          <w:p>
            <w:pPr>
              <w:spacing w:after="0" w:line="13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About this Prospectus</w:t>
            </w: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96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gridSpan w:val="2"/>
          </w:tcPr>
          <w:p>
            <w:pPr>
              <w:ind w:left="1020"/>
              <w:spacing w:after="0" w:line="147"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top w:val="single" w:sz="8" w:color="0000EE"/>
              <w:bottom w:val="single" w:sz="8" w:color="0000EE"/>
            </w:tcBorders>
          </w:tcPr>
          <w:p>
            <w:pPr>
              <w:jc w:val="right"/>
              <w:spacing w:after="0" w:line="138" w:lineRule="exact"/>
              <w:rPr>
                <w:sz w:val="20"/>
                <w:szCs w:val="20"/>
                <w:color w:val="auto"/>
              </w:rPr>
            </w:pPr>
            <w:r>
              <w:rPr>
                <w:rFonts w:ascii="Times New Roman" w:cs="Times New Roman" w:eastAsia="Times New Roman" w:hAnsi="Times New Roman"/>
                <w:sz w:val="13"/>
                <w:szCs w:val="13"/>
                <w:color w:val="0000EE"/>
                <w:w w:val="91"/>
              </w:rPr>
              <w:t>5</w:t>
            </w:r>
          </w:p>
        </w:tc>
        <w:tc>
          <w:tcPr>
            <w:tcW w:w="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2740" w:type="dxa"/>
            <w:vAlign w:val="bottom"/>
            <w:tcBorders>
              <w:bottom w:val="single" w:sz="8" w:color="0000EE"/>
            </w:tcBorders>
            <w:gridSpan w:val="14"/>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Incorporation of Certain Documents by Reference</w:t>
            </w:r>
          </w:p>
        </w:tc>
        <w:tc>
          <w:tcPr>
            <w:tcW w:w="19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0000EE"/>
                <w:w w:val="91"/>
              </w:rPr>
              <w:t>6</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218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Where You Can Find More Information</w:t>
            </w:r>
          </w:p>
        </w:tc>
        <w:tc>
          <w:tcPr>
            <w:tcW w:w="2520" w:type="dxa"/>
            <w:vAlign w:val="bottom"/>
            <w:gridSpan w:val="2"/>
          </w:tcPr>
          <w:p>
            <w:pPr>
              <w:spacing w:after="0"/>
              <w:rPr>
                <w:sz w:val="15"/>
                <w:szCs w:val="15"/>
                <w:color w:val="auto"/>
              </w:rPr>
            </w:pPr>
          </w:p>
        </w:tc>
        <w:tc>
          <w:tcPr>
            <w:tcW w:w="12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tcPr>
          <w:p>
            <w:pPr>
              <w:jc w:val="right"/>
              <w:spacing w:after="0" w:line="147" w:lineRule="exact"/>
              <w:rPr>
                <w:sz w:val="20"/>
                <w:szCs w:val="20"/>
                <w:color w:val="auto"/>
              </w:rPr>
            </w:pPr>
            <w:r>
              <w:rPr>
                <w:rFonts w:ascii="Times New Roman" w:cs="Times New Roman" w:eastAsia="Times New Roman" w:hAnsi="Times New Roman"/>
                <w:sz w:val="13"/>
                <w:szCs w:val="13"/>
                <w:color w:val="0000EE"/>
                <w:w w:val="91"/>
              </w:rPr>
              <w:t>7</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760" w:type="dxa"/>
            <w:vAlign w:val="bottom"/>
            <w:tcBorders>
              <w:bottom w:val="single" w:sz="8" w:color="0000EE"/>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9"/>
              </w:rPr>
              <w:t>​</w:t>
            </w:r>
            <w:r>
              <w:rPr>
                <w:rFonts w:ascii="Times New Roman" w:cs="Times New Roman" w:eastAsia="Times New Roman" w:hAnsi="Times New Roman"/>
                <w:sz w:val="13"/>
                <w:szCs w:val="13"/>
                <w:color w:val="0000EE"/>
                <w:w w:val="99"/>
              </w:rPr>
              <w:t>The Company</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gridSpan w:val="3"/>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0000EE"/>
                <w:w w:val="91"/>
              </w:rPr>
              <w:t>8</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68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Risk Factors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3"/>
          </w:tcPr>
          <w:p>
            <w:pPr>
              <w:spacing w:after="0"/>
              <w:rPr>
                <w:sz w:val="15"/>
                <w:szCs w:val="15"/>
                <w:color w:val="auto"/>
              </w:rPr>
            </w:pPr>
          </w:p>
        </w:tc>
        <w:tc>
          <w:tcPr>
            <w:tcW w:w="12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tcPr>
          <w:p>
            <w:pPr>
              <w:jc w:val="right"/>
              <w:spacing w:after="0" w:line="147" w:lineRule="exact"/>
              <w:rPr>
                <w:sz w:val="20"/>
                <w:szCs w:val="20"/>
                <w:color w:val="auto"/>
              </w:rPr>
            </w:pPr>
            <w:r>
              <w:rPr>
                <w:rFonts w:ascii="Times New Roman" w:cs="Times New Roman" w:eastAsia="Times New Roman" w:hAnsi="Times New Roman"/>
                <w:sz w:val="13"/>
                <w:szCs w:val="13"/>
                <w:color w:val="0000EE"/>
                <w:w w:val="91"/>
              </w:rPr>
              <w:t>8</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880" w:type="dxa"/>
            <w:vAlign w:val="bottom"/>
            <w:tcBorders>
              <w:bottom w:val="single" w:sz="8" w:color="0000EE"/>
            </w:tcBorders>
            <w:gridSpan w:val="4"/>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Use of Proceeds</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gridSpan w:val="3"/>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w:t>
            </w:r>
          </w:p>
        </w:tc>
        <w:tc>
          <w:tcPr>
            <w:tcW w:w="80" w:type="dxa"/>
            <w:vAlign w:val="bottom"/>
            <w:tcBorders>
              <w:bottom w:val="single" w:sz="8" w:color="0000EE"/>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0000EE"/>
                <w:w w:val="91"/>
              </w:rPr>
              <w:t>9</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186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Description of the Debt Securities</w:t>
            </w:r>
          </w:p>
        </w:tc>
        <w:tc>
          <w:tcPr>
            <w:tcW w:w="2840" w:type="dxa"/>
            <w:vAlign w:val="bottom"/>
            <w:gridSpan w:val="3"/>
          </w:tcPr>
          <w:p>
            <w:pPr>
              <w:spacing w:after="0"/>
              <w:rPr>
                <w:sz w:val="15"/>
                <w:szCs w:val="15"/>
                <w:color w:val="auto"/>
              </w:rPr>
            </w:pPr>
          </w:p>
        </w:tc>
        <w:tc>
          <w:tcPr>
            <w:tcW w:w="114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bottom w:val="single" w:sz="8" w:color="0000EE"/>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3"/>
                <w:szCs w:val="13"/>
                <w:color w:val="0000EE"/>
                <w:w w:val="91"/>
              </w:rPr>
              <w:t>10</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1440" w:type="dxa"/>
            <w:vAlign w:val="bottom"/>
            <w:tcBorders>
              <w:bottom w:val="single" w:sz="8" w:color="0000EE"/>
            </w:tcBorders>
            <w:gridSpan w:val="8"/>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Description of Guarantees</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3000" w:type="dxa"/>
            <w:vAlign w:val="bottom"/>
            <w:tcBorders>
              <w:bottom w:val="single" w:sz="8" w:color="CCEEFF"/>
            </w:tcBorders>
            <w:gridSpan w:val="4"/>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bottom w:val="single" w:sz="8" w:color="0000EE"/>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3"/>
                <w:szCs w:val="13"/>
                <w:color w:val="0000EE"/>
                <w:w w:val="91"/>
              </w:rPr>
              <w:t>18</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156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Description of Capital Stock</w:t>
            </w:r>
          </w:p>
        </w:tc>
        <w:tc>
          <w:tcPr>
            <w:tcW w:w="140" w:type="dxa"/>
            <w:vAlign w:val="bottom"/>
            <w:gridSpan w:val="2"/>
          </w:tcPr>
          <w:p>
            <w:pPr>
              <w:spacing w:after="0"/>
              <w:rPr>
                <w:sz w:val="15"/>
                <w:szCs w:val="15"/>
                <w:color w:val="auto"/>
              </w:rPr>
            </w:pPr>
          </w:p>
        </w:tc>
        <w:tc>
          <w:tcPr>
            <w:tcW w:w="3000" w:type="dxa"/>
            <w:vAlign w:val="bottom"/>
            <w:gridSpan w:val="4"/>
          </w:tcPr>
          <w:p>
            <w:pPr>
              <w:spacing w:after="0"/>
              <w:rPr>
                <w:sz w:val="15"/>
                <w:szCs w:val="15"/>
                <w:color w:val="auto"/>
              </w:rPr>
            </w:pPr>
          </w:p>
        </w:tc>
        <w:tc>
          <w:tcPr>
            <w:tcW w:w="114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bottom w:val="single" w:sz="8" w:color="0000EE"/>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3"/>
                <w:szCs w:val="13"/>
                <w:color w:val="0000EE"/>
                <w:w w:val="91"/>
              </w:rPr>
              <w:t>19</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1700" w:type="dxa"/>
            <w:vAlign w:val="bottom"/>
            <w:tcBorders>
              <w:bottom w:val="single" w:sz="8" w:color="0000EE"/>
            </w:tcBorders>
            <w:gridSpan w:val="11"/>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Description of Other Securities</w:t>
            </w:r>
          </w:p>
        </w:tc>
        <w:tc>
          <w:tcPr>
            <w:tcW w:w="3000" w:type="dxa"/>
            <w:vAlign w:val="bottom"/>
            <w:tcBorders>
              <w:bottom w:val="single" w:sz="8" w:color="CCEEFF"/>
            </w:tcBorders>
            <w:gridSpan w:val="4"/>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bottom w:val="single" w:sz="8" w:color="0000EE"/>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3"/>
                <w:szCs w:val="13"/>
                <w:color w:val="0000EE"/>
                <w:w w:val="91"/>
              </w:rPr>
              <w:t>22</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108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Plan of Distribution</w:t>
            </w:r>
          </w:p>
        </w:tc>
        <w:tc>
          <w:tcPr>
            <w:tcW w:w="200" w:type="dxa"/>
            <w:vAlign w:val="bottom"/>
            <w:gridSpan w:val="2"/>
          </w:tcPr>
          <w:p>
            <w:pPr>
              <w:spacing w:after="0"/>
              <w:rPr>
                <w:sz w:val="15"/>
                <w:szCs w:val="15"/>
                <w:color w:val="auto"/>
              </w:rPr>
            </w:pPr>
          </w:p>
        </w:tc>
        <w:tc>
          <w:tcPr>
            <w:tcW w:w="3420" w:type="dxa"/>
            <w:vAlign w:val="bottom"/>
            <w:gridSpan w:val="8"/>
          </w:tcPr>
          <w:p>
            <w:pPr>
              <w:spacing w:after="0"/>
              <w:rPr>
                <w:sz w:val="15"/>
                <w:szCs w:val="15"/>
                <w:color w:val="auto"/>
              </w:rPr>
            </w:pPr>
          </w:p>
        </w:tc>
        <w:tc>
          <w:tcPr>
            <w:tcW w:w="114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bottom w:val="single" w:sz="8" w:color="0000EE"/>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3"/>
                <w:szCs w:val="13"/>
                <w:color w:val="0000EE"/>
                <w:w w:val="91"/>
              </w:rPr>
              <w:t>23</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1280" w:type="dxa"/>
            <w:vAlign w:val="bottom"/>
            <w:tcBorders>
              <w:bottom w:val="single" w:sz="8" w:color="0000EE"/>
            </w:tcBorders>
            <w:gridSpan w:val="7"/>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Selling Securityholders</w:t>
            </w:r>
          </w:p>
        </w:tc>
        <w:tc>
          <w:tcPr>
            <w:tcW w:w="3420" w:type="dxa"/>
            <w:vAlign w:val="bottom"/>
            <w:tcBorders>
              <w:bottom w:val="single" w:sz="8" w:color="CCEEFF"/>
            </w:tcBorders>
            <w:gridSpan w:val="8"/>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bottom w:val="single" w:sz="8" w:color="0000EE"/>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3"/>
                <w:szCs w:val="13"/>
                <w:color w:val="0000EE"/>
                <w:w w:val="91"/>
              </w:rPr>
              <w:t>25</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76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Legal Matters</w:t>
            </w:r>
          </w:p>
        </w:tc>
        <w:tc>
          <w:tcPr>
            <w:tcW w:w="3940" w:type="dxa"/>
            <w:vAlign w:val="bottom"/>
            <w:gridSpan w:val="12"/>
          </w:tcPr>
          <w:p>
            <w:pPr>
              <w:spacing w:after="0"/>
              <w:rPr>
                <w:sz w:val="15"/>
                <w:szCs w:val="15"/>
                <w:color w:val="auto"/>
              </w:rPr>
            </w:pPr>
          </w:p>
        </w:tc>
        <w:tc>
          <w:tcPr>
            <w:tcW w:w="114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bottom w:val="single" w:sz="8" w:color="0000EE"/>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3"/>
                <w:szCs w:val="13"/>
                <w:color w:val="0000EE"/>
                <w:w w:val="91"/>
              </w:rPr>
              <w:t>26</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7"/>
        </w:trPr>
        <w:tc>
          <w:tcPr>
            <w:tcW w:w="420" w:type="dxa"/>
            <w:vAlign w:val="bottom"/>
            <w:tcBorders>
              <w:bottom w:val="single" w:sz="8" w:color="0000EE"/>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EE"/>
              </w:rPr>
              <w:t>Experts</w:t>
            </w:r>
          </w:p>
        </w:tc>
        <w:tc>
          <w:tcPr>
            <w:tcW w:w="4280" w:type="dxa"/>
            <w:vAlign w:val="bottom"/>
            <w:tcBorders>
              <w:bottom w:val="single" w:sz="8" w:color="CCEEFF"/>
            </w:tcBorders>
            <w:gridSpan w:val="14"/>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bottom w:val="single" w:sz="8" w:color="0000EE"/>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3"/>
                <w:szCs w:val="13"/>
                <w:color w:val="0000EE"/>
                <w:w w:val="91"/>
              </w:rPr>
              <w:t>26</w:t>
            </w:r>
          </w:p>
        </w:tc>
        <w:tc>
          <w:tcPr>
            <w:tcW w:w="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4" w:name="page45"/>
    <w:bookmarkEnd w:id="44"/>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18" w:lineRule="exact"/>
        <w:rPr>
          <w:sz w:val="20"/>
          <w:szCs w:val="20"/>
          <w:color w:val="auto"/>
        </w:rPr>
      </w:pPr>
    </w:p>
    <w:p>
      <w:pPr>
        <w:ind w:left="1520" w:right="1639" w:firstLine="262"/>
        <w:spacing w:after="0" w:line="247" w:lineRule="auto"/>
        <w:rPr>
          <w:sz w:val="20"/>
          <w:szCs w:val="20"/>
          <w:color w:val="auto"/>
        </w:rPr>
      </w:pPr>
      <w:r>
        <w:rPr>
          <w:rFonts w:ascii="Times New Roman" w:cs="Times New Roman" w:eastAsia="Times New Roman" w:hAnsi="Times New Roman"/>
          <w:sz w:val="13"/>
          <w:szCs w:val="13"/>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81" w:lineRule="exact"/>
        <w:rPr>
          <w:sz w:val="20"/>
          <w:szCs w:val="20"/>
          <w:color w:val="auto"/>
        </w:rPr>
      </w:pPr>
    </w:p>
    <w:p>
      <w:pPr>
        <w:ind w:left="1520" w:right="1579" w:firstLine="262"/>
        <w:spacing w:after="0" w:line="245" w:lineRule="auto"/>
        <w:rPr>
          <w:sz w:val="20"/>
          <w:szCs w:val="20"/>
          <w:color w:val="auto"/>
        </w:rPr>
      </w:pPr>
      <w:r>
        <w:rPr>
          <w:rFonts w:ascii="Times New Roman" w:cs="Times New Roman" w:eastAsia="Times New Roman" w:hAnsi="Times New Roman"/>
          <w:sz w:val="13"/>
          <w:szCs w:val="13"/>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28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u w:val="single" w:color="auto"/>
          <w:color w:val="auto"/>
        </w:rPr>
        <w:t>Strategy and Operational Risks</w:t>
      </w:r>
    </w:p>
    <w:p>
      <w:pPr>
        <w:spacing w:after="0" w:line="89" w:lineRule="exact"/>
        <w:rPr>
          <w:sz w:val="20"/>
          <w:szCs w:val="20"/>
          <w:color w:val="auto"/>
        </w:rPr>
      </w:pPr>
    </w:p>
    <w:p>
      <w:pPr>
        <w:ind w:left="1900" w:right="1579" w:hanging="124"/>
        <w:spacing w:after="0" w:line="261" w:lineRule="auto"/>
        <w:tabs>
          <w:tab w:leader="none" w:pos="1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42" w:lineRule="exact"/>
        <w:rPr>
          <w:rFonts w:ascii="Times New Roman" w:cs="Times New Roman" w:eastAsia="Times New Roman" w:hAnsi="Times New Roman"/>
          <w:sz w:val="13"/>
          <w:szCs w:val="13"/>
          <w:color w:val="auto"/>
        </w:rPr>
      </w:pPr>
    </w:p>
    <w:p>
      <w:pPr>
        <w:ind w:left="1900" w:right="1579" w:hanging="124"/>
        <w:spacing w:after="0" w:line="264" w:lineRule="auto"/>
        <w:tabs>
          <w:tab w:leader="none" w:pos="1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50" w:lineRule="exact"/>
        <w:rPr>
          <w:rFonts w:ascii="Times New Roman" w:cs="Times New Roman" w:eastAsia="Times New Roman" w:hAnsi="Times New Roman"/>
          <w:sz w:val="13"/>
          <w:szCs w:val="13"/>
          <w:color w:val="auto"/>
        </w:rPr>
      </w:pPr>
    </w:p>
    <w:p>
      <w:pPr>
        <w:ind w:left="1900" w:right="1539" w:hanging="124"/>
        <w:spacing w:after="0" w:line="264" w:lineRule="auto"/>
        <w:tabs>
          <w:tab w:leader="none" w:pos="1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50" w:lineRule="exact"/>
        <w:rPr>
          <w:rFonts w:ascii="Times New Roman" w:cs="Times New Roman" w:eastAsia="Times New Roman" w:hAnsi="Times New Roman"/>
          <w:sz w:val="13"/>
          <w:szCs w:val="13"/>
          <w:color w:val="auto"/>
        </w:rPr>
      </w:pPr>
    </w:p>
    <w:p>
      <w:pPr>
        <w:ind w:left="1900" w:right="1639" w:hanging="124"/>
        <w:spacing w:after="0" w:line="264" w:lineRule="auto"/>
        <w:tabs>
          <w:tab w:leader="none" w:pos="1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w:t>
      </w:r>
    </w:p>
    <w:p>
      <w:pPr>
        <w:spacing w:after="0" w:line="40" w:lineRule="exact"/>
        <w:rPr>
          <w:rFonts w:ascii="Times New Roman" w:cs="Times New Roman" w:eastAsia="Times New Roman" w:hAnsi="Times New Roman"/>
          <w:sz w:val="13"/>
          <w:szCs w:val="13"/>
          <w:color w:val="auto"/>
        </w:rPr>
      </w:pPr>
    </w:p>
    <w:p>
      <w:pPr>
        <w:ind w:left="1900" w:right="1539" w:hanging="124"/>
        <w:spacing w:after="0" w:line="286" w:lineRule="auto"/>
        <w:tabs>
          <w:tab w:leader="none" w:pos="1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integration of acquisitions and/or new service offerings could increase our exposure to environmental liabilities for past operations and the risk of inadvertent noncompliance with laws and regulations;</w:t>
      </w:r>
    </w:p>
    <w:p>
      <w:pPr>
        <w:spacing w:after="0" w:line="37" w:lineRule="exact"/>
        <w:rPr>
          <w:rFonts w:ascii="Times New Roman" w:cs="Times New Roman" w:eastAsia="Times New Roman" w:hAnsi="Times New Roman"/>
          <w:sz w:val="13"/>
          <w:szCs w:val="13"/>
          <w:color w:val="auto"/>
        </w:rPr>
      </w:pPr>
    </w:p>
    <w:p>
      <w:pPr>
        <w:ind w:left="1900" w:right="1599" w:hanging="124"/>
        <w:spacing w:after="0" w:line="269" w:lineRule="auto"/>
        <w:tabs>
          <w:tab w:leader="none" w:pos="1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48" w:lineRule="exact"/>
        <w:rPr>
          <w:rFonts w:ascii="Times New Roman" w:cs="Times New Roman" w:eastAsia="Times New Roman" w:hAnsi="Times New Roman"/>
          <w:sz w:val="13"/>
          <w:szCs w:val="13"/>
          <w:color w:val="auto"/>
        </w:rPr>
      </w:pPr>
    </w:p>
    <w:p>
      <w:pPr>
        <w:jc w:val="both"/>
        <w:ind w:left="1900" w:right="1699" w:hanging="124"/>
        <w:spacing w:after="0" w:line="269" w:lineRule="auto"/>
        <w:tabs>
          <w:tab w:leader="none" w:pos="1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changes in our estimates of costs for site remediation requirements, final capping, closure and post-closure obligations, compliance and regulatory developments may increase our expenses and future cash outflows;</w:t>
      </w:r>
    </w:p>
    <w:p>
      <w:pPr>
        <w:spacing w:after="0" w:line="48" w:lineRule="exact"/>
        <w:rPr>
          <w:rFonts w:ascii="Times New Roman" w:cs="Times New Roman" w:eastAsia="Times New Roman" w:hAnsi="Times New Roman"/>
          <w:sz w:val="13"/>
          <w:szCs w:val="13"/>
          <w:color w:val="auto"/>
        </w:rPr>
      </w:pPr>
    </w:p>
    <w:p>
      <w:pPr>
        <w:ind w:left="1900" w:right="1559" w:hanging="124"/>
        <w:spacing w:after="0" w:line="262" w:lineRule="auto"/>
        <w:tabs>
          <w:tab w:leader="none" w:pos="1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5" w:name="page46"/>
    <w:bookmarkEnd w:id="4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00" w:right="1559"/>
        <w:spacing w:after="0" w:line="269" w:lineRule="auto"/>
        <w:rPr>
          <w:sz w:val="20"/>
          <w:szCs w:val="20"/>
          <w:color w:val="auto"/>
        </w:rPr>
      </w:pPr>
      <w:r>
        <w:rPr>
          <w:rFonts w:ascii="Times New Roman" w:cs="Times New Roman" w:eastAsia="Times New Roman" w:hAnsi="Times New Roman"/>
          <w:sz w:val="13"/>
          <w:szCs w:val="13"/>
          <w:color w:val="auto"/>
        </w:rPr>
        <w:t>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58" w:lineRule="exact"/>
        <w:rPr>
          <w:sz w:val="20"/>
          <w:szCs w:val="20"/>
          <w:color w:val="auto"/>
        </w:rPr>
      </w:pPr>
    </w:p>
    <w:p>
      <w:pPr>
        <w:ind w:left="1900" w:right="1659" w:hanging="124"/>
        <w:spacing w:after="0" w:line="286" w:lineRule="auto"/>
        <w:tabs>
          <w:tab w:leader="none" w:pos="1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obtain and maintain required permits or to expand existing permitted capacity of our landfills, which could decrease our revenue and increase our costs;</w:t>
      </w:r>
    </w:p>
    <w:p>
      <w:pPr>
        <w:spacing w:after="0" w:line="37" w:lineRule="exact"/>
        <w:rPr>
          <w:rFonts w:ascii="Times New Roman" w:cs="Times New Roman" w:eastAsia="Times New Roman" w:hAnsi="Times New Roman"/>
          <w:sz w:val="13"/>
          <w:szCs w:val="13"/>
          <w:color w:val="auto"/>
        </w:rPr>
      </w:pPr>
    </w:p>
    <w:p>
      <w:pPr>
        <w:ind w:left="1900" w:right="1579" w:hanging="124"/>
        <w:spacing w:after="0" w:line="264" w:lineRule="auto"/>
        <w:tabs>
          <w:tab w:leader="none" w:pos="1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50" w:lineRule="exact"/>
        <w:rPr>
          <w:rFonts w:ascii="Times New Roman" w:cs="Times New Roman" w:eastAsia="Times New Roman" w:hAnsi="Times New Roman"/>
          <w:sz w:val="13"/>
          <w:szCs w:val="13"/>
          <w:color w:val="auto"/>
        </w:rPr>
      </w:pPr>
    </w:p>
    <w:p>
      <w:pPr>
        <w:ind w:left="1900" w:right="1679" w:hanging="124"/>
        <w:spacing w:after="0" w:line="261" w:lineRule="auto"/>
        <w:tabs>
          <w:tab w:leader="none" w:pos="1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52" w:lineRule="exact"/>
        <w:rPr>
          <w:rFonts w:ascii="Times New Roman" w:cs="Times New Roman" w:eastAsia="Times New Roman" w:hAnsi="Times New Roman"/>
          <w:sz w:val="13"/>
          <w:szCs w:val="13"/>
          <w:color w:val="auto"/>
        </w:rPr>
      </w:pPr>
    </w:p>
    <w:p>
      <w:pPr>
        <w:ind w:left="1900" w:right="1579" w:hanging="124"/>
        <w:spacing w:after="0" w:line="262" w:lineRule="auto"/>
        <w:tabs>
          <w:tab w:leader="none" w:pos="1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w:t>
      </w:r>
    </w:p>
    <w:p>
      <w:pPr>
        <w:spacing w:after="0" w:line="212" w:lineRule="exact"/>
        <w:rPr>
          <w:rFonts w:ascii="Times New Roman" w:cs="Times New Roman" w:eastAsia="Times New Roman" w:hAnsi="Times New Roman"/>
          <w:sz w:val="13"/>
          <w:szCs w:val="13"/>
          <w:color w:val="auto"/>
        </w:rPr>
      </w:pPr>
    </w:p>
    <w:p>
      <w:pPr>
        <w:ind w:left="1900" w:right="1539" w:hanging="124"/>
        <w:spacing w:after="0" w:line="261" w:lineRule="auto"/>
        <w:tabs>
          <w:tab w:leader="none" w:pos="1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52" w:lineRule="exact"/>
        <w:rPr>
          <w:rFonts w:ascii="Times New Roman" w:cs="Times New Roman" w:eastAsia="Times New Roman" w:hAnsi="Times New Roman"/>
          <w:sz w:val="13"/>
          <w:szCs w:val="13"/>
          <w:color w:val="auto"/>
        </w:rPr>
      </w:pPr>
    </w:p>
    <w:p>
      <w:pPr>
        <w:jc w:val="both"/>
        <w:ind w:left="1900" w:right="1659" w:hanging="124"/>
        <w:spacing w:after="0" w:line="269" w:lineRule="auto"/>
        <w:tabs>
          <w:tab w:leader="none" w:pos="1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u w:val="single" w:color="auto"/>
          <w:color w:val="auto"/>
        </w:rPr>
        <w:t>External Economic and Industry Risks</w:t>
      </w:r>
    </w:p>
    <w:p>
      <w:pPr>
        <w:spacing w:after="0" w:line="89" w:lineRule="exact"/>
        <w:rPr>
          <w:sz w:val="20"/>
          <w:szCs w:val="20"/>
          <w:color w:val="auto"/>
        </w:rPr>
      </w:pPr>
    </w:p>
    <w:p>
      <w:pPr>
        <w:ind w:left="1900" w:right="1659" w:hanging="124"/>
        <w:spacing w:after="0" w:line="264" w:lineRule="auto"/>
        <w:tabs>
          <w:tab w:leader="none" w:pos="1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50" w:lineRule="exact"/>
        <w:rPr>
          <w:rFonts w:ascii="Times New Roman" w:cs="Times New Roman" w:eastAsia="Times New Roman" w:hAnsi="Times New Roman"/>
          <w:sz w:val="13"/>
          <w:szCs w:val="13"/>
          <w:color w:val="auto"/>
        </w:rPr>
      </w:pPr>
    </w:p>
    <w:p>
      <w:pPr>
        <w:ind w:left="1900" w:right="1579" w:hanging="124"/>
        <w:spacing w:after="0" w:line="269" w:lineRule="auto"/>
        <w:tabs>
          <w:tab w:leader="none" w:pos="1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regulations requiring mandatory COVID-19 vaccination of employees could adversely impact our ability to perform or compete for certain contracts and negatively affect our results of operations;</w:t>
      </w:r>
    </w:p>
    <w:p>
      <w:pPr>
        <w:spacing w:after="0" w:line="57" w:lineRule="exact"/>
        <w:rPr>
          <w:rFonts w:ascii="Times New Roman" w:cs="Times New Roman" w:eastAsia="Times New Roman" w:hAnsi="Times New Roman"/>
          <w:sz w:val="13"/>
          <w:szCs w:val="13"/>
          <w:color w:val="auto"/>
        </w:rPr>
      </w:pPr>
    </w:p>
    <w:p>
      <w:pPr>
        <w:ind w:left="1900" w:right="1859" w:hanging="124"/>
        <w:spacing w:after="0" w:line="269" w:lineRule="auto"/>
        <w:tabs>
          <w:tab w:leader="none" w:pos="1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disruption, including labor shortages and supply chain constraints, and macroeconomic pressures, including the heightened pace of inflation, have adversely impacted our business and results of operations;</w:t>
      </w:r>
    </w:p>
    <w:p>
      <w:pPr>
        <w:spacing w:after="0" w:line="48" w:lineRule="exact"/>
        <w:rPr>
          <w:rFonts w:ascii="Times New Roman" w:cs="Times New Roman" w:eastAsia="Times New Roman" w:hAnsi="Times New Roman"/>
          <w:sz w:val="13"/>
          <w:szCs w:val="13"/>
          <w:color w:val="auto"/>
        </w:rPr>
      </w:pPr>
    </w:p>
    <w:p>
      <w:pPr>
        <w:ind w:left="1900" w:right="1639" w:hanging="124"/>
        <w:spacing w:after="0" w:line="264" w:lineRule="auto"/>
        <w:tabs>
          <w:tab w:leader="none" w:pos="1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w:t>
      </w:r>
    </w:p>
    <w:p>
      <w:pPr>
        <w:spacing w:after="0" w:line="50" w:lineRule="exact"/>
        <w:rPr>
          <w:rFonts w:ascii="Times New Roman" w:cs="Times New Roman" w:eastAsia="Times New Roman" w:hAnsi="Times New Roman"/>
          <w:sz w:val="13"/>
          <w:szCs w:val="13"/>
          <w:color w:val="auto"/>
        </w:rPr>
      </w:pPr>
    </w:p>
    <w:p>
      <w:pPr>
        <w:ind w:left="1900" w:right="1559" w:hanging="124"/>
        <w:spacing w:after="0" w:line="269" w:lineRule="auto"/>
        <w:tabs>
          <w:tab w:leader="none" w:pos="1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w:t>
      </w:r>
    </w:p>
    <w:p>
      <w:pPr>
        <w:spacing w:after="0" w:line="48" w:lineRule="exact"/>
        <w:rPr>
          <w:rFonts w:ascii="Times New Roman" w:cs="Times New Roman" w:eastAsia="Times New Roman" w:hAnsi="Times New Roman"/>
          <w:sz w:val="13"/>
          <w:szCs w:val="13"/>
          <w:color w:val="auto"/>
        </w:rPr>
      </w:pPr>
    </w:p>
    <w:p>
      <w:pPr>
        <w:ind w:left="1900" w:right="1839" w:hanging="124"/>
        <w:spacing w:after="0" w:line="269" w:lineRule="auto"/>
        <w:tabs>
          <w:tab w:leader="none" w:pos="1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6" w:name="page47"/>
    <w:bookmarkEnd w:id="4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00" w:right="1579" w:hanging="124"/>
        <w:spacing w:after="0" w:line="267" w:lineRule="auto"/>
        <w:tabs>
          <w:tab w:leader="none" w:pos="19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219" w:lineRule="exact"/>
        <w:rPr>
          <w:rFonts w:ascii="Times New Roman" w:cs="Times New Roman" w:eastAsia="Times New Roman" w:hAnsi="Times New Roman"/>
          <w:sz w:val="13"/>
          <w:szCs w:val="13"/>
          <w:color w:val="auto"/>
        </w:rPr>
      </w:pPr>
    </w:p>
    <w:p>
      <w:pPr>
        <w:ind w:left="1900" w:right="1699" w:hanging="124"/>
        <w:spacing w:after="0" w:line="286" w:lineRule="auto"/>
        <w:tabs>
          <w:tab w:leader="none" w:pos="19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conditions can directly and adversely affect revenues for environmental services and our income from operations margins;</w:t>
      </w:r>
    </w:p>
    <w:p>
      <w:pPr>
        <w:spacing w:after="0" w:line="37" w:lineRule="exact"/>
        <w:rPr>
          <w:rFonts w:ascii="Times New Roman" w:cs="Times New Roman" w:eastAsia="Times New Roman" w:hAnsi="Times New Roman"/>
          <w:sz w:val="13"/>
          <w:szCs w:val="13"/>
          <w:color w:val="auto"/>
        </w:rPr>
      </w:pPr>
    </w:p>
    <w:p>
      <w:pPr>
        <w:ind w:left="1900" w:right="1719" w:hanging="124"/>
        <w:spacing w:after="0" w:line="264" w:lineRule="auto"/>
        <w:tabs>
          <w:tab w:leader="none" w:pos="19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w:t>
      </w:r>
    </w:p>
    <w:p>
      <w:pPr>
        <w:spacing w:after="0" w:line="50" w:lineRule="exact"/>
        <w:rPr>
          <w:rFonts w:ascii="Times New Roman" w:cs="Times New Roman" w:eastAsia="Times New Roman" w:hAnsi="Times New Roman"/>
          <w:sz w:val="13"/>
          <w:szCs w:val="13"/>
          <w:color w:val="auto"/>
        </w:rPr>
      </w:pPr>
    </w:p>
    <w:p>
      <w:pPr>
        <w:ind w:left="1900" w:right="1619" w:hanging="124"/>
        <w:spacing w:after="0" w:line="286" w:lineRule="auto"/>
        <w:tabs>
          <w:tab w:leader="none" w:pos="19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effective tax rate and tax liability could materially change as a result of the adoption of new tax legislation and other factors;</w:t>
      </w:r>
    </w:p>
    <w:p>
      <w:pPr>
        <w:spacing w:after="0" w:line="37"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diesel fuel price increases or diesel fuel supply shortages may increase our operating expenses;</w:t>
      </w:r>
    </w:p>
    <w:p>
      <w:pPr>
        <w:spacing w:after="0" w:line="1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u w:val="single" w:color="auto"/>
          <w:color w:val="auto"/>
        </w:rPr>
        <w:t>Technology and Information Security Risks</w:t>
      </w:r>
    </w:p>
    <w:p>
      <w:pPr>
        <w:spacing w:after="0" w:line="89" w:lineRule="exact"/>
        <w:rPr>
          <w:sz w:val="20"/>
          <w:szCs w:val="20"/>
          <w:color w:val="auto"/>
        </w:rPr>
      </w:pPr>
    </w:p>
    <w:p>
      <w:pPr>
        <w:jc w:val="both"/>
        <w:ind w:left="1900" w:right="1619" w:hanging="124"/>
        <w:spacing w:after="0" w:line="269" w:lineRule="auto"/>
        <w:tabs>
          <w:tab w:leader="none" w:pos="1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48" w:lineRule="exact"/>
        <w:rPr>
          <w:rFonts w:ascii="Times New Roman" w:cs="Times New Roman" w:eastAsia="Times New Roman" w:hAnsi="Times New Roman"/>
          <w:sz w:val="13"/>
          <w:szCs w:val="13"/>
          <w:color w:val="auto"/>
        </w:rPr>
      </w:pPr>
    </w:p>
    <w:p>
      <w:pPr>
        <w:ind w:left="1900" w:right="1619" w:hanging="124"/>
        <w:spacing w:after="0" w:line="269" w:lineRule="auto"/>
        <w:tabs>
          <w:tab w:leader="none" w:pos="1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48" w:lineRule="exact"/>
        <w:rPr>
          <w:rFonts w:ascii="Times New Roman" w:cs="Times New Roman" w:eastAsia="Times New Roman" w:hAnsi="Times New Roman"/>
          <w:sz w:val="13"/>
          <w:szCs w:val="13"/>
          <w:color w:val="auto"/>
        </w:rPr>
      </w:pPr>
    </w:p>
    <w:p>
      <w:pPr>
        <w:ind w:left="1900" w:right="1639" w:hanging="124"/>
        <w:spacing w:after="0" w:line="264" w:lineRule="auto"/>
        <w:tabs>
          <w:tab w:leader="none" w:pos="1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w:t>
      </w:r>
    </w:p>
    <w:p>
      <w:pPr>
        <w:spacing w:after="0" w:line="50" w:lineRule="exact"/>
        <w:rPr>
          <w:rFonts w:ascii="Times New Roman" w:cs="Times New Roman" w:eastAsia="Times New Roman" w:hAnsi="Times New Roman"/>
          <w:sz w:val="13"/>
          <w:szCs w:val="13"/>
          <w:color w:val="auto"/>
        </w:rPr>
      </w:pPr>
    </w:p>
    <w:p>
      <w:pPr>
        <w:ind w:left="1900" w:right="1559" w:hanging="124"/>
        <w:spacing w:after="0" w:line="279" w:lineRule="auto"/>
        <w:tabs>
          <w:tab w:leader="none" w:pos="1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implementing a new enterprise resource planning and human capital management system, and challenges with the implementation of the system may negatively impact our business and operations;</w:t>
      </w:r>
    </w:p>
    <w:p>
      <w:pPr>
        <w:spacing w:after="0" w:line="213" w:lineRule="exact"/>
        <w:rPr>
          <w:rFonts w:ascii="Times New Roman" w:cs="Times New Roman" w:eastAsia="Times New Roman" w:hAnsi="Times New Roman"/>
          <w:sz w:val="13"/>
          <w:szCs w:val="13"/>
          <w:color w:val="auto"/>
        </w:rPr>
      </w:pPr>
    </w:p>
    <w:p>
      <w:pPr>
        <w:ind w:left="1900" w:right="1539" w:hanging="124"/>
        <w:spacing w:after="0" w:line="259" w:lineRule="auto"/>
        <w:tabs>
          <w:tab w:leader="none" w:pos="1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w:t>
      </w:r>
    </w:p>
    <w:p>
      <w:pPr>
        <w:spacing w:after="0" w:line="54" w:lineRule="exact"/>
        <w:rPr>
          <w:rFonts w:ascii="Times New Roman" w:cs="Times New Roman" w:eastAsia="Times New Roman" w:hAnsi="Times New Roman"/>
          <w:sz w:val="13"/>
          <w:szCs w:val="13"/>
          <w:color w:val="auto"/>
        </w:rPr>
      </w:pPr>
    </w:p>
    <w:p>
      <w:pPr>
        <w:ind w:left="1900" w:right="1639" w:hanging="124"/>
        <w:spacing w:after="0" w:line="269" w:lineRule="auto"/>
        <w:tabs>
          <w:tab w:leader="none" w:pos="1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regulation by state and federal governments related to cybersecurity protections and disclosures may require additional resources and create risks of noncompliance that could harm our business;</w:t>
      </w:r>
    </w:p>
    <w:p>
      <w:pPr>
        <w:spacing w:after="0" w:line="48" w:lineRule="exact"/>
        <w:rPr>
          <w:rFonts w:ascii="Times New Roman" w:cs="Times New Roman" w:eastAsia="Times New Roman" w:hAnsi="Times New Roman"/>
          <w:sz w:val="13"/>
          <w:szCs w:val="13"/>
          <w:color w:val="auto"/>
        </w:rPr>
      </w:pPr>
    </w:p>
    <w:p>
      <w:pPr>
        <w:ind w:left="1900" w:right="2079" w:hanging="124"/>
        <w:spacing w:after="0" w:line="286" w:lineRule="auto"/>
        <w:tabs>
          <w:tab w:leader="none" w:pos="1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regulatory focus on privacy and data protection issues and expanding laws could negatively impact our business, subject us to criticism and expose us to increased liability;</w:t>
      </w:r>
    </w:p>
    <w:p>
      <w:pPr>
        <w:spacing w:after="0" w:line="11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u w:val="single" w:color="auto"/>
          <w:color w:val="auto"/>
        </w:rPr>
        <w:t>Legal, Regulatory and Compliance Risks</w:t>
      </w:r>
    </w:p>
    <w:p>
      <w:pPr>
        <w:spacing w:after="0" w:line="89" w:lineRule="exact"/>
        <w:rPr>
          <w:sz w:val="20"/>
          <w:szCs w:val="20"/>
          <w:color w:val="auto"/>
        </w:rPr>
      </w:pPr>
    </w:p>
    <w:p>
      <w:pPr>
        <w:ind w:left="1900" w:right="1679" w:hanging="124"/>
        <w:spacing w:after="0" w:line="269" w:lineRule="auto"/>
        <w:tabs>
          <w:tab w:leader="none" w:pos="19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48" w:lineRule="exact"/>
        <w:rPr>
          <w:rFonts w:ascii="Times New Roman" w:cs="Times New Roman" w:eastAsia="Times New Roman" w:hAnsi="Times New Roman"/>
          <w:sz w:val="13"/>
          <w:szCs w:val="13"/>
          <w:color w:val="auto"/>
        </w:rPr>
      </w:pPr>
    </w:p>
    <w:p>
      <w:pPr>
        <w:ind w:left="1900" w:right="1879" w:hanging="124"/>
        <w:spacing w:after="0" w:line="286" w:lineRule="auto"/>
        <w:tabs>
          <w:tab w:leader="none" w:pos="19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federal and state renewable fuel policies could affect our financial performance as a renewable fuel producer and impact our projected future investments;</w:t>
      </w:r>
    </w:p>
    <w:p>
      <w:pPr>
        <w:spacing w:after="0" w:line="37" w:lineRule="exact"/>
        <w:rPr>
          <w:rFonts w:ascii="Times New Roman" w:cs="Times New Roman" w:eastAsia="Times New Roman" w:hAnsi="Times New Roman"/>
          <w:sz w:val="13"/>
          <w:szCs w:val="13"/>
          <w:color w:val="auto"/>
        </w:rPr>
      </w:pPr>
    </w:p>
    <w:p>
      <w:pPr>
        <w:ind w:left="1900" w:right="2119" w:hanging="124"/>
        <w:spacing w:after="0" w:line="286" w:lineRule="auto"/>
        <w:tabs>
          <w:tab w:leader="none" w:pos="19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climate change, and the adoption of climate change legislation or regulations restricting emissions of greenhouse gases, could increase our costs to operate;</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7" w:name="page48"/>
    <w:bookmarkEnd w:id="4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00" w:right="1559" w:hanging="124"/>
        <w:spacing w:after="0" w:line="269" w:lineRule="auto"/>
        <w:tabs>
          <w:tab w:leader="none" w:pos="1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48" w:lineRule="exact"/>
        <w:rPr>
          <w:rFonts w:ascii="Times New Roman" w:cs="Times New Roman" w:eastAsia="Times New Roman" w:hAnsi="Times New Roman"/>
          <w:sz w:val="13"/>
          <w:szCs w:val="13"/>
          <w:color w:val="auto"/>
        </w:rPr>
      </w:pPr>
    </w:p>
    <w:p>
      <w:pPr>
        <w:ind w:left="1900" w:right="1579" w:hanging="124"/>
        <w:spacing w:after="0" w:line="258" w:lineRule="auto"/>
        <w:tabs>
          <w:tab w:leader="none" w:pos="1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u w:val="single" w:color="auto"/>
          <w:color w:val="auto"/>
        </w:rPr>
        <w:t>Financial Risks</w:t>
      </w:r>
    </w:p>
    <w:p>
      <w:pPr>
        <w:spacing w:after="0" w:line="89" w:lineRule="exact"/>
        <w:rPr>
          <w:sz w:val="20"/>
          <w:szCs w:val="20"/>
          <w:color w:val="auto"/>
        </w:rPr>
      </w:pPr>
    </w:p>
    <w:p>
      <w:pPr>
        <w:ind w:left="1900" w:right="1619" w:hanging="124"/>
        <w:spacing w:after="0" w:line="269" w:lineRule="auto"/>
        <w:tabs>
          <w:tab w:leader="none" w:pos="1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reduce or suspend capital expenditures, growth and acquisition activity, implementation of our business strategy, dividend declarations or share repurchases if we suffer a significant reduction in cash flows;</w:t>
      </w:r>
    </w:p>
    <w:p>
      <w:pPr>
        <w:spacing w:after="0" w:line="48" w:lineRule="exact"/>
        <w:rPr>
          <w:rFonts w:ascii="Times New Roman" w:cs="Times New Roman" w:eastAsia="Times New Roman" w:hAnsi="Times New Roman"/>
          <w:sz w:val="13"/>
          <w:szCs w:val="13"/>
          <w:color w:val="auto"/>
        </w:rPr>
      </w:pPr>
    </w:p>
    <w:p>
      <w:pPr>
        <w:ind w:left="1900" w:right="1739" w:hanging="124"/>
        <w:spacing w:after="0" w:line="269" w:lineRule="auto"/>
        <w:tabs>
          <w:tab w:leader="none" w:pos="1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48" w:lineRule="exact"/>
        <w:rPr>
          <w:rFonts w:ascii="Times New Roman" w:cs="Times New Roman" w:eastAsia="Times New Roman" w:hAnsi="Times New Roman"/>
          <w:sz w:val="13"/>
          <w:szCs w:val="13"/>
          <w:color w:val="auto"/>
        </w:rPr>
      </w:pPr>
    </w:p>
    <w:p>
      <w:pPr>
        <w:ind w:left="1900" w:right="1579" w:hanging="124"/>
        <w:spacing w:after="0" w:line="286" w:lineRule="auto"/>
        <w:tabs>
          <w:tab w:leader="none" w:pos="1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costs for financial assurance or the inadequacy of our insurance coverage could negatively impact our liquidity and increase our liabilities;</w:t>
      </w:r>
    </w:p>
    <w:p>
      <w:pPr>
        <w:spacing w:after="0" w:line="37" w:lineRule="exact"/>
        <w:rPr>
          <w:rFonts w:ascii="Times New Roman" w:cs="Times New Roman" w:eastAsia="Times New Roman" w:hAnsi="Times New Roman"/>
          <w:sz w:val="13"/>
          <w:szCs w:val="13"/>
          <w:color w:val="auto"/>
        </w:rPr>
      </w:pPr>
    </w:p>
    <w:p>
      <w:pPr>
        <w:ind w:left="1900" w:right="1739" w:hanging="124"/>
        <w:spacing w:after="0" w:line="269" w:lineRule="auto"/>
        <w:tabs>
          <w:tab w:leader="none" w:pos="1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charges against our earnings due to impairments to our assets as a result of shut-down operations, uncompleted development or expansion projects or other events may negatively affect earnings; and</w:t>
      </w:r>
    </w:p>
    <w:p>
      <w:pPr>
        <w:spacing w:after="0" w:line="48"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could face significant liabilities for withdrawal from multiemployer pension plans.</w:t>
      </w:r>
    </w:p>
    <w:p>
      <w:pPr>
        <w:spacing w:after="0" w:line="116" w:lineRule="exact"/>
        <w:rPr>
          <w:sz w:val="20"/>
          <w:szCs w:val="20"/>
          <w:color w:val="auto"/>
        </w:rPr>
      </w:pPr>
    </w:p>
    <w:p>
      <w:pPr>
        <w:ind w:left="1520" w:right="1699" w:firstLine="262"/>
        <w:spacing w:after="0" w:line="286" w:lineRule="auto"/>
        <w:rPr>
          <w:sz w:val="20"/>
          <w:szCs w:val="20"/>
          <w:color w:val="auto"/>
        </w:rPr>
      </w:pPr>
      <w:r>
        <w:rPr>
          <w:rFonts w:ascii="Times New Roman" w:cs="Times New Roman" w:eastAsia="Times New Roman" w:hAnsi="Times New Roman"/>
          <w:sz w:val="13"/>
          <w:szCs w:val="13"/>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8" w:name="page49"/>
    <w:bookmarkEnd w:id="48"/>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18" w:lineRule="exact"/>
        <w:rPr>
          <w:sz w:val="20"/>
          <w:szCs w:val="20"/>
          <w:color w:val="auto"/>
        </w:rPr>
      </w:pPr>
    </w:p>
    <w:p>
      <w:pPr>
        <w:ind w:left="1520" w:right="1679" w:firstLine="262"/>
        <w:spacing w:after="0" w:line="269" w:lineRule="auto"/>
        <w:rPr>
          <w:sz w:val="20"/>
          <w:szCs w:val="20"/>
          <w:color w:val="auto"/>
        </w:rPr>
      </w:pPr>
      <w:r>
        <w:rPr>
          <w:rFonts w:ascii="Times New Roman" w:cs="Times New Roman" w:eastAsia="Times New Roman" w:hAnsi="Times New Roman"/>
          <w:sz w:val="13"/>
          <w:szCs w:val="13"/>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78" w:lineRule="exact"/>
        <w:rPr>
          <w:sz w:val="20"/>
          <w:szCs w:val="20"/>
          <w:color w:val="auto"/>
        </w:rPr>
      </w:pPr>
    </w:p>
    <w:p>
      <w:pPr>
        <w:ind w:left="1520" w:right="1599" w:firstLine="262"/>
        <w:spacing w:after="0" w:line="286" w:lineRule="auto"/>
        <w:rPr>
          <w:sz w:val="20"/>
          <w:szCs w:val="20"/>
          <w:color w:val="auto"/>
        </w:rPr>
      </w:pPr>
      <w:r>
        <w:rPr>
          <w:rFonts w:ascii="Times New Roman" w:cs="Times New Roman" w:eastAsia="Times New Roman" w:hAnsi="Times New Roman"/>
          <w:sz w:val="13"/>
          <w:szCs w:val="13"/>
          <w:color w:val="auto"/>
        </w:rPr>
        <w:t>The types of securities that we or selling securityholders may offer and sell from time to time pursuant to this prospectus are:</w:t>
      </w:r>
    </w:p>
    <w:p>
      <w:pPr>
        <w:spacing w:after="0" w:line="37" w:lineRule="exact"/>
        <w:rPr>
          <w:sz w:val="20"/>
          <w:szCs w:val="20"/>
          <w:color w:val="auto"/>
        </w:rPr>
      </w:pPr>
    </w:p>
    <w:p>
      <w:pPr>
        <w:ind w:left="1900" w:hanging="124"/>
        <w:spacing w:after="0"/>
        <w:tabs>
          <w:tab w:leader="none" w:pos="1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securities;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stock;</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preferred stock;</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guarantees; and</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consisting of any of the securities listed above.</w:t>
      </w:r>
    </w:p>
    <w:p>
      <w:pPr>
        <w:spacing w:after="0" w:line="106" w:lineRule="exact"/>
        <w:rPr>
          <w:sz w:val="20"/>
          <w:szCs w:val="20"/>
          <w:color w:val="auto"/>
        </w:rPr>
      </w:pPr>
    </w:p>
    <w:p>
      <w:pPr>
        <w:ind w:left="1520" w:right="1559" w:firstLine="262"/>
        <w:spacing w:after="0" w:line="264" w:lineRule="auto"/>
        <w:rPr>
          <w:sz w:val="20"/>
          <w:szCs w:val="20"/>
          <w:color w:val="auto"/>
        </w:rPr>
      </w:pPr>
      <w:r>
        <w:rPr>
          <w:rFonts w:ascii="Times New Roman" w:cs="Times New Roman" w:eastAsia="Times New Roman" w:hAnsi="Times New Roman"/>
          <w:sz w:val="13"/>
          <w:szCs w:val="13"/>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50" w:lineRule="exact"/>
        <w:rPr>
          <w:sz w:val="20"/>
          <w:szCs w:val="20"/>
          <w:color w:val="auto"/>
        </w:rPr>
      </w:pPr>
    </w:p>
    <w:p>
      <w:pPr>
        <w:ind w:left="1900" w:hanging="124"/>
        <w:spacing w:after="0"/>
        <w:tabs>
          <w:tab w:leader="none" w:pos="1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type and amount of securities that we or selling securityholders propose to sell;</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initial public offering price of the securities;</w:t>
      </w:r>
    </w:p>
    <w:p>
      <w:pPr>
        <w:spacing w:after="0" w:line="86" w:lineRule="exact"/>
        <w:rPr>
          <w:rFonts w:ascii="Times New Roman" w:cs="Times New Roman" w:eastAsia="Times New Roman" w:hAnsi="Times New Roman"/>
          <w:sz w:val="13"/>
          <w:szCs w:val="13"/>
          <w:color w:val="auto"/>
        </w:rPr>
      </w:pPr>
    </w:p>
    <w:p>
      <w:pPr>
        <w:ind w:left="1900" w:right="1699" w:hanging="124"/>
        <w:spacing w:after="0" w:line="286" w:lineRule="auto"/>
        <w:tabs>
          <w:tab w:leader="none" w:pos="1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names of any underwriters or agents through or to which we or selling securityholders will sell the securities;</w:t>
      </w:r>
    </w:p>
    <w:p>
      <w:pPr>
        <w:spacing w:after="0" w:line="37"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compensation of those underwriters or agents; and</w:t>
      </w:r>
    </w:p>
    <w:p>
      <w:pPr>
        <w:spacing w:after="0" w:line="86" w:lineRule="exact"/>
        <w:rPr>
          <w:rFonts w:ascii="Times New Roman" w:cs="Times New Roman" w:eastAsia="Times New Roman" w:hAnsi="Times New Roman"/>
          <w:sz w:val="13"/>
          <w:szCs w:val="13"/>
          <w:color w:val="auto"/>
        </w:rPr>
      </w:pPr>
    </w:p>
    <w:p>
      <w:pPr>
        <w:ind w:left="1900" w:right="1659" w:hanging="124"/>
        <w:spacing w:after="0" w:line="286" w:lineRule="auto"/>
        <w:tabs>
          <w:tab w:leader="none" w:pos="1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about any securities exchanges or automated quotation systems on which the securities will be listed or traded.</w:t>
      </w:r>
    </w:p>
    <w:p>
      <w:pPr>
        <w:spacing w:after="0" w:line="67" w:lineRule="exact"/>
        <w:rPr>
          <w:sz w:val="20"/>
          <w:szCs w:val="20"/>
          <w:color w:val="auto"/>
        </w:rPr>
      </w:pPr>
    </w:p>
    <w:p>
      <w:pPr>
        <w:ind w:left="1520" w:right="1719" w:firstLine="262"/>
        <w:spacing w:after="0" w:line="264" w:lineRule="auto"/>
        <w:rPr>
          <w:sz w:val="20"/>
          <w:szCs w:val="20"/>
          <w:color w:val="auto"/>
        </w:rPr>
      </w:pPr>
      <w:r>
        <w:rPr>
          <w:rFonts w:ascii="Times New Roman" w:cs="Times New Roman" w:eastAsia="Times New Roman" w:hAnsi="Times New Roman"/>
          <w:sz w:val="13"/>
          <w:szCs w:val="13"/>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80" w:lineRule="exact"/>
        <w:rPr>
          <w:sz w:val="20"/>
          <w:szCs w:val="20"/>
          <w:color w:val="auto"/>
        </w:rPr>
      </w:pPr>
    </w:p>
    <w:p>
      <w:pPr>
        <w:ind w:left="1520" w:right="1639" w:firstLine="262"/>
        <w:spacing w:after="0" w:line="259" w:lineRule="auto"/>
        <w:rPr>
          <w:sz w:val="20"/>
          <w:szCs w:val="20"/>
          <w:color w:val="auto"/>
        </w:rPr>
      </w:pPr>
      <w:r>
        <w:rPr>
          <w:rFonts w:ascii="Times New Roman" w:cs="Times New Roman" w:eastAsia="Times New Roman" w:hAnsi="Times New Roman"/>
          <w:sz w:val="13"/>
          <w:szCs w:val="13"/>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75" w:lineRule="exact"/>
        <w:rPr>
          <w:sz w:val="20"/>
          <w:szCs w:val="20"/>
          <w:color w:val="auto"/>
        </w:rPr>
      </w:pPr>
    </w:p>
    <w:p>
      <w:pPr>
        <w:jc w:val="both"/>
        <w:ind w:left="1520" w:right="1599" w:firstLine="262"/>
        <w:spacing w:after="0" w:line="269" w:lineRule="auto"/>
        <w:rPr>
          <w:sz w:val="20"/>
          <w:szCs w:val="20"/>
          <w:color w:val="auto"/>
        </w:rPr>
      </w:pPr>
      <w:r>
        <w:rPr>
          <w:rFonts w:ascii="Times New Roman" w:cs="Times New Roman" w:eastAsia="Times New Roman" w:hAnsi="Times New Roman"/>
          <w:sz w:val="13"/>
          <w:szCs w:val="13"/>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9" w:name="page50"/>
    <w:bookmarkEnd w:id="49"/>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 OF CERTAIN DOCUMENTS BY REFERENCE</w:t>
      </w:r>
    </w:p>
    <w:p>
      <w:pPr>
        <w:spacing w:after="0" w:line="116" w:lineRule="exact"/>
        <w:rPr>
          <w:sz w:val="20"/>
          <w:szCs w:val="20"/>
          <w:color w:val="auto"/>
        </w:rPr>
      </w:pPr>
    </w:p>
    <w:p>
      <w:pPr>
        <w:ind w:left="1520" w:right="1539" w:firstLine="262"/>
        <w:spacing w:after="0" w:line="271" w:lineRule="auto"/>
        <w:rPr>
          <w:sz w:val="20"/>
          <w:szCs w:val="20"/>
          <w:color w:val="auto"/>
        </w:rPr>
      </w:pPr>
      <w:r>
        <w:rPr>
          <w:rFonts w:ascii="Times New Roman" w:cs="Times New Roman" w:eastAsia="Times New Roman" w:hAnsi="Times New Roman"/>
          <w:sz w:val="13"/>
          <w:szCs w:val="13"/>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76" w:lineRule="exact"/>
        <w:rPr>
          <w:sz w:val="20"/>
          <w:szCs w:val="20"/>
          <w:color w:val="auto"/>
        </w:rPr>
      </w:pPr>
    </w:p>
    <w:p>
      <w:pPr>
        <w:ind w:left="1520" w:right="1599" w:firstLine="262"/>
        <w:spacing w:after="0" w:line="255" w:lineRule="auto"/>
        <w:rPr>
          <w:sz w:val="20"/>
          <w:szCs w:val="20"/>
          <w:color w:val="auto"/>
        </w:rPr>
      </w:pPr>
      <w:r>
        <w:rPr>
          <w:rFonts w:ascii="Times New Roman" w:cs="Times New Roman" w:eastAsia="Times New Roman" w:hAnsi="Times New Roman"/>
          <w:sz w:val="13"/>
          <w:szCs w:val="13"/>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1499"/>
        <w:spacing w:after="0"/>
        <w:tabs>
          <w:tab w:leader="none" w:pos="1180" w:val="left"/>
          <w:tab w:leader="none" w:pos="740" w:val="left"/>
        </w:tabs>
        <w:rPr>
          <w:sz w:val="20"/>
          <w:szCs w:val="20"/>
          <w:color w:val="auto"/>
        </w:rPr>
      </w:pPr>
      <w:r>
        <w:rPr>
          <w:rFonts w:ascii="Times New Roman" w:cs="Times New Roman" w:eastAsia="Times New Roman" w:hAnsi="Times New Roman"/>
          <w:sz w:val="10"/>
          <w:szCs w:val="10"/>
          <w:b w:val="1"/>
          <w:bCs w:val="1"/>
          <w:color w:val="auto"/>
        </w:rPr>
        <w:t>SEC Filing (Our SEC File Number is 1-12154)</w:t>
      </w:r>
      <w:r>
        <w:rPr>
          <w:sz w:val="20"/>
          <w:szCs w:val="20"/>
          <w:color w:val="auto"/>
        </w:rPr>
        <w:tab/>
      </w:r>
      <w:r>
        <w:rPr>
          <w:rFonts w:ascii="Times New Roman" w:cs="Times New Roman" w:eastAsia="Times New Roman" w:hAnsi="Times New Roman"/>
          <w:sz w:val="21"/>
          <w:szCs w:val="21"/>
          <w:b w:val="1"/>
          <w:bCs w:val="1"/>
          <w:color w:val="auto"/>
          <w:vertAlign w:val="subscript"/>
        </w:rPr>
        <w:t>​ ​</w:t>
      </w:r>
      <w:r>
        <w:rPr>
          <w:sz w:val="20"/>
          <w:szCs w:val="20"/>
          <w:color w:val="auto"/>
        </w:rPr>
        <w:tab/>
      </w:r>
      <w:r>
        <w:rPr>
          <w:rFonts w:ascii="Times New Roman" w:cs="Times New Roman" w:eastAsia="Times New Roman" w:hAnsi="Times New Roman"/>
          <w:sz w:val="10"/>
          <w:szCs w:val="10"/>
          <w:b w:val="1"/>
          <w:bCs w:val="1"/>
          <w:color w:val="auto"/>
        </w:rPr>
        <w:t>Date Filed</w:t>
      </w:r>
      <w:r>
        <w:rPr>
          <w:sz w:val="20"/>
          <w:szCs w:val="20"/>
          <w:color w:val="auto"/>
        </w:rPr>
        <w:t xml:space="preserve"> </w:t>
      </w:r>
      <w:r>
        <w:rPr>
          <w:rFonts w:ascii="Times New Roman" w:cs="Times New Roman" w:eastAsia="Times New Roman" w:hAnsi="Times New Roman"/>
          <w:sz w:val="21"/>
          <w:szCs w:val="21"/>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14605</wp:posOffset>
            </wp:positionV>
            <wp:extent cx="37973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3797300" cy="635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p>
      <w:pPr>
        <w:spacing w:after="0" w:line="50" w:lineRule="exact"/>
        <w:rPr>
          <w:sz w:val="20"/>
          <w:szCs w:val="20"/>
          <w:color w:val="auto"/>
        </w:rPr>
      </w:pPr>
    </w:p>
    <w:p>
      <w:pPr>
        <w:ind w:left="1520"/>
        <w:spacing w:after="0"/>
        <w:rPr>
          <w:rFonts w:ascii="Times New Roman" w:cs="Times New Roman" w:eastAsia="Times New Roman" w:hAnsi="Times New Roman"/>
          <w:sz w:val="13"/>
          <w:szCs w:val="13"/>
          <w:u w:val="single" w:color="auto"/>
          <w:color w:val="0000EE"/>
        </w:rPr>
      </w:pPr>
      <w:hyperlink r:id="rId131">
        <w:r>
          <w:rPr>
            <w:rFonts w:ascii="Times New Roman" w:cs="Times New Roman" w:eastAsia="Times New Roman" w:hAnsi="Times New Roman"/>
            <w:sz w:val="13"/>
            <w:szCs w:val="13"/>
            <w:u w:val="single" w:color="auto"/>
            <w:color w:val="0000EE"/>
          </w:rPr>
          <w:t>Annual Report on Form 10-K for the year ended December 31, 2021</w:t>
        </w:r>
      </w:hyperlink>
    </w:p>
    <w:p>
      <w:pPr>
        <w:spacing w:after="0" w:line="28" w:lineRule="exact"/>
        <w:rPr>
          <w:sz w:val="20"/>
          <w:szCs w:val="20"/>
          <w:color w:val="auto"/>
        </w:rPr>
      </w:pPr>
    </w:p>
    <w:p>
      <w:pPr>
        <w:ind w:left="1640" w:right="160" w:hanging="130"/>
        <w:spacing w:after="0" w:line="284" w:lineRule="auto"/>
        <w:rPr>
          <w:rFonts w:ascii="Times New Roman" w:cs="Times New Roman" w:eastAsia="Times New Roman" w:hAnsi="Times New Roman"/>
          <w:sz w:val="13"/>
          <w:szCs w:val="13"/>
          <w:u w:val="single" w:color="auto"/>
          <w:color w:val="0000EE"/>
        </w:rPr>
      </w:pPr>
      <w:hyperlink r:id="rId132">
        <w:r>
          <w:rPr>
            <w:rFonts w:ascii="Times New Roman" w:cs="Times New Roman" w:eastAsia="Times New Roman" w:hAnsi="Times New Roman"/>
            <w:sz w:val="13"/>
            <w:szCs w:val="13"/>
            <w:u w:val="single" w:color="auto"/>
            <w:color w:val="0000EE"/>
          </w:rPr>
          <w:t>Amendment No. 1 to Annual Report on Form 10-K for the year ended December 31,</w:t>
        </w:r>
      </w:hyperlink>
      <w:r>
        <w:rPr>
          <w:rFonts w:ascii="Times New Roman" w:cs="Times New Roman" w:eastAsia="Times New Roman" w:hAnsi="Times New Roman"/>
          <w:sz w:val="13"/>
          <w:szCs w:val="13"/>
          <w:u w:val="single" w:color="auto"/>
          <w:color w:val="0000EE"/>
        </w:rPr>
        <w:t xml:space="preserve"> </w:t>
      </w:r>
      <w:hyperlink r:id="rId132">
        <w:r>
          <w:rPr>
            <w:rFonts w:ascii="Times New Roman" w:cs="Times New Roman" w:eastAsia="Times New Roman" w:hAnsi="Times New Roman"/>
            <w:sz w:val="13"/>
            <w:szCs w:val="13"/>
            <w:u w:val="single" w:color="auto"/>
            <w:color w:val="0000EE"/>
          </w:rPr>
          <w:t>2021</w:t>
        </w:r>
      </w:hyperlink>
    </w:p>
    <w:p>
      <w:pPr>
        <w:ind w:left="1520" w:right="960"/>
        <w:spacing w:after="0" w:line="292" w:lineRule="auto"/>
        <w:rPr>
          <w:rFonts w:ascii="Times New Roman" w:cs="Times New Roman" w:eastAsia="Times New Roman" w:hAnsi="Times New Roman"/>
          <w:sz w:val="13"/>
          <w:szCs w:val="13"/>
          <w:u w:val="single" w:color="auto"/>
          <w:color w:val="0000EE"/>
        </w:rPr>
      </w:pPr>
      <w:hyperlink r:id="rId133">
        <w:r>
          <w:rPr>
            <w:rFonts w:ascii="Times New Roman" w:cs="Times New Roman" w:eastAsia="Times New Roman" w:hAnsi="Times New Roman"/>
            <w:sz w:val="13"/>
            <w:szCs w:val="13"/>
            <w:u w:val="single" w:color="auto"/>
            <w:color w:val="0000EE"/>
          </w:rPr>
          <w:t>Quarterly Report on Form 10-Q for the quarter ended March 31, 2022</w:t>
        </w:r>
      </w:hyperlink>
      <w:r>
        <w:rPr>
          <w:rFonts w:ascii="Times New Roman" w:cs="Times New Roman" w:eastAsia="Times New Roman" w:hAnsi="Times New Roman"/>
          <w:sz w:val="13"/>
          <w:szCs w:val="13"/>
          <w:u w:val="single" w:color="auto"/>
          <w:color w:val="0000EE"/>
        </w:rPr>
        <w:t xml:space="preserve"> </w:t>
      </w:r>
      <w:hyperlink r:id="rId134">
        <w:r>
          <w:rPr>
            <w:rFonts w:ascii="Times New Roman" w:cs="Times New Roman" w:eastAsia="Times New Roman" w:hAnsi="Times New Roman"/>
            <w:sz w:val="13"/>
            <w:szCs w:val="13"/>
            <w:u w:val="single" w:color="auto"/>
            <w:color w:val="0000EE"/>
          </w:rPr>
          <w:t>Current Report on Form 8-K</w:t>
        </w:r>
      </w:hyperlink>
    </w:p>
    <w:p>
      <w:pPr>
        <w:ind w:left="1640" w:right="220" w:hanging="130"/>
        <w:spacing w:after="0" w:line="268" w:lineRule="auto"/>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3"/>
          <w:szCs w:val="13"/>
          <w:color w:val="auto"/>
        </w:rPr>
        <w:t xml:space="preserve">The portions of our </w:t>
      </w:r>
      <w:hyperlink r:id="rId135">
        <w:r>
          <w:rPr>
            <w:rFonts w:ascii="Times New Roman" w:cs="Times New Roman" w:eastAsia="Times New Roman" w:hAnsi="Times New Roman"/>
            <w:sz w:val="13"/>
            <w:szCs w:val="13"/>
            <w:u w:val="single" w:color="auto"/>
            <w:color w:val="0000EE"/>
          </w:rPr>
          <w:t>proxy statement for our 2022 annual meeting of stockholders</w:t>
        </w:r>
      </w:hyperlink>
      <w:r>
        <w:rPr>
          <w:rFonts w:ascii="Times New Roman" w:cs="Times New Roman" w:eastAsia="Times New Roman" w:hAnsi="Times New Roman"/>
          <w:sz w:val="13"/>
          <w:szCs w:val="13"/>
          <w:color w:val="auto"/>
        </w:rPr>
        <w:t xml:space="preserve"> </w:t>
      </w:r>
      <w:hyperlink r:id="rId132">
        <w:r>
          <w:rPr>
            <w:rFonts w:ascii="Times New Roman" w:cs="Times New Roman" w:eastAsia="Times New Roman" w:hAnsi="Times New Roman"/>
            <w:sz w:val="13"/>
            <w:szCs w:val="13"/>
            <w:color w:val="auto"/>
          </w:rPr>
          <w:t xml:space="preserve">incorporated by reference in our </w:t>
        </w:r>
        <w:r>
          <w:rPr>
            <w:rFonts w:ascii="Times New Roman" w:cs="Times New Roman" w:eastAsia="Times New Roman" w:hAnsi="Times New Roman"/>
            <w:sz w:val="13"/>
            <w:szCs w:val="13"/>
            <w:u w:val="single" w:color="auto"/>
            <w:color w:val="0000EE"/>
          </w:rPr>
          <w:t>Annual Report on Form 10-K for the year ended</w:t>
        </w:r>
      </w:hyperlink>
      <w:r>
        <w:rPr>
          <w:rFonts w:ascii="Times New Roman" w:cs="Times New Roman" w:eastAsia="Times New Roman" w:hAnsi="Times New Roman"/>
          <w:sz w:val="13"/>
          <w:szCs w:val="13"/>
          <w:color w:val="auto"/>
        </w:rPr>
        <w:t xml:space="preserve"> </w:t>
      </w:r>
      <w:hyperlink r:id="rId132">
        <w:r>
          <w:rPr>
            <w:rFonts w:ascii="Times New Roman" w:cs="Times New Roman" w:eastAsia="Times New Roman" w:hAnsi="Times New Roman"/>
            <w:sz w:val="13"/>
            <w:szCs w:val="13"/>
            <w:u w:val="single" w:color="auto"/>
            <w:color w:val="0000EE"/>
          </w:rPr>
          <w:t>December 31, 2021</w:t>
        </w:r>
      </w:hyperlink>
    </w:p>
    <w:p>
      <w:pPr>
        <w:spacing w:after="0" w:line="1" w:lineRule="exact"/>
        <w:rPr>
          <w:rFonts w:ascii="Times New Roman" w:cs="Times New Roman" w:eastAsia="Times New Roman" w:hAnsi="Times New Roman"/>
          <w:sz w:val="13"/>
          <w:szCs w:val="13"/>
          <w:color w:val="auto"/>
        </w:rPr>
      </w:pPr>
    </w:p>
    <w:p>
      <w:pPr>
        <w:ind w:left="1640" w:hanging="130"/>
        <w:spacing w:after="0" w:line="261" w:lineRule="auto"/>
        <w:rPr>
          <w:rFonts w:ascii="Times New Roman" w:cs="Times New Roman" w:eastAsia="Times New Roman" w:hAnsi="Times New Roman"/>
          <w:sz w:val="13"/>
          <w:szCs w:val="13"/>
          <w:color w:val="0000EE"/>
        </w:rPr>
      </w:pPr>
      <w:hyperlink r:id="rId136">
        <w:r>
          <w:rPr>
            <w:rFonts w:ascii="Times New Roman" w:cs="Times New Roman" w:eastAsia="Times New Roman" w:hAnsi="Times New Roman"/>
            <w:sz w:val="13"/>
            <w:szCs w:val="13"/>
            <w:color w:val="auto"/>
          </w:rPr>
          <w:t xml:space="preserve">Description of our Common Stock contained in our Registration Statement on </w:t>
        </w:r>
        <w:r>
          <w:rPr>
            <w:rFonts w:ascii="Times New Roman" w:cs="Times New Roman" w:eastAsia="Times New Roman" w:hAnsi="Times New Roman"/>
            <w:sz w:val="13"/>
            <w:szCs w:val="13"/>
            <w:u w:val="single" w:color="auto"/>
            <w:color w:val="0000EE"/>
          </w:rPr>
          <w:t>Form 8-</w:t>
        </w:r>
      </w:hyperlink>
      <w:hyperlink r:id="rId137">
        <w:r>
          <w:rPr>
            <w:rFonts w:ascii="Times New Roman" w:cs="Times New Roman" w:eastAsia="Times New Roman" w:hAnsi="Times New Roman"/>
            <w:sz w:val="13"/>
            <w:szCs w:val="13"/>
            <w:u w:val="single" w:color="auto"/>
            <w:color w:val="0000EE"/>
          </w:rPr>
          <w:t>B</w:t>
        </w:r>
        <w:r>
          <w:rPr>
            <w:rFonts w:ascii="Times New Roman" w:cs="Times New Roman" w:eastAsia="Times New Roman" w:hAnsi="Times New Roman"/>
            <w:sz w:val="13"/>
            <w:szCs w:val="13"/>
            <w:color w:val="000000"/>
          </w:rPr>
          <w:t>, as updated by the description of our Common Stock included in</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u w:val="single" w:color="auto"/>
            <w:color w:val="0000EE"/>
          </w:rPr>
          <w:t>Exhibit 4.9 to our</w:t>
        </w:r>
      </w:hyperlink>
      <w:r>
        <w:rPr>
          <w:rFonts w:ascii="Times New Roman" w:cs="Times New Roman" w:eastAsia="Times New Roman" w:hAnsi="Times New Roman"/>
          <w:sz w:val="13"/>
          <w:szCs w:val="13"/>
          <w:color w:val="0000EE"/>
        </w:rPr>
        <w:t xml:space="preserve"> </w:t>
      </w:r>
      <w:hyperlink r:id="rId137">
        <w:r>
          <w:rPr>
            <w:rFonts w:ascii="Times New Roman" w:cs="Times New Roman" w:eastAsia="Times New Roman" w:hAnsi="Times New Roman"/>
            <w:sz w:val="13"/>
            <w:szCs w:val="13"/>
            <w:u w:val="single" w:color="auto"/>
            <w:color w:val="0000EE"/>
          </w:rPr>
          <w:t>Annual Report on Form 10-K for the year ended December 31, 2019 filed with the</w:t>
        </w:r>
      </w:hyperlink>
      <w:r>
        <w:rPr>
          <w:rFonts w:ascii="Times New Roman" w:cs="Times New Roman" w:eastAsia="Times New Roman" w:hAnsi="Times New Roman"/>
          <w:sz w:val="13"/>
          <w:szCs w:val="13"/>
          <w:u w:val="single" w:color="auto"/>
          <w:color w:val="0000EE"/>
        </w:rPr>
        <w:t xml:space="preserve"> </w:t>
      </w:r>
      <w:hyperlink r:id="rId137">
        <w:r>
          <w:rPr>
            <w:rFonts w:ascii="Times New Roman" w:cs="Times New Roman" w:eastAsia="Times New Roman" w:hAnsi="Times New Roman"/>
            <w:sz w:val="13"/>
            <w:szCs w:val="13"/>
            <w:u w:val="single" w:color="auto"/>
            <w:color w:val="0000EE"/>
          </w:rPr>
          <w:t>SEC on February 13, 2020</w:t>
        </w:r>
        <w:r>
          <w:rPr>
            <w:rFonts w:ascii="Times New Roman" w:cs="Times New Roman" w:eastAsia="Times New Roman" w:hAnsi="Times New Roman"/>
            <w:sz w:val="13"/>
            <w:szCs w:val="13"/>
            <w:color w:val="000000"/>
          </w:rPr>
          <w:t>, together with any subsequent amendment or report filed</w:t>
        </w:r>
      </w:hyperlink>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for the purpose of updating such description</w:t>
      </w:r>
    </w:p>
    <w:p>
      <w:pPr>
        <w:spacing w:after="0" w:line="20" w:lineRule="exact"/>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0000EE"/>
        </w:rPr>
        <w:br w:type="column"/>
      </w:r>
    </w:p>
    <w:p>
      <w:pPr>
        <w:spacing w:after="0" w:line="30" w:lineRule="exact"/>
        <w:rPr>
          <w:rFonts w:ascii="Times New Roman" w:cs="Times New Roman" w:eastAsia="Times New Roman" w:hAnsi="Times New Roman"/>
          <w:sz w:val="13"/>
          <w:szCs w:val="13"/>
          <w:color w:val="0000EE"/>
        </w:rPr>
      </w:pPr>
    </w:p>
    <w:p>
      <w:pPr>
        <w:spacing w:after="0"/>
        <w:rPr>
          <w:sz w:val="20"/>
          <w:szCs w:val="20"/>
          <w:color w:val="auto"/>
        </w:rPr>
      </w:pPr>
      <w:r>
        <w:rPr>
          <w:rFonts w:ascii="Times New Roman" w:cs="Times New Roman" w:eastAsia="Times New Roman" w:hAnsi="Times New Roman"/>
          <w:sz w:val="13"/>
          <w:szCs w:val="13"/>
          <w:color w:val="auto"/>
        </w:rPr>
        <w:t>​ ​ February 15, 2022​</w:t>
      </w:r>
    </w:p>
    <w:p>
      <w:pPr>
        <w:spacing w:after="0" w:line="185" w:lineRule="exact"/>
        <w:rPr>
          <w:rFonts w:ascii="Times New Roman" w:cs="Times New Roman" w:eastAsia="Times New Roman" w:hAnsi="Times New Roman"/>
          <w:sz w:val="13"/>
          <w:szCs w:val="13"/>
          <w:color w:val="0000EE"/>
        </w:rPr>
      </w:pPr>
    </w:p>
    <w:tbl>
      <w:tblPr>
        <w:tblLayout w:type="fixed"/>
        <w:tblInd w:w="0" w:type="dxa"/>
        <w:tblCellMar>
          <w:top w:w="0" w:type="dxa"/>
          <w:left w:w="0" w:type="dxa"/>
          <w:bottom w:w="0" w:type="dxa"/>
          <w:right w:w="0" w:type="dxa"/>
        </w:tblCellMar>
      </w:tblPr>
      <w:tr>
        <w:trPr>
          <w:trHeight w:val="181"/>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29, 2022</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3"/>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26, 2022</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0"/>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7, 2022</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482"/>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29, 2022</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816"/>
        </w:trPr>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July 13, 1995</w:t>
            </w:r>
          </w:p>
        </w:tc>
        <w:tc>
          <w:tcPr>
            <w:tcW w:w="60" w:type="dxa"/>
            <w:vAlign w:val="bottom"/>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94" w:lineRule="exact"/>
        <w:rPr>
          <w:rFonts w:ascii="Times New Roman" w:cs="Times New Roman" w:eastAsia="Times New Roman" w:hAnsi="Times New Roman"/>
          <w:sz w:val="13"/>
          <w:szCs w:val="13"/>
          <w:color w:val="0000EE"/>
        </w:rPr>
      </w:pPr>
    </w:p>
    <w:p>
      <w:pPr>
        <w:sectPr>
          <w:pgSz w:w="11900" w:h="16838" w:orient="portrait"/>
          <w:cols w:equalWidth="0" w:num="2">
            <w:col w:w="6320" w:space="0"/>
            <w:col w:w="2699"/>
          </w:cols>
          <w:pgMar w:left="1440" w:top="110" w:right="1440" w:bottom="1440" w:gutter="0" w:footer="0" w:header="0"/>
          <w:type w:val="continuous"/>
        </w:sectPr>
      </w:pPr>
    </w:p>
    <w:p>
      <w:pPr>
        <w:ind w:left="1520" w:right="1539" w:firstLine="262"/>
        <w:spacing w:after="0" w:line="256" w:lineRule="auto"/>
        <w:rPr>
          <w:sz w:val="20"/>
          <w:szCs w:val="20"/>
          <w:color w:val="auto"/>
        </w:rPr>
      </w:pPr>
      <w:r>
        <w:rPr>
          <w:rFonts w:ascii="Times New Roman" w:cs="Times New Roman" w:eastAsia="Times New Roman" w:hAnsi="Times New Roman"/>
          <w:sz w:val="13"/>
          <w:szCs w:val="13"/>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3" w:lineRule="exact"/>
        <w:rPr>
          <w:rFonts w:ascii="Times New Roman" w:cs="Times New Roman" w:eastAsia="Times New Roman" w:hAnsi="Times New Roman"/>
          <w:sz w:val="13"/>
          <w:szCs w:val="13"/>
          <w:color w:val="0000EE"/>
        </w:rPr>
      </w:pPr>
    </w:p>
    <w:p>
      <w:pPr>
        <w:ind w:left="1520" w:right="1539"/>
        <w:spacing w:after="0" w:line="265" w:lineRule="auto"/>
        <w:rPr>
          <w:sz w:val="20"/>
          <w:szCs w:val="20"/>
          <w:color w:val="auto"/>
        </w:rPr>
      </w:pPr>
      <w:r>
        <w:rPr>
          <w:rFonts w:ascii="Times New Roman" w:cs="Times New Roman" w:eastAsia="Times New Roman" w:hAnsi="Times New Roman"/>
          <w:sz w:val="13"/>
          <w:szCs w:val="13"/>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227" w:lineRule="exact"/>
        <w:rPr>
          <w:rFonts w:ascii="Times New Roman" w:cs="Times New Roman" w:eastAsia="Times New Roman" w:hAnsi="Times New Roman"/>
          <w:sz w:val="13"/>
          <w:szCs w:val="13"/>
          <w:color w:val="0000EE"/>
        </w:rPr>
      </w:pPr>
    </w:p>
    <w:p>
      <w:pPr>
        <w:jc w:val="both"/>
        <w:ind w:left="1520" w:right="1539" w:firstLine="262"/>
        <w:spacing w:after="0" w:line="264" w:lineRule="auto"/>
        <w:rPr>
          <w:sz w:val="20"/>
          <w:szCs w:val="20"/>
          <w:color w:val="auto"/>
        </w:rPr>
      </w:pPr>
      <w:r>
        <w:rPr>
          <w:rFonts w:ascii="Times New Roman" w:cs="Times New Roman" w:eastAsia="Times New Roman" w:hAnsi="Times New Roman"/>
          <w:sz w:val="13"/>
          <w:szCs w:val="13"/>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80" w:lineRule="exact"/>
        <w:rPr>
          <w:rFonts w:ascii="Times New Roman" w:cs="Times New Roman" w:eastAsia="Times New Roman" w:hAnsi="Times New Roman"/>
          <w:sz w:val="13"/>
          <w:szCs w:val="13"/>
          <w:color w:val="0000EE"/>
        </w:rPr>
      </w:pPr>
    </w:p>
    <w:p>
      <w:pPr>
        <w:jc w:val="both"/>
        <w:ind w:left="1520" w:right="1679" w:firstLine="262"/>
        <w:spacing w:after="0" w:line="264" w:lineRule="auto"/>
        <w:rPr>
          <w:sz w:val="20"/>
          <w:szCs w:val="20"/>
          <w:color w:val="auto"/>
        </w:rPr>
      </w:pPr>
      <w:r>
        <w:rPr>
          <w:rFonts w:ascii="Times New Roman" w:cs="Times New Roman" w:eastAsia="Times New Roman" w:hAnsi="Times New Roman"/>
          <w:sz w:val="13"/>
          <w:szCs w:val="13"/>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 w:cs="Times New Roman" w:eastAsia="Times New Roman" w:hAnsi="Times New Roman"/>
          <w:sz w:val="13"/>
          <w:szCs w:val="13"/>
          <w:i w:val="1"/>
          <w:iCs w:val="1"/>
          <w:color w:val="auto"/>
        </w:rPr>
        <w:t>.</w:t>
      </w:r>
    </w:p>
    <w:p>
      <w:pPr>
        <w:spacing w:after="0" w:line="80" w:lineRule="exact"/>
        <w:rPr>
          <w:rFonts w:ascii="Times New Roman" w:cs="Times New Roman" w:eastAsia="Times New Roman" w:hAnsi="Times New Roman"/>
          <w:sz w:val="13"/>
          <w:szCs w:val="13"/>
          <w:color w:val="0000EE"/>
        </w:rPr>
      </w:pPr>
    </w:p>
    <w:p>
      <w:pPr>
        <w:jc w:val="center"/>
        <w:ind w:right="39"/>
        <w:spacing w:after="0"/>
        <w:rPr>
          <w:sz w:val="20"/>
          <w:szCs w:val="20"/>
          <w:color w:val="auto"/>
        </w:rPr>
      </w:pPr>
      <w:r>
        <w:rPr>
          <w:rFonts w:ascii="Times New Roman" w:cs="Times New Roman" w:eastAsia="Times New Roman" w:hAnsi="Times New Roman"/>
          <w:sz w:val="13"/>
          <w:szCs w:val="13"/>
          <w:color w:val="auto"/>
        </w:rPr>
        <w:t>Waste Management, Inc.</w:t>
      </w:r>
    </w:p>
    <w:p>
      <w:pPr>
        <w:spacing w:after="0" w:line="21" w:lineRule="exact"/>
        <w:rPr>
          <w:rFonts w:ascii="Times New Roman" w:cs="Times New Roman" w:eastAsia="Times New Roman" w:hAnsi="Times New Roman"/>
          <w:sz w:val="13"/>
          <w:szCs w:val="13"/>
          <w:color w:val="0000EE"/>
        </w:rPr>
      </w:pPr>
    </w:p>
    <w:p>
      <w:pPr>
        <w:jc w:val="center"/>
        <w:ind w:right="39"/>
        <w:spacing w:after="0"/>
        <w:rPr>
          <w:sz w:val="20"/>
          <w:szCs w:val="20"/>
          <w:color w:val="auto"/>
        </w:rPr>
      </w:pPr>
      <w:r>
        <w:rPr>
          <w:rFonts w:ascii="Times New Roman" w:cs="Times New Roman" w:eastAsia="Times New Roman" w:hAnsi="Times New Roman"/>
          <w:sz w:val="13"/>
          <w:szCs w:val="13"/>
          <w:color w:val="auto"/>
        </w:rPr>
        <w:t>800 Capitol Street, Suite 3000</w:t>
      </w:r>
    </w:p>
    <w:p>
      <w:pPr>
        <w:spacing w:after="0" w:line="8" w:lineRule="exact"/>
        <w:rPr>
          <w:rFonts w:ascii="Times New Roman" w:cs="Times New Roman" w:eastAsia="Times New Roman" w:hAnsi="Times New Roman"/>
          <w:sz w:val="13"/>
          <w:szCs w:val="13"/>
          <w:color w:val="0000EE"/>
        </w:rPr>
      </w:pPr>
    </w:p>
    <w:p>
      <w:pPr>
        <w:jc w:val="center"/>
        <w:ind w:right="39"/>
        <w:spacing w:after="0"/>
        <w:rPr>
          <w:sz w:val="20"/>
          <w:szCs w:val="20"/>
          <w:color w:val="auto"/>
        </w:rPr>
      </w:pPr>
      <w:r>
        <w:rPr>
          <w:rFonts w:ascii="Times New Roman" w:cs="Times New Roman" w:eastAsia="Times New Roman" w:hAnsi="Times New Roman"/>
          <w:sz w:val="13"/>
          <w:szCs w:val="13"/>
          <w:color w:val="auto"/>
        </w:rPr>
        <w:t>Houston, Texas 77002</w:t>
      </w:r>
    </w:p>
    <w:p>
      <w:pPr>
        <w:spacing w:after="0" w:line="8" w:lineRule="exact"/>
        <w:rPr>
          <w:rFonts w:ascii="Times New Roman" w:cs="Times New Roman" w:eastAsia="Times New Roman" w:hAnsi="Times New Roman"/>
          <w:sz w:val="13"/>
          <w:szCs w:val="13"/>
          <w:color w:val="0000EE"/>
        </w:rPr>
      </w:pPr>
    </w:p>
    <w:p>
      <w:pPr>
        <w:jc w:val="center"/>
        <w:ind w:right="39"/>
        <w:spacing w:after="0"/>
        <w:rPr>
          <w:sz w:val="20"/>
          <w:szCs w:val="20"/>
          <w:color w:val="auto"/>
        </w:rPr>
      </w:pPr>
      <w:r>
        <w:rPr>
          <w:rFonts w:ascii="Times New Roman" w:cs="Times New Roman" w:eastAsia="Times New Roman" w:hAnsi="Times New Roman"/>
          <w:sz w:val="13"/>
          <w:szCs w:val="13"/>
          <w:color w:val="auto"/>
        </w:rPr>
        <w:t>Attn: Corporate Secretary</w:t>
      </w:r>
    </w:p>
    <w:p>
      <w:pPr>
        <w:spacing w:after="0" w:line="8" w:lineRule="exact"/>
        <w:rPr>
          <w:rFonts w:ascii="Times New Roman" w:cs="Times New Roman" w:eastAsia="Times New Roman" w:hAnsi="Times New Roman"/>
          <w:sz w:val="13"/>
          <w:szCs w:val="13"/>
          <w:color w:val="0000EE"/>
        </w:rPr>
      </w:pPr>
    </w:p>
    <w:p>
      <w:pPr>
        <w:ind w:left="4400" w:hanging="324"/>
        <w:spacing w:after="0"/>
        <w:tabs>
          <w:tab w:leader="none" w:pos="44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512-6200</w:t>
      </w:r>
    </w:p>
    <w:p>
      <w:pPr>
        <w:spacing w:after="0" w:line="279" w:lineRule="exact"/>
        <w:rPr>
          <w:rFonts w:ascii="Times New Roman" w:cs="Times New Roman" w:eastAsia="Times New Roman" w:hAnsi="Times New Roman"/>
          <w:sz w:val="13"/>
          <w:szCs w:val="13"/>
          <w:color w:val="auto"/>
        </w:rPr>
      </w:pPr>
    </w:p>
    <w:p>
      <w:pPr>
        <w:ind w:left="44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w:t>
      </w:r>
    </w:p>
    <w:p>
      <w:pPr>
        <w:spacing w:after="0" w:line="20" w:lineRule="exact"/>
        <w:rPr>
          <w:rFonts w:ascii="Times New Roman" w:cs="Times New Roman" w:eastAsia="Times New Roman" w:hAnsi="Times New Roman"/>
          <w:sz w:val="13"/>
          <w:szCs w:val="13"/>
          <w:color w:val="0000EE"/>
        </w:rPr>
      </w:pPr>
      <w:r>
        <w:rPr>
          <w:rFonts w:ascii="Times New Roman" w:cs="Times New Roman" w:eastAsia="Times New Roman" w:hAnsi="Times New Roman"/>
          <w:sz w:val="13"/>
          <w:szCs w:val="13"/>
          <w:color w:val="0000EE"/>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50" w:name="page51"/>
    <w:bookmarkEnd w:id="50"/>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18" w:lineRule="exact"/>
        <w:rPr>
          <w:sz w:val="20"/>
          <w:szCs w:val="20"/>
          <w:color w:val="auto"/>
        </w:rPr>
      </w:pPr>
    </w:p>
    <w:p>
      <w:pPr>
        <w:ind w:left="1520" w:right="1579" w:firstLine="262"/>
        <w:spacing w:after="0" w:line="264" w:lineRule="auto"/>
        <w:rPr>
          <w:sz w:val="20"/>
          <w:szCs w:val="20"/>
          <w:color w:val="auto"/>
        </w:rPr>
      </w:pPr>
      <w:r>
        <w:rPr>
          <w:rFonts w:ascii="Times New Roman" w:cs="Times New Roman" w:eastAsia="Times New Roman" w:hAnsi="Times New Roman"/>
          <w:sz w:val="13"/>
          <w:szCs w:val="13"/>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You can also obtain information about us at the offices of the New York Stock Exchange, 20 Broad Street, New York, New York 10005.</w:t>
      </w:r>
    </w:p>
    <w:p>
      <w:pPr>
        <w:spacing w:after="0" w:line="80" w:lineRule="exact"/>
        <w:rPr>
          <w:sz w:val="20"/>
          <w:szCs w:val="20"/>
          <w:color w:val="auto"/>
        </w:rPr>
      </w:pPr>
    </w:p>
    <w:p>
      <w:pPr>
        <w:ind w:left="1520" w:right="1579" w:firstLine="262"/>
        <w:spacing w:after="0" w:line="261" w:lineRule="auto"/>
        <w:rPr>
          <w:sz w:val="20"/>
          <w:szCs w:val="20"/>
          <w:color w:val="auto"/>
        </w:rPr>
      </w:pPr>
      <w:r>
        <w:rPr>
          <w:rFonts w:ascii="Times New Roman" w:cs="Times New Roman" w:eastAsia="Times New Roman" w:hAnsi="Times New Roman"/>
          <w:sz w:val="13"/>
          <w:szCs w:val="13"/>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3"/>
          <w:szCs w:val="13"/>
          <w:i w:val="1"/>
          <w:iCs w:val="1"/>
          <w:color w:val="auto"/>
        </w:rPr>
        <w:t>www.wm.com</w:t>
      </w:r>
      <w:r>
        <w:rPr>
          <w:rFonts w:ascii="Times New Roman" w:cs="Times New Roman" w:eastAsia="Times New Roman" w:hAnsi="Times New Roman"/>
          <w:sz w:val="13"/>
          <w:szCs w:val="13"/>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72" w:lineRule="exact"/>
        <w:rPr>
          <w:sz w:val="20"/>
          <w:szCs w:val="20"/>
          <w:color w:val="auto"/>
        </w:rPr>
      </w:pPr>
    </w:p>
    <w:p>
      <w:pPr>
        <w:ind w:left="1520" w:right="1639" w:firstLine="262"/>
        <w:spacing w:after="0" w:line="260" w:lineRule="auto"/>
        <w:rPr>
          <w:sz w:val="20"/>
          <w:szCs w:val="20"/>
          <w:color w:val="auto"/>
        </w:rPr>
      </w:pPr>
      <w:r>
        <w:rPr>
          <w:rFonts w:ascii="Times New Roman" w:cs="Times New Roman" w:eastAsia="Times New Roman" w:hAnsi="Times New Roman"/>
          <w:sz w:val="13"/>
          <w:szCs w:val="13"/>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1" w:name="page52"/>
    <w:bookmarkEnd w:id="51"/>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COMPANY</w:t>
      </w:r>
    </w:p>
    <w:p>
      <w:pPr>
        <w:spacing w:after="0" w:line="118" w:lineRule="exact"/>
        <w:rPr>
          <w:sz w:val="20"/>
          <w:szCs w:val="20"/>
          <w:color w:val="auto"/>
        </w:rPr>
      </w:pPr>
    </w:p>
    <w:p>
      <w:pPr>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244" w:lineRule="exact"/>
        <w:rPr>
          <w:sz w:val="20"/>
          <w:szCs w:val="20"/>
          <w:color w:val="auto"/>
        </w:rPr>
      </w:pPr>
    </w:p>
    <w:p>
      <w:pPr>
        <w:ind w:left="1520" w:right="1659" w:firstLine="262"/>
        <w:spacing w:after="0" w:line="264" w:lineRule="auto"/>
        <w:rPr>
          <w:sz w:val="20"/>
          <w:szCs w:val="20"/>
          <w:color w:val="auto"/>
        </w:rPr>
      </w:pPr>
      <w:r>
        <w:rPr>
          <w:rFonts w:ascii="Times New Roman" w:cs="Times New Roman" w:eastAsia="Times New Roman" w:hAnsi="Times New Roman"/>
          <w:sz w:val="13"/>
          <w:szCs w:val="13"/>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3"/>
          <w:szCs w:val="13"/>
          <w:i w:val="1"/>
          <w:iCs w:val="1"/>
          <w:color w:val="auto"/>
        </w:rPr>
        <w:t>www.wm.com.</w:t>
      </w:r>
      <w:r>
        <w:rPr>
          <w:rFonts w:ascii="Times New Roman" w:cs="Times New Roman" w:eastAsia="Times New Roman" w:hAnsi="Times New Roman"/>
          <w:sz w:val="13"/>
          <w:szCs w:val="13"/>
          <w:color w:val="auto"/>
        </w:rPr>
        <w:t xml:space="preserve"> Information contained on, or that can be accessed through, our website is not incorporated by reference into this prospectus and does not constitute a part of this prospectus.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08" w:lineRule="exact"/>
        <w:rPr>
          <w:sz w:val="20"/>
          <w:szCs w:val="20"/>
          <w:color w:val="auto"/>
        </w:rPr>
      </w:pPr>
    </w:p>
    <w:p>
      <w:pPr>
        <w:ind w:left="1520" w:right="1619" w:firstLine="262"/>
        <w:spacing w:after="0" w:line="255" w:lineRule="auto"/>
        <w:rPr>
          <w:sz w:val="20"/>
          <w:szCs w:val="20"/>
          <w:color w:val="auto"/>
        </w:rPr>
      </w:pPr>
      <w:r>
        <w:rPr>
          <w:rFonts w:ascii="Times New Roman" w:cs="Times New Roman" w:eastAsia="Times New Roman" w:hAnsi="Times New Roman"/>
          <w:sz w:val="13"/>
          <w:szCs w:val="13"/>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2" w:name="page53"/>
    <w:bookmarkEnd w:id="52"/>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18" w:lineRule="exact"/>
        <w:rPr>
          <w:sz w:val="20"/>
          <w:szCs w:val="20"/>
          <w:color w:val="auto"/>
        </w:rPr>
      </w:pPr>
    </w:p>
    <w:p>
      <w:pPr>
        <w:ind w:left="1520" w:right="1619" w:firstLine="262"/>
        <w:spacing w:after="0" w:line="258" w:lineRule="auto"/>
        <w:rPr>
          <w:sz w:val="20"/>
          <w:szCs w:val="20"/>
          <w:color w:val="auto"/>
        </w:rPr>
      </w:pPr>
      <w:r>
        <w:rPr>
          <w:rFonts w:ascii="Times New Roman" w:cs="Times New Roman" w:eastAsia="Times New Roman" w:hAnsi="Times New Roman"/>
          <w:sz w:val="13"/>
          <w:szCs w:val="13"/>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3" w:name="page54"/>
    <w:bookmarkEnd w:id="53"/>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THE DEBT SECURITIES</w:t>
      </w:r>
    </w:p>
    <w:p>
      <w:pPr>
        <w:spacing w:after="0" w:line="118" w:lineRule="exact"/>
        <w:rPr>
          <w:sz w:val="20"/>
          <w:szCs w:val="20"/>
          <w:color w:val="auto"/>
        </w:rPr>
      </w:pPr>
    </w:p>
    <w:p>
      <w:pPr>
        <w:ind w:left="1520" w:right="1559" w:firstLine="262"/>
        <w:spacing w:after="0" w:line="257" w:lineRule="auto"/>
        <w:rPr>
          <w:sz w:val="20"/>
          <w:szCs w:val="20"/>
          <w:color w:val="auto"/>
        </w:rPr>
      </w:pPr>
      <w:r>
        <w:rPr>
          <w:rFonts w:ascii="Times New Roman" w:cs="Times New Roman" w:eastAsia="Times New Roman" w:hAnsi="Times New Roman"/>
          <w:sz w:val="13"/>
          <w:szCs w:val="13"/>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86" w:lineRule="exact"/>
        <w:rPr>
          <w:sz w:val="20"/>
          <w:szCs w:val="20"/>
          <w:color w:val="auto"/>
        </w:rPr>
      </w:pPr>
    </w:p>
    <w:p>
      <w:pPr>
        <w:ind w:left="1520" w:right="1539" w:firstLine="262"/>
        <w:spacing w:after="0" w:line="258" w:lineRule="auto"/>
        <w:rPr>
          <w:sz w:val="20"/>
          <w:szCs w:val="20"/>
          <w:color w:val="auto"/>
        </w:rPr>
      </w:pPr>
      <w:r>
        <w:rPr>
          <w:rFonts w:ascii="Times New Roman" w:cs="Times New Roman" w:eastAsia="Times New Roman" w:hAnsi="Times New Roman"/>
          <w:sz w:val="13"/>
          <w:szCs w:val="13"/>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3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Provisions Applicable to Each Indenture</w:t>
      </w:r>
    </w:p>
    <w:p>
      <w:pPr>
        <w:spacing w:after="0" w:line="106" w:lineRule="exact"/>
        <w:rPr>
          <w:sz w:val="20"/>
          <w:szCs w:val="20"/>
          <w:color w:val="auto"/>
        </w:rPr>
      </w:pPr>
    </w:p>
    <w:p>
      <w:pPr>
        <w:ind w:left="1520" w:right="1739" w:firstLine="262"/>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General. </w:t>
      </w:r>
      <w:r>
        <w:rPr>
          <w:rFonts w:ascii="Times New Roman" w:cs="Times New Roman" w:eastAsia="Times New Roman" w:hAnsi="Times New Roman"/>
          <w:sz w:val="13"/>
          <w:szCs w:val="13"/>
          <w:color w:val="auto"/>
        </w:rPr>
        <w:t>Neither indenture limits the amount of debt securities that may be issued under that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77" w:lineRule="exact"/>
        <w:rPr>
          <w:sz w:val="20"/>
          <w:szCs w:val="20"/>
          <w:color w:val="auto"/>
        </w:rPr>
      </w:pPr>
    </w:p>
    <w:p>
      <w:pPr>
        <w:ind w:left="1520" w:right="1659" w:firstLine="262"/>
        <w:spacing w:after="0" w:line="290" w:lineRule="auto"/>
        <w:rPr>
          <w:sz w:val="20"/>
          <w:szCs w:val="20"/>
          <w:color w:val="auto"/>
        </w:rPr>
      </w:pPr>
      <w:r>
        <w:rPr>
          <w:rFonts w:ascii="Times New Roman" w:cs="Times New Roman" w:eastAsia="Times New Roman" w:hAnsi="Times New Roman"/>
          <w:sz w:val="13"/>
          <w:szCs w:val="13"/>
          <w:i w:val="1"/>
          <w:iCs w:val="1"/>
          <w:color w:val="auto"/>
        </w:rPr>
        <w:t xml:space="preserve">Terms. </w:t>
      </w:r>
      <w:r>
        <w:rPr>
          <w:rFonts w:ascii="Times New Roman" w:cs="Times New Roman" w:eastAsia="Times New Roman" w:hAnsi="Times New Roman"/>
          <w:sz w:val="13"/>
          <w:szCs w:val="13"/>
          <w:color w:val="auto"/>
        </w:rPr>
        <w:t>The prospectus supplement relating to any series of debt securities being offered will include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specific terms relating to the offering. These terms will include some or all of the following:</w:t>
      </w:r>
    </w:p>
    <w:p>
      <w:pPr>
        <w:spacing w:after="0" w:line="34" w:lineRule="exact"/>
        <w:rPr>
          <w:sz w:val="20"/>
          <w:szCs w:val="20"/>
          <w:color w:val="auto"/>
        </w:rPr>
      </w:pPr>
    </w:p>
    <w:p>
      <w:pPr>
        <w:ind w:left="1900" w:hanging="124"/>
        <w:spacing w:after="0"/>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will be senior or subordinated debt securities;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debt securities;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principal amount of the debt securities;</w:t>
      </w:r>
    </w:p>
    <w:p>
      <w:pPr>
        <w:spacing w:after="0" w:line="86" w:lineRule="exact"/>
        <w:rPr>
          <w:rFonts w:ascii="Times New Roman" w:cs="Times New Roman" w:eastAsia="Times New Roman" w:hAnsi="Times New Roman"/>
          <w:sz w:val="13"/>
          <w:szCs w:val="13"/>
          <w:color w:val="auto"/>
        </w:rPr>
      </w:pPr>
    </w:p>
    <w:p>
      <w:pPr>
        <w:ind w:left="1900" w:right="1719" w:hanging="124"/>
        <w:spacing w:after="0" w:line="286" w:lineRule="auto"/>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will be issued in individual certificates to each holder or in the form of temporary or permanent global securities held by a depositary on behalf of holders;</w:t>
      </w:r>
    </w:p>
    <w:p>
      <w:pPr>
        <w:spacing w:after="0" w:line="4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on which the principal of and any premium on the debt securities will be payable;</w:t>
      </w:r>
    </w:p>
    <w:p>
      <w:pPr>
        <w:spacing w:after="0" w:line="86" w:lineRule="exact"/>
        <w:rPr>
          <w:rFonts w:ascii="Times New Roman" w:cs="Times New Roman" w:eastAsia="Times New Roman" w:hAnsi="Times New Roman"/>
          <w:sz w:val="13"/>
          <w:szCs w:val="13"/>
          <w:color w:val="auto"/>
        </w:rPr>
      </w:pPr>
    </w:p>
    <w:p>
      <w:pPr>
        <w:ind w:left="1900" w:right="1739" w:hanging="124"/>
        <w:spacing w:after="0" w:line="286" w:lineRule="auto"/>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interest rate (or the method of calculating the interest rate, if applicable), the date from which interest will accrue, interest payment dates and record dates for interest payments;</w:t>
      </w:r>
    </w:p>
    <w:p>
      <w:pPr>
        <w:spacing w:after="0" w:line="37"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right to extend or defer the interest payment periods and the duration of the extension;</w:t>
      </w:r>
    </w:p>
    <w:p>
      <w:pPr>
        <w:spacing w:after="0" w:line="86" w:lineRule="exact"/>
        <w:rPr>
          <w:rFonts w:ascii="Times New Roman" w:cs="Times New Roman" w:eastAsia="Times New Roman" w:hAnsi="Times New Roman"/>
          <w:sz w:val="13"/>
          <w:szCs w:val="13"/>
          <w:color w:val="auto"/>
        </w:rPr>
      </w:pPr>
    </w:p>
    <w:p>
      <w:pPr>
        <w:ind w:left="1900" w:right="1539" w:hanging="124"/>
        <w:spacing w:after="0" w:line="286" w:lineRule="auto"/>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and under what circumstances any additional amounts with respect to the debt securities will be payable;</w:t>
      </w:r>
    </w:p>
    <w:p>
      <w:pPr>
        <w:spacing w:after="0" w:line="37"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payments on the debt securities will be payable;</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for optional redemption or early repayment;</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that would require the redemption, purchase or repayment of debt securities;</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denominations in which the debt securities will be issued;</w:t>
      </w:r>
    </w:p>
    <w:p>
      <w:pPr>
        <w:spacing w:after="0" w:line="86" w:lineRule="exact"/>
        <w:rPr>
          <w:rFonts w:ascii="Times New Roman" w:cs="Times New Roman" w:eastAsia="Times New Roman" w:hAnsi="Times New Roman"/>
          <w:sz w:val="13"/>
          <w:szCs w:val="13"/>
          <w:color w:val="auto"/>
        </w:rPr>
      </w:pPr>
    </w:p>
    <w:p>
      <w:pPr>
        <w:ind w:left="1900" w:right="1819" w:hanging="124"/>
        <w:spacing w:after="0" w:line="286" w:lineRule="auto"/>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payments on the debt securities will be payable in foreign currency or currency units or another form and whether payments will be payable by reference to any index or formula;</w:t>
      </w:r>
    </w:p>
    <w:p>
      <w:pPr>
        <w:spacing w:after="0" w:line="37" w:lineRule="exact"/>
        <w:rPr>
          <w:rFonts w:ascii="Times New Roman" w:cs="Times New Roman" w:eastAsia="Times New Roman" w:hAnsi="Times New Roman"/>
          <w:sz w:val="13"/>
          <w:szCs w:val="13"/>
          <w:color w:val="auto"/>
        </w:rPr>
      </w:pPr>
    </w:p>
    <w:p>
      <w:pPr>
        <w:ind w:left="1900" w:right="2139" w:hanging="124"/>
        <w:spacing w:after="0" w:line="286" w:lineRule="auto"/>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the principal amount of debt securities that will be payable if the maturity is accelerated, if other than the entire principal amount;</w:t>
      </w:r>
    </w:p>
    <w:p>
      <w:pPr>
        <w:spacing w:after="0" w:line="37" w:lineRule="exact"/>
        <w:rPr>
          <w:rFonts w:ascii="Times New Roman" w:cs="Times New Roman" w:eastAsia="Times New Roman" w:hAnsi="Times New Roman"/>
          <w:sz w:val="13"/>
          <w:szCs w:val="13"/>
          <w:color w:val="auto"/>
        </w:rPr>
      </w:pPr>
    </w:p>
    <w:p>
      <w:pPr>
        <w:ind w:left="1900" w:right="1599" w:hanging="124"/>
        <w:spacing w:after="0" w:line="286" w:lineRule="auto"/>
        <w:tabs>
          <w:tab w:leader="none" w:pos="19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additional means of defeasance of the debt securities, any additional conditions or limitations to defeasance of the debt securities or any changes to those conditions or limitations;</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4" w:name="page55"/>
    <w:bookmarkEnd w:id="5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00" w:hanging="124"/>
        <w:spacing w:after="0"/>
        <w:tabs>
          <w:tab w:leader="none" w:pos="1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changes or additions to the events of default or covenants described in this prospectus;</w:t>
      </w:r>
    </w:p>
    <w:p>
      <w:pPr>
        <w:spacing w:after="0" w:line="9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restrictions or other provisions relating to the transfer or exchange of debt securities;</w:t>
      </w:r>
    </w:p>
    <w:p>
      <w:pPr>
        <w:spacing w:after="0" w:line="86" w:lineRule="exact"/>
        <w:rPr>
          <w:rFonts w:ascii="Times New Roman" w:cs="Times New Roman" w:eastAsia="Times New Roman" w:hAnsi="Times New Roman"/>
          <w:sz w:val="13"/>
          <w:szCs w:val="13"/>
          <w:color w:val="auto"/>
        </w:rPr>
      </w:pPr>
    </w:p>
    <w:p>
      <w:pPr>
        <w:ind w:left="1900" w:right="2079" w:hanging="124"/>
        <w:spacing w:after="0" w:line="286" w:lineRule="auto"/>
        <w:tabs>
          <w:tab w:leader="none" w:pos="1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terms for the conversion or exchange of the debt securities for other securities of Waste Management, Inc. or any other entity;</w:t>
      </w:r>
    </w:p>
    <w:p>
      <w:pPr>
        <w:spacing w:after="0" w:line="37" w:lineRule="exact"/>
        <w:rPr>
          <w:rFonts w:ascii="Times New Roman" w:cs="Times New Roman" w:eastAsia="Times New Roman" w:hAnsi="Times New Roman"/>
          <w:sz w:val="13"/>
          <w:szCs w:val="13"/>
          <w:color w:val="auto"/>
        </w:rPr>
      </w:pPr>
    </w:p>
    <w:p>
      <w:pPr>
        <w:ind w:left="1900" w:right="1919" w:hanging="124"/>
        <w:spacing w:after="0" w:line="286" w:lineRule="auto"/>
        <w:tabs>
          <w:tab w:leader="none" w:pos="1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subordinated indenture, any changes to the subordination provisions for the subordinated debt securities; and</w:t>
      </w:r>
    </w:p>
    <w:p>
      <w:pPr>
        <w:spacing w:after="0" w:line="37"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debt securities not inconsistent with the applicable indenture.</w:t>
      </w:r>
    </w:p>
    <w:p>
      <w:pPr>
        <w:spacing w:after="0" w:line="116" w:lineRule="exact"/>
        <w:rPr>
          <w:sz w:val="20"/>
          <w:szCs w:val="20"/>
          <w:color w:val="auto"/>
        </w:rPr>
      </w:pPr>
    </w:p>
    <w:p>
      <w:pPr>
        <w:ind w:left="1520" w:right="1639" w:firstLine="262"/>
        <w:spacing w:after="0" w:line="264" w:lineRule="auto"/>
        <w:rPr>
          <w:sz w:val="20"/>
          <w:szCs w:val="20"/>
          <w:color w:val="auto"/>
        </w:rPr>
      </w:pPr>
      <w:r>
        <w:rPr>
          <w:rFonts w:ascii="Times New Roman" w:cs="Times New Roman" w:eastAsia="Times New Roman" w:hAnsi="Times New Roman"/>
          <w:sz w:val="13"/>
          <w:szCs w:val="13"/>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80" w:lineRule="exact"/>
        <w:rPr>
          <w:sz w:val="20"/>
          <w:szCs w:val="20"/>
          <w:color w:val="auto"/>
        </w:rPr>
      </w:pPr>
    </w:p>
    <w:p>
      <w:pPr>
        <w:ind w:left="1520" w:right="1559" w:firstLine="262"/>
        <w:spacing w:after="0" w:line="264" w:lineRule="auto"/>
        <w:rPr>
          <w:sz w:val="20"/>
          <w:szCs w:val="20"/>
          <w:color w:val="auto"/>
        </w:rPr>
      </w:pPr>
      <w:r>
        <w:rPr>
          <w:rFonts w:ascii="Times New Roman" w:cs="Times New Roman" w:eastAsia="Times New Roman" w:hAnsi="Times New Roman"/>
          <w:sz w:val="13"/>
          <w:szCs w:val="13"/>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68" w:lineRule="exact"/>
        <w:rPr>
          <w:sz w:val="20"/>
          <w:szCs w:val="20"/>
          <w:color w:val="auto"/>
        </w:rPr>
      </w:pPr>
    </w:p>
    <w:p>
      <w:pPr>
        <w:ind w:left="1520" w:right="1539" w:firstLine="262"/>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Consolidation, Merger and Sale of Assets. </w:t>
      </w:r>
      <w:r>
        <w:rPr>
          <w:rFonts w:ascii="Times New Roman" w:cs="Times New Roman" w:eastAsia="Times New Roman" w:hAnsi="Times New Roman"/>
          <w:sz w:val="13"/>
          <w:szCs w:val="13"/>
          <w:color w:val="auto"/>
        </w:rPr>
        <w:t>The indentures generally prohibit a consolidation or merger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Waste Management, Inc. into another person, or a conveyance, transfer or lease of our properties and assets substantially as an entirety to another person unless:</w:t>
      </w:r>
    </w:p>
    <w:p>
      <w:pPr>
        <w:spacing w:after="0" w:line="46" w:lineRule="exact"/>
        <w:rPr>
          <w:sz w:val="20"/>
          <w:szCs w:val="20"/>
          <w:color w:val="auto"/>
        </w:rPr>
      </w:pPr>
    </w:p>
    <w:p>
      <w:pPr>
        <w:ind w:left="1900" w:right="1739" w:hanging="124"/>
        <w:spacing w:after="0" w:line="264" w:lineRule="auto"/>
        <w:tabs>
          <w:tab w:leader="none" w:pos="19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50" w:lineRule="exact"/>
        <w:rPr>
          <w:rFonts w:ascii="Times New Roman" w:cs="Times New Roman" w:eastAsia="Times New Roman" w:hAnsi="Times New Roman"/>
          <w:sz w:val="13"/>
          <w:szCs w:val="13"/>
          <w:color w:val="auto"/>
        </w:rPr>
      </w:pPr>
    </w:p>
    <w:p>
      <w:pPr>
        <w:ind w:left="1900" w:right="1639" w:hanging="124"/>
        <w:spacing w:after="0" w:line="286" w:lineRule="auto"/>
        <w:tabs>
          <w:tab w:leader="none" w:pos="19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the transaction, no default or event of default would occur and be continuing or would result from the transaction.</w:t>
      </w:r>
    </w:p>
    <w:p>
      <w:pPr>
        <w:spacing w:after="0" w:line="67" w:lineRule="exact"/>
        <w:rPr>
          <w:sz w:val="20"/>
          <w:szCs w:val="20"/>
          <w:color w:val="auto"/>
        </w:rPr>
      </w:pPr>
    </w:p>
    <w:p>
      <w:pPr>
        <w:jc w:val="both"/>
        <w:ind w:left="1520" w:right="1819" w:firstLine="262"/>
        <w:spacing w:after="0" w:line="269" w:lineRule="auto"/>
        <w:rPr>
          <w:sz w:val="20"/>
          <w:szCs w:val="20"/>
          <w:color w:val="auto"/>
        </w:rPr>
      </w:pPr>
      <w:r>
        <w:rPr>
          <w:rFonts w:ascii="Times New Roman" w:cs="Times New Roman" w:eastAsia="Times New Roman" w:hAnsi="Times New Roman"/>
          <w:sz w:val="13"/>
          <w:szCs w:val="13"/>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76" w:lineRule="exact"/>
        <w:rPr>
          <w:sz w:val="20"/>
          <w:szCs w:val="20"/>
          <w:color w:val="auto"/>
        </w:rPr>
      </w:pPr>
    </w:p>
    <w:p>
      <w:pPr>
        <w:ind w:left="1520" w:right="1899" w:firstLine="262"/>
        <w:spacing w:after="0" w:line="290" w:lineRule="auto"/>
        <w:rPr>
          <w:sz w:val="20"/>
          <w:szCs w:val="20"/>
          <w:color w:val="auto"/>
        </w:rPr>
      </w:pPr>
      <w:r>
        <w:rPr>
          <w:rFonts w:ascii="Times New Roman" w:cs="Times New Roman" w:eastAsia="Times New Roman" w:hAnsi="Times New Roman"/>
          <w:sz w:val="13"/>
          <w:szCs w:val="13"/>
          <w:i w:val="1"/>
          <w:iCs w:val="1"/>
          <w:color w:val="auto"/>
        </w:rPr>
        <w:t xml:space="preserve">Events of Default. </w:t>
      </w:r>
      <w:r>
        <w:rPr>
          <w:rFonts w:ascii="Times New Roman" w:cs="Times New Roman" w:eastAsia="Times New Roman" w:hAnsi="Times New Roman"/>
          <w:sz w:val="13"/>
          <w:szCs w:val="13"/>
          <w:color w:val="auto"/>
        </w:rPr>
        <w:t>Unless we inform you otherwise in the applicable prospectus supplement,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following are events of default with respect to a series of debt securities:</w:t>
      </w:r>
    </w:p>
    <w:p>
      <w:pPr>
        <w:spacing w:after="0" w:line="34" w:lineRule="exact"/>
        <w:rPr>
          <w:sz w:val="20"/>
          <w:szCs w:val="20"/>
          <w:color w:val="auto"/>
        </w:rPr>
      </w:pPr>
    </w:p>
    <w:p>
      <w:pPr>
        <w:ind w:left="1900" w:hanging="124"/>
        <w:spacing w:after="0"/>
        <w:tabs>
          <w:tab w:leader="none" w:pos="1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pay interest on that series of debt securities for 30 days when due;</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pay principal of or any premium on that series of debt securities when due;</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deposit into any sinking fund when due;</w:t>
      </w:r>
    </w:p>
    <w:p>
      <w:pPr>
        <w:spacing w:after="0" w:line="86" w:lineRule="exact"/>
        <w:rPr>
          <w:rFonts w:ascii="Times New Roman" w:cs="Times New Roman" w:eastAsia="Times New Roman" w:hAnsi="Times New Roman"/>
          <w:sz w:val="13"/>
          <w:szCs w:val="13"/>
          <w:color w:val="auto"/>
        </w:rPr>
      </w:pPr>
    </w:p>
    <w:p>
      <w:pPr>
        <w:ind w:left="1900" w:right="1559" w:hanging="124"/>
        <w:spacing w:after="0" w:line="259" w:lineRule="auto"/>
        <w:tabs>
          <w:tab w:leader="none" w:pos="1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4"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specified events involving bankruptcy, insolvency or reorganization; and</w:t>
      </w:r>
    </w:p>
    <w:p>
      <w:pPr>
        <w:spacing w:after="0" w:line="9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provided for that series of debt securities.</w:t>
      </w:r>
    </w:p>
    <w:p>
      <w:pPr>
        <w:spacing w:after="0" w:line="106" w:lineRule="exact"/>
        <w:rPr>
          <w:sz w:val="20"/>
          <w:szCs w:val="20"/>
          <w:color w:val="auto"/>
        </w:rPr>
      </w:pPr>
    </w:p>
    <w:p>
      <w:pPr>
        <w:ind w:left="1520" w:right="1699" w:firstLine="262"/>
        <w:spacing w:after="0" w:line="261" w:lineRule="auto"/>
        <w:rPr>
          <w:sz w:val="20"/>
          <w:szCs w:val="20"/>
          <w:color w:val="auto"/>
        </w:rPr>
      </w:pPr>
      <w:r>
        <w:rPr>
          <w:rFonts w:ascii="Times New Roman" w:cs="Times New Roman" w:eastAsia="Times New Roman" w:hAnsi="Times New Roman"/>
          <w:sz w:val="13"/>
          <w:szCs w:val="13"/>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187960</wp:posOffset>
            </wp:positionV>
            <wp:extent cx="498411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5" w:name="page56"/>
    <w:bookmarkEnd w:id="55"/>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659" w:firstLine="262"/>
        <w:spacing w:after="0" w:line="286" w:lineRule="auto"/>
        <w:rPr>
          <w:sz w:val="20"/>
          <w:szCs w:val="20"/>
          <w:color w:val="auto"/>
        </w:rPr>
      </w:pPr>
      <w:r>
        <w:rPr>
          <w:rFonts w:ascii="Times New Roman" w:cs="Times New Roman" w:eastAsia="Times New Roman" w:hAnsi="Times New Roman"/>
          <w:sz w:val="13"/>
          <w:szCs w:val="13"/>
          <w:color w:val="auto"/>
        </w:rPr>
        <w:t>A holder of a debt security of any series issued under an indenture may pursue any remedy under that indenture only if:</w:t>
      </w:r>
    </w:p>
    <w:p>
      <w:pPr>
        <w:spacing w:after="0" w:line="47" w:lineRule="exact"/>
        <w:rPr>
          <w:sz w:val="20"/>
          <w:szCs w:val="20"/>
          <w:color w:val="auto"/>
        </w:rPr>
      </w:pPr>
    </w:p>
    <w:p>
      <w:pPr>
        <w:ind w:left="1900" w:hanging="124"/>
        <w:spacing w:after="0"/>
        <w:tabs>
          <w:tab w:leader="none" w:pos="1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gives the trustee written notice of a continuing event of default for that series;</w:t>
      </w:r>
    </w:p>
    <w:p>
      <w:pPr>
        <w:spacing w:after="0" w:line="86" w:lineRule="exact"/>
        <w:rPr>
          <w:rFonts w:ascii="Times New Roman" w:cs="Times New Roman" w:eastAsia="Times New Roman" w:hAnsi="Times New Roman"/>
          <w:sz w:val="13"/>
          <w:szCs w:val="13"/>
          <w:color w:val="auto"/>
        </w:rPr>
      </w:pPr>
    </w:p>
    <w:p>
      <w:pPr>
        <w:ind w:left="1900" w:right="1599" w:hanging="124"/>
        <w:spacing w:after="0" w:line="286" w:lineRule="auto"/>
        <w:tabs>
          <w:tab w:leader="none" w:pos="1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 at least 25% in principal amount of the outstanding debt securities of that series make a written request to the trustee to pursue the remedy;</w:t>
      </w:r>
    </w:p>
    <w:p>
      <w:pPr>
        <w:spacing w:after="0" w:line="4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offer to the trustee indemnity satisfactory to the trustee;</w:t>
      </w:r>
    </w:p>
    <w:p>
      <w:pPr>
        <w:spacing w:after="0" w:line="9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fails to act for a period of 60 days after receipt of the request and offer of indemnity; and</w:t>
      </w:r>
    </w:p>
    <w:p>
      <w:pPr>
        <w:spacing w:after="0" w:line="86" w:lineRule="exact"/>
        <w:rPr>
          <w:rFonts w:ascii="Times New Roman" w:cs="Times New Roman" w:eastAsia="Times New Roman" w:hAnsi="Times New Roman"/>
          <w:sz w:val="13"/>
          <w:szCs w:val="13"/>
          <w:color w:val="auto"/>
        </w:rPr>
      </w:pPr>
    </w:p>
    <w:p>
      <w:pPr>
        <w:ind w:left="1900" w:right="1599" w:hanging="124"/>
        <w:spacing w:after="0" w:line="286" w:lineRule="auto"/>
        <w:tabs>
          <w:tab w:leader="none" w:pos="1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that 60-day period, the holders of a majority in principal amount of the debt securities of that series do not give the trustee a direction inconsistent with the request.</w:t>
      </w:r>
    </w:p>
    <w:p>
      <w:pPr>
        <w:spacing w:after="0" w:line="67" w:lineRule="exact"/>
        <w:rPr>
          <w:sz w:val="20"/>
          <w:szCs w:val="20"/>
          <w:color w:val="auto"/>
        </w:rPr>
      </w:pPr>
    </w:p>
    <w:p>
      <w:pPr>
        <w:ind w:left="1520" w:right="1639" w:firstLine="262"/>
        <w:spacing w:after="0" w:line="286" w:lineRule="auto"/>
        <w:rPr>
          <w:sz w:val="20"/>
          <w:szCs w:val="20"/>
          <w:color w:val="auto"/>
        </w:rPr>
      </w:pPr>
      <w:r>
        <w:rPr>
          <w:rFonts w:ascii="Times New Roman" w:cs="Times New Roman" w:eastAsia="Times New Roman" w:hAnsi="Times New Roman"/>
          <w:sz w:val="13"/>
          <w:szCs w:val="13"/>
          <w:color w:val="auto"/>
        </w:rPr>
        <w:t>This provision does not, however, affect the right of a holder of a debt security to sue for enforcement of any overdue payment.</w:t>
      </w:r>
    </w:p>
    <w:p>
      <w:pPr>
        <w:spacing w:after="0" w:line="67" w:lineRule="exact"/>
        <w:rPr>
          <w:sz w:val="20"/>
          <w:szCs w:val="20"/>
          <w:color w:val="auto"/>
        </w:rPr>
      </w:pPr>
    </w:p>
    <w:p>
      <w:pPr>
        <w:ind w:left="1520" w:right="1739" w:firstLine="262"/>
        <w:spacing w:after="0" w:line="264" w:lineRule="auto"/>
        <w:rPr>
          <w:sz w:val="20"/>
          <w:szCs w:val="20"/>
          <w:color w:val="auto"/>
        </w:rPr>
      </w:pPr>
      <w:r>
        <w:rPr>
          <w:rFonts w:ascii="Times New Roman" w:cs="Times New Roman" w:eastAsia="Times New Roman" w:hAnsi="Times New Roman"/>
          <w:sz w:val="13"/>
          <w:szCs w:val="13"/>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50" w:lineRule="exact"/>
        <w:rPr>
          <w:sz w:val="20"/>
          <w:szCs w:val="20"/>
          <w:color w:val="auto"/>
        </w:rPr>
      </w:pPr>
    </w:p>
    <w:p>
      <w:pPr>
        <w:ind w:left="1900" w:hanging="124"/>
        <w:spacing w:after="0"/>
        <w:tabs>
          <w:tab w:leader="none" w:pos="1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conducting any proceeding for any remedy available to the trustee; and</w:t>
      </w:r>
    </w:p>
    <w:p>
      <w:pPr>
        <w:spacing w:after="0" w:line="86" w:lineRule="exact"/>
        <w:rPr>
          <w:rFonts w:ascii="Times New Roman" w:cs="Times New Roman" w:eastAsia="Times New Roman" w:hAnsi="Times New Roman"/>
          <w:sz w:val="13"/>
          <w:szCs w:val="13"/>
          <w:color w:val="auto"/>
        </w:rPr>
      </w:pPr>
    </w:p>
    <w:p>
      <w:pPr>
        <w:ind w:left="1900" w:right="1619" w:hanging="124"/>
        <w:spacing w:after="0" w:line="286" w:lineRule="auto"/>
        <w:tabs>
          <w:tab w:leader="none" w:pos="1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exercising any trust or power conferred on the trustee relating to or arising as a result of an event of default.</w:t>
      </w:r>
    </w:p>
    <w:p>
      <w:pPr>
        <w:spacing w:after="0" w:line="67" w:lineRule="exact"/>
        <w:rPr>
          <w:sz w:val="20"/>
          <w:szCs w:val="20"/>
          <w:color w:val="auto"/>
        </w:rPr>
      </w:pPr>
    </w:p>
    <w:p>
      <w:pPr>
        <w:ind w:left="1520" w:right="1779" w:firstLine="262"/>
        <w:spacing w:after="0" w:line="286" w:lineRule="auto"/>
        <w:rPr>
          <w:sz w:val="20"/>
          <w:szCs w:val="20"/>
          <w:color w:val="auto"/>
        </w:rPr>
      </w:pPr>
      <w:r>
        <w:rPr>
          <w:rFonts w:ascii="Times New Roman" w:cs="Times New Roman" w:eastAsia="Times New Roman" w:hAnsi="Times New Roman"/>
          <w:sz w:val="13"/>
          <w:szCs w:val="13"/>
          <w:color w:val="auto"/>
        </w:rPr>
        <w:t>The indentures require us to file each year with the trustee a written statement as to our compliance with the covenants contained in the applicable indenture.</w:t>
      </w:r>
    </w:p>
    <w:p>
      <w:pPr>
        <w:spacing w:after="0" w:line="65" w:lineRule="exact"/>
        <w:rPr>
          <w:sz w:val="20"/>
          <w:szCs w:val="20"/>
          <w:color w:val="auto"/>
        </w:rPr>
      </w:pPr>
    </w:p>
    <w:p>
      <w:pPr>
        <w:ind w:left="1520" w:right="1519" w:firstLine="262"/>
        <w:spacing w:after="0" w:line="260" w:lineRule="auto"/>
        <w:rPr>
          <w:sz w:val="20"/>
          <w:szCs w:val="20"/>
          <w:color w:val="auto"/>
        </w:rPr>
      </w:pPr>
      <w:r>
        <w:rPr>
          <w:rFonts w:ascii="Times New Roman" w:cs="Times New Roman" w:eastAsia="Times New Roman" w:hAnsi="Times New Roman"/>
          <w:sz w:val="13"/>
          <w:szCs w:val="13"/>
          <w:i w:val="1"/>
          <w:iCs w:val="1"/>
          <w:color w:val="auto"/>
        </w:rPr>
        <w:t xml:space="preserve">Modification and Waiver. </w:t>
      </w:r>
      <w:r>
        <w:rPr>
          <w:rFonts w:ascii="Times New Roman" w:cs="Times New Roman" w:eastAsia="Times New Roman" w:hAnsi="Times New Roman"/>
          <w:sz w:val="13"/>
          <w:szCs w:val="13"/>
          <w:color w:val="auto"/>
        </w:rPr>
        <w:t>Each indenture may be amended or supplemented if the majority in principal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53" w:lineRule="exact"/>
        <w:rPr>
          <w:sz w:val="20"/>
          <w:szCs w:val="20"/>
          <w:color w:val="auto"/>
        </w:rPr>
      </w:pPr>
    </w:p>
    <w:p>
      <w:pPr>
        <w:ind w:left="1900" w:right="1719" w:hanging="124"/>
        <w:spacing w:after="0" w:line="286" w:lineRule="auto"/>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amount of debt securities whose holders must consent to an amendment, supplement or waiver;</w:t>
      </w:r>
    </w:p>
    <w:p>
      <w:pPr>
        <w:spacing w:after="0" w:line="4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rate of or change the time for payment of interest on the debt security;</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of the debt security or change its stated maturity;</w:t>
      </w:r>
    </w:p>
    <w:p>
      <w:pPr>
        <w:spacing w:after="0" w:line="96" w:lineRule="exact"/>
        <w:rPr>
          <w:rFonts w:ascii="Times New Roman" w:cs="Times New Roman" w:eastAsia="Times New Roman" w:hAnsi="Times New Roman"/>
          <w:sz w:val="13"/>
          <w:szCs w:val="13"/>
          <w:color w:val="auto"/>
        </w:rPr>
      </w:pPr>
    </w:p>
    <w:p>
      <w:pPr>
        <w:ind w:left="1900" w:right="1639" w:hanging="124"/>
        <w:spacing w:after="0" w:line="286" w:lineRule="auto"/>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any premium payable on the redemption of the debt security or change the time at which the debt security may or must be redeemed;</w:t>
      </w:r>
    </w:p>
    <w:p>
      <w:pPr>
        <w:spacing w:after="0" w:line="4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any obligation to pay additional amounts on the debt security;</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any obligation for us to maintain a paying agency;</w:t>
      </w:r>
    </w:p>
    <w:p>
      <w:pPr>
        <w:spacing w:after="0" w:line="96" w:lineRule="exact"/>
        <w:rPr>
          <w:rFonts w:ascii="Times New Roman" w:cs="Times New Roman" w:eastAsia="Times New Roman" w:hAnsi="Times New Roman"/>
          <w:sz w:val="13"/>
          <w:szCs w:val="13"/>
          <w:color w:val="auto"/>
        </w:rPr>
      </w:pPr>
    </w:p>
    <w:p>
      <w:pPr>
        <w:ind w:left="1900" w:right="1739" w:hanging="124"/>
        <w:spacing w:after="0" w:line="286" w:lineRule="auto"/>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payments on the debt security payable in currency other than as originally stated in the debt security;</w:t>
      </w:r>
    </w:p>
    <w:p>
      <w:pPr>
        <w:spacing w:after="0" w:line="46" w:lineRule="exact"/>
        <w:rPr>
          <w:rFonts w:ascii="Times New Roman" w:cs="Times New Roman" w:eastAsia="Times New Roman" w:hAnsi="Times New Roman"/>
          <w:sz w:val="13"/>
          <w:szCs w:val="13"/>
          <w:color w:val="auto"/>
        </w:rPr>
      </w:pPr>
    </w:p>
    <w:p>
      <w:pPr>
        <w:ind w:left="1900" w:right="1539" w:hanging="124"/>
        <w:spacing w:after="0" w:line="286" w:lineRule="auto"/>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impair the holder’s right to institute suit for the enforcement of any payment on or with respect to the debt security;</w:t>
      </w:r>
    </w:p>
    <w:p>
      <w:pPr>
        <w:spacing w:after="0" w:line="37" w:lineRule="exact"/>
        <w:rPr>
          <w:rFonts w:ascii="Times New Roman" w:cs="Times New Roman" w:eastAsia="Times New Roman" w:hAnsi="Times New Roman"/>
          <w:sz w:val="13"/>
          <w:szCs w:val="13"/>
          <w:color w:val="auto"/>
        </w:rPr>
      </w:pPr>
    </w:p>
    <w:p>
      <w:pPr>
        <w:ind w:left="1900" w:right="1539" w:hanging="124"/>
        <w:spacing w:after="0" w:line="279" w:lineRule="auto"/>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the percentage of principal amount of debt securities necessary to waive compliance with certain provisions of the indenture or to make any change in the provision related to modification; or</w:t>
      </w:r>
    </w:p>
    <w:p>
      <w:pPr>
        <w:spacing w:after="0" w:line="213"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adversely affect the right to convert subordinated debt securities, if applicable.</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6" w:name="page57"/>
    <w:bookmarkEnd w:id="56"/>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99" w:firstLine="262"/>
        <w:spacing w:after="0" w:line="267" w:lineRule="auto"/>
        <w:rPr>
          <w:sz w:val="20"/>
          <w:szCs w:val="20"/>
          <w:color w:val="auto"/>
        </w:rPr>
      </w:pPr>
      <w:r>
        <w:rPr>
          <w:rFonts w:ascii="Times New Roman" w:cs="Times New Roman" w:eastAsia="Times New Roman" w:hAnsi="Times New Roman"/>
          <w:sz w:val="13"/>
          <w:szCs w:val="13"/>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209" w:lineRule="exact"/>
        <w:rPr>
          <w:sz w:val="20"/>
          <w:szCs w:val="20"/>
          <w:color w:val="auto"/>
        </w:rPr>
      </w:pPr>
    </w:p>
    <w:p>
      <w:pPr>
        <w:ind w:left="1900" w:hanging="124"/>
        <w:spacing w:after="0"/>
        <w:tabs>
          <w:tab w:leader="none" w:pos="1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or event of default in any payment on any debt security; or</w:t>
      </w:r>
    </w:p>
    <w:p>
      <w:pPr>
        <w:spacing w:after="0" w:line="96" w:lineRule="exact"/>
        <w:rPr>
          <w:rFonts w:ascii="Times New Roman" w:cs="Times New Roman" w:eastAsia="Times New Roman" w:hAnsi="Times New Roman"/>
          <w:sz w:val="13"/>
          <w:szCs w:val="13"/>
          <w:color w:val="auto"/>
        </w:rPr>
      </w:pPr>
    </w:p>
    <w:p>
      <w:pPr>
        <w:ind w:left="1900" w:right="1719" w:hanging="124"/>
        <w:spacing w:after="0" w:line="286" w:lineRule="auto"/>
        <w:tabs>
          <w:tab w:leader="none" w:pos="1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a provision that cannot be amended or supplemented without the consent of each holder affected.</w:t>
      </w:r>
    </w:p>
    <w:p>
      <w:pPr>
        <w:spacing w:after="0" w:line="55" w:lineRule="exact"/>
        <w:rPr>
          <w:sz w:val="20"/>
          <w:szCs w:val="20"/>
          <w:color w:val="auto"/>
        </w:rPr>
      </w:pPr>
    </w:p>
    <w:p>
      <w:pPr>
        <w:ind w:left="1520" w:right="1519" w:firstLine="262"/>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Defeasance. </w:t>
      </w:r>
      <w:r>
        <w:rPr>
          <w:rFonts w:ascii="Times New Roman" w:cs="Times New Roman" w:eastAsia="Times New Roman" w:hAnsi="Times New Roman"/>
          <w:sz w:val="13"/>
          <w:szCs w:val="13"/>
          <w:color w:val="auto"/>
        </w:rPr>
        <w:t>When we use the term defeasance, we mean discharge from some or all of our obligations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50" w:lineRule="exact"/>
        <w:rPr>
          <w:sz w:val="20"/>
          <w:szCs w:val="20"/>
          <w:color w:val="auto"/>
        </w:rPr>
      </w:pPr>
    </w:p>
    <w:p>
      <w:pPr>
        <w:ind w:left="1900" w:right="1739" w:hanging="124"/>
        <w:spacing w:after="0" w:line="286" w:lineRule="auto"/>
        <w:tabs>
          <w:tab w:leader="none" w:pos="19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be discharged from our obligations with respect to the debt securities of that series and, if applicable, the related guarantees (“legal defeasance”); or</w:t>
      </w:r>
    </w:p>
    <w:p>
      <w:pPr>
        <w:spacing w:after="0" w:line="37" w:lineRule="exact"/>
        <w:rPr>
          <w:rFonts w:ascii="Times New Roman" w:cs="Times New Roman" w:eastAsia="Times New Roman" w:hAnsi="Times New Roman"/>
          <w:sz w:val="13"/>
          <w:szCs w:val="13"/>
          <w:color w:val="auto"/>
        </w:rPr>
      </w:pPr>
    </w:p>
    <w:p>
      <w:pPr>
        <w:jc w:val="both"/>
        <w:ind w:left="1900" w:right="1559" w:hanging="124"/>
        <w:spacing w:after="0" w:line="269" w:lineRule="auto"/>
        <w:tabs>
          <w:tab w:leader="none" w:pos="19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78" w:lineRule="exact"/>
        <w:rPr>
          <w:sz w:val="20"/>
          <w:szCs w:val="20"/>
          <w:color w:val="auto"/>
        </w:rPr>
      </w:pPr>
    </w:p>
    <w:p>
      <w:pPr>
        <w:ind w:left="1520" w:right="1579" w:firstLine="262"/>
        <w:spacing w:after="0" w:line="259" w:lineRule="auto"/>
        <w:rPr>
          <w:sz w:val="20"/>
          <w:szCs w:val="20"/>
          <w:color w:val="auto"/>
        </w:rPr>
      </w:pPr>
      <w:r>
        <w:rPr>
          <w:rFonts w:ascii="Times New Roman" w:cs="Times New Roman" w:eastAsia="Times New Roman" w:hAnsi="Times New Roman"/>
          <w:sz w:val="13"/>
          <w:szCs w:val="13"/>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84" w:lineRule="exact"/>
        <w:rPr>
          <w:sz w:val="20"/>
          <w:szCs w:val="20"/>
          <w:color w:val="auto"/>
        </w:rPr>
      </w:pPr>
    </w:p>
    <w:p>
      <w:pPr>
        <w:ind w:left="1520" w:right="1539" w:firstLine="262"/>
        <w:spacing w:after="0" w:line="262" w:lineRule="auto"/>
        <w:rPr>
          <w:sz w:val="20"/>
          <w:szCs w:val="20"/>
          <w:color w:val="auto"/>
        </w:rPr>
      </w:pPr>
      <w:r>
        <w:rPr>
          <w:rFonts w:ascii="Times New Roman" w:cs="Times New Roman" w:eastAsia="Times New Roman" w:hAnsi="Times New Roman"/>
          <w:sz w:val="13"/>
          <w:szCs w:val="13"/>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230" w:lineRule="exact"/>
        <w:rPr>
          <w:sz w:val="20"/>
          <w:szCs w:val="20"/>
          <w:color w:val="auto"/>
        </w:rPr>
      </w:pPr>
    </w:p>
    <w:p>
      <w:pPr>
        <w:ind w:left="1780"/>
        <w:spacing w:after="0"/>
        <w:tabs>
          <w:tab w:leader="none" w:pos="2740" w:val="left"/>
        </w:tabs>
        <w:rPr>
          <w:sz w:val="20"/>
          <w:szCs w:val="20"/>
          <w:color w:val="auto"/>
        </w:rPr>
      </w:pPr>
      <w:r>
        <w:rPr>
          <w:rFonts w:ascii="Times New Roman" w:cs="Times New Roman" w:eastAsia="Times New Roman" w:hAnsi="Times New Roman"/>
          <w:sz w:val="13"/>
          <w:szCs w:val="13"/>
          <w:i w:val="1"/>
          <w:iCs w:val="1"/>
          <w:color w:val="auto"/>
        </w:rPr>
        <w:t>Governing Law.</w:t>
      </w:r>
      <w:r>
        <w:rPr>
          <w:sz w:val="20"/>
          <w:szCs w:val="20"/>
          <w:color w:val="auto"/>
        </w:rPr>
        <w:tab/>
      </w:r>
      <w:r>
        <w:rPr>
          <w:rFonts w:ascii="Times New Roman" w:cs="Times New Roman" w:eastAsia="Times New Roman" w:hAnsi="Times New Roman"/>
          <w:sz w:val="13"/>
          <w:szCs w:val="13"/>
          <w:color w:val="auto"/>
        </w:rPr>
        <w:t>New York law will govern the indentures and the debt securities.</w:t>
      </w:r>
    </w:p>
    <w:p>
      <w:pPr>
        <w:spacing w:after="0" w:line="116" w:lineRule="exact"/>
        <w:rPr>
          <w:sz w:val="20"/>
          <w:szCs w:val="20"/>
          <w:color w:val="auto"/>
        </w:rPr>
      </w:pPr>
    </w:p>
    <w:p>
      <w:pPr>
        <w:ind w:left="1520" w:right="1559" w:firstLine="262"/>
        <w:spacing w:after="0" w:line="260" w:lineRule="auto"/>
        <w:rPr>
          <w:sz w:val="20"/>
          <w:szCs w:val="20"/>
          <w:color w:val="auto"/>
        </w:rPr>
      </w:pPr>
      <w:r>
        <w:rPr>
          <w:rFonts w:ascii="Times New Roman" w:cs="Times New Roman" w:eastAsia="Times New Roman" w:hAnsi="Times New Roman"/>
          <w:sz w:val="13"/>
          <w:szCs w:val="13"/>
          <w:i w:val="1"/>
          <w:iCs w:val="1"/>
          <w:color w:val="auto"/>
        </w:rPr>
        <w:t xml:space="preserve">Trustee. </w:t>
      </w:r>
      <w:r>
        <w:rPr>
          <w:rFonts w:ascii="Times New Roman" w:cs="Times New Roman" w:eastAsia="Times New Roman" w:hAnsi="Times New Roman"/>
          <w:sz w:val="13"/>
          <w:szCs w:val="13"/>
          <w:color w:val="auto"/>
        </w:rPr>
        <w:t>The Bank of New York Mellon Trust Company, N.A. is the trustee under the senior indenture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245" w:lineRule="exact"/>
        <w:rPr>
          <w:sz w:val="20"/>
          <w:szCs w:val="20"/>
          <w:color w:val="auto"/>
        </w:rPr>
      </w:pPr>
    </w:p>
    <w:p>
      <w:pPr>
        <w:ind w:left="1520" w:right="1539" w:firstLine="262"/>
        <w:spacing w:after="0" w:line="261" w:lineRule="auto"/>
        <w:rPr>
          <w:sz w:val="20"/>
          <w:szCs w:val="20"/>
          <w:color w:val="auto"/>
        </w:rPr>
      </w:pPr>
      <w:r>
        <w:rPr>
          <w:rFonts w:ascii="Times New Roman" w:cs="Times New Roman" w:eastAsia="Times New Roman" w:hAnsi="Times New Roman"/>
          <w:sz w:val="13"/>
          <w:szCs w:val="13"/>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72" w:lineRule="exact"/>
        <w:rPr>
          <w:sz w:val="20"/>
          <w:szCs w:val="20"/>
          <w:color w:val="auto"/>
        </w:rPr>
      </w:pPr>
    </w:p>
    <w:p>
      <w:pPr>
        <w:ind w:left="1520" w:right="1759" w:firstLine="262"/>
        <w:spacing w:after="0" w:line="264" w:lineRule="auto"/>
        <w:rPr>
          <w:sz w:val="20"/>
          <w:szCs w:val="20"/>
          <w:color w:val="auto"/>
        </w:rPr>
      </w:pPr>
      <w:r>
        <w:rPr>
          <w:rFonts w:ascii="Times New Roman" w:cs="Times New Roman" w:eastAsia="Times New Roman" w:hAnsi="Times New Roman"/>
          <w:sz w:val="13"/>
          <w:szCs w:val="13"/>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78" w:lineRule="exact"/>
        <w:rPr>
          <w:sz w:val="20"/>
          <w:szCs w:val="20"/>
          <w:color w:val="auto"/>
        </w:rPr>
      </w:pPr>
    </w:p>
    <w:p>
      <w:pPr>
        <w:ind w:left="1520" w:right="1699" w:firstLine="262"/>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Form, Exchange, Registration and Transfer. </w:t>
      </w:r>
      <w:r>
        <w:rPr>
          <w:rFonts w:ascii="Times New Roman" w:cs="Times New Roman" w:eastAsia="Times New Roman" w:hAnsi="Times New Roman"/>
          <w:sz w:val="13"/>
          <w:szCs w:val="13"/>
          <w:color w:val="auto"/>
        </w:rPr>
        <w:t>The debt securities may be issued in registered form,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7" w:name="page58"/>
    <w:bookmarkEnd w:id="5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79" w:firstLine="262"/>
        <w:spacing w:after="0" w:line="253" w:lineRule="auto"/>
        <w:rPr>
          <w:sz w:val="20"/>
          <w:szCs w:val="20"/>
          <w:color w:val="auto"/>
        </w:rPr>
      </w:pPr>
      <w:r>
        <w:rPr>
          <w:rFonts w:ascii="Times New Roman" w:cs="Times New Roman" w:eastAsia="Times New Roman" w:hAnsi="Times New Roman"/>
          <w:sz w:val="13"/>
          <w:szCs w:val="13"/>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78" w:lineRule="exact"/>
        <w:rPr>
          <w:sz w:val="20"/>
          <w:szCs w:val="20"/>
          <w:color w:val="auto"/>
        </w:rPr>
      </w:pPr>
    </w:p>
    <w:p>
      <w:pPr>
        <w:ind w:left="1520" w:right="1559" w:firstLine="262"/>
        <w:spacing w:after="0" w:line="249" w:lineRule="auto"/>
        <w:rPr>
          <w:sz w:val="20"/>
          <w:szCs w:val="20"/>
          <w:color w:val="auto"/>
        </w:rPr>
      </w:pPr>
      <w:r>
        <w:rPr>
          <w:rFonts w:ascii="Times New Roman" w:cs="Times New Roman" w:eastAsia="Times New Roman" w:hAnsi="Times New Roman"/>
          <w:sz w:val="13"/>
          <w:szCs w:val="13"/>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8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3"/>
          <w:szCs w:val="13"/>
          <w:color w:val="auto"/>
        </w:rPr>
        <w:t>In the case of any redemption, we will not be required to register the transfer or exchange of:</w:t>
      </w:r>
    </w:p>
    <w:p>
      <w:pPr>
        <w:spacing w:after="0" w:line="87" w:lineRule="exact"/>
        <w:rPr>
          <w:sz w:val="20"/>
          <w:szCs w:val="20"/>
          <w:color w:val="auto"/>
        </w:rPr>
      </w:pPr>
    </w:p>
    <w:p>
      <w:pPr>
        <w:ind w:left="1900" w:right="1559" w:hanging="124"/>
        <w:spacing w:after="0" w:line="279" w:lineRule="auto"/>
        <w:tabs>
          <w:tab w:leader="none" w:pos="1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debt security during a period beginning 15 business days prior to the mailing of the relevant notice of redemption or repurchase and ending on the close of business on the day of mailing of such notice; or</w:t>
      </w:r>
    </w:p>
    <w:p>
      <w:pPr>
        <w:spacing w:after="0" w:line="193" w:lineRule="exact"/>
        <w:rPr>
          <w:rFonts w:ascii="Times New Roman" w:cs="Times New Roman" w:eastAsia="Times New Roman" w:hAnsi="Times New Roman"/>
          <w:sz w:val="13"/>
          <w:szCs w:val="13"/>
          <w:color w:val="auto"/>
        </w:rPr>
      </w:pPr>
    </w:p>
    <w:p>
      <w:pPr>
        <w:ind w:left="1900" w:right="1819" w:hanging="124"/>
        <w:spacing w:after="0" w:line="286" w:lineRule="auto"/>
        <w:tabs>
          <w:tab w:leader="none" w:pos="1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debt security that has been called for redemption in whole or in part, except the unredeemed portion of any debt security being redeemed in part.</w:t>
      </w:r>
    </w:p>
    <w:p>
      <w:pPr>
        <w:spacing w:after="0" w:line="65" w:lineRule="exact"/>
        <w:rPr>
          <w:sz w:val="20"/>
          <w:szCs w:val="20"/>
          <w:color w:val="auto"/>
        </w:rPr>
      </w:pPr>
    </w:p>
    <w:p>
      <w:pPr>
        <w:ind w:left="1520" w:right="1579" w:firstLine="262"/>
        <w:spacing w:after="0" w:line="247" w:lineRule="auto"/>
        <w:rPr>
          <w:sz w:val="20"/>
          <w:szCs w:val="20"/>
          <w:color w:val="auto"/>
        </w:rPr>
      </w:pPr>
      <w:r>
        <w:rPr>
          <w:rFonts w:ascii="Times New Roman" w:cs="Times New Roman" w:eastAsia="Times New Roman" w:hAnsi="Times New Roman"/>
          <w:sz w:val="13"/>
          <w:szCs w:val="13"/>
          <w:i w:val="1"/>
          <w:iCs w:val="1"/>
          <w:color w:val="auto"/>
        </w:rPr>
        <w:t xml:space="preserve">Payment and Paying Agents. </w:t>
      </w:r>
      <w:r>
        <w:rPr>
          <w:rFonts w:ascii="Times New Roman" w:cs="Times New Roman" w:eastAsia="Times New Roman" w:hAnsi="Times New Roman"/>
          <w:sz w:val="13"/>
          <w:szCs w:val="13"/>
          <w:color w:val="auto"/>
        </w:rPr>
        <w:t>Unless we inform you otherwise in a prospectus supplement, payments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82" w:lineRule="exact"/>
        <w:rPr>
          <w:sz w:val="20"/>
          <w:szCs w:val="20"/>
          <w:color w:val="auto"/>
        </w:rPr>
      </w:pPr>
    </w:p>
    <w:p>
      <w:pPr>
        <w:ind w:left="1520" w:right="1599" w:firstLine="262"/>
        <w:spacing w:after="0" w:line="253" w:lineRule="auto"/>
        <w:rPr>
          <w:sz w:val="20"/>
          <w:szCs w:val="20"/>
          <w:color w:val="auto"/>
        </w:rPr>
      </w:pPr>
      <w:r>
        <w:rPr>
          <w:rFonts w:ascii="Times New Roman" w:cs="Times New Roman" w:eastAsia="Times New Roman" w:hAnsi="Times New Roman"/>
          <w:sz w:val="13"/>
          <w:szCs w:val="13"/>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78" w:lineRule="exact"/>
        <w:rPr>
          <w:sz w:val="20"/>
          <w:szCs w:val="20"/>
          <w:color w:val="auto"/>
        </w:rPr>
      </w:pPr>
    </w:p>
    <w:p>
      <w:pPr>
        <w:ind w:left="1520" w:right="1559" w:firstLine="262"/>
        <w:spacing w:after="0" w:line="250" w:lineRule="auto"/>
        <w:rPr>
          <w:sz w:val="20"/>
          <w:szCs w:val="20"/>
          <w:color w:val="auto"/>
        </w:rPr>
      </w:pPr>
      <w:r>
        <w:rPr>
          <w:rFonts w:ascii="Times New Roman" w:cs="Times New Roman" w:eastAsia="Times New Roman" w:hAnsi="Times New Roman"/>
          <w:sz w:val="13"/>
          <w:szCs w:val="13"/>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234" w:lineRule="exact"/>
        <w:rPr>
          <w:sz w:val="20"/>
          <w:szCs w:val="20"/>
          <w:color w:val="auto"/>
        </w:rPr>
      </w:pPr>
    </w:p>
    <w:p>
      <w:pPr>
        <w:ind w:left="1520" w:right="1539" w:firstLine="262"/>
        <w:spacing w:after="0" w:line="249" w:lineRule="auto"/>
        <w:rPr>
          <w:sz w:val="20"/>
          <w:szCs w:val="20"/>
          <w:color w:val="auto"/>
        </w:rPr>
      </w:pPr>
      <w:r>
        <w:rPr>
          <w:rFonts w:ascii="Times New Roman" w:cs="Times New Roman" w:eastAsia="Times New Roman" w:hAnsi="Times New Roman"/>
          <w:sz w:val="13"/>
          <w:szCs w:val="13"/>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78" w:lineRule="exact"/>
        <w:rPr>
          <w:sz w:val="20"/>
          <w:szCs w:val="20"/>
          <w:color w:val="auto"/>
        </w:rPr>
      </w:pPr>
    </w:p>
    <w:p>
      <w:pPr>
        <w:ind w:left="1520" w:right="1659" w:firstLine="262"/>
        <w:spacing w:after="0" w:line="254" w:lineRule="auto"/>
        <w:rPr>
          <w:sz w:val="20"/>
          <w:szCs w:val="20"/>
          <w:color w:val="auto"/>
        </w:rPr>
      </w:pPr>
      <w:r>
        <w:rPr>
          <w:rFonts w:ascii="Times New Roman" w:cs="Times New Roman" w:eastAsia="Times New Roman" w:hAnsi="Times New Roman"/>
          <w:sz w:val="13"/>
          <w:szCs w:val="13"/>
          <w:i w:val="1"/>
          <w:iCs w:val="1"/>
          <w:color w:val="auto"/>
        </w:rPr>
        <w:t xml:space="preserve">Book-Entry Debt Securities. </w:t>
      </w:r>
      <w:r>
        <w:rPr>
          <w:rFonts w:ascii="Times New Roman" w:cs="Times New Roman" w:eastAsia="Times New Roman" w:hAnsi="Times New Roman"/>
          <w:sz w:val="13"/>
          <w:szCs w:val="13"/>
          <w:color w:val="auto"/>
        </w:rPr>
        <w:t>The debt securities of a series may be issued in the form of one or more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Provisions Applicable Solely to Senior Debt Securities</w:t>
      </w:r>
    </w:p>
    <w:p>
      <w:pPr>
        <w:spacing w:after="0" w:line="116" w:lineRule="exact"/>
        <w:rPr>
          <w:sz w:val="20"/>
          <w:szCs w:val="20"/>
          <w:color w:val="auto"/>
        </w:rPr>
      </w:pPr>
    </w:p>
    <w:p>
      <w:pPr>
        <w:ind w:left="1520" w:right="1559" w:firstLine="262"/>
        <w:spacing w:after="0" w:line="247" w:lineRule="auto"/>
        <w:rPr>
          <w:sz w:val="20"/>
          <w:szCs w:val="20"/>
          <w:color w:val="auto"/>
        </w:rPr>
      </w:pPr>
      <w:r>
        <w:rPr>
          <w:rFonts w:ascii="Times New Roman" w:cs="Times New Roman" w:eastAsia="Times New Roman" w:hAnsi="Times New Roman"/>
          <w:sz w:val="13"/>
          <w:szCs w:val="13"/>
          <w:i w:val="1"/>
          <w:iCs w:val="1"/>
          <w:color w:val="auto"/>
        </w:rPr>
        <w:t xml:space="preserve">Ranking and Guarantee. </w:t>
      </w:r>
      <w:r>
        <w:rPr>
          <w:rFonts w:ascii="Times New Roman" w:cs="Times New Roman" w:eastAsia="Times New Roman" w:hAnsi="Times New Roman"/>
          <w:sz w:val="13"/>
          <w:szCs w:val="13"/>
          <w:color w:val="auto"/>
        </w:rPr>
        <w:t>The senior debt securities will constitute senior debt of Waste Management,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8" w:name="page59"/>
    <w:bookmarkEnd w:id="58"/>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539"/>
        <w:spacing w:after="0" w:line="269" w:lineRule="auto"/>
        <w:rPr>
          <w:sz w:val="20"/>
          <w:szCs w:val="20"/>
          <w:color w:val="auto"/>
        </w:rPr>
      </w:pPr>
      <w:r>
        <w:rPr>
          <w:rFonts w:ascii="Times New Roman" w:cs="Times New Roman" w:eastAsia="Times New Roman" w:hAnsi="Times New Roman"/>
          <w:sz w:val="13"/>
          <w:szCs w:val="13"/>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76" w:lineRule="exact"/>
        <w:rPr>
          <w:sz w:val="20"/>
          <w:szCs w:val="20"/>
          <w:color w:val="auto"/>
        </w:rPr>
      </w:pPr>
    </w:p>
    <w:p>
      <w:pPr>
        <w:ind w:left="1520" w:right="1579" w:firstLine="262"/>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Restrictive Covenants. </w:t>
      </w:r>
      <w:r>
        <w:rPr>
          <w:rFonts w:ascii="Times New Roman" w:cs="Times New Roman" w:eastAsia="Times New Roman" w:hAnsi="Times New Roman"/>
          <w:sz w:val="13"/>
          <w:szCs w:val="13"/>
          <w:color w:val="auto"/>
        </w:rPr>
        <w:t>We have agreed to two principal restrictions on our activities for the benefit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Limitation on Liens</w:t>
      </w:r>
    </w:p>
    <w:p>
      <w:pPr>
        <w:spacing w:after="0" w:line="120" w:lineRule="exact"/>
        <w:rPr>
          <w:sz w:val="20"/>
          <w:szCs w:val="20"/>
          <w:color w:val="auto"/>
        </w:rPr>
      </w:pPr>
    </w:p>
    <w:p>
      <w:pPr>
        <w:jc w:val="both"/>
        <w:ind w:left="1520" w:right="1539" w:firstLine="262"/>
        <w:spacing w:after="0" w:line="269" w:lineRule="auto"/>
        <w:rPr>
          <w:sz w:val="20"/>
          <w:szCs w:val="20"/>
          <w:color w:val="auto"/>
        </w:rPr>
      </w:pPr>
      <w:r>
        <w:rPr>
          <w:rFonts w:ascii="Times New Roman" w:cs="Times New Roman" w:eastAsia="Times New Roman" w:hAnsi="Times New Roman"/>
          <w:sz w:val="13"/>
          <w:szCs w:val="13"/>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68" w:lineRule="exact"/>
        <w:rPr>
          <w:sz w:val="20"/>
          <w:szCs w:val="20"/>
          <w:color w:val="auto"/>
        </w:rPr>
      </w:pPr>
    </w:p>
    <w:p>
      <w:pPr>
        <w:ind w:left="1520" w:right="1559" w:firstLine="256"/>
        <w:spacing w:after="0" w:line="286" w:lineRule="auto"/>
        <w:tabs>
          <w:tab w:leader="none" w:pos="2042"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on the property or assets existing at the time of acquisition which secure obligations assumed by us or our Restricted Subsidiaries;</w:t>
      </w:r>
    </w:p>
    <w:p>
      <w:pPr>
        <w:spacing w:after="0" w:line="66" w:lineRule="exact"/>
        <w:rPr>
          <w:rFonts w:ascii="Times New Roman" w:cs="Times New Roman" w:eastAsia="Times New Roman" w:hAnsi="Times New Roman"/>
          <w:sz w:val="13"/>
          <w:szCs w:val="13"/>
          <w:color w:val="auto"/>
        </w:rPr>
      </w:pPr>
    </w:p>
    <w:p>
      <w:pPr>
        <w:ind w:left="1520" w:right="1639" w:firstLine="256"/>
        <w:spacing w:after="0" w:line="286" w:lineRule="auto"/>
        <w:tabs>
          <w:tab w:leader="none" w:pos="204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conditional sales agreements with respect to any property or assets acquired by us or a Restricted Subsidiary;</w:t>
      </w:r>
    </w:p>
    <w:p>
      <w:pPr>
        <w:spacing w:after="0" w:line="66" w:lineRule="exact"/>
        <w:rPr>
          <w:rFonts w:ascii="Times New Roman" w:cs="Times New Roman" w:eastAsia="Times New Roman" w:hAnsi="Times New Roman"/>
          <w:sz w:val="13"/>
          <w:szCs w:val="13"/>
          <w:color w:val="auto"/>
        </w:rPr>
      </w:pPr>
    </w:p>
    <w:p>
      <w:pPr>
        <w:ind w:left="1520" w:right="1739" w:firstLine="256"/>
        <w:spacing w:after="0" w:line="286" w:lineRule="auto"/>
        <w:tabs>
          <w:tab w:leader="none" w:pos="2042"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on the property, assets or stock of an entity at the time the entity is merged into or consolidated with us or a Restricted Subsidiary or at the time the entity becomes a Restricted Subsidiary;</w:t>
      </w:r>
    </w:p>
    <w:p>
      <w:pPr>
        <w:spacing w:after="0" w:line="56" w:lineRule="exact"/>
        <w:rPr>
          <w:rFonts w:ascii="Times New Roman" w:cs="Times New Roman" w:eastAsia="Times New Roman" w:hAnsi="Times New Roman"/>
          <w:sz w:val="13"/>
          <w:szCs w:val="13"/>
          <w:color w:val="auto"/>
        </w:rPr>
      </w:pPr>
    </w:p>
    <w:p>
      <w:pPr>
        <w:ind w:left="1520" w:right="1539" w:firstLine="256"/>
        <w:spacing w:after="0" w:line="279" w:lineRule="auto"/>
        <w:tabs>
          <w:tab w:leader="none" w:pos="204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on the property, assets or stock of any successor entity that becomes the Company in accordance with “— Provisions Applicable to Each Indenture — Consolidation, Merger and Sale of Assets,” above;</w:t>
      </w:r>
    </w:p>
    <w:p>
      <w:pPr>
        <w:spacing w:after="0" w:line="232" w:lineRule="exact"/>
        <w:rPr>
          <w:rFonts w:ascii="Times New Roman" w:cs="Times New Roman" w:eastAsia="Times New Roman" w:hAnsi="Times New Roman"/>
          <w:sz w:val="13"/>
          <w:szCs w:val="13"/>
          <w:color w:val="auto"/>
        </w:rPr>
      </w:pPr>
    </w:p>
    <w:p>
      <w:pPr>
        <w:ind w:left="2040" w:hanging="264"/>
        <w:spacing w:after="0"/>
        <w:tabs>
          <w:tab w:leader="none" w:pos="20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on assets either:</w:t>
      </w:r>
    </w:p>
    <w:p>
      <w:pPr>
        <w:spacing w:after="0" w:line="86" w:lineRule="exact"/>
        <w:rPr>
          <w:rFonts w:ascii="Times New Roman" w:cs="Times New Roman" w:eastAsia="Times New Roman" w:hAnsi="Times New Roman"/>
          <w:sz w:val="13"/>
          <w:szCs w:val="13"/>
          <w:color w:val="auto"/>
        </w:rPr>
      </w:pPr>
    </w:p>
    <w:p>
      <w:pPr>
        <w:ind w:left="2160" w:hanging="121"/>
        <w:spacing w:after="0"/>
        <w:tabs>
          <w:tab w:leader="none" w:pos="216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existing at the time of, or created within 360 days after, the acquisition of the assets, or</w:t>
      </w:r>
    </w:p>
    <w:p>
      <w:pPr>
        <w:spacing w:after="0" w:line="86" w:lineRule="exact"/>
        <w:rPr>
          <w:rFonts w:ascii="Times New Roman" w:cs="Times New Roman" w:eastAsia="Times New Roman" w:hAnsi="Times New Roman"/>
          <w:sz w:val="13"/>
          <w:szCs w:val="13"/>
          <w:color w:val="auto"/>
        </w:rPr>
      </w:pPr>
    </w:p>
    <w:p>
      <w:pPr>
        <w:ind w:left="2160" w:right="1599" w:hanging="121"/>
        <w:spacing w:after="0" w:line="262" w:lineRule="auto"/>
        <w:tabs>
          <w:tab w:leader="none" w:pos="2160"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242" w:lineRule="exact"/>
        <w:rPr>
          <w:rFonts w:ascii="Times New Roman" w:cs="Times New Roman" w:eastAsia="Times New Roman" w:hAnsi="Times New Roman"/>
          <w:sz w:val="13"/>
          <w:szCs w:val="13"/>
          <w:color w:val="auto"/>
        </w:rPr>
      </w:pPr>
    </w:p>
    <w:p>
      <w:pPr>
        <w:ind w:left="2020" w:hanging="244"/>
        <w:spacing w:after="0"/>
        <w:tabs>
          <w:tab w:leader="none" w:pos="20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intercompany liens;</w:t>
      </w:r>
    </w:p>
    <w:p>
      <w:pPr>
        <w:spacing w:after="0" w:line="106" w:lineRule="exact"/>
        <w:rPr>
          <w:rFonts w:ascii="Times New Roman" w:cs="Times New Roman" w:eastAsia="Times New Roman" w:hAnsi="Times New Roman"/>
          <w:sz w:val="13"/>
          <w:szCs w:val="13"/>
          <w:color w:val="auto"/>
        </w:rPr>
      </w:pPr>
    </w:p>
    <w:p>
      <w:pPr>
        <w:ind w:left="2040" w:hanging="264"/>
        <w:spacing w:after="0"/>
        <w:tabs>
          <w:tab w:leader="none" w:pos="20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mechanics’, materialmen’s and like liens incurred in the ordinary course of business;</w:t>
      </w:r>
    </w:p>
    <w:p>
      <w:pPr>
        <w:spacing w:after="0" w:line="116" w:lineRule="exact"/>
        <w:rPr>
          <w:rFonts w:ascii="Times New Roman" w:cs="Times New Roman" w:eastAsia="Times New Roman" w:hAnsi="Times New Roman"/>
          <w:sz w:val="13"/>
          <w:szCs w:val="13"/>
          <w:color w:val="auto"/>
        </w:rPr>
      </w:pPr>
    </w:p>
    <w:p>
      <w:pPr>
        <w:ind w:left="1520" w:right="1979" w:firstLine="256"/>
        <w:spacing w:after="0" w:line="286" w:lineRule="auto"/>
        <w:tabs>
          <w:tab w:leader="none" w:pos="204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arising by deposits or security given to governmental agencies required in order to do business with the government;</w:t>
      </w:r>
    </w:p>
    <w:p>
      <w:pPr>
        <w:spacing w:after="0" w:line="66" w:lineRule="exact"/>
        <w:rPr>
          <w:rFonts w:ascii="Times New Roman" w:cs="Times New Roman" w:eastAsia="Times New Roman" w:hAnsi="Times New Roman"/>
          <w:sz w:val="13"/>
          <w:szCs w:val="13"/>
          <w:color w:val="auto"/>
        </w:rPr>
      </w:pPr>
    </w:p>
    <w:p>
      <w:pPr>
        <w:ind w:left="2020" w:hanging="244"/>
        <w:spacing w:after="0"/>
        <w:tabs>
          <w:tab w:leader="none" w:pos="20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for taxes, assessments or governmental charges not yet delinquent or being contested in good</w:t>
      </w:r>
    </w:p>
    <w:p>
      <w:pPr>
        <w:spacing w:after="0" w:line="21" w:lineRule="exact"/>
        <w:rPr>
          <w:rFonts w:ascii="Times New Roman" w:cs="Times New Roman" w:eastAsia="Times New Roman" w:hAnsi="Times New Roman"/>
          <w:sz w:val="13"/>
          <w:szCs w:val="13"/>
          <w:color w:val="auto"/>
        </w:rPr>
      </w:pPr>
    </w:p>
    <w:p>
      <w:pPr>
        <w:ind w:left="15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faith;</w:t>
      </w:r>
    </w:p>
    <w:p>
      <w:pPr>
        <w:spacing w:after="0" w:line="92" w:lineRule="exact"/>
        <w:rPr>
          <w:rFonts w:ascii="Times New Roman" w:cs="Times New Roman" w:eastAsia="Times New Roman" w:hAnsi="Times New Roman"/>
          <w:sz w:val="13"/>
          <w:szCs w:val="13"/>
          <w:color w:val="auto"/>
        </w:rPr>
      </w:pPr>
    </w:p>
    <w:p>
      <w:pPr>
        <w:ind w:left="1520" w:right="1779" w:firstLine="256"/>
        <w:spacing w:after="0" w:line="286" w:lineRule="auto"/>
        <w:tabs>
          <w:tab w:leader="none" w:pos="20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in connection with legal proceedings so long as the proceeding is being contested in good faith or execution thereon is stayed;</w:t>
      </w:r>
    </w:p>
    <w:p>
      <w:pPr>
        <w:spacing w:after="0" w:line="66" w:lineRule="exact"/>
        <w:rPr>
          <w:rFonts w:ascii="Times New Roman" w:cs="Times New Roman" w:eastAsia="Times New Roman" w:hAnsi="Times New Roman"/>
          <w:sz w:val="13"/>
          <w:szCs w:val="13"/>
          <w:color w:val="auto"/>
        </w:rPr>
      </w:pPr>
    </w:p>
    <w:p>
      <w:pPr>
        <w:ind w:left="1520" w:right="1899" w:firstLine="256"/>
        <w:spacing w:after="0" w:line="286" w:lineRule="auto"/>
        <w:tabs>
          <w:tab w:leader="none" w:pos="2049"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landlord’s liens on fixtures located on property leased by us or Restricted Subsidiaries in the ordinary course of business;</w:t>
      </w:r>
    </w:p>
    <w:p>
      <w:pPr>
        <w:spacing w:after="0" w:line="66" w:lineRule="exact"/>
        <w:rPr>
          <w:rFonts w:ascii="Times New Roman" w:cs="Times New Roman" w:eastAsia="Times New Roman" w:hAnsi="Times New Roman"/>
          <w:sz w:val="13"/>
          <w:szCs w:val="13"/>
          <w:color w:val="auto"/>
        </w:rPr>
      </w:pPr>
    </w:p>
    <w:p>
      <w:pPr>
        <w:ind w:left="1520" w:right="1999" w:firstLine="256"/>
        <w:spacing w:after="0" w:line="286" w:lineRule="auto"/>
        <w:tabs>
          <w:tab w:leader="none" w:pos="20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in favor of any governmental authority in connection with the financing of the cost of construction or acquisition of property;</w:t>
      </w:r>
    </w:p>
    <w:p>
      <w:pPr>
        <w:spacing w:after="0" w:line="56" w:lineRule="exact"/>
        <w:rPr>
          <w:rFonts w:ascii="Times New Roman" w:cs="Times New Roman" w:eastAsia="Times New Roman" w:hAnsi="Times New Roman"/>
          <w:sz w:val="13"/>
          <w:szCs w:val="13"/>
          <w:color w:val="auto"/>
        </w:rPr>
      </w:pPr>
    </w:p>
    <w:p>
      <w:pPr>
        <w:ind w:left="1520" w:right="1579" w:firstLine="256"/>
        <w:spacing w:after="0" w:line="286" w:lineRule="auto"/>
        <w:tabs>
          <w:tab w:leader="none" w:pos="2086"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arising due to deposits to qualify us or a Restricted Subsidiary to do business, maintain self-insurance or obtain the benefit of or comply with laws;</w:t>
      </w: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9" w:name="page60"/>
    <w:bookmarkEnd w:id="59"/>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899" w:firstLine="256"/>
        <w:spacing w:after="0" w:line="286" w:lineRule="auto"/>
        <w:tabs>
          <w:tab w:leader="none" w:pos="204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incurred in connection with pollution control, sewage or solid waste disposal industrial revenue or similar financings;</w:t>
      </w:r>
    </w:p>
    <w:p>
      <w:pPr>
        <w:spacing w:after="0" w:line="56" w:lineRule="exact"/>
        <w:rPr>
          <w:rFonts w:ascii="Times New Roman" w:cs="Times New Roman" w:eastAsia="Times New Roman" w:hAnsi="Times New Roman"/>
          <w:sz w:val="13"/>
          <w:szCs w:val="13"/>
          <w:color w:val="auto"/>
        </w:rPr>
      </w:pPr>
    </w:p>
    <w:p>
      <w:pPr>
        <w:ind w:left="2040" w:hanging="264"/>
        <w:spacing w:after="0"/>
        <w:tabs>
          <w:tab w:leader="none" w:pos="204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liens arising in connection with the sale of accounts receivable; and</w:t>
      </w:r>
    </w:p>
    <w:p>
      <w:pPr>
        <w:spacing w:after="0" w:line="106" w:lineRule="exact"/>
        <w:rPr>
          <w:rFonts w:ascii="Times New Roman" w:cs="Times New Roman" w:eastAsia="Times New Roman" w:hAnsi="Times New Roman"/>
          <w:sz w:val="13"/>
          <w:szCs w:val="13"/>
          <w:color w:val="auto"/>
        </w:rPr>
      </w:pPr>
    </w:p>
    <w:p>
      <w:pPr>
        <w:ind w:left="1520" w:right="1559" w:firstLine="256"/>
        <w:spacing w:after="0" w:line="261" w:lineRule="auto"/>
        <w:tabs>
          <w:tab w:leader="none" w:pos="204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extensions, substitutions, replacements or renewals of the above-described liens or any Indebtedness secured by these liens if the lien is limited to the property (plus any improvements) secured by the original lien.</w:t>
      </w:r>
    </w:p>
    <w:p>
      <w:pPr>
        <w:spacing w:after="0" w:line="73" w:lineRule="exact"/>
        <w:rPr>
          <w:sz w:val="20"/>
          <w:szCs w:val="20"/>
          <w:color w:val="auto"/>
        </w:rPr>
      </w:pPr>
    </w:p>
    <w:p>
      <w:pPr>
        <w:ind w:left="1520" w:right="1559" w:firstLine="262"/>
        <w:spacing w:after="0" w:line="246" w:lineRule="auto"/>
        <w:rPr>
          <w:sz w:val="20"/>
          <w:szCs w:val="20"/>
          <w:color w:val="auto"/>
        </w:rPr>
      </w:pPr>
      <w:r>
        <w:rPr>
          <w:rFonts w:ascii="Times New Roman" w:cs="Times New Roman" w:eastAsia="Times New Roman" w:hAnsi="Times New Roman"/>
          <w:sz w:val="13"/>
          <w:szCs w:val="13"/>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3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Limitation on Sale/Leaseback Transactions</w:t>
      </w:r>
    </w:p>
    <w:p>
      <w:pPr>
        <w:spacing w:after="0" w:line="110" w:lineRule="exact"/>
        <w:rPr>
          <w:sz w:val="20"/>
          <w:szCs w:val="20"/>
          <w:color w:val="auto"/>
        </w:rPr>
      </w:pPr>
    </w:p>
    <w:p>
      <w:pPr>
        <w:ind w:left="1520" w:right="1819" w:firstLine="262"/>
        <w:spacing w:after="0" w:line="286" w:lineRule="auto"/>
        <w:rPr>
          <w:sz w:val="20"/>
          <w:szCs w:val="20"/>
          <w:color w:val="auto"/>
        </w:rPr>
      </w:pPr>
      <w:r>
        <w:rPr>
          <w:rFonts w:ascii="Times New Roman" w:cs="Times New Roman" w:eastAsia="Times New Roman" w:hAnsi="Times New Roman"/>
          <w:sz w:val="13"/>
          <w:szCs w:val="13"/>
          <w:color w:val="auto"/>
        </w:rPr>
        <w:t>Unless provided otherwise in a prospectus supplement, we and our Restricted Subsidiaries will not enter into a Sale/Leaseback Transaction unless at least one of the following applies:</w:t>
      </w:r>
    </w:p>
    <w:p>
      <w:pPr>
        <w:spacing w:after="0" w:line="57" w:lineRule="exact"/>
        <w:rPr>
          <w:sz w:val="20"/>
          <w:szCs w:val="20"/>
          <w:color w:val="auto"/>
        </w:rPr>
      </w:pPr>
    </w:p>
    <w:p>
      <w:pPr>
        <w:ind w:left="1520" w:right="1799" w:firstLine="256"/>
        <w:spacing w:after="0" w:line="253" w:lineRule="auto"/>
        <w:tabs>
          <w:tab w:leader="none" w:pos="2042"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67" w:lineRule="exact"/>
        <w:rPr>
          <w:rFonts w:ascii="Times New Roman" w:cs="Times New Roman" w:eastAsia="Times New Roman" w:hAnsi="Times New Roman"/>
          <w:sz w:val="13"/>
          <w:szCs w:val="13"/>
          <w:color w:val="auto"/>
        </w:rPr>
      </w:pPr>
    </w:p>
    <w:p>
      <w:pPr>
        <w:ind w:left="1520" w:right="1619" w:firstLine="256"/>
        <w:spacing w:after="0" w:line="253" w:lineRule="auto"/>
        <w:tabs>
          <w:tab w:leader="none" w:pos="204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the debt securities listed under the senior indenture or debt incurred by a Restricted Subsidiary; or</w:t>
      </w:r>
    </w:p>
    <w:p>
      <w:pPr>
        <w:spacing w:after="0" w:line="77" w:lineRule="exact"/>
        <w:rPr>
          <w:rFonts w:ascii="Times New Roman" w:cs="Times New Roman" w:eastAsia="Times New Roman" w:hAnsi="Times New Roman"/>
          <w:sz w:val="13"/>
          <w:szCs w:val="13"/>
          <w:color w:val="auto"/>
        </w:rPr>
      </w:pPr>
    </w:p>
    <w:p>
      <w:pPr>
        <w:ind w:left="1520" w:right="1659" w:firstLine="256"/>
        <w:spacing w:after="0" w:line="253" w:lineRule="auto"/>
        <w:tabs>
          <w:tab w:leader="none" w:pos="2042"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78" w:lineRule="exact"/>
        <w:rPr>
          <w:sz w:val="20"/>
          <w:szCs w:val="20"/>
          <w:color w:val="auto"/>
        </w:rPr>
      </w:pPr>
    </w:p>
    <w:p>
      <w:pPr>
        <w:ind w:left="1520" w:right="1799" w:firstLine="262"/>
        <w:spacing w:after="0" w:line="261" w:lineRule="auto"/>
        <w:rPr>
          <w:sz w:val="20"/>
          <w:szCs w:val="20"/>
          <w:color w:val="auto"/>
        </w:rPr>
      </w:pPr>
      <w:r>
        <w:rPr>
          <w:rFonts w:ascii="Times New Roman" w:cs="Times New Roman" w:eastAsia="Times New Roman" w:hAnsi="Times New Roman"/>
          <w:sz w:val="13"/>
          <w:szCs w:val="13"/>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p>
      <w:pPr>
        <w:spacing w:after="0" w:line="118" w:lineRule="exact"/>
        <w:rPr>
          <w:sz w:val="20"/>
          <w:szCs w:val="20"/>
          <w:color w:val="auto"/>
        </w:rPr>
      </w:pPr>
    </w:p>
    <w:p>
      <w:pPr>
        <w:ind w:left="1520" w:right="1599" w:firstLine="262"/>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“Attributable Debt” </w:t>
      </w:r>
      <w:r>
        <w:rPr>
          <w:rFonts w:ascii="Times New Roman" w:cs="Times New Roman" w:eastAsia="Times New Roman" w:hAnsi="Times New Roman"/>
          <w:sz w:val="13"/>
          <w:szCs w:val="13"/>
          <w:color w:val="auto"/>
        </w:rPr>
        <w:t>means the present value of the rental payments during the remaining term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241" w:lineRule="exact"/>
        <w:rPr>
          <w:sz w:val="20"/>
          <w:szCs w:val="20"/>
          <w:color w:val="auto"/>
        </w:rPr>
      </w:pPr>
    </w:p>
    <w:p>
      <w:pPr>
        <w:ind w:left="1520" w:right="1659" w:firstLine="262"/>
        <w:spacing w:after="0" w:line="290" w:lineRule="auto"/>
        <w:rPr>
          <w:sz w:val="20"/>
          <w:szCs w:val="20"/>
          <w:color w:val="auto"/>
        </w:rPr>
      </w:pPr>
      <w:r>
        <w:rPr>
          <w:rFonts w:ascii="Times New Roman" w:cs="Times New Roman" w:eastAsia="Times New Roman" w:hAnsi="Times New Roman"/>
          <w:sz w:val="13"/>
          <w:szCs w:val="13"/>
          <w:i w:val="1"/>
          <w:iCs w:val="1"/>
          <w:color w:val="auto"/>
        </w:rPr>
        <w:t xml:space="preserve">“Consolidated Net Tangible Assets” </w:t>
      </w:r>
      <w:r>
        <w:rPr>
          <w:rFonts w:ascii="Times New Roman" w:cs="Times New Roman" w:eastAsia="Times New Roman" w:hAnsi="Times New Roman"/>
          <w:sz w:val="13"/>
          <w:szCs w:val="13"/>
          <w:color w:val="auto"/>
        </w:rPr>
        <w:t>means the total amount of assets of Waste Management, Inc.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its consolidated subsidiaries less:</w:t>
      </w: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0" w:name="page61"/>
    <w:bookmarkEnd w:id="60"/>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00" w:right="1759" w:hanging="124"/>
        <w:spacing w:after="0" w:line="279" w:lineRule="auto"/>
        <w:tabs>
          <w:tab w:leader="none" w:pos="1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current liabilities (excluding liabilities that are extendable or renewable at our option to a date more than 12 months after the date of calculation and excluding current maturities of long-term debt); and</w:t>
      </w:r>
    </w:p>
    <w:p>
      <w:pPr>
        <w:spacing w:after="0" w:line="203"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value of all intangible assets.</w:t>
      </w:r>
    </w:p>
    <w:p>
      <w:pPr>
        <w:spacing w:after="0" w:line="116" w:lineRule="exact"/>
        <w:rPr>
          <w:sz w:val="20"/>
          <w:szCs w:val="20"/>
          <w:color w:val="auto"/>
        </w:rPr>
      </w:pPr>
    </w:p>
    <w:p>
      <w:pPr>
        <w:ind w:left="1780" w:right="1739" w:firstLine="262"/>
        <w:spacing w:after="0" w:line="286" w:lineRule="auto"/>
        <w:rPr>
          <w:sz w:val="20"/>
          <w:szCs w:val="20"/>
          <w:color w:val="auto"/>
        </w:rPr>
      </w:pPr>
      <w:r>
        <w:rPr>
          <w:rFonts w:ascii="Times New Roman" w:cs="Times New Roman" w:eastAsia="Times New Roman" w:hAnsi="Times New Roman"/>
          <w:sz w:val="13"/>
          <w:szCs w:val="13"/>
          <w:color w:val="auto"/>
        </w:rPr>
        <w:t>We will calculate Consolidated Net Tangible Assets based on our most recent quarterly balance sheet.</w:t>
      </w:r>
    </w:p>
    <w:p>
      <w:pPr>
        <w:spacing w:after="0" w:line="65" w:lineRule="exact"/>
        <w:rPr>
          <w:sz w:val="20"/>
          <w:szCs w:val="20"/>
          <w:color w:val="auto"/>
        </w:rPr>
      </w:pPr>
    </w:p>
    <w:p>
      <w:pPr>
        <w:ind w:left="1520" w:right="1579" w:firstLine="262"/>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“Indebtedness” </w:t>
      </w:r>
      <w:r>
        <w:rPr>
          <w:rFonts w:ascii="Times New Roman" w:cs="Times New Roman" w:eastAsia="Times New Roman" w:hAnsi="Times New Roman"/>
          <w:sz w:val="13"/>
          <w:szCs w:val="13"/>
          <w:color w:val="auto"/>
        </w:rPr>
        <w:t>means (a) all obligations for borrowed money or on which interest charges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69" w:lineRule="exact"/>
        <w:rPr>
          <w:sz w:val="20"/>
          <w:szCs w:val="20"/>
          <w:color w:val="auto"/>
        </w:rPr>
      </w:pPr>
    </w:p>
    <w:p>
      <w:pPr>
        <w:ind w:left="1520" w:right="1559" w:firstLine="262"/>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“Principal Property” </w:t>
      </w:r>
      <w:r>
        <w:rPr>
          <w:rFonts w:ascii="Times New Roman" w:cs="Times New Roman" w:eastAsia="Times New Roman" w:hAnsi="Times New Roman"/>
          <w:sz w:val="13"/>
          <w:szCs w:val="13"/>
          <w:color w:val="auto"/>
        </w:rPr>
        <w:t>means any waste processing, waste disposal or resource recovery plant or similar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85" w:lineRule="exact"/>
        <w:rPr>
          <w:sz w:val="20"/>
          <w:szCs w:val="20"/>
          <w:color w:val="auto"/>
        </w:rPr>
      </w:pPr>
    </w:p>
    <w:p>
      <w:pPr>
        <w:ind w:left="1520" w:right="1539" w:firstLine="262"/>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“Restricted Subsidiary” </w:t>
      </w:r>
      <w:r>
        <w:rPr>
          <w:rFonts w:ascii="Times New Roman" w:cs="Times New Roman" w:eastAsia="Times New Roman" w:hAnsi="Times New Roman"/>
          <w:sz w:val="13"/>
          <w:szCs w:val="13"/>
          <w:color w:val="auto"/>
        </w:rPr>
        <w:t>means any Subsidiary (other than any Subsidiary of which the Company owns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9" w:lineRule="exact"/>
        <w:rPr>
          <w:sz w:val="20"/>
          <w:szCs w:val="20"/>
          <w:color w:val="auto"/>
        </w:rPr>
      </w:pPr>
    </w:p>
    <w:p>
      <w:pPr>
        <w:ind w:left="1520" w:right="1639" w:firstLine="262"/>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“Sale/Leaseback Transaction” </w:t>
      </w:r>
      <w:r>
        <w:rPr>
          <w:rFonts w:ascii="Times New Roman" w:cs="Times New Roman" w:eastAsia="Times New Roman" w:hAnsi="Times New Roman"/>
          <w:sz w:val="13"/>
          <w:szCs w:val="13"/>
          <w:color w:val="auto"/>
        </w:rPr>
        <w:t>means any arrangement with anyone under which we or our Restricted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Subsidiaries lease any Principal Property that we or such Restricted Subsidiary has sold or transferred or will sell or transfer to that person. This term excludes the following:</w:t>
      </w:r>
    </w:p>
    <w:p>
      <w:pPr>
        <w:spacing w:after="0" w:line="46" w:lineRule="exact"/>
        <w:rPr>
          <w:sz w:val="20"/>
          <w:szCs w:val="20"/>
          <w:color w:val="auto"/>
        </w:rPr>
      </w:pPr>
    </w:p>
    <w:p>
      <w:pPr>
        <w:ind w:left="1900" w:hanging="124"/>
        <w:spacing w:after="0"/>
        <w:tabs>
          <w:tab w:leader="none" w:pos="19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temporary leases for a term of not more than three years; and</w:t>
      </w:r>
    </w:p>
    <w:p>
      <w:pPr>
        <w:spacing w:after="0" w:line="8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intercompany leases.</w:t>
      </w:r>
    </w:p>
    <w:p>
      <w:pPr>
        <w:spacing w:after="0" w:line="104" w:lineRule="exact"/>
        <w:rPr>
          <w:sz w:val="20"/>
          <w:szCs w:val="20"/>
          <w:color w:val="auto"/>
        </w:rPr>
      </w:pPr>
    </w:p>
    <w:p>
      <w:pPr>
        <w:ind w:left="1520" w:right="1759" w:firstLine="262"/>
        <w:spacing w:after="0" w:line="281" w:lineRule="auto"/>
        <w:rPr>
          <w:sz w:val="20"/>
          <w:szCs w:val="20"/>
          <w:color w:val="auto"/>
        </w:rPr>
      </w:pPr>
      <w:r>
        <w:rPr>
          <w:rFonts w:ascii="Times New Roman" w:cs="Times New Roman" w:eastAsia="Times New Roman" w:hAnsi="Times New Roman"/>
          <w:sz w:val="13"/>
          <w:szCs w:val="13"/>
          <w:i w:val="1"/>
          <w:iCs w:val="1"/>
          <w:color w:val="auto"/>
        </w:rPr>
        <w:t xml:space="preserve">“Subsidiary” </w:t>
      </w:r>
      <w:r>
        <w:rPr>
          <w:rFonts w:ascii="Times New Roman" w:cs="Times New Roman" w:eastAsia="Times New Roman" w:hAnsi="Times New Roman"/>
          <w:sz w:val="13"/>
          <w:szCs w:val="13"/>
          <w:color w:val="auto"/>
        </w:rPr>
        <w:t>means an entity at least a majority of the outstanding voting stock of which is owned,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directly or indirectly, by us or by one or more other Subsidiaries, or by us and one or more other Subsidiaries.</w:t>
      </w:r>
    </w:p>
    <w:p>
      <w:pPr>
        <w:spacing w:after="0" w:line="27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Provisions Applicable Solely to Subordinated Debt Securities</w:t>
      </w:r>
    </w:p>
    <w:p>
      <w:pPr>
        <w:spacing w:after="0" w:line="116" w:lineRule="exact"/>
        <w:rPr>
          <w:sz w:val="20"/>
          <w:szCs w:val="20"/>
          <w:color w:val="auto"/>
        </w:rPr>
      </w:pPr>
    </w:p>
    <w:p>
      <w:pPr>
        <w:ind w:left="1520" w:right="1859" w:firstLine="262"/>
        <w:spacing w:after="0" w:line="290" w:lineRule="auto"/>
        <w:rPr>
          <w:sz w:val="20"/>
          <w:szCs w:val="20"/>
          <w:color w:val="auto"/>
        </w:rPr>
      </w:pPr>
      <w:r>
        <w:rPr>
          <w:rFonts w:ascii="Times New Roman" w:cs="Times New Roman" w:eastAsia="Times New Roman" w:hAnsi="Times New Roman"/>
          <w:sz w:val="13"/>
          <w:szCs w:val="13"/>
          <w:i w:val="1"/>
          <w:iCs w:val="1"/>
          <w:color w:val="auto"/>
        </w:rPr>
        <w:t xml:space="preserve">Ranking. </w:t>
      </w:r>
      <w:r>
        <w:rPr>
          <w:rFonts w:ascii="Times New Roman" w:cs="Times New Roman" w:eastAsia="Times New Roman" w:hAnsi="Times New Roman"/>
          <w:sz w:val="13"/>
          <w:szCs w:val="13"/>
          <w:color w:val="auto"/>
        </w:rPr>
        <w:t>The subordinated debt securities will rank junior to all of our senior debt and may rank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equally with or senior to our other subordinated debt that may be outstanding from time to time.</w:t>
      </w:r>
    </w:p>
    <w:p>
      <w:pPr>
        <w:spacing w:after="0" w:line="62" w:lineRule="exact"/>
        <w:rPr>
          <w:sz w:val="20"/>
          <w:szCs w:val="20"/>
          <w:color w:val="auto"/>
        </w:rPr>
      </w:pPr>
    </w:p>
    <w:p>
      <w:pPr>
        <w:ind w:left="1520" w:right="1619" w:firstLine="262"/>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Subordination. </w:t>
      </w:r>
      <w:r>
        <w:rPr>
          <w:rFonts w:ascii="Times New Roman" w:cs="Times New Roman" w:eastAsia="Times New Roman" w:hAnsi="Times New Roman"/>
          <w:sz w:val="13"/>
          <w:szCs w:val="13"/>
          <w:color w:val="auto"/>
        </w:rPr>
        <w:t>Under the subordinated indenture, payment of the principal of and any premium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77" w:lineRule="exact"/>
        <w:rPr>
          <w:sz w:val="20"/>
          <w:szCs w:val="20"/>
          <w:color w:val="auto"/>
        </w:rPr>
      </w:pPr>
    </w:p>
    <w:p>
      <w:pPr>
        <w:ind w:left="1520" w:right="1699" w:firstLine="262"/>
        <w:spacing w:after="0" w:line="269" w:lineRule="auto"/>
        <w:rPr>
          <w:sz w:val="20"/>
          <w:szCs w:val="20"/>
          <w:color w:val="auto"/>
        </w:rPr>
      </w:pPr>
      <w:r>
        <w:rPr>
          <w:rFonts w:ascii="Times New Roman" w:cs="Times New Roman" w:eastAsia="Times New Roman" w:hAnsi="Times New Roman"/>
          <w:sz w:val="13"/>
          <w:szCs w:val="13"/>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1" w:name="page62"/>
    <w:bookmarkEnd w:id="61"/>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GUARANTEES</w:t>
      </w:r>
    </w:p>
    <w:p>
      <w:pPr>
        <w:spacing w:after="0" w:line="118" w:lineRule="exact"/>
        <w:rPr>
          <w:sz w:val="20"/>
          <w:szCs w:val="20"/>
          <w:color w:val="auto"/>
        </w:rPr>
      </w:pPr>
    </w:p>
    <w:p>
      <w:pPr>
        <w:ind w:left="1520" w:right="1539" w:firstLine="262"/>
        <w:spacing w:after="0" w:line="264" w:lineRule="auto"/>
        <w:rPr>
          <w:sz w:val="20"/>
          <w:szCs w:val="20"/>
          <w:color w:val="auto"/>
        </w:rPr>
      </w:pPr>
      <w:r>
        <w:rPr>
          <w:rFonts w:ascii="Times New Roman" w:cs="Times New Roman" w:eastAsia="Times New Roman" w:hAnsi="Times New Roman"/>
          <w:sz w:val="13"/>
          <w:szCs w:val="13"/>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80" w:lineRule="exact"/>
        <w:rPr>
          <w:sz w:val="20"/>
          <w:szCs w:val="20"/>
          <w:color w:val="auto"/>
        </w:rPr>
      </w:pPr>
    </w:p>
    <w:p>
      <w:pPr>
        <w:ind w:left="1520" w:right="1739" w:firstLine="262"/>
        <w:spacing w:after="0" w:line="261" w:lineRule="auto"/>
        <w:rPr>
          <w:sz w:val="20"/>
          <w:szCs w:val="20"/>
          <w:color w:val="auto"/>
        </w:rPr>
      </w:pPr>
      <w:r>
        <w:rPr>
          <w:rFonts w:ascii="Times New Roman" w:cs="Times New Roman" w:eastAsia="Times New Roman" w:hAnsi="Times New Roman"/>
          <w:sz w:val="13"/>
          <w:szCs w:val="13"/>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72" w:lineRule="exact"/>
        <w:rPr>
          <w:sz w:val="20"/>
          <w:szCs w:val="20"/>
          <w:color w:val="auto"/>
        </w:rPr>
      </w:pPr>
    </w:p>
    <w:p>
      <w:pPr>
        <w:ind w:left="1520" w:right="1639" w:firstLine="262"/>
        <w:spacing w:after="0" w:line="267" w:lineRule="auto"/>
        <w:rPr>
          <w:sz w:val="20"/>
          <w:szCs w:val="20"/>
          <w:color w:val="auto"/>
        </w:rPr>
      </w:pPr>
      <w:r>
        <w:rPr>
          <w:rFonts w:ascii="Times New Roman" w:cs="Times New Roman" w:eastAsia="Times New Roman" w:hAnsi="Times New Roman"/>
          <w:sz w:val="13"/>
          <w:szCs w:val="13"/>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2" w:name="page63"/>
    <w:bookmarkEnd w:id="62"/>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6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18" w:lineRule="exact"/>
        <w:rPr>
          <w:sz w:val="20"/>
          <w:szCs w:val="20"/>
          <w:color w:val="auto"/>
        </w:rPr>
      </w:pPr>
    </w:p>
    <w:p>
      <w:pPr>
        <w:ind w:left="1520" w:right="1639" w:firstLine="262"/>
        <w:spacing w:after="0" w:line="253" w:lineRule="auto"/>
        <w:rPr>
          <w:sz w:val="20"/>
          <w:szCs w:val="20"/>
          <w:color w:val="auto"/>
        </w:rPr>
      </w:pPr>
      <w:r>
        <w:rPr>
          <w:rFonts w:ascii="Times New Roman" w:cs="Times New Roman" w:eastAsia="Times New Roman" w:hAnsi="Times New Roman"/>
          <w:sz w:val="13"/>
          <w:szCs w:val="13"/>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78" w:lineRule="exact"/>
        <w:rPr>
          <w:sz w:val="20"/>
          <w:szCs w:val="20"/>
          <w:color w:val="auto"/>
        </w:rPr>
      </w:pPr>
    </w:p>
    <w:p>
      <w:pPr>
        <w:ind w:left="1520" w:right="1559" w:firstLine="262"/>
        <w:spacing w:after="0" w:line="253" w:lineRule="auto"/>
        <w:rPr>
          <w:sz w:val="20"/>
          <w:szCs w:val="20"/>
          <w:color w:val="auto"/>
        </w:rPr>
      </w:pPr>
      <w:r>
        <w:rPr>
          <w:rFonts w:ascii="Times New Roman" w:cs="Times New Roman" w:eastAsia="Times New Roman" w:hAnsi="Times New Roman"/>
          <w:sz w:val="13"/>
          <w:szCs w:val="13"/>
          <w:color w:val="auto"/>
        </w:rPr>
        <w:t>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116" w:lineRule="exact"/>
        <w:rPr>
          <w:sz w:val="20"/>
          <w:szCs w:val="20"/>
          <w:color w:val="auto"/>
        </w:rPr>
      </w:pPr>
    </w:p>
    <w:p>
      <w:pPr>
        <w:ind w:left="1520" w:right="1539" w:firstLine="262"/>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Dividends. </w:t>
      </w:r>
      <w:r>
        <w:rPr>
          <w:rFonts w:ascii="Times New Roman" w:cs="Times New Roman" w:eastAsia="Times New Roman" w:hAnsi="Times New Roman"/>
          <w:sz w:val="13"/>
          <w:szCs w:val="13"/>
          <w:color w:val="auto"/>
        </w:rPr>
        <w:t>Subject to applicable law, holders of common stock are entitled to receive dividends when,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and if declared by our Board of Directors. In certain cases, common stockholders may not receive dividends until we satisfy our obligations to any preferred stockholders.</w:t>
      </w:r>
    </w:p>
    <w:p>
      <w:pPr>
        <w:spacing w:after="0" w:line="69" w:lineRule="exact"/>
        <w:rPr>
          <w:sz w:val="20"/>
          <w:szCs w:val="20"/>
          <w:color w:val="auto"/>
        </w:rPr>
      </w:pPr>
    </w:p>
    <w:p>
      <w:pPr>
        <w:ind w:left="1520" w:right="1539" w:firstLine="262"/>
        <w:spacing w:after="0" w:line="243" w:lineRule="auto"/>
        <w:rPr>
          <w:sz w:val="20"/>
          <w:szCs w:val="20"/>
          <w:color w:val="auto"/>
        </w:rPr>
      </w:pPr>
      <w:r>
        <w:rPr>
          <w:rFonts w:ascii="Times New Roman" w:cs="Times New Roman" w:eastAsia="Times New Roman" w:hAnsi="Times New Roman"/>
          <w:sz w:val="13"/>
          <w:szCs w:val="13"/>
          <w:i w:val="1"/>
          <w:iCs w:val="1"/>
          <w:color w:val="auto"/>
        </w:rPr>
        <w:t xml:space="preserve">Voting Rights. </w:t>
      </w:r>
      <w:r>
        <w:rPr>
          <w:rFonts w:ascii="Times New Roman" w:cs="Times New Roman" w:eastAsia="Times New Roman" w:hAnsi="Times New Roman"/>
          <w:sz w:val="13"/>
          <w:szCs w:val="13"/>
          <w:color w:val="auto"/>
        </w:rPr>
        <w:t>Each holder of common stock is entitled to one vote for each share of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w:t>
      </w:r>
    </w:p>
    <w:p>
      <w:pPr>
        <w:spacing w:after="0" w:line="238" w:lineRule="exact"/>
        <w:rPr>
          <w:sz w:val="20"/>
          <w:szCs w:val="20"/>
          <w:color w:val="auto"/>
        </w:rPr>
      </w:pPr>
    </w:p>
    <w:p>
      <w:pPr>
        <w:ind w:left="1520" w:right="1599" w:firstLine="262"/>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Fully Paid Status. </w:t>
      </w:r>
      <w:r>
        <w:rPr>
          <w:rFonts w:ascii="Times New Roman" w:cs="Times New Roman" w:eastAsia="Times New Roman" w:hAnsi="Times New Roman"/>
          <w:sz w:val="13"/>
          <w:szCs w:val="13"/>
          <w:color w:val="auto"/>
        </w:rPr>
        <w:t>All outstanding shares of our common stock are validly issued, fully paid and non-assessable. The shares offered hereby will also be, upon issuance and sale, validly issued, fully paid and non-assessable.</w:t>
      </w:r>
    </w:p>
    <w:p>
      <w:pPr>
        <w:spacing w:after="0" w:line="69" w:lineRule="exact"/>
        <w:rPr>
          <w:sz w:val="20"/>
          <w:szCs w:val="20"/>
          <w:color w:val="auto"/>
        </w:rPr>
      </w:pPr>
    </w:p>
    <w:p>
      <w:pPr>
        <w:ind w:left="1520" w:right="1619" w:firstLine="262"/>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Liquidation or Dissolution. </w:t>
      </w:r>
      <w:r>
        <w:rPr>
          <w:rFonts w:ascii="Times New Roman" w:cs="Times New Roman" w:eastAsia="Times New Roman" w:hAnsi="Times New Roman"/>
          <w:sz w:val="13"/>
          <w:szCs w:val="13"/>
          <w:color w:val="auto"/>
        </w:rPr>
        <w:t>If we liquidate, dissolve or wind up our business, whether or 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voluntarily, common stockholders will share ratably in the assets remaining for distribution to stockholders after we pay our creditors and any preferred stockholders.</w:t>
      </w:r>
    </w:p>
    <w:p>
      <w:pPr>
        <w:spacing w:after="0" w:line="69" w:lineRule="exact"/>
        <w:rPr>
          <w:sz w:val="20"/>
          <w:szCs w:val="20"/>
          <w:color w:val="auto"/>
        </w:rPr>
      </w:pPr>
    </w:p>
    <w:p>
      <w:pPr>
        <w:ind w:left="1520" w:right="1919" w:firstLine="262"/>
        <w:spacing w:after="0" w:line="274" w:lineRule="auto"/>
        <w:rPr>
          <w:sz w:val="20"/>
          <w:szCs w:val="20"/>
          <w:color w:val="auto"/>
        </w:rPr>
      </w:pPr>
      <w:r>
        <w:rPr>
          <w:rFonts w:ascii="Times New Roman" w:cs="Times New Roman" w:eastAsia="Times New Roman" w:hAnsi="Times New Roman"/>
          <w:sz w:val="13"/>
          <w:szCs w:val="13"/>
          <w:i w:val="1"/>
          <w:iCs w:val="1"/>
          <w:color w:val="auto"/>
        </w:rPr>
        <w:t xml:space="preserve">Listing. </w:t>
      </w:r>
      <w:r>
        <w:rPr>
          <w:rFonts w:ascii="Times New Roman" w:cs="Times New Roman" w:eastAsia="Times New Roman" w:hAnsi="Times New Roman"/>
          <w:sz w:val="13"/>
          <w:szCs w:val="13"/>
          <w:color w:val="auto"/>
        </w:rPr>
        <w:t>Our common stock is listed on the New York Stock Exchange under the trading symbol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“WM.”</w:t>
      </w:r>
    </w:p>
    <w:p>
      <w:pPr>
        <w:spacing w:after="0" w:line="62" w:lineRule="exact"/>
        <w:rPr>
          <w:sz w:val="20"/>
          <w:szCs w:val="20"/>
          <w:color w:val="auto"/>
        </w:rPr>
      </w:pPr>
    </w:p>
    <w:p>
      <w:pPr>
        <w:ind w:left="1520" w:right="1539" w:firstLine="262"/>
        <w:spacing w:after="0" w:line="274" w:lineRule="auto"/>
        <w:rPr>
          <w:sz w:val="20"/>
          <w:szCs w:val="20"/>
          <w:color w:val="auto"/>
        </w:rPr>
      </w:pPr>
      <w:r>
        <w:rPr>
          <w:rFonts w:ascii="Times New Roman" w:cs="Times New Roman" w:eastAsia="Times New Roman" w:hAnsi="Times New Roman"/>
          <w:sz w:val="13"/>
          <w:szCs w:val="13"/>
          <w:i w:val="1"/>
          <w:iCs w:val="1"/>
          <w:color w:val="auto"/>
        </w:rPr>
        <w:t xml:space="preserve">Transfer Agent and Registrar. </w:t>
      </w:r>
      <w:r>
        <w:rPr>
          <w:rFonts w:ascii="Times New Roman" w:cs="Times New Roman" w:eastAsia="Times New Roman" w:hAnsi="Times New Roman"/>
          <w:sz w:val="13"/>
          <w:szCs w:val="13"/>
          <w:color w:val="auto"/>
        </w:rPr>
        <w:t>The transfer agent and registrar for our common stock is Computershare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Jersey City, New Jersey.</w:t>
      </w:r>
    </w:p>
    <w:p>
      <w:pPr>
        <w:spacing w:after="0" w:line="12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108" w:lineRule="exact"/>
        <w:rPr>
          <w:sz w:val="20"/>
          <w:szCs w:val="20"/>
          <w:color w:val="auto"/>
        </w:rPr>
      </w:pPr>
    </w:p>
    <w:p>
      <w:pPr>
        <w:ind w:left="1520" w:right="1659" w:firstLine="262"/>
        <w:spacing w:after="0" w:line="250" w:lineRule="auto"/>
        <w:rPr>
          <w:sz w:val="20"/>
          <w:szCs w:val="20"/>
          <w:color w:val="auto"/>
        </w:rPr>
      </w:pPr>
      <w:r>
        <w:rPr>
          <w:rFonts w:ascii="Times New Roman" w:cs="Times New Roman" w:eastAsia="Times New Roman" w:hAnsi="Times New Roman"/>
          <w:sz w:val="13"/>
          <w:szCs w:val="13"/>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3" w:name="page64"/>
    <w:bookmarkEnd w:id="63"/>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520" w:right="1639"/>
        <w:spacing w:after="0" w:line="286" w:lineRule="auto"/>
        <w:rPr>
          <w:sz w:val="20"/>
          <w:szCs w:val="20"/>
          <w:color w:val="auto"/>
        </w:rPr>
      </w:pPr>
      <w:r>
        <w:rPr>
          <w:rFonts w:ascii="Times New Roman" w:cs="Times New Roman" w:eastAsia="Times New Roman" w:hAnsi="Times New Roman"/>
          <w:sz w:val="13"/>
          <w:szCs w:val="13"/>
          <w:color w:val="auto"/>
        </w:rPr>
        <w:t>liquidation preferences that would restrict common stock dividends or adversely affect the assets available for distribution to holders of shares of common stock in the event of our dissolution.</w:t>
      </w:r>
    </w:p>
    <w:p>
      <w:pPr>
        <w:spacing w:after="0" w:line="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Authorized but Unissued Shares</w:t>
      </w:r>
    </w:p>
    <w:p>
      <w:pPr>
        <w:spacing w:after="0" w:line="118" w:lineRule="exact"/>
        <w:rPr>
          <w:sz w:val="20"/>
          <w:szCs w:val="20"/>
          <w:color w:val="auto"/>
        </w:rPr>
      </w:pPr>
    </w:p>
    <w:p>
      <w:pPr>
        <w:ind w:left="1520" w:right="1719" w:firstLine="262"/>
        <w:spacing w:after="0" w:line="249" w:lineRule="auto"/>
        <w:rPr>
          <w:sz w:val="20"/>
          <w:szCs w:val="20"/>
          <w:color w:val="auto"/>
        </w:rPr>
      </w:pPr>
      <w:r>
        <w:rPr>
          <w:rFonts w:ascii="Times New Roman" w:cs="Times New Roman" w:eastAsia="Times New Roman" w:hAnsi="Times New Roman"/>
          <w:sz w:val="13"/>
          <w:szCs w:val="13"/>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25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Exclusive Forum</w:t>
      </w:r>
    </w:p>
    <w:p>
      <w:pPr>
        <w:spacing w:after="0" w:line="118" w:lineRule="exact"/>
        <w:rPr>
          <w:sz w:val="20"/>
          <w:szCs w:val="20"/>
          <w:color w:val="auto"/>
        </w:rPr>
      </w:pPr>
    </w:p>
    <w:p>
      <w:pPr>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 -laws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26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Advance Notice and Proxy Access</w:t>
      </w:r>
    </w:p>
    <w:p>
      <w:pPr>
        <w:spacing w:after="0" w:line="108" w:lineRule="exact"/>
        <w:rPr>
          <w:sz w:val="20"/>
          <w:szCs w:val="20"/>
          <w:color w:val="auto"/>
        </w:rPr>
      </w:pPr>
    </w:p>
    <w:p>
      <w:pPr>
        <w:ind w:left="1520" w:right="1559" w:firstLine="262"/>
        <w:spacing w:after="0" w:line="247" w:lineRule="auto"/>
        <w:rPr>
          <w:sz w:val="20"/>
          <w:szCs w:val="20"/>
          <w:color w:val="auto"/>
        </w:rPr>
      </w:pPr>
      <w:r>
        <w:rPr>
          <w:rFonts w:ascii="Times New Roman" w:cs="Times New Roman" w:eastAsia="Times New Roman" w:hAnsi="Times New Roman"/>
          <w:sz w:val="13"/>
          <w:szCs w:val="13"/>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Stockholder Action by Written Consent</w:t>
      </w:r>
    </w:p>
    <w:p>
      <w:pPr>
        <w:spacing w:after="0" w:line="108" w:lineRule="exact"/>
        <w:rPr>
          <w:sz w:val="20"/>
          <w:szCs w:val="20"/>
          <w:color w:val="auto"/>
        </w:rPr>
      </w:pPr>
    </w:p>
    <w:p>
      <w:pPr>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Special Stockholder Meetings</w:t>
      </w:r>
    </w:p>
    <w:p>
      <w:pPr>
        <w:spacing w:after="0" w:line="118" w:lineRule="exact"/>
        <w:rPr>
          <w:sz w:val="20"/>
          <w:szCs w:val="20"/>
          <w:color w:val="auto"/>
        </w:rPr>
      </w:pPr>
    </w:p>
    <w:p>
      <w:pPr>
        <w:ind w:left="1520" w:right="1539" w:firstLine="262"/>
        <w:spacing w:after="0" w:line="247" w:lineRule="auto"/>
        <w:rPr>
          <w:sz w:val="20"/>
          <w:szCs w:val="20"/>
          <w:color w:val="auto"/>
        </w:rPr>
      </w:pPr>
      <w:r>
        <w:rPr>
          <w:rFonts w:ascii="Times New Roman" w:cs="Times New Roman" w:eastAsia="Times New Roman" w:hAnsi="Times New Roman"/>
          <w:sz w:val="13"/>
          <w:szCs w:val="13"/>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10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Limitations on a Change of Control</w:t>
      </w:r>
    </w:p>
    <w:p>
      <w:pPr>
        <w:spacing w:after="0" w:line="118" w:lineRule="exact"/>
        <w:rPr>
          <w:sz w:val="20"/>
          <w:szCs w:val="20"/>
          <w:color w:val="auto"/>
        </w:rPr>
      </w:pPr>
    </w:p>
    <w:p>
      <w:pPr>
        <w:ind w:left="1520" w:right="1659" w:firstLine="262"/>
        <w:spacing w:after="0" w:line="253" w:lineRule="auto"/>
        <w:rPr>
          <w:sz w:val="20"/>
          <w:szCs w:val="20"/>
          <w:color w:val="auto"/>
        </w:rPr>
      </w:pPr>
      <w:r>
        <w:rPr>
          <w:rFonts w:ascii="Times New Roman" w:cs="Times New Roman" w:eastAsia="Times New Roman" w:hAnsi="Times New Roman"/>
          <w:sz w:val="13"/>
          <w:szCs w:val="13"/>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4" w:name="page65"/>
    <w:bookmarkEnd w:id="64"/>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00" w:right="1939" w:hanging="124"/>
        <w:spacing w:after="0" w:line="269" w:lineRule="auto"/>
        <w:tabs>
          <w:tab w:leader="none" w:pos="19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combination, or the transaction in which the stockholder became an interested stockholder, is approved by our Board of Directors prior to the time the interested stockholder attained that status;</w:t>
      </w:r>
    </w:p>
    <w:p>
      <w:pPr>
        <w:spacing w:after="0" w:line="48" w:lineRule="exact"/>
        <w:rPr>
          <w:rFonts w:ascii="Times New Roman" w:cs="Times New Roman" w:eastAsia="Times New Roman" w:hAnsi="Times New Roman"/>
          <w:sz w:val="13"/>
          <w:szCs w:val="13"/>
          <w:color w:val="auto"/>
        </w:rPr>
      </w:pPr>
    </w:p>
    <w:p>
      <w:pPr>
        <w:ind w:left="1900" w:right="1739" w:hanging="124"/>
        <w:spacing w:after="0" w:line="259" w:lineRule="auto"/>
        <w:tabs>
          <w:tab w:leader="none" w:pos="19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54" w:lineRule="exact"/>
        <w:rPr>
          <w:rFonts w:ascii="Times New Roman" w:cs="Times New Roman" w:eastAsia="Times New Roman" w:hAnsi="Times New Roman"/>
          <w:sz w:val="13"/>
          <w:szCs w:val="13"/>
          <w:color w:val="auto"/>
        </w:rPr>
      </w:pPr>
    </w:p>
    <w:p>
      <w:pPr>
        <w:ind w:left="1900" w:right="1599" w:hanging="124"/>
        <w:spacing w:after="0" w:line="267" w:lineRule="auto"/>
        <w:tabs>
          <w:tab w:leader="none" w:pos="19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239" w:lineRule="exact"/>
        <w:rPr>
          <w:sz w:val="20"/>
          <w:szCs w:val="20"/>
          <w:color w:val="auto"/>
        </w:rPr>
      </w:pPr>
    </w:p>
    <w:p>
      <w:pPr>
        <w:ind w:left="1520" w:right="1579" w:firstLine="262"/>
        <w:spacing w:after="0" w:line="264" w:lineRule="auto"/>
        <w:rPr>
          <w:sz w:val="20"/>
          <w:szCs w:val="20"/>
          <w:color w:val="auto"/>
        </w:rPr>
      </w:pPr>
      <w:r>
        <w:rPr>
          <w:rFonts w:ascii="Times New Roman" w:cs="Times New Roman" w:eastAsia="Times New Roman" w:hAnsi="Times New Roman"/>
          <w:sz w:val="13"/>
          <w:szCs w:val="13"/>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80" w:lineRule="exact"/>
        <w:rPr>
          <w:sz w:val="20"/>
          <w:szCs w:val="20"/>
          <w:color w:val="auto"/>
        </w:rPr>
      </w:pPr>
    </w:p>
    <w:p>
      <w:pPr>
        <w:ind w:left="1520" w:right="1539" w:firstLine="262"/>
        <w:spacing w:after="0" w:line="264" w:lineRule="auto"/>
        <w:rPr>
          <w:sz w:val="20"/>
          <w:szCs w:val="20"/>
          <w:color w:val="auto"/>
        </w:rPr>
      </w:pPr>
      <w:r>
        <w:rPr>
          <w:rFonts w:ascii="Times New Roman" w:cs="Times New Roman" w:eastAsia="Times New Roman" w:hAnsi="Times New Roman"/>
          <w:sz w:val="13"/>
          <w:szCs w:val="13"/>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Liability of Directors and Officers</w:t>
      </w:r>
    </w:p>
    <w:p>
      <w:pPr>
        <w:spacing w:after="0" w:line="108" w:lineRule="exact"/>
        <w:rPr>
          <w:sz w:val="20"/>
          <w:szCs w:val="20"/>
          <w:color w:val="auto"/>
        </w:rPr>
      </w:pPr>
    </w:p>
    <w:p>
      <w:pPr>
        <w:ind w:left="1520" w:right="1599" w:firstLine="262"/>
        <w:spacing w:after="0" w:line="259" w:lineRule="auto"/>
        <w:rPr>
          <w:sz w:val="20"/>
          <w:szCs w:val="20"/>
          <w:color w:val="auto"/>
        </w:rPr>
      </w:pPr>
      <w:r>
        <w:rPr>
          <w:rFonts w:ascii="Times New Roman" w:cs="Times New Roman" w:eastAsia="Times New Roman" w:hAnsi="Times New Roman"/>
          <w:sz w:val="13"/>
          <w:szCs w:val="13"/>
          <w:color w:val="auto"/>
        </w:rPr>
        <w:t>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84" w:lineRule="exact"/>
        <w:rPr>
          <w:sz w:val="20"/>
          <w:szCs w:val="20"/>
          <w:color w:val="auto"/>
        </w:rPr>
      </w:pPr>
    </w:p>
    <w:p>
      <w:pPr>
        <w:ind w:left="1520" w:right="1539" w:firstLine="262"/>
        <w:spacing w:after="0" w:line="254" w:lineRule="auto"/>
        <w:rPr>
          <w:sz w:val="20"/>
          <w:szCs w:val="20"/>
          <w:color w:val="auto"/>
        </w:rPr>
      </w:pPr>
      <w:r>
        <w:rPr>
          <w:rFonts w:ascii="Times New Roman" w:cs="Times New Roman" w:eastAsia="Times New Roman" w:hAnsi="Times New Roman"/>
          <w:sz w:val="13"/>
          <w:szCs w:val="13"/>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5" w:name="page66"/>
    <w:bookmarkEnd w:id="65"/>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OTHER SECURITIES</w:t>
      </w:r>
    </w:p>
    <w:p>
      <w:pPr>
        <w:spacing w:after="0" w:line="118" w:lineRule="exact"/>
        <w:rPr>
          <w:sz w:val="20"/>
          <w:szCs w:val="20"/>
          <w:color w:val="auto"/>
        </w:rPr>
      </w:pPr>
    </w:p>
    <w:p>
      <w:pPr>
        <w:ind w:left="1520" w:right="1759" w:firstLine="262"/>
        <w:spacing w:after="0" w:line="286" w:lineRule="auto"/>
        <w:rPr>
          <w:sz w:val="20"/>
          <w:szCs w:val="20"/>
          <w:color w:val="auto"/>
        </w:rPr>
      </w:pPr>
      <w:r>
        <w:rPr>
          <w:rFonts w:ascii="Times New Roman" w:cs="Times New Roman" w:eastAsia="Times New Roman" w:hAnsi="Times New Roman"/>
          <w:sz w:val="13"/>
          <w:szCs w:val="13"/>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6" w:name="page67"/>
    <w:bookmarkEnd w:id="66"/>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The securities being offered by this prospectus may be sold by us or by a selling securityholder:</w:t>
      </w:r>
    </w:p>
    <w:p>
      <w:pPr>
        <w:spacing w:after="0" w:line="87" w:lineRule="exact"/>
        <w:rPr>
          <w:sz w:val="20"/>
          <w:szCs w:val="20"/>
          <w:color w:val="auto"/>
        </w:rPr>
      </w:pPr>
    </w:p>
    <w:p>
      <w:pPr>
        <w:ind w:left="1900" w:hanging="124"/>
        <w:spacing w:after="0"/>
        <w:tabs>
          <w:tab w:leader="none" w:pos="19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agents;</w:t>
      </w:r>
    </w:p>
    <w:p>
      <w:pPr>
        <w:spacing w:after="0" w:line="6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or through underwriters;</w:t>
      </w:r>
    </w:p>
    <w:p>
      <w:pPr>
        <w:spacing w:after="0" w:line="7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broker-dealers (acting as agent or principal);</w:t>
      </w:r>
    </w:p>
    <w:p>
      <w:pPr>
        <w:spacing w:after="0" w:line="76" w:lineRule="exact"/>
        <w:rPr>
          <w:rFonts w:ascii="Times New Roman" w:cs="Times New Roman" w:eastAsia="Times New Roman" w:hAnsi="Times New Roman"/>
          <w:sz w:val="13"/>
          <w:szCs w:val="13"/>
          <w:color w:val="auto"/>
        </w:rPr>
      </w:pPr>
    </w:p>
    <w:p>
      <w:pPr>
        <w:ind w:left="1900" w:right="1579" w:hanging="124"/>
        <w:spacing w:after="0" w:line="286" w:lineRule="auto"/>
        <w:tabs>
          <w:tab w:leader="none" w:pos="19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by us or a selling securityholder to purchasers, through a specific bidding or auction process or otherwise;</w:t>
      </w:r>
    </w:p>
    <w:p>
      <w:pPr>
        <w:spacing w:after="0" w:line="17"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 combination of any such methods of sale; or</w:t>
      </w:r>
    </w:p>
    <w:p>
      <w:pPr>
        <w:spacing w:after="0" w:line="76" w:lineRule="exact"/>
        <w:rPr>
          <w:rFonts w:ascii="Times New Roman" w:cs="Times New Roman" w:eastAsia="Times New Roman" w:hAnsi="Times New Roman"/>
          <w:sz w:val="13"/>
          <w:szCs w:val="13"/>
          <w:color w:val="auto"/>
        </w:rPr>
      </w:pPr>
    </w:p>
    <w:p>
      <w:pPr>
        <w:ind w:left="1900" w:hanging="124"/>
        <w:spacing w:after="0"/>
        <w:tabs>
          <w:tab w:leader="none" w:pos="19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any other methods described in a prospectus supplement.</w:t>
      </w:r>
    </w:p>
    <w:p>
      <w:pPr>
        <w:spacing w:after="0" w:line="116" w:lineRule="exact"/>
        <w:rPr>
          <w:sz w:val="20"/>
          <w:szCs w:val="20"/>
          <w:color w:val="auto"/>
        </w:rPr>
      </w:pPr>
    </w:p>
    <w:p>
      <w:pPr>
        <w:ind w:left="1520" w:right="1539" w:firstLine="262"/>
        <w:spacing w:after="0" w:line="245" w:lineRule="auto"/>
        <w:rPr>
          <w:sz w:val="20"/>
          <w:szCs w:val="20"/>
          <w:color w:val="auto"/>
        </w:rPr>
      </w:pPr>
      <w:r>
        <w:rPr>
          <w:rFonts w:ascii="Times New Roman" w:cs="Times New Roman" w:eastAsia="Times New Roman" w:hAnsi="Times New Roman"/>
          <w:sz w:val="13"/>
          <w:szCs w:val="13"/>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234" w:lineRule="exact"/>
        <w:rPr>
          <w:sz w:val="20"/>
          <w:szCs w:val="20"/>
          <w:color w:val="auto"/>
        </w:rPr>
      </w:pPr>
    </w:p>
    <w:p>
      <w:pPr>
        <w:ind w:left="1520" w:right="1579" w:firstLine="262"/>
        <w:spacing w:after="0" w:line="250" w:lineRule="auto"/>
        <w:rPr>
          <w:sz w:val="20"/>
          <w:szCs w:val="20"/>
          <w:color w:val="auto"/>
        </w:rPr>
      </w:pPr>
      <w:r>
        <w:rPr>
          <w:rFonts w:ascii="Times New Roman" w:cs="Times New Roman" w:eastAsia="Times New Roman" w:hAnsi="Times New Roman"/>
          <w:sz w:val="13"/>
          <w:szCs w:val="13"/>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234" w:lineRule="exact"/>
        <w:rPr>
          <w:sz w:val="20"/>
          <w:szCs w:val="20"/>
          <w:color w:val="auto"/>
        </w:rPr>
      </w:pPr>
    </w:p>
    <w:p>
      <w:pPr>
        <w:ind w:left="1520" w:right="1539" w:firstLine="262"/>
        <w:spacing w:after="0" w:line="244" w:lineRule="auto"/>
        <w:rPr>
          <w:sz w:val="20"/>
          <w:szCs w:val="20"/>
          <w:color w:val="auto"/>
        </w:rPr>
      </w:pPr>
      <w:r>
        <w:rPr>
          <w:rFonts w:ascii="Times New Roman" w:cs="Times New Roman" w:eastAsia="Times New Roman" w:hAnsi="Times New Roman"/>
          <w:sz w:val="13"/>
          <w:szCs w:val="13"/>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236" w:lineRule="exact"/>
        <w:rPr>
          <w:sz w:val="20"/>
          <w:szCs w:val="20"/>
          <w:color w:val="auto"/>
        </w:rPr>
      </w:pPr>
    </w:p>
    <w:p>
      <w:pPr>
        <w:jc w:val="both"/>
        <w:ind w:left="1520" w:right="1719" w:firstLine="262"/>
        <w:spacing w:after="0" w:line="253" w:lineRule="auto"/>
        <w:rPr>
          <w:sz w:val="20"/>
          <w:szCs w:val="20"/>
          <w:color w:val="auto"/>
        </w:rPr>
      </w:pPr>
      <w:r>
        <w:rPr>
          <w:rFonts w:ascii="Times New Roman" w:cs="Times New Roman" w:eastAsia="Times New Roman" w:hAnsi="Times New Roman"/>
          <w:sz w:val="13"/>
          <w:szCs w:val="13"/>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78" w:lineRule="exact"/>
        <w:rPr>
          <w:sz w:val="20"/>
          <w:szCs w:val="20"/>
          <w:color w:val="auto"/>
        </w:rPr>
      </w:pPr>
    </w:p>
    <w:p>
      <w:pPr>
        <w:ind w:left="1520" w:right="1639" w:firstLine="262"/>
        <w:spacing w:after="0" w:line="249" w:lineRule="auto"/>
        <w:rPr>
          <w:sz w:val="20"/>
          <w:szCs w:val="20"/>
          <w:color w:val="auto"/>
        </w:rPr>
      </w:pPr>
      <w:r>
        <w:rPr>
          <w:rFonts w:ascii="Times New Roman" w:cs="Times New Roman" w:eastAsia="Times New Roman" w:hAnsi="Times New Roman"/>
          <w:sz w:val="13"/>
          <w:szCs w:val="13"/>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80" w:lineRule="exact"/>
        <w:rPr>
          <w:sz w:val="20"/>
          <w:szCs w:val="20"/>
          <w:color w:val="auto"/>
        </w:rPr>
      </w:pPr>
    </w:p>
    <w:p>
      <w:pPr>
        <w:ind w:left="1520" w:right="1599" w:firstLine="262"/>
        <w:spacing w:after="0" w:line="286" w:lineRule="auto"/>
        <w:rPr>
          <w:sz w:val="20"/>
          <w:szCs w:val="20"/>
          <w:color w:val="auto"/>
        </w:rPr>
      </w:pPr>
      <w:r>
        <w:rPr>
          <w:rFonts w:ascii="Times New Roman" w:cs="Times New Roman" w:eastAsia="Times New Roman" w:hAnsi="Times New Roman"/>
          <w:sz w:val="13"/>
          <w:szCs w:val="13"/>
          <w:color w:val="auto"/>
        </w:rPr>
        <w:t>Agents, underwriters and dealers may be entitled under agreements that may be entered into with us to indemnification by us against specified liabilities, including liabilities incurred under the Securities Act, or</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187960</wp:posOffset>
            </wp:positionV>
            <wp:extent cx="498411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7" w:name="page68"/>
    <w:bookmarkEnd w:id="67"/>
    <w:p>
      <w:pPr>
        <w:ind w:left="600"/>
        <w:spacing w:after="0"/>
        <w:rPr>
          <w:sz w:val="20"/>
          <w:szCs w:val="20"/>
          <w:color w:val="auto"/>
        </w:rPr>
      </w:pPr>
      <w:r>
        <w:rPr>
          <w:rFonts w:ascii="Calibri" w:cs="Calibri" w:eastAsia="Calibri" w:hAnsi="Calibri"/>
          <w:sz w:val="10"/>
          <w:szCs w:val="10"/>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520" w:right="1539"/>
        <w:spacing w:after="0" w:line="264" w:lineRule="auto"/>
        <w:rPr>
          <w:sz w:val="20"/>
          <w:szCs w:val="20"/>
          <w:color w:val="auto"/>
        </w:rPr>
      </w:pPr>
      <w:r>
        <w:rPr>
          <w:rFonts w:ascii="Times New Roman" w:cs="Times New Roman" w:eastAsia="Times New Roman" w:hAnsi="Times New Roman"/>
          <w:sz w:val="13"/>
          <w:szCs w:val="13"/>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80" w:lineRule="exact"/>
        <w:rPr>
          <w:sz w:val="20"/>
          <w:szCs w:val="20"/>
          <w:color w:val="auto"/>
        </w:rPr>
      </w:pPr>
    </w:p>
    <w:p>
      <w:pPr>
        <w:ind w:left="1520" w:right="1619" w:firstLine="262"/>
        <w:spacing w:after="0" w:line="286" w:lineRule="auto"/>
        <w:rPr>
          <w:sz w:val="20"/>
          <w:szCs w:val="20"/>
          <w:color w:val="auto"/>
        </w:rPr>
      </w:pPr>
      <w:r>
        <w:rPr>
          <w:rFonts w:ascii="Times New Roman" w:cs="Times New Roman" w:eastAsia="Times New Roman" w:hAnsi="Times New Roman"/>
          <w:sz w:val="13"/>
          <w:szCs w:val="13"/>
          <w:color w:val="auto"/>
        </w:rPr>
        <w:t>Under the securities laws of some states, the securities offered by this prospectus may be sold in those states only through registered or licensed brokers or dealers.</w:t>
      </w:r>
    </w:p>
    <w:p>
      <w:pPr>
        <w:spacing w:after="0" w:line="67" w:lineRule="exact"/>
        <w:rPr>
          <w:sz w:val="20"/>
          <w:szCs w:val="20"/>
          <w:color w:val="auto"/>
        </w:rPr>
      </w:pPr>
    </w:p>
    <w:p>
      <w:pPr>
        <w:ind w:left="1520" w:right="1539" w:firstLine="262"/>
        <w:spacing w:after="0" w:line="257" w:lineRule="auto"/>
        <w:rPr>
          <w:sz w:val="20"/>
          <w:szCs w:val="20"/>
          <w:color w:val="auto"/>
        </w:rPr>
      </w:pPr>
      <w:r>
        <w:rPr>
          <w:rFonts w:ascii="Times New Roman" w:cs="Times New Roman" w:eastAsia="Times New Roman" w:hAnsi="Times New Roman"/>
          <w:sz w:val="13"/>
          <w:szCs w:val="13"/>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237" w:lineRule="exact"/>
        <w:rPr>
          <w:sz w:val="20"/>
          <w:szCs w:val="20"/>
          <w:color w:val="auto"/>
        </w:rPr>
      </w:pPr>
    </w:p>
    <w:p>
      <w:pPr>
        <w:ind w:left="1520" w:right="1619" w:firstLine="262"/>
        <w:spacing w:after="0" w:line="264" w:lineRule="auto"/>
        <w:rPr>
          <w:sz w:val="20"/>
          <w:szCs w:val="20"/>
          <w:color w:val="auto"/>
        </w:rPr>
      </w:pPr>
      <w:r>
        <w:rPr>
          <w:rFonts w:ascii="Times New Roman" w:cs="Times New Roman" w:eastAsia="Times New Roman" w:hAnsi="Times New Roman"/>
          <w:sz w:val="13"/>
          <w:szCs w:val="13"/>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8" w:name="page69"/>
    <w:bookmarkEnd w:id="68"/>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SELLING SECURITYHOLDERS</w:t>
      </w:r>
    </w:p>
    <w:p>
      <w:pPr>
        <w:spacing w:after="0" w:line="118" w:lineRule="exact"/>
        <w:rPr>
          <w:sz w:val="20"/>
          <w:szCs w:val="20"/>
          <w:color w:val="auto"/>
        </w:rPr>
      </w:pPr>
    </w:p>
    <w:p>
      <w:pPr>
        <w:ind w:left="1520" w:right="1579" w:firstLine="262"/>
        <w:spacing w:after="0" w:line="269" w:lineRule="auto"/>
        <w:rPr>
          <w:sz w:val="20"/>
          <w:szCs w:val="20"/>
          <w:color w:val="auto"/>
        </w:rPr>
      </w:pPr>
      <w:r>
        <w:rPr>
          <w:rFonts w:ascii="Times New Roman" w:cs="Times New Roman" w:eastAsia="Times New Roman" w:hAnsi="Times New Roman"/>
          <w:sz w:val="13"/>
          <w:szCs w:val="13"/>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69" w:name="page70"/>
    <w:bookmarkEnd w:id="69"/>
    <w:p>
      <w:pPr>
        <w:ind w:left="600"/>
        <w:spacing w:after="0"/>
        <w:rPr>
          <w:sz w:val="20"/>
          <w:szCs w:val="20"/>
          <w:color w:val="auto"/>
        </w:rPr>
      </w:pPr>
      <w:r>
        <w:rPr>
          <w:rFonts w:ascii="Calibri" w:cs="Calibri" w:eastAsia="Calibri" w:hAnsi="Calibri"/>
          <w:sz w:val="10"/>
          <w:szCs w:val="10"/>
          <w:color w:val="003366"/>
        </w:rPr>
        <w:t>TABLE OF CONTENTS</w:t>
      </w:r>
      <w:r>
        <w:rPr>
          <w:rFonts w:ascii="Calibri" w:cs="Calibri" w:eastAsia="Calibri" w:hAnsi="Calibri"/>
          <w:sz w:val="10"/>
          <w:szCs w:val="1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18" w:lineRule="exact"/>
        <w:rPr>
          <w:sz w:val="20"/>
          <w:szCs w:val="20"/>
          <w:color w:val="auto"/>
        </w:rPr>
      </w:pPr>
    </w:p>
    <w:p>
      <w:pPr>
        <w:ind w:left="1520" w:right="1679" w:firstLine="262"/>
        <w:spacing w:after="0" w:line="269" w:lineRule="auto"/>
        <w:rPr>
          <w:sz w:val="20"/>
          <w:szCs w:val="20"/>
          <w:color w:val="auto"/>
        </w:rPr>
      </w:pPr>
      <w:r>
        <w:rPr>
          <w:rFonts w:ascii="Times New Roman" w:cs="Times New Roman" w:eastAsia="Times New Roman" w:hAnsi="Times New Roman"/>
          <w:sz w:val="13"/>
          <w:szCs w:val="13"/>
          <w:color w:val="auto"/>
        </w:rPr>
        <w:t>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18" w:lineRule="exact"/>
        <w:rPr>
          <w:sz w:val="20"/>
          <w:szCs w:val="20"/>
          <w:color w:val="auto"/>
        </w:rPr>
      </w:pPr>
    </w:p>
    <w:p>
      <w:pPr>
        <w:ind w:left="1520" w:right="1559" w:firstLine="262"/>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consolidated financial statements of Waste Management, Inc. appearing in Waste Management, Inc.’s </w:t>
      </w:r>
      <w:hyperlink r:id="rId131">
        <w:r>
          <w:rPr>
            <w:rFonts w:ascii="Times New Roman" w:cs="Times New Roman" w:eastAsia="Times New Roman" w:hAnsi="Times New Roman"/>
            <w:sz w:val="13"/>
            <w:szCs w:val="13"/>
            <w:u w:val="single" w:color="auto"/>
            <w:color w:val="0000EE"/>
          </w:rPr>
          <w:t>Annual Report (Form 10-K) for the year ended December 31, 2021</w:t>
        </w:r>
      </w:hyperlink>
      <w:r>
        <w:rPr>
          <w:rFonts w:ascii="Times New Roman" w:cs="Times New Roman" w:eastAsia="Times New Roman" w:hAnsi="Times New Roman"/>
          <w:sz w:val="13"/>
          <w:szCs w:val="13"/>
          <w:color w:val="auto"/>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181610</wp:posOffset>
            </wp:positionV>
            <wp:extent cx="498411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0" w:name="page71"/>
    <w:bookmarkEnd w:id="70"/>
    <w:p>
      <w:pPr>
        <w:ind w:left="600"/>
        <w:spacing w:after="0"/>
        <w:rPr>
          <w:sz w:val="20"/>
          <w:szCs w:val="20"/>
          <w:color w:val="auto"/>
        </w:rPr>
      </w:pPr>
      <w:r>
        <w:rPr>
          <w:rFonts w:ascii="Calibri" w:cs="Calibri" w:eastAsia="Calibri" w:hAnsi="Calibri"/>
          <w:sz w:val="10"/>
          <w:szCs w:val="10"/>
          <w:color w:val="003366"/>
        </w:rPr>
        <w:t>TABLE OF CONTENTS</w:t>
      </w:r>
    </w:p>
    <w:p>
      <w:pPr>
        <w:spacing w:after="0" w:line="35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-4445</wp:posOffset>
            </wp:positionV>
            <wp:extent cx="3797300"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3797300" cy="12700"/>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32385</wp:posOffset>
            </wp:positionV>
            <wp:extent cx="379730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3797300" cy="635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330835</wp:posOffset>
            </wp:positionV>
            <wp:extent cx="2029460" cy="543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2029460" cy="54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$1,000,000,000 4.500% Senior Notes due 2028</w:t>
      </w:r>
    </w:p>
    <w:p>
      <w:pPr>
        <w:spacing w:after="0" w:line="4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$700,000,000 4.650% Senior Notes due 2030</w:t>
      </w:r>
    </w:p>
    <w:p>
      <w:pPr>
        <w:spacing w:after="0" w:line="4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$750,000,000 4.800% Senior Notes due 2032</w:t>
      </w:r>
    </w:p>
    <w:p>
      <w:pPr>
        <w:spacing w:after="0" w:line="4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$1,500,000,000 4.950% Senior Notes due 2035</w:t>
      </w:r>
    </w:p>
    <w:p>
      <w:pPr>
        <w:spacing w:after="0" w:line="4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$1,250,000,000 5.350% Senior Notes due 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165100</wp:posOffset>
            </wp:positionV>
            <wp:extent cx="89916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899160" cy="635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103505</wp:posOffset>
            </wp:positionV>
            <wp:extent cx="89916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899160" cy="635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Joint Book-Running Managers</w:t>
      </w:r>
    </w:p>
    <w:p>
      <w:pPr>
        <w:spacing w:after="0" w:line="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J.P. Morgan</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Barclays</w:t>
      </w:r>
    </w:p>
    <w:p>
      <w:pPr>
        <w:ind w:left="3660"/>
        <w:spacing w:after="0" w:line="230" w:lineRule="auto"/>
        <w:rPr>
          <w:sz w:val="20"/>
          <w:szCs w:val="20"/>
          <w:color w:val="auto"/>
        </w:rPr>
      </w:pPr>
      <w:r>
        <w:rPr>
          <w:rFonts w:ascii="Times New Roman" w:cs="Times New Roman" w:eastAsia="Times New Roman" w:hAnsi="Times New Roman"/>
          <w:sz w:val="16"/>
          <w:szCs w:val="16"/>
          <w:b w:val="1"/>
          <w:bCs w:val="1"/>
          <w:color w:val="auto"/>
        </w:rPr>
        <w:t>Deutsche Bank Securities</w:t>
      </w:r>
    </w:p>
    <w:p>
      <w:pPr>
        <w:ind w:left="3600"/>
        <w:spacing w:after="0" w:line="231" w:lineRule="auto"/>
        <w:rPr>
          <w:sz w:val="20"/>
          <w:szCs w:val="20"/>
          <w:color w:val="auto"/>
        </w:rPr>
      </w:pPr>
      <w:r>
        <w:rPr>
          <w:rFonts w:ascii="Times New Roman" w:cs="Times New Roman" w:eastAsia="Times New Roman" w:hAnsi="Times New Roman"/>
          <w:sz w:val="16"/>
          <w:szCs w:val="16"/>
          <w:b w:val="1"/>
          <w:bCs w:val="1"/>
          <w:color w:val="auto"/>
        </w:rPr>
        <w:t>Goldman Sachs &amp; Co. LLC</w:t>
      </w:r>
    </w:p>
    <w:p>
      <w:pPr>
        <w:ind w:left="4240"/>
        <w:spacing w:after="0" w:line="231" w:lineRule="auto"/>
        <w:rPr>
          <w:sz w:val="20"/>
          <w:szCs w:val="20"/>
          <w:color w:val="auto"/>
        </w:rPr>
      </w:pPr>
      <w:r>
        <w:rPr>
          <w:rFonts w:ascii="Times New Roman" w:cs="Times New Roman" w:eastAsia="Times New Roman" w:hAnsi="Times New Roman"/>
          <w:sz w:val="16"/>
          <w:szCs w:val="16"/>
          <w:b w:val="1"/>
          <w:bCs w:val="1"/>
          <w:color w:val="auto"/>
        </w:rPr>
        <w:t>Mizuho</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Scotiabank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Co-Managers</w:t>
      </w:r>
    </w:p>
    <w:p>
      <w:pPr>
        <w:spacing w:after="0" w:line="15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BNP PARIBAS</w:t>
      </w:r>
    </w:p>
    <w:p>
      <w:pPr>
        <w:spacing w:after="0" w:line="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MUFG</w:t>
      </w:r>
    </w:p>
    <w:p>
      <w:pPr>
        <w:ind w:left="3600"/>
        <w:spacing w:after="0" w:line="230" w:lineRule="auto"/>
        <w:rPr>
          <w:sz w:val="20"/>
          <w:szCs w:val="20"/>
          <w:color w:val="auto"/>
        </w:rPr>
      </w:pPr>
      <w:r>
        <w:rPr>
          <w:rFonts w:ascii="Times New Roman" w:cs="Times New Roman" w:eastAsia="Times New Roman" w:hAnsi="Times New Roman"/>
          <w:sz w:val="16"/>
          <w:szCs w:val="16"/>
          <w:b w:val="1"/>
          <w:bCs w:val="1"/>
          <w:color w:val="auto"/>
        </w:rPr>
        <w:t>PNC Capital Markets LLC</w:t>
      </w:r>
    </w:p>
    <w:p>
      <w:pPr>
        <w:ind w:left="3780"/>
        <w:spacing w:after="0" w:line="231" w:lineRule="auto"/>
        <w:rPr>
          <w:sz w:val="20"/>
          <w:szCs w:val="20"/>
          <w:color w:val="auto"/>
        </w:rPr>
      </w:pPr>
      <w:r>
        <w:rPr>
          <w:rFonts w:ascii="Times New Roman" w:cs="Times New Roman" w:eastAsia="Times New Roman" w:hAnsi="Times New Roman"/>
          <w:sz w:val="16"/>
          <w:szCs w:val="16"/>
          <w:b w:val="1"/>
          <w:bCs w:val="1"/>
          <w:color w:val="auto"/>
        </w:rPr>
        <w:t>RBC Capital Markets</w:t>
      </w:r>
    </w:p>
    <w:p>
      <w:pPr>
        <w:ind w:left="4040"/>
        <w:spacing w:after="0" w:line="231" w:lineRule="auto"/>
        <w:rPr>
          <w:sz w:val="20"/>
          <w:szCs w:val="20"/>
          <w:color w:val="auto"/>
        </w:rPr>
      </w:pPr>
      <w:r>
        <w:rPr>
          <w:rFonts w:ascii="Times New Roman" w:cs="Times New Roman" w:eastAsia="Times New Roman" w:hAnsi="Times New Roman"/>
          <w:sz w:val="16"/>
          <w:szCs w:val="16"/>
          <w:b w:val="1"/>
          <w:bCs w:val="1"/>
          <w:color w:val="auto"/>
        </w:rPr>
        <w:t>SMBC Nikko</w:t>
      </w:r>
    </w:p>
    <w:p>
      <w:pPr>
        <w:ind w:left="3960"/>
        <w:spacing w:after="0" w:line="231" w:lineRule="auto"/>
        <w:rPr>
          <w:sz w:val="20"/>
          <w:szCs w:val="20"/>
          <w:color w:val="auto"/>
        </w:rPr>
      </w:pPr>
      <w:r>
        <w:rPr>
          <w:rFonts w:ascii="Times New Roman" w:cs="Times New Roman" w:eastAsia="Times New Roman" w:hAnsi="Times New Roman"/>
          <w:sz w:val="16"/>
          <w:szCs w:val="16"/>
          <w:b w:val="1"/>
          <w:bCs w:val="1"/>
          <w:color w:val="auto"/>
        </w:rPr>
        <w:t>Truist Securities</w:t>
      </w:r>
    </w:p>
    <w:p>
      <w:pPr>
        <w:ind w:left="4120"/>
        <w:spacing w:after="0" w:line="231" w:lineRule="auto"/>
        <w:rPr>
          <w:sz w:val="20"/>
          <w:szCs w:val="20"/>
          <w:color w:val="auto"/>
        </w:rPr>
      </w:pPr>
      <w:r>
        <w:rPr>
          <w:rFonts w:ascii="Times New Roman" w:cs="Times New Roman" w:eastAsia="Times New Roman" w:hAnsi="Times New Roman"/>
          <w:sz w:val="16"/>
          <w:szCs w:val="16"/>
          <w:b w:val="1"/>
          <w:bCs w:val="1"/>
          <w:color w:val="auto"/>
        </w:rPr>
        <w:t>US Bancorp</w:t>
      </w:r>
    </w:p>
    <w:p>
      <w:pPr>
        <w:ind w:left="3780"/>
        <w:spacing w:after="0" w:line="231" w:lineRule="auto"/>
        <w:rPr>
          <w:sz w:val="20"/>
          <w:szCs w:val="20"/>
          <w:color w:val="auto"/>
        </w:rPr>
      </w:pPr>
      <w:r>
        <w:rPr>
          <w:rFonts w:ascii="Times New Roman" w:cs="Times New Roman" w:eastAsia="Times New Roman" w:hAnsi="Times New Roman"/>
          <w:sz w:val="16"/>
          <w:szCs w:val="16"/>
          <w:b w:val="1"/>
          <w:bCs w:val="1"/>
          <w:color w:val="auto"/>
        </w:rPr>
        <w:t>Wells Fargo Securities</w:t>
      </w:r>
    </w:p>
    <w:p>
      <w:pPr>
        <w:ind w:left="3880"/>
        <w:spacing w:after="0" w:line="231" w:lineRule="auto"/>
        <w:rPr>
          <w:sz w:val="20"/>
          <w:szCs w:val="20"/>
          <w:color w:val="auto"/>
        </w:rPr>
      </w:pPr>
      <w:r>
        <w:rPr>
          <w:rFonts w:ascii="Times New Roman" w:cs="Times New Roman" w:eastAsia="Times New Roman" w:hAnsi="Times New Roman"/>
          <w:sz w:val="16"/>
          <w:szCs w:val="16"/>
          <w:b w:val="1"/>
          <w:bCs w:val="1"/>
          <w:color w:val="auto"/>
        </w:rPr>
        <w:t>Academy Securities</w:t>
      </w:r>
    </w:p>
    <w:p>
      <w:pPr>
        <w:ind w:left="3780"/>
        <w:spacing w:after="0" w:line="231" w:lineRule="auto"/>
        <w:rPr>
          <w:sz w:val="20"/>
          <w:szCs w:val="20"/>
          <w:color w:val="auto"/>
        </w:rPr>
      </w:pPr>
      <w:r>
        <w:rPr>
          <w:rFonts w:ascii="Times New Roman" w:cs="Times New Roman" w:eastAsia="Times New Roman" w:hAnsi="Times New Roman"/>
          <w:sz w:val="16"/>
          <w:szCs w:val="16"/>
          <w:b w:val="1"/>
          <w:bCs w:val="1"/>
          <w:color w:val="auto"/>
        </w:rPr>
        <w:t>Loop Capital Markets</w:t>
      </w:r>
    </w:p>
    <w:p>
      <w:pPr>
        <w:ind w:left="3880"/>
        <w:spacing w:after="0" w:line="231" w:lineRule="auto"/>
        <w:rPr>
          <w:sz w:val="20"/>
          <w:szCs w:val="20"/>
          <w:color w:val="auto"/>
        </w:rPr>
      </w:pPr>
      <w:r>
        <w:rPr>
          <w:rFonts w:ascii="Times New Roman" w:cs="Times New Roman" w:eastAsia="Times New Roman" w:hAnsi="Times New Roman"/>
          <w:sz w:val="16"/>
          <w:szCs w:val="16"/>
          <w:b w:val="1"/>
          <w:bCs w:val="1"/>
          <w:color w:val="auto"/>
        </w:rPr>
        <w:t>Blaylock Van, LLC</w:t>
      </w:r>
    </w:p>
    <w:p>
      <w:pPr>
        <w:ind w:left="3520"/>
        <w:spacing w:after="0" w:line="231" w:lineRule="auto"/>
        <w:rPr>
          <w:sz w:val="20"/>
          <w:szCs w:val="20"/>
          <w:color w:val="auto"/>
        </w:rPr>
      </w:pPr>
      <w:r>
        <w:rPr>
          <w:rFonts w:ascii="Times New Roman" w:cs="Times New Roman" w:eastAsia="Times New Roman" w:hAnsi="Times New Roman"/>
          <w:sz w:val="16"/>
          <w:szCs w:val="16"/>
          <w:b w:val="1"/>
          <w:bCs w:val="1"/>
          <w:color w:val="auto"/>
        </w:rPr>
        <w:t>Mischler Financial Group, Inc.</w:t>
      </w:r>
    </w:p>
    <w:p>
      <w:pPr>
        <w:ind w:left="4320"/>
        <w:spacing w:after="0"/>
        <w:rPr>
          <w:sz w:val="20"/>
          <w:szCs w:val="20"/>
          <w:color w:val="auto"/>
        </w:rPr>
      </w:pPr>
      <w:r>
        <w:rPr>
          <w:rFonts w:ascii="Times New Roman" w:cs="Times New Roman" w:eastAsia="Times New Roman" w:hAnsi="Times New Roman"/>
          <w:sz w:val="16"/>
          <w:szCs w:val="16"/>
          <w:b w:val="1"/>
          <w:bCs w:val="1"/>
          <w:color w:val="auto"/>
        </w:rPr>
        <w:t>Stern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219075</wp:posOffset>
            </wp:positionV>
            <wp:extent cx="379730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3797300" cy="6350"/>
                    </a:xfrm>
                    <a:prstGeom prst="rect">
                      <a:avLst/>
                    </a:prstGeom>
                    <a:noFill/>
                  </pic:spPr>
                </pic:pic>
              </a:graphicData>
            </a:graphic>
          </wp:anchor>
        </w:drawing>
      </w:r>
    </w:p>
    <w:p>
      <w:pPr>
        <w:spacing w:after="0" w:line="33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1270</wp:posOffset>
            </wp:positionV>
            <wp:extent cx="3797300"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3797300" cy="12700"/>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182245</wp:posOffset>
            </wp:positionV>
            <wp:extent cx="498411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4984115" cy="381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1" w:name="page72"/>
    <w:bookmarkEnd w:id="71"/>
    <w:p>
      <w:pPr>
        <w:spacing w:after="0" w:line="62" w:lineRule="exact"/>
        <w:rPr>
          <w:sz w:val="20"/>
          <w:szCs w:val="20"/>
          <w:color w:val="auto"/>
        </w:rPr>
      </w:pPr>
    </w:p>
    <w:p>
      <w:pPr>
        <w:ind w:left="3580"/>
        <w:spacing w:after="0"/>
        <w:rPr>
          <w:sz w:val="20"/>
          <w:szCs w:val="20"/>
          <w:color w:val="auto"/>
        </w:rPr>
      </w:pPr>
      <w:r>
        <w:rPr>
          <w:rFonts w:ascii="Arial" w:cs="Arial" w:eastAsia="Arial" w:hAnsi="Arial"/>
          <w:sz w:val="26"/>
          <w:szCs w:val="26"/>
          <w:b w:val="1"/>
          <w:bCs w:val="1"/>
          <w:color w:val="auto"/>
        </w:rPr>
        <w:t>Calculation of Filing Fee Tables</w:t>
      </w:r>
    </w:p>
    <w:p>
      <w:pPr>
        <w:spacing w:after="0" w:line="163" w:lineRule="exact"/>
        <w:rPr>
          <w:sz w:val="20"/>
          <w:szCs w:val="20"/>
          <w:color w:val="auto"/>
        </w:rPr>
      </w:pPr>
    </w:p>
    <w:p>
      <w:pPr>
        <w:ind w:left="5340"/>
        <w:spacing w:after="0"/>
        <w:rPr>
          <w:sz w:val="20"/>
          <w:szCs w:val="20"/>
          <w:color w:val="auto"/>
        </w:rPr>
      </w:pPr>
      <w:r>
        <w:rPr>
          <w:rFonts w:ascii="Arial" w:cs="Arial" w:eastAsia="Arial" w:hAnsi="Arial"/>
          <w:sz w:val="26"/>
          <w:szCs w:val="26"/>
          <w:b w:val="1"/>
          <w:bCs w:val="1"/>
          <w:color w:val="auto"/>
        </w:rPr>
        <w:t>S-3</w:t>
      </w:r>
    </w:p>
    <w:p>
      <w:pPr>
        <w:spacing w:after="0" w:line="94" w:lineRule="exact"/>
        <w:rPr>
          <w:sz w:val="20"/>
          <w:szCs w:val="20"/>
          <w:color w:val="auto"/>
        </w:rPr>
      </w:pPr>
    </w:p>
    <w:p>
      <w:pPr>
        <w:jc w:val="center"/>
        <w:ind w:right="220"/>
        <w:spacing w:after="0"/>
        <w:rPr>
          <w:sz w:val="20"/>
          <w:szCs w:val="20"/>
          <w:color w:val="auto"/>
        </w:rPr>
      </w:pPr>
      <w:r>
        <w:rPr>
          <w:rFonts w:ascii="Arial" w:cs="Arial" w:eastAsia="Arial" w:hAnsi="Arial"/>
          <w:sz w:val="26"/>
          <w:szCs w:val="26"/>
          <w:b w:val="1"/>
          <w:bCs w:val="1"/>
          <w:color w:val="auto"/>
        </w:rPr>
        <w:t>WASTE MANAGEMENT INC</w:t>
      </w:r>
    </w:p>
    <w:p>
      <w:pPr>
        <w:spacing w:after="0" w:line="12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31750</wp:posOffset>
            </wp:positionV>
            <wp:extent cx="7217410" cy="9563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217410" cy="9563100"/>
                    </a:xfrm>
                    <a:prstGeom prst="rect">
                      <a:avLst/>
                    </a:prstGeom>
                    <a:noFill/>
                  </pic:spPr>
                </pic:pic>
              </a:graphicData>
            </a:graphic>
          </wp:anchor>
        </w:drawing>
      </w:r>
    </w:p>
    <w:p>
      <w:pPr>
        <w:sectPr>
          <w:pgSz w:w="11900" w:h="16900" w:orient="portrait"/>
          <w:cols w:equalWidth="0" w:num="1">
            <w:col w:w="11300"/>
          </w:cols>
          <w:pgMar w:left="340" w:top="142"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32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Fees to be Paid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09"/>
        </w:trPr>
        <w:tc>
          <w:tcPr>
            <w:tcW w:w="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177"/>
        </w:trPr>
        <w:tc>
          <w:tcPr>
            <w:tcW w:w="2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9ADAF6"/>
          </w:tcPr>
          <w:p>
            <w:pPr>
              <w:spacing w:after="0"/>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5"/>
                <w:szCs w:val="15"/>
                <w:color w:val="auto"/>
              </w:rPr>
            </w:pPr>
          </w:p>
        </w:tc>
        <w:tc>
          <w:tcPr>
            <w:tcW w:w="980" w:type="dxa"/>
            <w:vAlign w:val="bottom"/>
            <w:vMerge w:val="restart"/>
            <w:shd w:val="clear" w:color="auto" w:fill="9ADAF6"/>
          </w:tcPr>
          <w:p>
            <w:pPr>
              <w:ind w:left="18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7"/>
              </w:rPr>
              <w:t>Calculation</w:t>
            </w:r>
          </w:p>
        </w:tc>
        <w:tc>
          <w:tcPr>
            <w:tcW w:w="0" w:type="dxa"/>
            <w:vAlign w:val="bottom"/>
          </w:tcPr>
          <w:p>
            <w:pPr>
              <w:spacing w:after="0"/>
              <w:rPr>
                <w:sz w:val="1"/>
                <w:szCs w:val="1"/>
                <w:color w:val="auto"/>
              </w:rPr>
            </w:pPr>
          </w:p>
        </w:tc>
      </w:tr>
      <w:tr>
        <w:trPr>
          <w:trHeight w:val="89"/>
        </w:trPr>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6"/>
              </w:rPr>
              <w:t>or Carry</w:t>
            </w:r>
          </w:p>
        </w:tc>
        <w:tc>
          <w:tcPr>
            <w:tcW w:w="0" w:type="dxa"/>
            <w:vAlign w:val="bottom"/>
          </w:tcPr>
          <w:p>
            <w:pPr>
              <w:spacing w:after="0"/>
              <w:rPr>
                <w:sz w:val="1"/>
                <w:szCs w:val="1"/>
                <w:color w:val="auto"/>
              </w:rPr>
            </w:pPr>
          </w:p>
        </w:tc>
      </w:tr>
      <w:tr>
        <w:trPr>
          <w:trHeight w:val="89"/>
        </w:trPr>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980" w:type="dxa"/>
            <w:vAlign w:val="bottom"/>
            <w:vMerge w:val="restart"/>
            <w:shd w:val="clear" w:color="auto" w:fill="9ADAF6"/>
          </w:tcPr>
          <w:p>
            <w:pPr>
              <w:ind w:left="100"/>
              <w:spacing w:after="0"/>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restart"/>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8"/>
              </w:rPr>
              <w:t>Forward</w:t>
            </w:r>
          </w:p>
        </w:tc>
        <w:tc>
          <w:tcPr>
            <w:tcW w:w="0" w:type="dxa"/>
            <w:vAlign w:val="bottom"/>
          </w:tcPr>
          <w:p>
            <w:pPr>
              <w:spacing w:after="0"/>
              <w:rPr>
                <w:sz w:val="1"/>
                <w:szCs w:val="1"/>
                <w:color w:val="auto"/>
              </w:rPr>
            </w:pPr>
          </w:p>
        </w:tc>
      </w:tr>
      <w:tr>
        <w:trPr>
          <w:trHeight w:val="49"/>
        </w:trPr>
        <w:tc>
          <w:tcPr>
            <w:tcW w:w="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Rule</w:t>
            </w:r>
          </w:p>
        </w:tc>
        <w:tc>
          <w:tcPr>
            <w:tcW w:w="0" w:type="dxa"/>
            <w:vAlign w:val="bottom"/>
          </w:tcPr>
          <w:p>
            <w:pPr>
              <w:spacing w:after="0"/>
              <w:rPr>
                <w:sz w:val="1"/>
                <w:szCs w:val="1"/>
                <w:color w:val="auto"/>
              </w:rPr>
            </w:pPr>
          </w:p>
        </w:tc>
      </w:tr>
      <w:tr>
        <w:trPr>
          <w:trHeight w:val="434"/>
        </w:trPr>
        <w:tc>
          <w:tcPr>
            <w:tcW w:w="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980" w:type="dxa"/>
            <w:vAlign w:val="bottom"/>
            <w:shd w:val="clear" w:color="auto" w:fill="E7E7E2"/>
          </w:tcPr>
          <w:p>
            <w:pPr>
              <w:ind w:left="20"/>
              <w:spacing w:after="0" w:line="168" w:lineRule="exact"/>
              <w:rPr>
                <w:sz w:val="20"/>
                <w:szCs w:val="20"/>
                <w:color w:val="auto"/>
              </w:rPr>
            </w:pPr>
            <w:r>
              <w:rPr>
                <w:rFonts w:ascii="Arial" w:cs="Arial" w:eastAsia="Arial" w:hAnsi="Arial"/>
                <w:sz w:val="16"/>
                <w:szCs w:val="16"/>
                <w:color w:val="auto"/>
              </w:rPr>
              <w:t>4.500%</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6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2028 of</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0" w:type="dxa"/>
            <w:vAlign w:val="bottom"/>
          </w:tcPr>
          <w:p>
            <w:pPr>
              <w:spacing w:after="0"/>
              <w:rPr>
                <w:sz w:val="1"/>
                <w:szCs w:val="1"/>
                <w:color w:val="auto"/>
              </w:rPr>
            </w:pPr>
          </w:p>
        </w:tc>
      </w:tr>
      <w:tr>
        <w:trPr>
          <w:trHeight w:val="118"/>
        </w:trPr>
        <w:tc>
          <w:tcPr>
            <w:tcW w:w="2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shd w:val="clear" w:color="auto" w:fill="E7E7E2"/>
          </w:tcPr>
          <w:p>
            <w:pPr>
              <w:ind w:left="20"/>
              <w:spacing w:after="0" w:line="177"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Inc.</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8" w:lineRule="exact"/>
              <w:rPr>
                <w:sz w:val="20"/>
                <w:szCs w:val="20"/>
                <w:color w:val="auto"/>
              </w:rPr>
            </w:pPr>
            <w:r>
              <w:rPr>
                <w:rFonts w:ascii="Arial" w:cs="Arial" w:eastAsia="Arial" w:hAnsi="Arial"/>
                <w:sz w:val="16"/>
                <w:szCs w:val="16"/>
                <w:color w:val="auto"/>
              </w:rPr>
              <w:t>Guarantee of</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4.500%</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2028 of</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jc w:val="center"/>
              <w:spacing w:after="0" w:line="177"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5"/>
                <w:szCs w:val="15"/>
                <w:color w:val="auto"/>
              </w:rPr>
            </w:pPr>
          </w:p>
        </w:tc>
        <w:tc>
          <w:tcPr>
            <w:tcW w:w="64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77" w:lineRule="exact"/>
              <w:rPr>
                <w:sz w:val="20"/>
                <w:szCs w:val="20"/>
                <w:color w:val="auto"/>
              </w:rPr>
            </w:pPr>
            <w:r>
              <w:rPr>
                <w:rFonts w:ascii="Arial" w:cs="Arial" w:eastAsia="Arial" w:hAnsi="Arial"/>
                <w:sz w:val="16"/>
                <w:szCs w:val="16"/>
                <w:color w:val="auto"/>
                <w:w w:val="99"/>
              </w:rPr>
              <w:t>Other</w:t>
            </w: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Inc. by Waste</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w w:val="96"/>
              </w:rPr>
              <w:t>Holdings, Inc.</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4.650%</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5"/>
                <w:szCs w:val="15"/>
                <w:color w:val="auto"/>
              </w:rPr>
            </w:pPr>
          </w:p>
        </w:tc>
        <w:tc>
          <w:tcPr>
            <w:tcW w:w="6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2030 of</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0" w:type="dxa"/>
            <w:vAlign w:val="bottom"/>
          </w:tcPr>
          <w:p>
            <w:pPr>
              <w:spacing w:after="0"/>
              <w:rPr>
                <w:sz w:val="1"/>
                <w:szCs w:val="1"/>
                <w:color w:val="auto"/>
              </w:rPr>
            </w:pPr>
          </w:p>
        </w:tc>
      </w:tr>
      <w:tr>
        <w:trPr>
          <w:trHeight w:val="118"/>
        </w:trPr>
        <w:tc>
          <w:tcPr>
            <w:tcW w:w="2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shd w:val="clear" w:color="auto" w:fill="E7E7E2"/>
          </w:tcPr>
          <w:p>
            <w:pPr>
              <w:ind w:left="20"/>
              <w:spacing w:after="0" w:line="177"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Inc.</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8" w:lineRule="exact"/>
              <w:rPr>
                <w:sz w:val="20"/>
                <w:szCs w:val="20"/>
                <w:color w:val="auto"/>
              </w:rPr>
            </w:pPr>
            <w:r>
              <w:rPr>
                <w:rFonts w:ascii="Arial" w:cs="Arial" w:eastAsia="Arial" w:hAnsi="Arial"/>
                <w:sz w:val="16"/>
                <w:szCs w:val="16"/>
                <w:color w:val="auto"/>
              </w:rPr>
              <w:t>Guarantee of</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4.650%</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2030 of</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jc w:val="center"/>
              <w:spacing w:after="0" w:line="177"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5"/>
                <w:szCs w:val="15"/>
                <w:color w:val="auto"/>
              </w:rPr>
            </w:pPr>
          </w:p>
        </w:tc>
        <w:tc>
          <w:tcPr>
            <w:tcW w:w="64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77" w:lineRule="exact"/>
              <w:rPr>
                <w:sz w:val="20"/>
                <w:szCs w:val="20"/>
                <w:color w:val="auto"/>
              </w:rPr>
            </w:pPr>
            <w:r>
              <w:rPr>
                <w:rFonts w:ascii="Arial" w:cs="Arial" w:eastAsia="Arial" w:hAnsi="Arial"/>
                <w:sz w:val="16"/>
                <w:szCs w:val="16"/>
                <w:color w:val="auto"/>
                <w:w w:val="99"/>
              </w:rPr>
              <w:t>Other</w:t>
            </w: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Inc. by Waste</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w w:val="96"/>
              </w:rPr>
              <w:t>Holdings, Inc.</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4.800%</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5"/>
                <w:szCs w:val="15"/>
                <w:color w:val="auto"/>
              </w:rPr>
            </w:pPr>
          </w:p>
        </w:tc>
        <w:tc>
          <w:tcPr>
            <w:tcW w:w="6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2032 of</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0" w:type="dxa"/>
            <w:vAlign w:val="bottom"/>
          </w:tcPr>
          <w:p>
            <w:pPr>
              <w:spacing w:after="0"/>
              <w:rPr>
                <w:sz w:val="1"/>
                <w:szCs w:val="1"/>
                <w:color w:val="auto"/>
              </w:rPr>
            </w:pPr>
          </w:p>
        </w:tc>
      </w:tr>
      <w:tr>
        <w:trPr>
          <w:trHeight w:val="118"/>
        </w:trPr>
        <w:tc>
          <w:tcPr>
            <w:tcW w:w="2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shd w:val="clear" w:color="auto" w:fill="E7E7E2"/>
          </w:tcPr>
          <w:p>
            <w:pPr>
              <w:ind w:left="20"/>
              <w:spacing w:after="0" w:line="177"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Inc.</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8" w:lineRule="exact"/>
              <w:rPr>
                <w:sz w:val="20"/>
                <w:szCs w:val="20"/>
                <w:color w:val="auto"/>
              </w:rPr>
            </w:pPr>
            <w:r>
              <w:rPr>
                <w:rFonts w:ascii="Arial" w:cs="Arial" w:eastAsia="Arial" w:hAnsi="Arial"/>
                <w:sz w:val="16"/>
                <w:szCs w:val="16"/>
                <w:color w:val="auto"/>
              </w:rPr>
              <w:t>Guarantee of</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4.800%</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2032 of</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jc w:val="center"/>
              <w:spacing w:after="0" w:line="177"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5"/>
                <w:szCs w:val="15"/>
                <w:color w:val="auto"/>
              </w:rPr>
            </w:pPr>
          </w:p>
        </w:tc>
        <w:tc>
          <w:tcPr>
            <w:tcW w:w="64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77" w:lineRule="exact"/>
              <w:rPr>
                <w:sz w:val="20"/>
                <w:szCs w:val="20"/>
                <w:color w:val="auto"/>
              </w:rPr>
            </w:pPr>
            <w:r>
              <w:rPr>
                <w:rFonts w:ascii="Arial" w:cs="Arial" w:eastAsia="Arial" w:hAnsi="Arial"/>
                <w:sz w:val="16"/>
                <w:szCs w:val="16"/>
                <w:color w:val="auto"/>
                <w:w w:val="99"/>
              </w:rPr>
              <w:t>Other</w:t>
            </w: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Inc. by Waste</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w w:val="96"/>
              </w:rPr>
              <w:t>Holdings, Inc.</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4.950%</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5"/>
                <w:szCs w:val="15"/>
                <w:color w:val="auto"/>
              </w:rPr>
            </w:pPr>
          </w:p>
        </w:tc>
        <w:tc>
          <w:tcPr>
            <w:tcW w:w="6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2035 of</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0" w:type="dxa"/>
            <w:vAlign w:val="bottom"/>
          </w:tcPr>
          <w:p>
            <w:pPr>
              <w:spacing w:after="0"/>
              <w:rPr>
                <w:sz w:val="1"/>
                <w:szCs w:val="1"/>
                <w:color w:val="auto"/>
              </w:rPr>
            </w:pPr>
          </w:p>
        </w:tc>
      </w:tr>
      <w:tr>
        <w:trPr>
          <w:trHeight w:val="118"/>
        </w:trPr>
        <w:tc>
          <w:tcPr>
            <w:tcW w:w="2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shd w:val="clear" w:color="auto" w:fill="E7E7E2"/>
          </w:tcPr>
          <w:p>
            <w:pPr>
              <w:ind w:left="20"/>
              <w:spacing w:after="0" w:line="177"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Inc.</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8" w:lineRule="exact"/>
              <w:rPr>
                <w:sz w:val="20"/>
                <w:szCs w:val="20"/>
                <w:color w:val="auto"/>
              </w:rPr>
            </w:pPr>
            <w:r>
              <w:rPr>
                <w:rFonts w:ascii="Arial" w:cs="Arial" w:eastAsia="Arial" w:hAnsi="Arial"/>
                <w:sz w:val="16"/>
                <w:szCs w:val="16"/>
                <w:color w:val="auto"/>
              </w:rPr>
              <w:t>Guarantee of</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4.950%</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2035 of</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jc w:val="center"/>
              <w:spacing w:after="0" w:line="177" w:lineRule="exact"/>
              <w:rPr>
                <w:sz w:val="20"/>
                <w:szCs w:val="20"/>
                <w:color w:val="auto"/>
              </w:rPr>
            </w:pPr>
            <w:r>
              <w:rPr>
                <w:rFonts w:ascii="Arial" w:cs="Arial" w:eastAsia="Arial" w:hAnsi="Arial"/>
                <w:sz w:val="16"/>
                <w:szCs w:val="16"/>
                <w:color w:val="auto"/>
              </w:rPr>
              <w:t>8</w:t>
            </w:r>
          </w:p>
        </w:tc>
        <w:tc>
          <w:tcPr>
            <w:tcW w:w="20" w:type="dxa"/>
            <w:vAlign w:val="bottom"/>
          </w:tcPr>
          <w:p>
            <w:pPr>
              <w:spacing w:after="0"/>
              <w:rPr>
                <w:sz w:val="15"/>
                <w:szCs w:val="15"/>
                <w:color w:val="auto"/>
              </w:rPr>
            </w:pPr>
          </w:p>
        </w:tc>
        <w:tc>
          <w:tcPr>
            <w:tcW w:w="64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Other</w:t>
            </w: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5"/>
                <w:szCs w:val="15"/>
                <w:color w:val="auto"/>
              </w:rPr>
            </w:pPr>
          </w:p>
        </w:tc>
        <w:tc>
          <w:tcPr>
            <w:tcW w:w="880" w:type="dxa"/>
            <w:vAlign w:val="bottom"/>
            <w:shd w:val="clear" w:color="auto" w:fill="E7E7E2"/>
          </w:tcPr>
          <w:p>
            <w:pPr>
              <w:jc w:val="center"/>
              <w:spacing w:after="0" w:line="177" w:lineRule="exact"/>
              <w:rPr>
                <w:sz w:val="20"/>
                <w:szCs w:val="20"/>
                <w:color w:val="auto"/>
              </w:rPr>
            </w:pPr>
            <w:r>
              <w:rPr>
                <w:rFonts w:ascii="Arial" w:cs="Arial" w:eastAsia="Arial" w:hAnsi="Arial"/>
                <w:sz w:val="16"/>
                <w:szCs w:val="16"/>
                <w:color w:val="auto"/>
                <w:w w:val="99"/>
              </w:rPr>
              <w:t>Other</w:t>
            </w: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Inc. by Waste</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w w:val="96"/>
              </w:rPr>
              <w:t>Holdings, Inc.</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5.350%</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5"/>
                <w:szCs w:val="15"/>
                <w:color w:val="auto"/>
              </w:rPr>
            </w:pPr>
          </w:p>
        </w:tc>
        <w:tc>
          <w:tcPr>
            <w:tcW w:w="6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2054 of</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457(r)</w:t>
            </w:r>
          </w:p>
        </w:tc>
        <w:tc>
          <w:tcPr>
            <w:tcW w:w="0" w:type="dxa"/>
            <w:vAlign w:val="bottom"/>
          </w:tcPr>
          <w:p>
            <w:pPr>
              <w:spacing w:after="0"/>
              <w:rPr>
                <w:sz w:val="1"/>
                <w:szCs w:val="1"/>
                <w:color w:val="auto"/>
              </w:rPr>
            </w:pPr>
          </w:p>
        </w:tc>
      </w:tr>
      <w:tr>
        <w:trPr>
          <w:trHeight w:val="118"/>
        </w:trPr>
        <w:tc>
          <w:tcPr>
            <w:tcW w:w="2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shd w:val="clear" w:color="auto" w:fill="E7E7E2"/>
          </w:tcPr>
          <w:p>
            <w:pPr>
              <w:ind w:left="20"/>
              <w:spacing w:after="0" w:line="177" w:lineRule="exact"/>
              <w:rPr>
                <w:sz w:val="20"/>
                <w:szCs w:val="20"/>
                <w:color w:val="auto"/>
              </w:rPr>
            </w:pPr>
            <w:r>
              <w:rPr>
                <w:rFonts w:ascii="Arial" w:cs="Arial" w:eastAsia="Arial" w:hAnsi="Arial"/>
                <w:sz w:val="16"/>
                <w:szCs w:val="16"/>
                <w:color w:val="auto"/>
              </w:rPr>
              <w:t>Waste</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w w:val="96"/>
              </w:rPr>
              <w:t>Management,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Inc.</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0" w:type="dxa"/>
            <w:vAlign w:val="bottom"/>
            <w:shd w:val="clear" w:color="auto" w:fill="E7E7E2"/>
          </w:tcPr>
          <w:p>
            <w:pPr>
              <w:jc w:val="center"/>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6"/>
                <w:szCs w:val="16"/>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Guarantee of</w:t>
            </w:r>
          </w:p>
        </w:tc>
        <w:tc>
          <w:tcPr>
            <w:tcW w:w="20" w:type="dxa"/>
            <w:vAlign w:val="bottom"/>
          </w:tcPr>
          <w:p>
            <w:pPr>
              <w:spacing w:after="0"/>
              <w:rPr>
                <w:sz w:val="16"/>
                <w:szCs w:val="16"/>
                <w:color w:val="auto"/>
              </w:rPr>
            </w:pPr>
          </w:p>
        </w:tc>
        <w:tc>
          <w:tcPr>
            <w:tcW w:w="88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Other</w:t>
            </w: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5.350%</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Senior Notes</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due 2054 of</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16"/>
                <w:szCs w:val="16"/>
                <w:color w:val="auto"/>
              </w:rPr>
              <w:t>Waste</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shd w:val="clear" w:color="auto" w:fill="E7E7E2"/>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E7E7E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77"/>
        </w:trPr>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8"/>
              </w:rPr>
              <w:t>Previously</w:t>
            </w:r>
          </w:p>
        </w:tc>
        <w:tc>
          <w:tcPr>
            <w:tcW w:w="0" w:type="dxa"/>
            <w:vAlign w:val="bottom"/>
          </w:tcPr>
          <w:p>
            <w:pPr>
              <w:spacing w:after="0"/>
              <w:rPr>
                <w:sz w:val="1"/>
                <w:szCs w:val="1"/>
                <w:color w:val="auto"/>
              </w:rPr>
            </w:pPr>
          </w:p>
        </w:tc>
      </w:tr>
      <w:tr>
        <w:trPr>
          <w:trHeight w:val="177"/>
        </w:trPr>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Proposed</w:t>
            </w:r>
          </w:p>
        </w:tc>
        <w:tc>
          <w:tcPr>
            <w:tcW w:w="20" w:type="dxa"/>
            <w:vAlign w:val="bottom"/>
          </w:tcPr>
          <w:p>
            <w:pPr>
              <w:spacing w:after="0"/>
              <w:rPr>
                <w:sz w:val="15"/>
                <w:szCs w:val="15"/>
                <w:color w:val="auto"/>
              </w:rPr>
            </w:pPr>
          </w:p>
        </w:tc>
        <w:tc>
          <w:tcPr>
            <w:tcW w:w="12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89"/>
        </w:trPr>
        <w:tc>
          <w:tcPr>
            <w:tcW w:w="10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Carry</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Connection</w:t>
            </w:r>
          </w:p>
        </w:tc>
        <w:tc>
          <w:tcPr>
            <w:tcW w:w="0" w:type="dxa"/>
            <w:vAlign w:val="bottom"/>
          </w:tcPr>
          <w:p>
            <w:pPr>
              <w:spacing w:after="0"/>
              <w:rPr>
                <w:sz w:val="1"/>
                <w:szCs w:val="1"/>
                <w:color w:val="auto"/>
              </w:rPr>
            </w:pPr>
          </w:p>
        </w:tc>
      </w:tr>
      <w:tr>
        <w:trPr>
          <w:trHeight w:val="158"/>
        </w:trPr>
        <w:tc>
          <w:tcPr>
            <w:tcW w:w="10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13"/>
                <w:szCs w:val="13"/>
                <w:color w:val="auto"/>
              </w:rPr>
            </w:pPr>
          </w:p>
        </w:tc>
        <w:tc>
          <w:tcPr>
            <w:tcW w:w="74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7"/>
              </w:rPr>
              <w:t>Maximum</w:t>
            </w:r>
          </w:p>
        </w:tc>
        <w:tc>
          <w:tcPr>
            <w:tcW w:w="20" w:type="dxa"/>
            <w:vAlign w:val="bottom"/>
          </w:tcPr>
          <w:p>
            <w:pPr>
              <w:spacing w:after="0"/>
              <w:rPr>
                <w:sz w:val="13"/>
                <w:szCs w:val="13"/>
                <w:color w:val="auto"/>
              </w:rPr>
            </w:pPr>
          </w:p>
        </w:tc>
        <w:tc>
          <w:tcPr>
            <w:tcW w:w="124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7"/>
              </w:rPr>
              <w:t>Maximum</w:t>
            </w:r>
          </w:p>
        </w:tc>
        <w:tc>
          <w:tcPr>
            <w:tcW w:w="20" w:type="dxa"/>
            <w:vAlign w:val="bottom"/>
          </w:tcPr>
          <w:p>
            <w:pPr>
              <w:spacing w:after="0"/>
              <w:rPr>
                <w:sz w:val="13"/>
                <w:szCs w:val="13"/>
                <w:color w:val="auto"/>
              </w:rPr>
            </w:pPr>
          </w:p>
        </w:tc>
        <w:tc>
          <w:tcPr>
            <w:tcW w:w="7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7"/>
              </w:rPr>
              <w:t>Amount of</w:t>
            </w: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9"/>
                <w:szCs w:val="9"/>
                <w:color w:val="auto"/>
              </w:rPr>
            </w:pPr>
          </w:p>
        </w:tc>
        <w:tc>
          <w:tcPr>
            <w:tcW w:w="12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Fee Rate</w:t>
            </w:r>
          </w:p>
        </w:tc>
        <w:tc>
          <w:tcPr>
            <w:tcW w:w="20" w:type="dxa"/>
            <w:vAlign w:val="bottom"/>
          </w:tcPr>
          <w:p>
            <w:pPr>
              <w:spacing w:after="0"/>
              <w:rPr>
                <w:sz w:val="9"/>
                <w:szCs w:val="9"/>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Registration</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7" w:lineRule="exact"/>
              <w:rPr>
                <w:sz w:val="20"/>
                <w:szCs w:val="20"/>
                <w:color w:val="auto"/>
              </w:rPr>
            </w:pPr>
            <w:r>
              <w:rPr>
                <w:rFonts w:ascii="Arial" w:cs="Arial" w:eastAsia="Arial" w:hAnsi="Arial"/>
                <w:sz w:val="12"/>
                <w:szCs w:val="12"/>
                <w:b w:val="1"/>
                <w:bCs w:val="1"/>
                <w:color w:val="auto"/>
              </w:rPr>
              <w:t>with</w:t>
            </w:r>
          </w:p>
        </w:tc>
        <w:tc>
          <w:tcPr>
            <w:tcW w:w="0" w:type="dxa"/>
            <w:vAlign w:val="bottom"/>
          </w:tcPr>
          <w:p>
            <w:pPr>
              <w:spacing w:after="0"/>
              <w:rPr>
                <w:sz w:val="1"/>
                <w:szCs w:val="1"/>
                <w:color w:val="auto"/>
              </w:rPr>
            </w:pPr>
          </w:p>
        </w:tc>
      </w:tr>
      <w:tr>
        <w:trPr>
          <w:trHeight w:val="158"/>
        </w:trPr>
        <w:tc>
          <w:tcPr>
            <w:tcW w:w="104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3"/>
                <w:szCs w:val="13"/>
                <w:color w:val="auto"/>
              </w:rPr>
            </w:pPr>
          </w:p>
        </w:tc>
        <w:tc>
          <w:tcPr>
            <w:tcW w:w="7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4"/>
              </w:rPr>
              <w:t>File</w:t>
            </w:r>
          </w:p>
        </w:tc>
        <w:tc>
          <w:tcPr>
            <w:tcW w:w="20" w:type="dxa"/>
            <w:vAlign w:val="bottom"/>
          </w:tcPr>
          <w:p>
            <w:pPr>
              <w:spacing w:after="0"/>
              <w:rPr>
                <w:sz w:val="13"/>
                <w:szCs w:val="13"/>
                <w:color w:val="auto"/>
              </w:rPr>
            </w:pPr>
          </w:p>
        </w:tc>
        <w:tc>
          <w:tcPr>
            <w:tcW w:w="6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9"/>
              </w:rPr>
              <w:t>Unsold</w:t>
            </w:r>
          </w:p>
        </w:tc>
        <w:tc>
          <w:tcPr>
            <w:tcW w:w="0" w:type="dxa"/>
            <w:vAlign w:val="bottom"/>
          </w:tcPr>
          <w:p>
            <w:pPr>
              <w:spacing w:after="0"/>
              <w:rPr>
                <w:sz w:val="1"/>
                <w:szCs w:val="1"/>
                <w:color w:val="auto"/>
              </w:rPr>
            </w:pPr>
          </w:p>
        </w:tc>
      </w:tr>
      <w:tr>
        <w:trPr>
          <w:trHeight w:val="177"/>
        </w:trPr>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7"/>
              </w:rPr>
              <w:t>Price Per</w:t>
            </w:r>
          </w:p>
        </w:tc>
        <w:tc>
          <w:tcPr>
            <w:tcW w:w="20" w:type="dxa"/>
            <w:vAlign w:val="bottom"/>
          </w:tcPr>
          <w:p>
            <w:pPr>
              <w:spacing w:after="0"/>
              <w:rPr>
                <w:sz w:val="15"/>
                <w:szCs w:val="15"/>
                <w:color w:val="auto"/>
              </w:rPr>
            </w:pPr>
          </w:p>
        </w:tc>
        <w:tc>
          <w:tcPr>
            <w:tcW w:w="124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8"/>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5"/>
                <w:szCs w:val="15"/>
                <w:color w:val="auto"/>
              </w:rPr>
            </w:pPr>
          </w:p>
        </w:tc>
        <w:tc>
          <w:tcPr>
            <w:tcW w:w="6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8"/>
              </w:rPr>
              <w:t>Effective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196"/>
        </w:trPr>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6"/>
              </w:rPr>
              <w:t>Unit</w:t>
            </w: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7"/>
                <w:szCs w:val="17"/>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to be</w:t>
            </w:r>
          </w:p>
        </w:tc>
        <w:tc>
          <w:tcPr>
            <w:tcW w:w="0" w:type="dxa"/>
            <w:vAlign w:val="bottom"/>
          </w:tcPr>
          <w:p>
            <w:pPr>
              <w:spacing w:after="0"/>
              <w:rPr>
                <w:sz w:val="1"/>
                <w:szCs w:val="1"/>
                <w:color w:val="auto"/>
              </w:rPr>
            </w:pPr>
          </w:p>
        </w:tc>
      </w:tr>
      <w:tr>
        <w:trPr>
          <w:trHeight w:val="177"/>
        </w:trPr>
        <w:tc>
          <w:tcPr>
            <w:tcW w:w="10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7" w:lineRule="exact"/>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08"/>
        </w:trPr>
        <w:tc>
          <w:tcPr>
            <w:tcW w:w="1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2820" w:type="dxa"/>
            <w:vAlign w:val="bottom"/>
            <w:gridSpan w:val="6"/>
          </w:tcPr>
          <w:p>
            <w:pPr>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6"/>
        </w:trPr>
        <w:tc>
          <w:tcPr>
            <w:tcW w:w="104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7"/>
              </w:rPr>
              <w:t>1,000,000,000</w:t>
            </w:r>
          </w:p>
        </w:tc>
        <w:tc>
          <w:tcPr>
            <w:tcW w:w="20" w:type="dxa"/>
            <w:vAlign w:val="bottom"/>
          </w:tcPr>
          <w:p>
            <w:pPr>
              <w:spacing w:after="0"/>
              <w:rPr>
                <w:sz w:val="24"/>
                <w:szCs w:val="24"/>
                <w:color w:val="auto"/>
              </w:rPr>
            </w:pPr>
          </w:p>
        </w:tc>
        <w:tc>
          <w:tcPr>
            <w:tcW w:w="7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7"/>
              </w:rPr>
              <w:t>$ 997,770,000.00</w:t>
            </w:r>
          </w:p>
        </w:tc>
        <w:tc>
          <w:tcPr>
            <w:tcW w:w="20" w:type="dxa"/>
            <w:vAlign w:val="bottom"/>
          </w:tcPr>
          <w:p>
            <w:pPr>
              <w:spacing w:after="0"/>
              <w:rPr>
                <w:sz w:val="24"/>
                <w:szCs w:val="24"/>
                <w:color w:val="auto"/>
              </w:rPr>
            </w:pPr>
          </w:p>
        </w:tc>
        <w:tc>
          <w:tcPr>
            <w:tcW w:w="780" w:type="dxa"/>
            <w:vAlign w:val="bottom"/>
            <w:shd w:val="clear" w:color="auto" w:fill="E7E7E2"/>
          </w:tcPr>
          <w:p>
            <w:pPr>
              <w:jc w:val="right"/>
              <w:spacing w:after="0"/>
              <w:rPr>
                <w:sz w:val="20"/>
                <w:szCs w:val="20"/>
                <w:color w:val="auto"/>
              </w:rPr>
            </w:pPr>
            <w:r>
              <w:rPr>
                <w:rFonts w:ascii="Arial" w:cs="Arial" w:eastAsia="Arial" w:hAnsi="Arial"/>
                <w:sz w:val="16"/>
                <w:szCs w:val="16"/>
                <w:color w:val="auto"/>
                <w:w w:val="97"/>
              </w:rPr>
              <w:t>0.0001531</w:t>
            </w:r>
          </w:p>
        </w:tc>
        <w:tc>
          <w:tcPr>
            <w:tcW w:w="20" w:type="dxa"/>
            <w:vAlign w:val="bottom"/>
          </w:tcPr>
          <w:p>
            <w:pPr>
              <w:spacing w:after="0"/>
              <w:rPr>
                <w:sz w:val="24"/>
                <w:szCs w:val="24"/>
                <w:color w:val="auto"/>
              </w:rPr>
            </w:pPr>
          </w:p>
        </w:tc>
        <w:tc>
          <w:tcPr>
            <w:tcW w:w="94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8"/>
              </w:rPr>
              <w:t>$ 152,758.59</w:t>
            </w:r>
          </w:p>
        </w:tc>
        <w:tc>
          <w:tcPr>
            <w:tcW w:w="20" w:type="dxa"/>
            <w:vAlign w:val="bottom"/>
          </w:tcPr>
          <w:p>
            <w:pPr>
              <w:spacing w:after="0"/>
              <w:rPr>
                <w:sz w:val="24"/>
                <w:szCs w:val="24"/>
                <w:color w:val="auto"/>
              </w:rPr>
            </w:pPr>
          </w:p>
        </w:tc>
        <w:tc>
          <w:tcPr>
            <w:tcW w:w="6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960"/>
        <w:spacing w:after="0"/>
        <w:tabs>
          <w:tab w:leader="none" w:pos="3360" w:val="left"/>
        </w:tabs>
        <w:rPr>
          <w:sz w:val="20"/>
          <w:szCs w:val="20"/>
          <w:color w:val="auto"/>
        </w:rPr>
      </w:pPr>
      <w:r>
        <w:rPr>
          <w:rFonts w:ascii="Arial" w:cs="Arial" w:eastAsia="Arial" w:hAnsi="Arial"/>
          <w:sz w:val="16"/>
          <w:szCs w:val="16"/>
          <w:color w:val="auto"/>
        </w:rPr>
        <w:t>0.0001531</w:t>
      </w:r>
      <w:r>
        <w:rPr>
          <w:sz w:val="20"/>
          <w:szCs w:val="20"/>
          <w:color w:val="auto"/>
        </w:rPr>
        <w:tab/>
      </w:r>
      <w:r>
        <w:rPr>
          <w:rFonts w:ascii="Arial" w:cs="Arial" w:eastAsia="Arial" w:hAnsi="Arial"/>
          <w:sz w:val="15"/>
          <w:szCs w:val="15"/>
          <w:color w:val="auto"/>
        </w:rPr>
        <w:t>$ 0.00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16"/>
          <w:szCs w:val="16"/>
          <w:color w:val="auto"/>
        </w:rPr>
        <w:t>700,000,000</w:t>
      </w:r>
      <w:r>
        <w:rPr>
          <w:sz w:val="20"/>
          <w:szCs w:val="20"/>
          <w:color w:val="auto"/>
        </w:rPr>
        <w:tab/>
      </w:r>
      <w:r>
        <w:rPr>
          <w:rFonts w:ascii="Arial" w:cs="Arial" w:eastAsia="Arial" w:hAnsi="Arial"/>
          <w:sz w:val="16"/>
          <w:szCs w:val="16"/>
          <w:color w:val="auto"/>
        </w:rPr>
        <w:t>$ 698,922,000.00 0.0001531 $ 107,004.96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2960"/>
        <w:spacing w:after="0"/>
        <w:tabs>
          <w:tab w:leader="none" w:pos="3360" w:val="left"/>
        </w:tabs>
        <w:rPr>
          <w:sz w:val="20"/>
          <w:szCs w:val="20"/>
          <w:color w:val="auto"/>
        </w:rPr>
      </w:pPr>
      <w:r>
        <w:rPr>
          <w:rFonts w:ascii="Arial" w:cs="Arial" w:eastAsia="Arial" w:hAnsi="Arial"/>
          <w:sz w:val="16"/>
          <w:szCs w:val="16"/>
          <w:color w:val="auto"/>
        </w:rPr>
        <w:t>0.0001531</w:t>
      </w:r>
      <w:r>
        <w:rPr>
          <w:sz w:val="20"/>
          <w:szCs w:val="20"/>
          <w:color w:val="auto"/>
        </w:rPr>
        <w:tab/>
      </w:r>
      <w:r>
        <w:rPr>
          <w:rFonts w:ascii="Arial" w:cs="Arial" w:eastAsia="Arial" w:hAnsi="Arial"/>
          <w:sz w:val="15"/>
          <w:szCs w:val="15"/>
          <w:color w:val="auto"/>
        </w:rPr>
        <w:t>$ 0.00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spacing w:after="0"/>
        <w:tabs>
          <w:tab w:leader="none" w:pos="1820" w:val="left"/>
        </w:tabs>
        <w:rPr>
          <w:sz w:val="20"/>
          <w:szCs w:val="20"/>
          <w:color w:val="auto"/>
        </w:rPr>
      </w:pPr>
      <w:r>
        <w:rPr>
          <w:rFonts w:ascii="Arial" w:cs="Arial" w:eastAsia="Arial" w:hAnsi="Arial"/>
          <w:sz w:val="16"/>
          <w:szCs w:val="16"/>
          <w:color w:val="auto"/>
        </w:rPr>
        <w:t>750,000,000</w:t>
      </w:r>
      <w:r>
        <w:rPr>
          <w:sz w:val="20"/>
          <w:szCs w:val="20"/>
          <w:color w:val="auto"/>
        </w:rPr>
        <w:tab/>
      </w:r>
      <w:r>
        <w:rPr>
          <w:rFonts w:ascii="Arial" w:cs="Arial" w:eastAsia="Arial" w:hAnsi="Arial"/>
          <w:sz w:val="16"/>
          <w:szCs w:val="16"/>
          <w:color w:val="auto"/>
        </w:rPr>
        <w:t>$ 747,787,500.00 0.0001531 $ 114,486.27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2960"/>
        <w:spacing w:after="0"/>
        <w:tabs>
          <w:tab w:leader="none" w:pos="3360" w:val="left"/>
        </w:tabs>
        <w:rPr>
          <w:sz w:val="20"/>
          <w:szCs w:val="20"/>
          <w:color w:val="auto"/>
        </w:rPr>
      </w:pPr>
      <w:r>
        <w:rPr>
          <w:rFonts w:ascii="Arial" w:cs="Arial" w:eastAsia="Arial" w:hAnsi="Arial"/>
          <w:sz w:val="16"/>
          <w:szCs w:val="16"/>
          <w:color w:val="auto"/>
        </w:rPr>
        <w:t>0.0001531</w:t>
      </w:r>
      <w:r>
        <w:rPr>
          <w:sz w:val="20"/>
          <w:szCs w:val="20"/>
          <w:color w:val="auto"/>
        </w:rPr>
        <w:tab/>
      </w:r>
      <w:r>
        <w:rPr>
          <w:rFonts w:ascii="Arial" w:cs="Arial" w:eastAsia="Arial" w:hAnsi="Arial"/>
          <w:sz w:val="15"/>
          <w:szCs w:val="15"/>
          <w:color w:val="auto"/>
        </w:rPr>
        <w:t>$ 0.00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522"/>
        </w:trPr>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1,500,000,000</w:t>
            </w:r>
          </w:p>
        </w:tc>
        <w:tc>
          <w:tcPr>
            <w:tcW w:w="20" w:type="dxa"/>
            <w:vAlign w:val="bottom"/>
          </w:tcPr>
          <w:p>
            <w:pPr>
              <w:spacing w:after="0"/>
              <w:rPr>
                <w:sz w:val="24"/>
                <w:szCs w:val="24"/>
                <w:color w:val="auto"/>
              </w:rPr>
            </w:pPr>
          </w:p>
        </w:tc>
        <w:tc>
          <w:tcPr>
            <w:tcW w:w="7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0.0001531</w:t>
            </w:r>
          </w:p>
        </w:tc>
        <w:tc>
          <w:tcPr>
            <w:tcW w:w="20" w:type="dxa"/>
            <w:vAlign w:val="bottom"/>
          </w:tcPr>
          <w:p>
            <w:pPr>
              <w:spacing w:after="0"/>
              <w:rPr>
                <w:sz w:val="24"/>
                <w:szCs w:val="24"/>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6"/>
              </w:rPr>
              <w:t>$ 228,487.97</w:t>
            </w:r>
          </w:p>
        </w:tc>
        <w:tc>
          <w:tcPr>
            <w:tcW w:w="20" w:type="dxa"/>
            <w:vAlign w:val="bottom"/>
          </w:tcPr>
          <w:p>
            <w:pPr>
              <w:spacing w:after="0"/>
              <w:rPr>
                <w:sz w:val="24"/>
                <w:szCs w:val="24"/>
                <w:color w:val="auto"/>
              </w:rPr>
            </w:pPr>
          </w:p>
        </w:tc>
        <w:tc>
          <w:tcPr>
            <w:tcW w:w="6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40" w:type="dxa"/>
            <w:vAlign w:val="bottom"/>
            <w:vMerge w:val="continue"/>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E7E7E2"/>
          </w:tcPr>
          <w:p>
            <w:pPr>
              <w:jc w:val="right"/>
              <w:spacing w:after="0"/>
              <w:rPr>
                <w:sz w:val="20"/>
                <w:szCs w:val="20"/>
                <w:color w:val="auto"/>
              </w:rPr>
            </w:pPr>
            <w:r>
              <w:rPr>
                <w:rFonts w:ascii="Arial" w:cs="Arial" w:eastAsia="Arial" w:hAnsi="Arial"/>
                <w:sz w:val="16"/>
                <w:szCs w:val="16"/>
                <w:color w:val="auto"/>
                <w:w w:val="97"/>
              </w:rPr>
              <w:t>1,492,410,000.00</w:t>
            </w:r>
          </w:p>
        </w:tc>
        <w:tc>
          <w:tcPr>
            <w:tcW w:w="20" w:type="dxa"/>
            <w:vAlign w:val="bottom"/>
          </w:tcPr>
          <w:p>
            <w:pPr>
              <w:spacing w:after="0"/>
              <w:rPr>
                <w:sz w:val="17"/>
                <w:szCs w:val="17"/>
                <w:color w:val="auto"/>
              </w:rPr>
            </w:pPr>
          </w:p>
        </w:tc>
        <w:tc>
          <w:tcPr>
            <w:tcW w:w="780" w:type="dxa"/>
            <w:vAlign w:val="bottom"/>
            <w:vMerge w:val="continue"/>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vMerge w:val="continue"/>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2960"/>
        <w:spacing w:after="0"/>
        <w:tabs>
          <w:tab w:leader="none" w:pos="3360" w:val="left"/>
        </w:tabs>
        <w:rPr>
          <w:sz w:val="20"/>
          <w:szCs w:val="20"/>
          <w:color w:val="auto"/>
        </w:rPr>
      </w:pPr>
      <w:r>
        <w:rPr>
          <w:rFonts w:ascii="Arial" w:cs="Arial" w:eastAsia="Arial" w:hAnsi="Arial"/>
          <w:sz w:val="16"/>
          <w:szCs w:val="16"/>
          <w:color w:val="auto"/>
        </w:rPr>
        <w:t>0.0001531</w:t>
      </w:r>
      <w:r>
        <w:rPr>
          <w:sz w:val="20"/>
          <w:szCs w:val="20"/>
          <w:color w:val="auto"/>
        </w:rPr>
        <w:tab/>
      </w:r>
      <w:r>
        <w:rPr>
          <w:rFonts w:ascii="Arial" w:cs="Arial" w:eastAsia="Arial" w:hAnsi="Arial"/>
          <w:sz w:val="15"/>
          <w:szCs w:val="15"/>
          <w:color w:val="auto"/>
        </w:rPr>
        <w:t>$ 0.00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522"/>
        </w:trPr>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1,250,000,000</w:t>
            </w:r>
          </w:p>
        </w:tc>
        <w:tc>
          <w:tcPr>
            <w:tcW w:w="20" w:type="dxa"/>
            <w:vAlign w:val="bottom"/>
          </w:tcPr>
          <w:p>
            <w:pPr>
              <w:spacing w:after="0"/>
              <w:rPr>
                <w:sz w:val="24"/>
                <w:szCs w:val="24"/>
                <w:color w:val="auto"/>
              </w:rPr>
            </w:pPr>
          </w:p>
        </w:tc>
        <w:tc>
          <w:tcPr>
            <w:tcW w:w="7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0.0001531</w:t>
            </w:r>
          </w:p>
        </w:tc>
        <w:tc>
          <w:tcPr>
            <w:tcW w:w="20" w:type="dxa"/>
            <w:vAlign w:val="bottom"/>
          </w:tcPr>
          <w:p>
            <w:pPr>
              <w:spacing w:after="0"/>
              <w:rPr>
                <w:sz w:val="24"/>
                <w:szCs w:val="24"/>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6"/>
              </w:rPr>
              <w:t>$ 191,296.54</w:t>
            </w:r>
          </w:p>
        </w:tc>
        <w:tc>
          <w:tcPr>
            <w:tcW w:w="20" w:type="dxa"/>
            <w:vAlign w:val="bottom"/>
          </w:tcPr>
          <w:p>
            <w:pPr>
              <w:spacing w:after="0"/>
              <w:rPr>
                <w:sz w:val="24"/>
                <w:szCs w:val="24"/>
                <w:color w:val="auto"/>
              </w:rPr>
            </w:pPr>
          </w:p>
        </w:tc>
        <w:tc>
          <w:tcPr>
            <w:tcW w:w="6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040" w:type="dxa"/>
            <w:vAlign w:val="bottom"/>
            <w:vMerge w:val="continue"/>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E7E7E2"/>
          </w:tcPr>
          <w:p>
            <w:pPr>
              <w:jc w:val="right"/>
              <w:spacing w:after="0"/>
              <w:rPr>
                <w:sz w:val="20"/>
                <w:szCs w:val="20"/>
                <w:color w:val="auto"/>
              </w:rPr>
            </w:pPr>
            <w:r>
              <w:rPr>
                <w:rFonts w:ascii="Arial" w:cs="Arial" w:eastAsia="Arial" w:hAnsi="Arial"/>
                <w:sz w:val="16"/>
                <w:szCs w:val="16"/>
                <w:color w:val="auto"/>
                <w:w w:val="97"/>
              </w:rPr>
              <w:t>1,249,487,500.00</w:t>
            </w:r>
          </w:p>
        </w:tc>
        <w:tc>
          <w:tcPr>
            <w:tcW w:w="20" w:type="dxa"/>
            <w:vAlign w:val="bottom"/>
          </w:tcPr>
          <w:p>
            <w:pPr>
              <w:spacing w:after="0"/>
              <w:rPr>
                <w:sz w:val="17"/>
                <w:szCs w:val="17"/>
                <w:color w:val="auto"/>
              </w:rPr>
            </w:pPr>
          </w:p>
        </w:tc>
        <w:tc>
          <w:tcPr>
            <w:tcW w:w="780" w:type="dxa"/>
            <w:vAlign w:val="bottom"/>
            <w:vMerge w:val="continue"/>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vMerge w:val="continue"/>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E7E7E2"/>
          </w:tcPr>
          <w:p>
            <w:pPr>
              <w:jc w:val="right"/>
              <w:spacing w:after="0"/>
              <w:rPr>
                <w:sz w:val="20"/>
                <w:szCs w:val="20"/>
                <w:color w:val="auto"/>
              </w:rPr>
            </w:pPr>
            <w:r>
              <w:rPr>
                <w:rFonts w:ascii="Arial" w:cs="Arial" w:eastAsia="Arial" w:hAnsi="Arial"/>
                <w:sz w:val="16"/>
                <w:szCs w:val="16"/>
                <w:color w:val="auto"/>
                <w:w w:val="97"/>
              </w:rPr>
              <w:t>0.0001531</w:t>
            </w:r>
          </w:p>
        </w:tc>
        <w:tc>
          <w:tcPr>
            <w:tcW w:w="20" w:type="dxa"/>
            <w:vAlign w:val="bottom"/>
          </w:tcPr>
          <w:p>
            <w:pPr>
              <w:spacing w:after="0"/>
              <w:rPr>
                <w:sz w:val="19"/>
                <w:szCs w:val="19"/>
                <w:color w:val="auto"/>
              </w:rPr>
            </w:pPr>
          </w:p>
        </w:tc>
        <w:tc>
          <w:tcPr>
            <w:tcW w:w="940" w:type="dxa"/>
            <w:vAlign w:val="bottom"/>
            <w:shd w:val="clear" w:color="auto" w:fill="E7E7E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755"/>
        </w:trPr>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3">
            <w:col w:w="540" w:space="220"/>
            <w:col w:w="2760" w:space="20"/>
            <w:col w:w="7760"/>
          </w:cols>
          <w:pgMar w:left="340" w:top="142" w:right="259" w:bottom="0" w:gutter="0" w:footer="0" w:header="0"/>
          <w:type w:val="continuous"/>
        </w:sectPr>
      </w:pPr>
    </w:p>
    <w:bookmarkStart w:id="72" w:name="page73"/>
    <w:bookmarkEnd w:id="72"/>
    <w:p>
      <w:pPr>
        <w:ind w:left="1680"/>
        <w:spacing w:after="0"/>
        <w:rPr>
          <w:sz w:val="20"/>
          <w:szCs w:val="20"/>
          <w:color w:val="auto"/>
        </w:rPr>
      </w:pPr>
      <w:r>
        <w:rPr>
          <w:rFonts w:ascii="Arial" w:cs="Arial" w:eastAsia="Arial" w:hAnsi="Arial"/>
          <w:sz w:val="16"/>
          <w:szCs w:val="16"/>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-103505</wp:posOffset>
            </wp:positionV>
            <wp:extent cx="7217410" cy="20015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217410" cy="200152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5"/>
          <w:szCs w:val="15"/>
          <w:color w:val="auto"/>
        </w:rPr>
        <w:t>Inc. by Waste</w:t>
      </w:r>
    </w:p>
    <w:p>
      <w:pPr>
        <w:ind w:left="1680"/>
        <w:spacing w:after="0" w:line="236" w:lineRule="auto"/>
        <w:rPr>
          <w:sz w:val="20"/>
          <w:szCs w:val="20"/>
          <w:color w:val="auto"/>
        </w:rPr>
      </w:pPr>
      <w:r>
        <w:rPr>
          <w:rFonts w:ascii="Arial" w:cs="Arial" w:eastAsia="Arial" w:hAnsi="Arial"/>
          <w:sz w:val="16"/>
          <w:szCs w:val="16"/>
          <w:color w:val="auto"/>
        </w:rPr>
        <w:t>Management</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Holdings,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Fees</w:t>
      </w:r>
    </w:p>
    <w:p>
      <w:pPr>
        <w:ind w:left="20"/>
        <w:spacing w:after="0"/>
        <w:rPr>
          <w:sz w:val="20"/>
          <w:szCs w:val="20"/>
          <w:color w:val="auto"/>
        </w:rPr>
      </w:pPr>
      <w:r>
        <w:rPr>
          <w:rFonts w:ascii="Arial" w:cs="Arial" w:eastAsia="Arial" w:hAnsi="Arial"/>
          <w:sz w:val="16"/>
          <w:szCs w:val="16"/>
          <w:color w:val="auto"/>
        </w:rPr>
        <w:t>Previously</w:t>
      </w:r>
    </w:p>
    <w:p>
      <w:pPr>
        <w:ind w:left="20"/>
        <w:spacing w:after="0"/>
        <w:rPr>
          <w:sz w:val="20"/>
          <w:szCs w:val="20"/>
          <w:color w:val="auto"/>
        </w:rPr>
      </w:pPr>
      <w:r>
        <w:rPr>
          <w:rFonts w:ascii="Arial" w:cs="Arial" w:eastAsia="Arial" w:hAnsi="Arial"/>
          <w:sz w:val="16"/>
          <w:szCs w:val="16"/>
          <w:color w:val="auto"/>
        </w:rPr>
        <w:t>Paid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9"/>
        </w:trPr>
        <w:tc>
          <w:tcPr>
            <w:tcW w:w="76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r>
      <w:tr>
        <w:trPr>
          <w:trHeight w:val="177"/>
        </w:trPr>
        <w:tc>
          <w:tcPr>
            <w:tcW w:w="760" w:type="dxa"/>
            <w:vAlign w:val="bottom"/>
            <w:shd w:val="clear" w:color="auto" w:fill="E7E7E2"/>
          </w:tcPr>
          <w:p>
            <w:pPr>
              <w:ind w:left="20"/>
              <w:spacing w:after="0" w:line="177"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r>
      <w:tr>
        <w:trPr>
          <w:trHeight w:val="206"/>
        </w:trPr>
        <w:tc>
          <w:tcPr>
            <w:tcW w:w="760" w:type="dxa"/>
            <w:vAlign w:val="bottom"/>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r>
      <w:tr>
        <w:trPr>
          <w:trHeight w:val="188"/>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4"/>
          </w:tcPr>
          <w:p>
            <w:pPr>
              <w:jc w:val="right"/>
              <w:ind w:right="20"/>
              <w:spacing w:after="0"/>
              <w:rPr>
                <w:sz w:val="20"/>
                <w:szCs w:val="20"/>
                <w:color w:val="auto"/>
              </w:rPr>
            </w:pPr>
            <w:r>
              <w:rPr>
                <w:rFonts w:ascii="Arial" w:cs="Arial" w:eastAsia="Arial" w:hAnsi="Arial"/>
                <w:sz w:val="16"/>
                <w:szCs w:val="16"/>
                <w:color w:val="auto"/>
              </w:rPr>
              <w:t>$ 794,034.33</w:t>
            </w:r>
          </w:p>
        </w:tc>
      </w:tr>
      <w:tr>
        <w:trPr>
          <w:trHeight w:val="206"/>
        </w:trPr>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color w:val="auto"/>
              </w:rPr>
              <w:t>5,186,377,000.00</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w w:val="97"/>
              </w:rPr>
              <w:t>Total Fees Previously Paid:</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6"/>
                <w:szCs w:val="16"/>
                <w:color w:val="auto"/>
              </w:rPr>
              <w:t>$ 0.00</w:t>
            </w: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6"/>
                <w:szCs w:val="16"/>
                <w:color w:val="auto"/>
              </w:rPr>
              <w:t>$ 0.00</w:t>
            </w:r>
          </w:p>
        </w:tc>
      </w:tr>
      <w:tr>
        <w:trPr>
          <w:trHeight w:val="216"/>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60" w:type="dxa"/>
            <w:vAlign w:val="bottom"/>
            <w:gridSpan w:val="4"/>
          </w:tcPr>
          <w:p>
            <w:pPr>
              <w:jc w:val="right"/>
              <w:ind w:right="20"/>
              <w:spacing w:after="0"/>
              <w:rPr>
                <w:sz w:val="20"/>
                <w:szCs w:val="20"/>
                <w:color w:val="auto"/>
              </w:rPr>
            </w:pPr>
            <w:r>
              <w:rPr>
                <w:rFonts w:ascii="Arial" w:cs="Arial" w:eastAsia="Arial" w:hAnsi="Arial"/>
                <w:sz w:val="16"/>
                <w:szCs w:val="16"/>
                <w:color w:val="auto"/>
              </w:rPr>
              <w:t>$ 794,034.33</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Note</w:t>
      </w:r>
    </w:p>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52" w:lineRule="exact"/>
        <w:rPr>
          <w:sz w:val="20"/>
          <w:szCs w:val="20"/>
          <w:color w:val="auto"/>
        </w:rPr>
      </w:pPr>
    </w:p>
    <w:p>
      <w:pPr>
        <w:ind w:left="180" w:right="300"/>
        <w:spacing w:after="0" w:line="245" w:lineRule="auto"/>
        <w:rPr>
          <w:sz w:val="20"/>
          <w:szCs w:val="20"/>
          <w:color w:val="auto"/>
        </w:rPr>
      </w:pPr>
      <w:r>
        <w:rPr>
          <w:rFonts w:ascii="Arial" w:cs="Arial" w:eastAsia="Arial" w:hAnsi="Arial"/>
          <w:sz w:val="16"/>
          <w:szCs w:val="16"/>
          <w:color w:val="auto"/>
        </w:rPr>
        <w:t>The registration fee is calculated in accordance with Rules 457(o) and 457(r) under the Securities Act of 1933, as amended (the "Securities Act"). This "Calculation of Filing Fee Tables" table shall be deemed to update the "Calculation of Filing Fee Tables" table in the registrants' Registration Statement on Form S-3ASR (No. 333-264493), in accordance with Rules 456(b) and 457(r)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165735</wp:posOffset>
            </wp:positionV>
            <wp:extent cx="706374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52"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Waste Management Holdings, Inc. will fully and unconditionally guarantee the 4.500% Senior Notes due 2028 issued by Waste Management, Inc. Pursuant to Rule 457(n) under the Securities Act of 1933, as amended, no separate fee is payable with respect to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45720</wp:posOffset>
            </wp:positionV>
            <wp:extent cx="706374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69850</wp:posOffset>
            </wp:positionV>
            <wp:extent cx="706374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52"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Waste Management Holdings, Inc. will fully and unconditionally guarantee the 4.650% Senior Notes due 2030 issued by Waste Management, Inc. Pursuant to Rule 457(n) under the Securities Act of 1933, as amended, no separate fee is payable with respect to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45720</wp:posOffset>
            </wp:positionV>
            <wp:extent cx="706374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69850</wp:posOffset>
            </wp:positionV>
            <wp:extent cx="706374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52"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Waste Management Holdings, Inc. will fully and unconditionally guarantee the 4.800% Senior Notes due 2032 issued by Waste Management, Inc. Pursuant to Rule 457(n) under the Securities Act of 1933, as amended, no separate fee is payable with respect to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45720</wp:posOffset>
            </wp:positionV>
            <wp:extent cx="706374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69850</wp:posOffset>
            </wp:positionV>
            <wp:extent cx="706374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52"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Waste Management Holdings, Inc. will fully and unconditionally guarantee the 4.950% Senior Notes due 2035 issued by Waste Management, Inc. Pursuant to Rule 457(n) under the Securities Act of 1933, as amended, no separate fee is payable with respect to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45720</wp:posOffset>
            </wp:positionV>
            <wp:extent cx="706374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auto"/>
        </w:rPr>
        <w:t>9</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69850</wp:posOffset>
            </wp:positionV>
            <wp:extent cx="706374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0"/>
          <w:szCs w:val="10"/>
          <w:color w:val="auto"/>
        </w:rPr>
        <w:t>10</w:t>
      </w:r>
    </w:p>
    <w:p>
      <w:pPr>
        <w:spacing w:after="0" w:line="52"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Waste Management Holdings, Inc. will fully and unconditionally guarantee the 5.350% Senior Notes due 2054 issued by Waste Management, Inc. Pursuant to Rule 457(n) under the Securities Act of 1933, as amended, no separate fee is payable with respect to such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45720</wp:posOffset>
            </wp:positionV>
            <wp:extent cx="706374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063740" cy="38100"/>
                    </a:xfrm>
                    <a:prstGeom prst="rect">
                      <a:avLst/>
                    </a:prstGeom>
                    <a:noFill/>
                  </pic:spPr>
                </pic:pic>
              </a:graphicData>
            </a:graphic>
          </wp:anchor>
        </w:drawing>
      </w:r>
    </w:p>
    <w:sectPr>
      <w:pgSz w:w="11900" w:h="16838" w:orient="portrait"/>
      <w:cols w:equalWidth="0" w:num="1">
        <w:col w:w="11140"/>
      </w:cols>
      <w:pgMar w:left="320" w:top="12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decimal"/>
      <w:start w:val="2"/>
    </w:lvl>
  </w:abstractNum>
  <w:abstractNum w:abstractNumId="2">
    <w:nsid w:val="8138641"/>
    <w:multiLevelType w:val="hybridMultilevel"/>
    <w:lvl w:ilvl="0">
      <w:lvlJc w:val="left"/>
      <w:lvlText w:val="(%1)"/>
      <w:numFmt w:val="lowerLetter"/>
      <w:start w:val="2"/>
    </w:lvl>
  </w:abstractNum>
  <w:abstractNum w:abstractNumId="3">
    <w:nsid w:val="1E7FF521"/>
    <w:multiLevelType w:val="hybridMultilevel"/>
    <w:lvl w:ilvl="0">
      <w:lvlJc w:val="left"/>
      <w:lvlText w:val="(%1)"/>
      <w:numFmt w:val="lowerLetter"/>
      <w:start w:val="2"/>
    </w:lvl>
  </w:abstractNum>
  <w:abstractNum w:abstractNumId="4">
    <w:nsid w:val="7C3DBD3D"/>
    <w:multiLevelType w:val="hybridMultilevel"/>
    <w:lvl w:ilvl="0">
      <w:lvlJc w:val="left"/>
      <w:lvlText w:val="(%1)"/>
      <w:numFmt w:val="lowerRoman"/>
      <w:start w:val="2"/>
    </w:lvl>
    <w:lvl w:ilvl="1">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lowerRoman"/>
      <w:start w:val="2"/>
    </w:lvl>
  </w:abstractNum>
  <w:abstractNum w:abstractNumId="7">
    <w:nsid w:val="22221A70"/>
    <w:multiLevelType w:val="hybridMultilevel"/>
    <w:lvl w:ilvl="0">
      <w:lvlJc w:val="left"/>
      <w:lvlText w:val="(%1)"/>
      <w:numFmt w:val="decimal"/>
      <w:start w:val="3"/>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1"/>
    </w:lvl>
    <w:lvl w:ilvl="1">
      <w:lvlJc w:val="left"/>
      <w:lvlText w:val="(%2)"/>
      <w:numFmt w:val="lowerLetter"/>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lowerRoman"/>
      <w:start w:val="2"/>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lowerRoman"/>
      <w:start w:val="3"/>
    </w:lvl>
  </w:abstractNum>
  <w:abstractNum w:abstractNumId="25">
    <w:nsid w:val="3855585C"/>
    <w:multiLevelType w:val="hybridMultilevel"/>
    <w:lvl w:ilvl="0">
      <w:lvlJc w:val="left"/>
      <w:lvlText w:val="(%1)"/>
      <w:numFmt w:val="lowerLetter"/>
      <w:start w:val="1"/>
    </w:lvl>
    <w:lvl w:ilvl="1">
      <w:lvlJc w:val="left"/>
      <w:lvlText w:val="(%2)"/>
      <w:numFmt w:val="lowerRoman"/>
      <w:start w:val="1"/>
    </w:lvl>
  </w:abstractNum>
  <w:abstractNum w:abstractNumId="26">
    <w:nsid w:val="70A64E2A"/>
    <w:multiLevelType w:val="hybridMultilevel"/>
    <w:lvl w:ilvl="0">
      <w:lvlJc w:val="left"/>
      <w:lvlText w:val="(%1)"/>
      <w:numFmt w:val="lowerRoman"/>
      <w:start w:val="1"/>
    </w:lvl>
    <w:lvl w:ilvl="1">
      <w:lvlJc w:val="left"/>
      <w:lvlText w:val="(%2)"/>
      <w:numFmt w:val="lowerLetter"/>
      <w:start w:val="24"/>
    </w:lvl>
  </w:abstractNum>
  <w:abstractNum w:abstractNumId="27">
    <w:nsid w:val="6A2342EC"/>
    <w:multiLevelType w:val="hybridMultilevel"/>
    <w:lvl w:ilvl="0">
      <w:lvlJc w:val="left"/>
      <w:lvlText w:val="(%1)"/>
      <w:numFmt w:val="lowerLetter"/>
      <w:start w:val="27"/>
    </w:lvl>
  </w:abstractNum>
  <w:abstractNum w:abstractNumId="28">
    <w:nsid w:val="2A487CB0"/>
    <w:multiLevelType w:val="hybridMultilevel"/>
    <w:lvl w:ilvl="0">
      <w:lvlJc w:val="left"/>
      <w:lvlText w:val="(%1)"/>
      <w:numFmt w:val="lowerLetter"/>
      <w:start w:val="1"/>
    </w:lvl>
    <w:lvl w:ilvl="1">
      <w:lvlJc w:val="left"/>
      <w:lvlText w:val="(%2)"/>
      <w:numFmt w:val="lowerRoman"/>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713"/>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lowerLetter"/>
      <w:start w:val="1"/>
    </w:lvl>
    <w:lvl w:ilvl="1">
      <w:lvlJc w:val="left"/>
      <w:lvlText w:val="•"/>
      <w:numFmt w:val="bullet"/>
      <w:start w:val="1"/>
    </w:lvl>
  </w:abstractNum>
  <w:abstractNum w:abstractNumId="51">
    <w:nsid w:val="4F4EF005"/>
    <w:multiLevelType w:val="hybridMultilevel"/>
    <w:lvl w:ilvl="0">
      <w:lvlJc w:val="left"/>
      <w:lvlText w:val="(%1)"/>
      <w:numFmt w:val="lowerLetter"/>
      <w:start w:val="14"/>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jpe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jpe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54" Type="http://schemas.openxmlformats.org/officeDocument/2006/relationships/hyperlink" Target="https://www.sec.gov/ix?doc=/Archives/edgar/data/823768/000155837024001049/wm-20231231x10k.htm" TargetMode="External"/><Relationship Id="rId55" Type="http://schemas.openxmlformats.org/officeDocument/2006/relationships/hyperlink" Target="https://www.sec.gov/ix?doc=/Archives/edgar/data/823768/000155837024010155/wm-20240630x10q.htm" TargetMode="External"/><Relationship Id="rId105" Type="http://schemas.openxmlformats.org/officeDocument/2006/relationships/hyperlink" Target="https://www.sec.gov/ix?doc=/Archives/edgar/data/823768/000155837024005734/wm-20240331x10q.htm" TargetMode="External"/><Relationship Id="rId106" Type="http://schemas.openxmlformats.org/officeDocument/2006/relationships/hyperlink" Target="https://www.sec.gov/ix?doc=/Archives/edgar/data/823768/000155837024013762/wm-20240930x10q.htm" TargetMode="External"/><Relationship Id="rId107" Type="http://schemas.openxmlformats.org/officeDocument/2006/relationships/hyperlink" Target="https://www.sec.gov/ix?doc=/Archives/edgar/data/823768/000110465924030004/tm247544d1_8k.htm" TargetMode="External"/><Relationship Id="rId108" Type="http://schemas.openxmlformats.org/officeDocument/2006/relationships/hyperlink" Target="https://www.sec.gov/ix?doc=/Archives/edgar/data/823768/000110465924031504/tm247937d1_8k.htm" TargetMode="External"/><Relationship Id="rId109" Type="http://schemas.openxmlformats.org/officeDocument/2006/relationships/hyperlink" Target="https://www.sec.gov/ix?doc=/Archives/edgar/data/823768/000110465924059949/tm2412128d2_8k.htm" TargetMode="External"/><Relationship Id="rId110" Type="http://schemas.openxmlformats.org/officeDocument/2006/relationships/hyperlink" Target="https://www.sec.gov/ix?doc=/Archives/edgar/data/823768/000110465924063047/tm2412128d3_8k.htm" TargetMode="External"/><Relationship Id="rId111" Type="http://schemas.openxmlformats.org/officeDocument/2006/relationships/hyperlink" Target="https://www.sec.gov/ix?doc=/Archives/edgar/data/823768/000110465924068410/tm2416276d1_8k.htm" TargetMode="External"/><Relationship Id="rId112" Type="http://schemas.openxmlformats.org/officeDocument/2006/relationships/hyperlink" Target="https://www.sec.gov/ix?doc=/Archives/edgar/data/823768/000110465924068691/tm2416276d2_8ka.htm" TargetMode="External"/><Relationship Id="rId113" Type="http://schemas.openxmlformats.org/officeDocument/2006/relationships/hyperlink" Target="https://www.sec.gov/ix?doc=/Archives/edgar/data/823768/000110465924074797/tm2417732d5_8k.htm" TargetMode="External"/><Relationship Id="rId114" Type="http://schemas.openxmlformats.org/officeDocument/2006/relationships/hyperlink" Target="https://www.sec.gov/ix?doc=/Archives/edgar/data/823768/000110465924096357/tm2422979d1_8k.htm" TargetMode="External"/><Relationship Id="rId115" Type="http://schemas.openxmlformats.org/officeDocument/2006/relationships/hyperlink" Target="https://www.sec.gov/ix?doc=/Archives/edgar/data/823768/000110465924097567/tm2422979d2_8k.htm" TargetMode="External"/><Relationship Id="rId116" Type="http://schemas.openxmlformats.org/officeDocument/2006/relationships/hyperlink" Target="https://www.sec.gov/ix?doc=/Archives/edgar/data/823768/000110465924098609/tm2423683d1_8k.htm" TargetMode="External"/><Relationship Id="rId117" Type="http://schemas.openxmlformats.org/officeDocument/2006/relationships/hyperlink" Target="https://www.sec.gov/ix?doc=/Archives/edgar/data/823768/000110465924102483/tm2424669d1_8k.htm" TargetMode="External"/><Relationship Id="rId118" Type="http://schemas.openxmlformats.org/officeDocument/2006/relationships/hyperlink" Target="https://www.sec.gov/ix?doc=/Archives/edgar/data/823768/000110465924042337/tm242637d5_def14a.htm" TargetMode="External"/><Relationship Id="rId131" Type="http://schemas.openxmlformats.org/officeDocument/2006/relationships/hyperlink" Target="http://www.sec.gov/ix?doc=/Archives/edgar/data/823768/000155837022001179/wm-20211231x10k.htm" TargetMode="External"/><Relationship Id="rId132" Type="http://schemas.openxmlformats.org/officeDocument/2006/relationships/hyperlink" Target="http://www.sec.gov/ix?doc=/Archives/edgar/data/823768/000155837022004593/wm-20211231x10ka.htm" TargetMode="External"/><Relationship Id="rId133" Type="http://schemas.openxmlformats.org/officeDocument/2006/relationships/hyperlink" Target="http://www.sec.gov/ix?doc=/Archives/edgar/data/823768/000155837022005976/wm-20220331x10q.htm" TargetMode="External"/><Relationship Id="rId134" Type="http://schemas.openxmlformats.org/officeDocument/2006/relationships/hyperlink" Target="http://www.sec.gov/ix?doc=/Archives/edgar/data/823768/000110465922030973/tm228341d1_8k.htm" TargetMode="External"/><Relationship Id="rId135" Type="http://schemas.openxmlformats.org/officeDocument/2006/relationships/hyperlink" Target="http://www.sec.gov/Archives/edgar/data/823768/000110465922039107/tm223363-1_def14a.htm" TargetMode="External"/><Relationship Id="rId136" Type="http://schemas.openxmlformats.org/officeDocument/2006/relationships/hyperlink" Target="http://www.sec.gov/Archives/edgar/data/823768/0000950134-95-001585-index.htm" TargetMode="External"/><Relationship Id="rId137" Type="http://schemas.openxmlformats.org/officeDocument/2006/relationships/hyperlink" Target="http://www.sec.gov/Archives/edgar/data/823768/000155837020000762/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2024-10-31T15:47:53Z</dcterms:created>
  <dcterms:modified xsi:type="dcterms:W3CDTF">2024-10-31T15:47:53Z</dcterms:modified>
</cp:coreProperties>
</file>