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May 26, 2009</w:t>
      </w:r>
    </w:p>
    <w:p>
      <w:pPr>
        <w:spacing w:after="0" w:line="225"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0"/>
          <w:szCs w:val="20"/>
          <w:color w:val="auto"/>
        </w:rPr>
      </w:pPr>
    </w:p>
    <w:p>
      <w:pPr>
        <w:sectPr>
          <w:pgSz w:w="11900" w:h="16838" w:orient="portrait"/>
          <w:cols w:equalWidth="0" w:num="2">
            <w:col w:w="6460" w:space="720"/>
            <w:col w:w="4240"/>
          </w:cols>
          <w:pgMar w:left="240" w:top="122"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 2009 STOCK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titles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42"/>
        </w:trPr>
        <w:tc>
          <w:tcPr>
            <w:tcW w:w="260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380" w:type="dxa"/>
            <w:vAlign w:val="bottom"/>
          </w:tcPr>
          <w:p>
            <w:pPr>
              <w:ind w:left="40"/>
              <w:spacing w:after="0"/>
              <w:rPr>
                <w:sz w:val="20"/>
                <w:szCs w:val="20"/>
                <w:color w:val="auto"/>
              </w:rPr>
            </w:pPr>
            <w:r>
              <w:rPr>
                <w:rFonts w:ascii="Arial" w:cs="Arial" w:eastAsia="Arial" w:hAnsi="Arial"/>
                <w:sz w:val="18"/>
                <w:szCs w:val="18"/>
                <w:color w:val="auto"/>
                <w:w w:val="91"/>
              </w:rPr>
              <w:t>Accelerated filer o</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700" w:type="dxa"/>
            <w:vAlign w:val="bottom"/>
            <w:gridSpan w:val="3"/>
          </w:tcPr>
          <w:p>
            <w:pPr>
              <w:jc w:val="center"/>
              <w:ind w:right="720"/>
              <w:spacing w:after="0"/>
              <w:rPr>
                <w:sz w:val="20"/>
                <w:szCs w:val="20"/>
                <w:color w:val="auto"/>
              </w:rPr>
            </w:pPr>
            <w:r>
              <w:rPr>
                <w:rFonts w:ascii="Arial" w:cs="Arial" w:eastAsia="Arial" w:hAnsi="Arial"/>
                <w:sz w:val="18"/>
                <w:szCs w:val="18"/>
                <w:color w:val="auto"/>
                <w:w w:val="91"/>
              </w:rPr>
              <w:t>Non-accelerated filer o</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Smaller reporting company o</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4"/>
          </w:tcPr>
          <w:p>
            <w:pPr>
              <w:jc w:val="center"/>
              <w:ind w:left="539"/>
              <w:spacing w:after="0"/>
              <w:rPr>
                <w:sz w:val="20"/>
                <w:szCs w:val="20"/>
                <w:color w:val="auto"/>
              </w:rPr>
            </w:pPr>
            <w:r>
              <w:rPr>
                <w:rFonts w:ascii="Arial" w:cs="Arial" w:eastAsia="Arial" w:hAnsi="Arial"/>
                <w:sz w:val="18"/>
                <w:szCs w:val="18"/>
                <w:color w:val="auto"/>
                <w:w w:val="91"/>
              </w:rPr>
              <w:t>(Do not check if a smaller reporting company)</w:t>
            </w:r>
          </w:p>
        </w:tc>
        <w:tc>
          <w:tcPr>
            <w:tcW w:w="1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2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CALCULATION OF REGISTRATION FEE</w:t>
            </w:r>
          </w:p>
        </w:tc>
        <w:tc>
          <w:tcPr>
            <w:tcW w:w="17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00" w:type="dxa"/>
            <w:vAlign w:val="bottom"/>
            <w:vMerge w:val="restart"/>
          </w:tcPr>
          <w:p>
            <w:pPr>
              <w:jc w:val="center"/>
              <w:ind w:left="1379"/>
              <w:spacing w:after="0"/>
              <w:rPr>
                <w:sz w:val="20"/>
                <w:szCs w:val="20"/>
                <w:color w:val="auto"/>
              </w:rPr>
            </w:pPr>
            <w:r>
              <w:rPr>
                <w:rFonts w:ascii="Arial" w:cs="Arial" w:eastAsia="Arial" w:hAnsi="Arial"/>
                <w:sz w:val="14"/>
                <w:szCs w:val="14"/>
                <w:b w:val="1"/>
                <w:bCs w:val="1"/>
                <w:color w:val="auto"/>
                <w:w w:val="92"/>
              </w:rPr>
              <w:t>Title of securities</w:t>
            </w:r>
          </w:p>
        </w:tc>
        <w:tc>
          <w:tcPr>
            <w:tcW w:w="13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Amount to be</w:t>
            </w:r>
          </w:p>
        </w:tc>
        <w:tc>
          <w:tcPr>
            <w:tcW w:w="2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9"/>
              </w:rPr>
              <w:t>Proposed maximum</w:t>
            </w:r>
          </w:p>
        </w:tc>
        <w:tc>
          <w:tcPr>
            <w:tcW w:w="420" w:type="dxa"/>
            <w:vAlign w:val="bottom"/>
          </w:tcPr>
          <w:p>
            <w:pPr>
              <w:spacing w:after="0"/>
              <w:rPr>
                <w:sz w:val="9"/>
                <w:szCs w:val="9"/>
                <w:color w:val="auto"/>
              </w:rPr>
            </w:pPr>
          </w:p>
        </w:tc>
        <w:tc>
          <w:tcPr>
            <w:tcW w:w="1740" w:type="dxa"/>
            <w:vAlign w:val="bottom"/>
            <w:tcBorders>
              <w:right w:val="single" w:sz="8" w:color="auto"/>
            </w:tcBorders>
          </w:tcPr>
          <w:p>
            <w:pPr>
              <w:jc w:val="center"/>
              <w:ind w:right="362"/>
              <w:spacing w:after="0" w:line="113" w:lineRule="exact"/>
              <w:rPr>
                <w:sz w:val="20"/>
                <w:szCs w:val="20"/>
                <w:color w:val="auto"/>
              </w:rPr>
            </w:pPr>
            <w:r>
              <w:rPr>
                <w:rFonts w:ascii="Arial" w:cs="Arial" w:eastAsia="Arial" w:hAnsi="Arial"/>
                <w:sz w:val="13"/>
                <w:szCs w:val="13"/>
                <w:b w:val="1"/>
                <w:bCs w:val="1"/>
                <w:color w:val="auto"/>
                <w:w w:val="98"/>
              </w:rPr>
              <w:t>Proposed maximum</w:t>
            </w:r>
          </w:p>
        </w:tc>
        <w:tc>
          <w:tcPr>
            <w:tcW w:w="15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49"/>
        </w:trPr>
        <w:tc>
          <w:tcPr>
            <w:tcW w:w="26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offering price per share</w:t>
            </w:r>
          </w:p>
        </w:tc>
        <w:tc>
          <w:tcPr>
            <w:tcW w:w="420" w:type="dxa"/>
            <w:vAlign w:val="bottom"/>
          </w:tcPr>
          <w:p>
            <w:pPr>
              <w:spacing w:after="0"/>
              <w:rPr>
                <w:sz w:val="12"/>
                <w:szCs w:val="12"/>
                <w:color w:val="auto"/>
              </w:rPr>
            </w:pPr>
          </w:p>
        </w:tc>
        <w:tc>
          <w:tcPr>
            <w:tcW w:w="1740" w:type="dxa"/>
            <w:vAlign w:val="bottom"/>
            <w:tcBorders>
              <w:right w:val="single" w:sz="8" w:color="auto"/>
            </w:tcBorders>
          </w:tcPr>
          <w:p>
            <w:pPr>
              <w:jc w:val="center"/>
              <w:ind w:right="382"/>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78"/>
        </w:trPr>
        <w:tc>
          <w:tcPr>
            <w:tcW w:w="2600" w:type="dxa"/>
            <w:vAlign w:val="bottom"/>
            <w:tcBorders>
              <w:bottom w:val="single" w:sz="8" w:color="auto"/>
            </w:tcBorders>
          </w:tcPr>
          <w:p>
            <w:pPr>
              <w:jc w:val="center"/>
              <w:ind w:left="1379"/>
              <w:spacing w:after="0"/>
              <w:rPr>
                <w:sz w:val="20"/>
                <w:szCs w:val="20"/>
                <w:color w:val="auto"/>
              </w:rPr>
            </w:pPr>
            <w:r>
              <w:rPr>
                <w:rFonts w:ascii="Arial" w:cs="Arial" w:eastAsia="Arial" w:hAnsi="Arial"/>
                <w:sz w:val="14"/>
                <w:szCs w:val="14"/>
                <w:b w:val="1"/>
                <w:bCs w:val="1"/>
                <w:color w:val="auto"/>
                <w:w w:val="89"/>
              </w:rPr>
              <w:t>to be registered</w:t>
            </w:r>
          </w:p>
        </w:tc>
        <w:tc>
          <w:tcPr>
            <w:tcW w:w="13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Registered (1)</w:t>
            </w:r>
          </w:p>
        </w:tc>
        <w:tc>
          <w:tcPr>
            <w:tcW w:w="22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382"/>
              <w:spacing w:after="0"/>
              <w:rPr>
                <w:sz w:val="20"/>
                <w:szCs w:val="20"/>
                <w:color w:val="auto"/>
              </w:rPr>
            </w:pPr>
            <w:r>
              <w:rPr>
                <w:rFonts w:ascii="Arial" w:cs="Arial" w:eastAsia="Arial" w:hAnsi="Arial"/>
                <w:sz w:val="14"/>
                <w:szCs w:val="14"/>
                <w:b w:val="1"/>
                <w:bCs w:val="1"/>
                <w:color w:val="auto"/>
                <w:w w:val="95"/>
              </w:rPr>
              <w:t>price (3)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Common Stock, par value $0.01 per share</w:t>
            </w:r>
          </w:p>
        </w:tc>
        <w:tc>
          <w:tcPr>
            <w:tcW w:w="1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26,225,361</w:t>
            </w:r>
          </w:p>
        </w:tc>
        <w:tc>
          <w:tcPr>
            <w:tcW w:w="2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right"/>
              <w:ind w:right="725"/>
              <w:spacing w:after="0"/>
              <w:rPr>
                <w:sz w:val="20"/>
                <w:szCs w:val="20"/>
                <w:color w:val="auto"/>
              </w:rPr>
            </w:pPr>
            <w:r>
              <w:rPr>
                <w:rFonts w:ascii="Arial" w:cs="Arial" w:eastAsia="Arial" w:hAnsi="Arial"/>
                <w:sz w:val="18"/>
                <w:szCs w:val="18"/>
                <w:color w:val="auto"/>
              </w:rPr>
              <w:t>$28.085</w:t>
            </w: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62"/>
              <w:spacing w:after="0"/>
              <w:rPr>
                <w:sz w:val="20"/>
                <w:szCs w:val="20"/>
                <w:color w:val="auto"/>
              </w:rPr>
            </w:pPr>
            <w:r>
              <w:rPr>
                <w:rFonts w:ascii="Arial" w:cs="Arial" w:eastAsia="Arial" w:hAnsi="Arial"/>
                <w:sz w:val="18"/>
                <w:szCs w:val="18"/>
                <w:color w:val="auto"/>
                <w:w w:val="98"/>
              </w:rPr>
              <w:t>$736,539,264</w:t>
            </w:r>
          </w:p>
        </w:tc>
        <w:tc>
          <w:tcPr>
            <w:tcW w:w="152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color w:val="auto"/>
              </w:rPr>
              <w:t>$41,099</w:t>
            </w:r>
          </w:p>
        </w:tc>
        <w:tc>
          <w:tcPr>
            <w:tcW w:w="0" w:type="dxa"/>
            <w:vAlign w:val="bottom"/>
          </w:tcPr>
          <w:p>
            <w:pPr>
              <w:spacing w:after="0"/>
              <w:rPr>
                <w:sz w:val="1"/>
                <w:szCs w:val="1"/>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380" w:hanging="452"/>
        <w:spacing w:after="0" w:line="26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aggregate number of shares available for issuance under the 2009 Stock Incentive Plan (the “Plan”). Pursuant to Rule 416 under the Securities Act of 1933, as amended, this Registration Statement shall also cover such indeterminate number of additional shares that may become issuable under the Plan in accordance with the adjustment and anti-dilution provisions thereof.</w:t>
      </w:r>
    </w:p>
    <w:p>
      <w:pPr>
        <w:spacing w:after="0" w:line="34"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average of the high and low prices of the Common Stock as reported on the New York Stock Exchange on May 21, 2009.</w:t>
      </w:r>
    </w:p>
    <w:p>
      <w:pPr>
        <w:spacing w:after="0" w:line="76" w:lineRule="exact"/>
        <w:rPr>
          <w:rFonts w:ascii="Arial" w:cs="Arial" w:eastAsia="Arial" w:hAnsi="Arial"/>
          <w:sz w:val="18"/>
          <w:szCs w:val="18"/>
          <w:color w:val="auto"/>
        </w:rPr>
      </w:pPr>
    </w:p>
    <w:p>
      <w:pPr>
        <w:ind w:left="460" w:right="34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Computed in accordance with Rules 457(c) and (h) under the Securities Act of 1933, as amended, solely for the purpose of calculating the total registration fee. The aggregate offering price and amount of registration fee have been computed based on the average of the high and low prices of Common Stock as reported on the New York Stock Exchange on May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534035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Plan Information.*</w:t>
        </w:r>
      </w:hyperlink>
    </w:p>
    <w:p>
      <w:pPr>
        <w:ind w:right="3019" w:firstLine="311"/>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 Registrant Information and Employee Plan Annual Information.*</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EX-5.1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as amended, and the “Note” to Part I of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are hereby incorporated by reference into this Registration Statement:</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2008.</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2009.</w:t>
      </w:r>
    </w:p>
    <w:p>
      <w:pPr>
        <w:spacing w:after="0" w:line="130" w:lineRule="exact"/>
        <w:rPr>
          <w:rFonts w:ascii="Arial" w:cs="Arial" w:eastAsia="Arial" w:hAnsi="Arial"/>
          <w:sz w:val="18"/>
          <w:szCs w:val="18"/>
          <w:color w:val="auto"/>
        </w:rPr>
      </w:pPr>
    </w:p>
    <w:p>
      <w:pPr>
        <w:ind w:left="660" w:right="22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February 26, 2009.</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February 27, 2009.</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March 2, 2009.</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May 12, 2009.</w:t>
      </w:r>
    </w:p>
    <w:p>
      <w:pPr>
        <w:spacing w:after="0" w:line="117" w:lineRule="exact"/>
        <w:rPr>
          <w:sz w:val="20"/>
          <w:szCs w:val="20"/>
          <w:color w:val="auto"/>
        </w:rPr>
      </w:pPr>
    </w:p>
    <w:p>
      <w:pPr>
        <w:ind w:right="80" w:firstLine="215"/>
        <w:spacing w:after="0" w:line="312" w:lineRule="auto"/>
        <w:rPr>
          <w:sz w:val="20"/>
          <w:szCs w:val="20"/>
          <w:color w:val="auto"/>
        </w:rPr>
      </w:pPr>
      <w:r>
        <w:rPr>
          <w:rFonts w:ascii="Arial" w:cs="Arial" w:eastAsia="Arial" w:hAnsi="Arial"/>
          <w:sz w:val="16"/>
          <w:szCs w:val="16"/>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Certificate of Incorporation (the “Charter”) and the Bylaws of the Registrant provide in effect that the Registrant shall indemnify its directors and officers (as well as persons serving as a director or officer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79"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or her duty of loyalty to the Registrant or its stockholders, failed to act in good faith, engaged in intentional misconduct or a knowing violation of the law, willfully or negligently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authorized the unlawful payment of a dividend or approved an unlawful stock redemption or repurchase or obtained an improper personal benefit.</w:t>
      </w:r>
    </w:p>
    <w:p>
      <w:pPr>
        <w:spacing w:after="0" w:line="12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Pursuant to Subsection (a) of Section 145 of the DGCL, the Registrant’s Bylaws provide that the Registrant shall indemnify and upon request advance expenses to any director or officer who was or is a party or is threatened to be made a party to any threatened, pending or completed action, suit, proceeding or claim, whether civil, criminal, administrative or investigative (other than an action by or in the name of the Registrant), against all liability, loss suffered and expenses (including attorney’s fees and expenses), judgments, fines, penalties and amounts paid in settlement reasonably incurred in connection with such action, suit, proceeding or claim provided that the Registrant shall not be required to indemnify or advance expenses to any person in connection with any action, suit, proceeding or claim initiated by or on behalf of such person unless the initiation of such action, suit, proceeding or claim was authorized in the specific case by the Board of Directors.</w:t>
      </w:r>
    </w:p>
    <w:p>
      <w:pPr>
        <w:spacing w:after="0" w:line="81"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Pursuant to Subsection (b) of Section 145 of the DGCL, the Registrant’s Bylaws provide that the Registrant shall indemnify and upon request advance expenses to any director or officer who was or is a party or is threatened to be made a party to any threatened, pending or completed action, suit, proceeding or claim by or in the right of the Registrant to procure a judgment in its favor by reason of the fact that such person acted in any of the capacities set forth above, against all expenses (including attorney’s fees and expenses), reasonably incurred in connection with the investigation, preparation to defend or defense of such action, suit, proceeding or claim provided that the Registrant shall not be required to indemnify or advance expenses to any person in connection with any action, suit, proceeding or claim initiated by or on behalf of such person.</w:t>
      </w:r>
    </w:p>
    <w:p>
      <w:pPr>
        <w:spacing w:after="0" w:line="70"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Registrant’s Bylaws further provide that, to the extent that a director or officer has been successful in the defense of any action, suit or proceeding referred to in subsections (a) and (b) of Section 145 of the DGCL or in the defense of any claim, issue or matter therein, he shall be indemnified against expenses (including attorneys’ fees) actually and reasonably incurred by him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5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Section 145 of the DGCL also provides that a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The Registrant has purchased certain liability insurance for its officers and directors.</w:t>
      </w:r>
    </w:p>
    <w:p>
      <w:pPr>
        <w:spacing w:after="0" w:line="79"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Registrant has entered into indemnification agreements with its directors and certain of its executive officers and certain of its executive officers’ employment agreements contain indemnification provisions. Such agreements and provisions generally provide that such persons will be indemnified and held harmless to the fullest extent of Delaware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4.1</w:t>
            </w:r>
          </w:p>
        </w:tc>
        <w:tc>
          <w:tcPr>
            <w:tcW w:w="680" w:type="dxa"/>
            <w:vAlign w:val="bottom"/>
          </w:tcPr>
          <w:p>
            <w:pPr>
              <w:ind w:left="340"/>
              <w:spacing w:after="0"/>
              <w:rPr>
                <w:sz w:val="20"/>
                <w:szCs w:val="20"/>
                <w:color w:val="auto"/>
              </w:rPr>
            </w:pPr>
            <w:r>
              <w:rPr>
                <w:rFonts w:ascii="Arial" w:cs="Arial" w:eastAsia="Arial" w:hAnsi="Arial"/>
                <w:sz w:val="18"/>
                <w:szCs w:val="18"/>
                <w:color w:val="auto"/>
              </w:rPr>
              <w:t>—</w:t>
            </w:r>
          </w:p>
        </w:tc>
        <w:tc>
          <w:tcPr>
            <w:tcW w:w="10040" w:type="dxa"/>
            <w:vAlign w:val="bottom"/>
          </w:tcPr>
          <w:p>
            <w:pPr>
              <w:ind w:left="140"/>
              <w:spacing w:after="0"/>
              <w:rPr>
                <w:sz w:val="20"/>
                <w:szCs w:val="20"/>
                <w:color w:val="auto"/>
              </w:rPr>
            </w:pPr>
            <w:r>
              <w:rPr>
                <w:rFonts w:ascii="Arial" w:cs="Arial" w:eastAsia="Arial" w:hAnsi="Arial"/>
                <w:sz w:val="18"/>
                <w:szCs w:val="18"/>
                <w:color w:val="auto"/>
                <w:w w:val="91"/>
              </w:rPr>
              <w:t>Second Amended and Restated Certificate of Incorporation (Incorporated by reference to Exhibit 3.1 to the Registrant’s Quarterly Report</w:t>
            </w:r>
          </w:p>
        </w:tc>
      </w:tr>
      <w:tr>
        <w:trPr>
          <w:trHeight w:val="230"/>
        </w:trPr>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rPr>
              <w:t>on Form 10-Q for the Quarter ended June 30, 2002).</w:t>
            </w:r>
          </w:p>
        </w:tc>
      </w:tr>
      <w:tr>
        <w:trPr>
          <w:trHeight w:val="418"/>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4.2</w:t>
            </w:r>
          </w:p>
        </w:tc>
        <w:tc>
          <w:tcPr>
            <w:tcW w:w="680" w:type="dxa"/>
            <w:vAlign w:val="bottom"/>
          </w:tcPr>
          <w:p>
            <w:pPr>
              <w:ind w:left="340"/>
              <w:spacing w:after="0"/>
              <w:rPr>
                <w:sz w:val="20"/>
                <w:szCs w:val="20"/>
                <w:color w:val="auto"/>
              </w:rPr>
            </w:pPr>
            <w:r>
              <w:rPr>
                <w:rFonts w:ascii="Arial" w:cs="Arial" w:eastAsia="Arial" w:hAnsi="Arial"/>
                <w:sz w:val="18"/>
                <w:szCs w:val="18"/>
                <w:color w:val="auto"/>
              </w:rPr>
              <w:t>—</w:t>
            </w:r>
          </w:p>
        </w:tc>
        <w:tc>
          <w:tcPr>
            <w:tcW w:w="10040" w:type="dxa"/>
            <w:vAlign w:val="bottom"/>
          </w:tcPr>
          <w:p>
            <w:pPr>
              <w:ind w:left="140"/>
              <w:spacing w:after="0"/>
              <w:rPr>
                <w:sz w:val="20"/>
                <w:szCs w:val="20"/>
                <w:color w:val="auto"/>
              </w:rPr>
            </w:pPr>
            <w:r>
              <w:rPr>
                <w:rFonts w:ascii="Arial" w:cs="Arial" w:eastAsia="Arial" w:hAnsi="Arial"/>
                <w:sz w:val="18"/>
                <w:szCs w:val="18"/>
                <w:color w:val="auto"/>
                <w:w w:val="99"/>
              </w:rPr>
              <w:t>Bylaws (Incorporated by reference to Exhibit 3.2 to the Registrant’s Current Report on Form 8-K filed with the Commission on</w:t>
            </w:r>
          </w:p>
        </w:tc>
      </w:tr>
      <w:tr>
        <w:trPr>
          <w:trHeight w:val="230"/>
        </w:trPr>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rPr>
              <w:t>December 16, 2008).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4.3</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60" w:type="dxa"/>
            <w:vAlign w:val="bottom"/>
          </w:tcPr>
          <w:p>
            <w:pPr>
              <w:ind w:left="140"/>
              <w:spacing w:after="0"/>
              <w:rPr>
                <w:sz w:val="20"/>
                <w:szCs w:val="20"/>
                <w:color w:val="auto"/>
              </w:rPr>
            </w:pPr>
            <w:r>
              <w:rPr>
                <w:rFonts w:ascii="Arial" w:cs="Arial" w:eastAsia="Arial" w:hAnsi="Arial"/>
                <w:sz w:val="18"/>
                <w:szCs w:val="18"/>
                <w:color w:val="auto"/>
                <w:w w:val="90"/>
              </w:rPr>
              <w:t>Waste Management, Inc. 2009 Stock Incentive Plan (Incorporated by reference to Exhibit 10.1 to the Registrant’s Current Report on</w:t>
            </w:r>
          </w:p>
        </w:tc>
      </w:tr>
      <w:tr>
        <w:trPr>
          <w:trHeight w:val="230"/>
        </w:trPr>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Form 8-K filed with the Commission on May 12, 2009).</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5.1</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60" w:type="dxa"/>
            <w:vAlign w:val="bottom"/>
          </w:tcPr>
          <w:p>
            <w:pPr>
              <w:ind w:left="140"/>
              <w:spacing w:after="0"/>
              <w:rPr>
                <w:sz w:val="20"/>
                <w:szCs w:val="20"/>
                <w:color w:val="auto"/>
              </w:rPr>
            </w:pPr>
            <w:r>
              <w:rPr>
                <w:rFonts w:ascii="Arial" w:cs="Arial" w:eastAsia="Arial" w:hAnsi="Arial"/>
                <w:sz w:val="18"/>
                <w:szCs w:val="18"/>
                <w:color w:val="auto"/>
              </w:rPr>
              <w:t>Opinion of Amanda K. Maki with respect to the legality of the securities.</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60" w:type="dxa"/>
            <w:vAlign w:val="bottom"/>
          </w:tcPr>
          <w:p>
            <w:pPr>
              <w:ind w:left="14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23.2</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60" w:type="dxa"/>
            <w:vAlign w:val="bottom"/>
          </w:tcPr>
          <w:p>
            <w:pPr>
              <w:ind w:left="140"/>
              <w:spacing w:after="0"/>
              <w:rPr>
                <w:sz w:val="20"/>
                <w:szCs w:val="20"/>
                <w:color w:val="auto"/>
              </w:rPr>
            </w:pPr>
            <w:r>
              <w:rPr>
                <w:rFonts w:ascii="Arial" w:cs="Arial" w:eastAsia="Arial" w:hAnsi="Arial"/>
                <w:sz w:val="18"/>
                <w:szCs w:val="18"/>
                <w:color w:val="auto"/>
              </w:rPr>
              <w:t>Consent of Amanda K. Maki (included in Exhibit 5.1).</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24.1</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60" w:type="dxa"/>
            <w:vAlign w:val="bottom"/>
          </w:tcPr>
          <w:p>
            <w:pPr>
              <w:ind w:left="14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jc w:val="both"/>
        <w:ind w:left="1120" w:right="220" w:hanging="437"/>
        <w:spacing w:after="0" w:line="264"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120" w:right="520" w:hanging="437"/>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73" w:lineRule="exact"/>
        <w:rPr>
          <w:sz w:val="20"/>
          <w:szCs w:val="20"/>
          <w:color w:val="auto"/>
        </w:rPr>
      </w:pPr>
    </w:p>
    <w:p>
      <w:pPr>
        <w:ind w:left="660" w:right="20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86" w:lineRule="exact"/>
        <w:rPr>
          <w:rFonts w:ascii="Arial" w:cs="Arial" w:eastAsia="Arial" w:hAnsi="Arial"/>
          <w:sz w:val="18"/>
          <w:szCs w:val="18"/>
          <w:color w:val="auto"/>
        </w:rPr>
      </w:pPr>
    </w:p>
    <w:p>
      <w:pPr>
        <w:ind w:left="660" w:right="160" w:hanging="43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that remain unsold at the termination of the offering.</w:t>
      </w:r>
    </w:p>
    <w:p>
      <w:pPr>
        <w:spacing w:after="0" w:line="62" w:lineRule="exact"/>
        <w:rPr>
          <w:rFonts w:ascii="Arial" w:cs="Arial" w:eastAsia="Arial" w:hAnsi="Arial"/>
          <w:sz w:val="18"/>
          <w:szCs w:val="18"/>
          <w:color w:val="auto"/>
        </w:rPr>
      </w:pPr>
    </w:p>
    <w:p>
      <w:pPr>
        <w:ind w:right="260" w:firstLine="233"/>
        <w:spacing w:after="0" w:line="259" w:lineRule="auto"/>
        <w:tabs>
          <w:tab w:leader="none" w:pos="4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firstLine="233"/>
        <w:spacing w:after="0" w:line="255" w:lineRule="auto"/>
        <w:tabs>
          <w:tab w:leader="none" w:pos="47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David P. Steiner, Robert G. Simpson and Rick L Wittenbraker,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20" w:firstLine="225"/>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2009.</w:t>
      </w:r>
    </w:p>
    <w:p>
      <w:pPr>
        <w:spacing w:after="0" w:line="5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P. Steiner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607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ind w:right="540" w:firstLine="225"/>
        <w:spacing w:after="0" w:line="280"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2009.</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6"/>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 Steiner</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David P. Steiner</w:t>
            </w:r>
          </w:p>
        </w:tc>
        <w:tc>
          <w:tcPr>
            <w:tcW w:w="2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 Simpson</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Robert G. Simpson</w:t>
            </w:r>
          </w:p>
        </w:tc>
        <w:tc>
          <w:tcPr>
            <w:tcW w:w="2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431"/>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Robertson</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Greg A. Robertson</w:t>
            </w:r>
          </w:p>
        </w:tc>
        <w:tc>
          <w:tcPr>
            <w:tcW w:w="2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04"/>
        </w:trPr>
        <w:tc>
          <w:tcPr>
            <w:tcW w:w="5500" w:type="dxa"/>
            <w:vAlign w:val="bottom"/>
          </w:tcPr>
          <w:p>
            <w:pPr>
              <w:spacing w:after="0"/>
              <w:rPr>
                <w:sz w:val="24"/>
                <w:szCs w:val="24"/>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II-5</w:t>
            </w:r>
          </w:p>
        </w:tc>
      </w:tr>
      <w:tr>
        <w:trPr>
          <w:trHeight w:val="226"/>
        </w:trPr>
        <w:tc>
          <w:tcPr>
            <w:tcW w:w="5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6"/>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Pastora San Juan Cafferty</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Clark, Jr.</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Frank M. Clark, Jr.</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W. Gross</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Patrick W. Gross</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Pope</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John C. Pope</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Robert Reum</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W. Robert Reum</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/s/Steven G. Rothmeier</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Steven G. Rothmeier</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H. Weidemeyer</w:t>
            </w:r>
          </w:p>
        </w:tc>
        <w:tc>
          <w:tcPr>
            <w:tcW w:w="2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Thomas H. Weidemeyer</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04"/>
        </w:trPr>
        <w:tc>
          <w:tcPr>
            <w:tcW w:w="5500" w:type="dxa"/>
            <w:vAlign w:val="bottom"/>
          </w:tcPr>
          <w:p>
            <w:pPr>
              <w:spacing w:after="0"/>
              <w:rPr>
                <w:sz w:val="24"/>
                <w:szCs w:val="24"/>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II-6</w:t>
            </w:r>
          </w:p>
        </w:tc>
      </w:tr>
      <w:tr>
        <w:trPr>
          <w:trHeight w:val="226"/>
        </w:trPr>
        <w:tc>
          <w:tcPr>
            <w:tcW w:w="5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Table of Contents</w:t>
              </w:r>
            </w:hyperlink>
          </w:p>
        </w:tc>
        <w:tc>
          <w:tcPr>
            <w:tcW w:w="3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520"/>
        </w:trPr>
        <w:tc>
          <w:tcPr>
            <w:tcW w:w="6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INDEX TO EXHIBITS</w:t>
            </w:r>
          </w:p>
        </w:tc>
        <w:tc>
          <w:tcPr>
            <w:tcW w:w="4660" w:type="dxa"/>
            <w:vAlign w:val="bottom"/>
          </w:tcPr>
          <w:p>
            <w:pPr>
              <w:spacing w:after="0"/>
              <w:rPr>
                <w:sz w:val="24"/>
                <w:szCs w:val="24"/>
                <w:color w:val="auto"/>
              </w:rPr>
            </w:pPr>
          </w:p>
        </w:tc>
      </w:tr>
      <w:tr>
        <w:trPr>
          <w:trHeight w:val="438"/>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spacing w:after="0"/>
              <w:rPr>
                <w:sz w:val="20"/>
                <w:szCs w:val="20"/>
                <w:color w:val="auto"/>
              </w:rPr>
            </w:pPr>
            <w:r>
              <w:rPr>
                <w:rFonts w:ascii="Arial" w:cs="Arial" w:eastAsia="Arial" w:hAnsi="Arial"/>
                <w:sz w:val="18"/>
                <w:szCs w:val="18"/>
                <w:color w:val="auto"/>
                <w:w w:val="91"/>
              </w:rPr>
              <w:t>Second Amended and Restated Certificate of Incorporation (Incorporated by reference to Exhibit 3.1 to the Registrant’s Quarterly Report</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sz w:val="20"/>
                <w:szCs w:val="20"/>
                <w:color w:val="auto"/>
              </w:rPr>
            </w:pPr>
            <w:r>
              <w:rPr>
                <w:rFonts w:ascii="Arial" w:cs="Arial" w:eastAsia="Arial" w:hAnsi="Arial"/>
                <w:sz w:val="18"/>
                <w:szCs w:val="18"/>
                <w:color w:val="auto"/>
              </w:rPr>
              <w:t>on Form 10-Q for the Quarter ended June 30, 2002).</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spacing w:after="0"/>
              <w:rPr>
                <w:sz w:val="20"/>
                <w:szCs w:val="20"/>
                <w:color w:val="auto"/>
              </w:rPr>
            </w:pPr>
            <w:r>
              <w:rPr>
                <w:rFonts w:ascii="Arial" w:cs="Arial" w:eastAsia="Arial" w:hAnsi="Arial"/>
                <w:sz w:val="18"/>
                <w:szCs w:val="18"/>
                <w:color w:val="auto"/>
                <w:w w:val="99"/>
              </w:rPr>
              <w:t>Bylaws (Incorporated by reference to Exhibit 3.2 to the Registrant’s Current Report on Form 8-K filed with the Commission on</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sz w:val="20"/>
                <w:szCs w:val="20"/>
                <w:color w:val="auto"/>
              </w:rPr>
            </w:pPr>
            <w:r>
              <w:rPr>
                <w:rFonts w:ascii="Arial" w:cs="Arial" w:eastAsia="Arial" w:hAnsi="Arial"/>
                <w:sz w:val="18"/>
                <w:szCs w:val="18"/>
                <w:color w:val="auto"/>
              </w:rPr>
              <w:t>December 16, 2008).</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4.3</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spacing w:after="0"/>
              <w:rPr>
                <w:sz w:val="20"/>
                <w:szCs w:val="20"/>
                <w:color w:val="auto"/>
              </w:rPr>
            </w:pPr>
            <w:r>
              <w:rPr>
                <w:rFonts w:ascii="Arial" w:cs="Arial" w:eastAsia="Arial" w:hAnsi="Arial"/>
                <w:sz w:val="18"/>
                <w:szCs w:val="18"/>
                <w:color w:val="auto"/>
                <w:w w:val="94"/>
              </w:rPr>
              <w:t>Waste Management, Inc. 2009 Stock Incentive Plan (Incorporated by reference to Exhibit 10.1 to the Registrant’s Current Report on</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sz w:val="20"/>
                <w:szCs w:val="20"/>
                <w:color w:val="auto"/>
              </w:rPr>
            </w:pPr>
            <w:r>
              <w:rPr>
                <w:rFonts w:ascii="Arial" w:cs="Arial" w:eastAsia="Arial" w:hAnsi="Arial"/>
                <w:sz w:val="18"/>
                <w:szCs w:val="18"/>
                <w:color w:val="auto"/>
              </w:rPr>
              <w:t>Form 8-K filed with the Commission on May 12, 2009).</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5.1</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spacing w:after="0"/>
              <w:rPr>
                <w:sz w:val="20"/>
                <w:szCs w:val="20"/>
                <w:color w:val="auto"/>
              </w:rPr>
            </w:pPr>
            <w:r>
              <w:rPr>
                <w:rFonts w:ascii="Arial" w:cs="Arial" w:eastAsia="Arial" w:hAnsi="Arial"/>
                <w:sz w:val="18"/>
                <w:szCs w:val="18"/>
                <w:color w:val="auto"/>
              </w:rPr>
              <w:t>Opinion of Amanda K. Maki with respect to the legality of the securities.</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23.2</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spacing w:after="0"/>
              <w:rPr>
                <w:sz w:val="20"/>
                <w:szCs w:val="20"/>
                <w:color w:val="auto"/>
              </w:rPr>
            </w:pPr>
            <w:r>
              <w:rPr>
                <w:rFonts w:ascii="Arial" w:cs="Arial" w:eastAsia="Arial" w:hAnsi="Arial"/>
                <w:sz w:val="18"/>
                <w:szCs w:val="18"/>
                <w:color w:val="auto"/>
              </w:rPr>
              <w:t>Consent of Amanda K. Maki (included in Exhibit 5.1).</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24.1</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ectPr>
          <w:pgSz w:w="11900" w:h="16838" w:orient="portrait"/>
          <w:cols w:equalWidth="0" w:num="1">
            <w:col w:w="11280"/>
          </w:cols>
          <w:pgMar w:left="240" w:top="405" w:right="37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26,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color w:val="auto"/>
        </w:rPr>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 am Senior Counsel for Waste Management, Inc., a Delaware corporation (the “Company”), and have acted in such capacity in connection with the registration under the Securities Act of 1933, as amended (the “Act”), of 26,225,361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May 26, 2009.</w:t>
      </w:r>
    </w:p>
    <w:p>
      <w:pPr>
        <w:spacing w:after="0" w:line="79"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In connection therewith, I have examined originals or copies certified or otherwise identified to my satisfaction of the Certificate of Incorporation of the Company, the By-laws of the Company, the corporate proceedings with respect to the offering of the shares and such other documents and instruments as I have deemed necessary or appropriate for the expression of the opinions contained herein.</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 have assumed the authenticity and completeness of all records, certificates and other instruments submitted to me as originals, the conformity to original documents of all records, certificates and other instruments submitted to me as copies, the authenticity and completeness of the originals of those records, certificates and other instruments submitted to me as copies and the correctness of all statements of fact contained in all records, certificates and other instruments that I have examined.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on the foregoing, and having a regard for such legal considerations as I have deemed relevant, I am of the opinion that:</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in good standing under the laws of the State of Delaware.</w:t>
      </w:r>
    </w:p>
    <w:p>
      <w:pPr>
        <w:spacing w:after="0" w:line="117" w:lineRule="exact"/>
        <w:rPr>
          <w:rFonts w:ascii="Arial" w:cs="Arial" w:eastAsia="Arial" w:hAnsi="Arial"/>
          <w:sz w:val="18"/>
          <w:szCs w:val="18"/>
          <w:color w:val="auto"/>
        </w:rPr>
      </w:pPr>
    </w:p>
    <w:p>
      <w:pPr>
        <w:ind w:left="660" w:right="40" w:hanging="43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of Common Stock proposed to be sold by the Company have been duly and validly authorized for issuance and, when issued and paid for in accordance with the Waste Management Inc. 2009 Stock Incentive Plan, and subject to the Registration Statement becoming effective under the Act and to compliance with such state securities rules, regulations and laws as may be applicable, will be duly and validly issued, fully paid and nonassessable.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Counsel</w:t>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to be filed on May 26, 2009 pertaining to the Waste Management, Inc. 2009 Stock Incentive Plan of our reports dated February 17, 2009, with respect to the consolidated financial statements and schedule of Waste Management, Inc., and the effectiveness of internal control over financial reporting of Waste Management, Inc., included in its Annual Report (Form 10-K) for the year ended December 31, 2008, filed with the Securities and Exchange Commission.</w:t>
      </w: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2009</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decimal"/>
      <w:start w:val="2"/>
    </w:lvl>
    <w:lvl w:ilvl="1">
      <w:lvlJc w:val="left"/>
      <w:lvlText w:val="(%2)"/>
      <w:numFmt w:val="lowerLetter"/>
      <w:start w:val="2"/>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2019-12-10T07:53:07Z</dcterms:created>
  <dcterms:modified xsi:type="dcterms:W3CDTF">2019-12-10T07:53:07Z</dcterms:modified>
</cp:coreProperties>
</file>