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73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7365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Batchelor Steve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01/01/2019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14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00" w:type="dxa"/>
            <w:vAlign w:val="bottom"/>
          </w:tcPr>
          <w:p>
            <w:pPr>
              <w:ind w:left="14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00" w:type="dxa"/>
            <w:vAlign w:val="bottom"/>
          </w:tcPr>
          <w:p>
            <w:pPr>
              <w:ind w:left="14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Sr. Vice President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jc w:val="right"/>
              <w:ind w:right="337"/>
              <w:spacing w:after="0"/>
              <w:rPr>
                <w:sz w:val="20"/>
                <w:szCs w:val="20"/>
                <w:color w:val="auto"/>
              </w:rPr>
            </w:pPr>
            <w:r>
              <w:rPr>
                <w:rFonts w:ascii="Arial" w:cs="Arial" w:eastAsia="Arial" w:hAnsi="Arial"/>
                <w:sz w:val="18"/>
                <w:szCs w:val="18"/>
                <w:color w:val="0000FF"/>
              </w:rPr>
              <w:t>17,486.484</w:t>
            </w:r>
          </w:p>
        </w:tc>
        <w:tc>
          <w:tcPr>
            <w:tcW w:w="1120" w:type="dxa"/>
            <w:vAlign w:val="bottom"/>
          </w:tcPr>
          <w:p>
            <w:pPr>
              <w:jc w:val="center"/>
              <w:ind w:left="577"/>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20" w:type="dxa"/>
            <w:vAlign w:val="bottom"/>
          </w:tcPr>
          <w:p>
            <w:pPr>
              <w:jc w:val="right"/>
              <w:ind w:right="417"/>
              <w:spacing w:after="0"/>
              <w:rPr>
                <w:sz w:val="20"/>
                <w:szCs w:val="20"/>
                <w:color w:val="auto"/>
              </w:rPr>
            </w:pPr>
            <w:r>
              <w:rPr>
                <w:rFonts w:ascii="Arial" w:cs="Arial" w:eastAsia="Arial" w:hAnsi="Arial"/>
                <w:sz w:val="18"/>
                <w:szCs w:val="18"/>
                <w:color w:val="0000FF"/>
              </w:rPr>
              <w:t>950.0256</w:t>
            </w:r>
          </w:p>
        </w:tc>
        <w:tc>
          <w:tcPr>
            <w:tcW w:w="1120" w:type="dxa"/>
            <w:vAlign w:val="bottom"/>
          </w:tcPr>
          <w:p>
            <w:pPr>
              <w:jc w:val="center"/>
              <w:ind w:left="577"/>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460"/>
              <w:spacing w:after="0"/>
              <w:rPr>
                <w:sz w:val="20"/>
                <w:szCs w:val="20"/>
                <w:color w:val="auto"/>
              </w:rPr>
            </w:pPr>
            <w:r>
              <w:rPr>
                <w:rFonts w:ascii="Arial" w:cs="Arial" w:eastAsia="Arial" w:hAnsi="Arial"/>
                <w:sz w:val="18"/>
                <w:szCs w:val="18"/>
                <w:color w:val="0000FF"/>
              </w:rPr>
              <w:t>By 401(k) Plan</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6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640" w:type="dxa"/>
            <w:vAlign w:val="bottom"/>
            <w:tcBorders>
              <w:top w:val="single" w:sz="8" w:color="2C2C2C"/>
            </w:tcBorders>
            <w:gridSpan w:val="4"/>
          </w:tcPr>
          <w:p>
            <w:pPr>
              <w:ind w:left="22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4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9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20" w:type="dxa"/>
            <w:vAlign w:val="bottom"/>
            <w:vMerge w:val="continue"/>
          </w:tcPr>
          <w:p>
            <w:pPr>
              <w:spacing w:after="0"/>
              <w:rPr>
                <w:sz w:val="15"/>
                <w:szCs w:val="15"/>
                <w:color w:val="auto"/>
              </w:rPr>
            </w:pPr>
          </w:p>
        </w:tc>
        <w:tc>
          <w:tcPr>
            <w:tcW w:w="11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Phantom Stock Units</w:t>
            </w:r>
          </w:p>
        </w:tc>
        <w:tc>
          <w:tcPr>
            <w:tcW w:w="1420" w:type="dxa"/>
            <w:vAlign w:val="bottom"/>
            <w:gridSpan w:val="2"/>
          </w:tcPr>
          <w:p>
            <w:pPr>
              <w:jc w:val="right"/>
              <w:ind w:right="69"/>
              <w:spacing w:after="0"/>
              <w:rPr>
                <w:sz w:val="20"/>
                <w:szCs w:val="20"/>
                <w:color w:val="auto"/>
              </w:rPr>
            </w:pPr>
            <w:r>
              <w:rPr>
                <w:rFonts w:ascii="Arial" w:cs="Arial" w:eastAsia="Arial" w:hAnsi="Arial"/>
                <w:sz w:val="14"/>
                <w:szCs w:val="14"/>
                <w:color w:val="0000FF"/>
              </w:rPr>
              <w:t>08/08/1988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08/08/1988</w:t>
            </w:r>
          </w:p>
        </w:tc>
        <w:tc>
          <w:tcPr>
            <w:tcW w:w="1820" w:type="dxa"/>
            <w:vAlign w:val="bottom"/>
          </w:tcPr>
          <w:p>
            <w:pPr>
              <w:ind w:left="460"/>
              <w:spacing w:after="0"/>
              <w:rPr>
                <w:sz w:val="20"/>
                <w:szCs w:val="20"/>
                <w:color w:val="auto"/>
              </w:rPr>
            </w:pPr>
            <w:r>
              <w:rPr>
                <w:rFonts w:ascii="Arial" w:cs="Arial" w:eastAsia="Arial" w:hAnsi="Arial"/>
                <w:sz w:val="18"/>
                <w:szCs w:val="18"/>
                <w:color w:val="0000FF"/>
              </w:rPr>
              <w:t>Common Stock</w:t>
            </w:r>
          </w:p>
        </w:tc>
        <w:tc>
          <w:tcPr>
            <w:tcW w:w="1120" w:type="dxa"/>
            <w:vAlign w:val="bottom"/>
          </w:tcPr>
          <w:p>
            <w:pPr>
              <w:jc w:val="center"/>
              <w:ind w:left="97"/>
              <w:spacing w:after="0"/>
              <w:rPr>
                <w:sz w:val="20"/>
                <w:szCs w:val="20"/>
                <w:color w:val="auto"/>
              </w:rPr>
            </w:pPr>
            <w:r>
              <w:rPr>
                <w:rFonts w:ascii="Arial" w:cs="Arial" w:eastAsia="Arial" w:hAnsi="Arial"/>
                <w:sz w:val="18"/>
                <w:szCs w:val="18"/>
                <w:color w:val="0000FF"/>
                <w:w w:val="86"/>
              </w:rPr>
              <w:t>5,587.0293</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0.0000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42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03/09/2022</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4"/>
              </w:rPr>
              <w:t>8,003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34.935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42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03/08/2014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03/08/2023</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90"/>
              </w:rPr>
              <w:t>10,442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36.885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42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03/07/2015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03/07/2024</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4"/>
              </w:rPr>
              <w:t>9,146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41.37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42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02/25/2016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02/25/2025</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4"/>
              </w:rPr>
              <w:t>7,342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54.635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42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02/26/2017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02/26/2027</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4"/>
              </w:rPr>
              <w:t>6,530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56.235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42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02/28/2018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02/28/2027</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4"/>
              </w:rPr>
              <w:t>5,443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73.335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42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02/20/2019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02/20/2028</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4"/>
              </w:rPr>
              <w:t>3,684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85.34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2014 Stock Incentive Plan. The stock option vests 25% on the first and second anniversary of the date of grant with the remaining 50% on the third anniversary of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poasb.txt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Steven R. Batchelor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01/08/2019</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 day of December, 2018.</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/s/Steve Batchelor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 Batchelor</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61525"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2019-12-24T06:10:01Z</dcterms:created>
  <dcterms:modified xsi:type="dcterms:W3CDTF">2019-12-24T06:10:01Z</dcterms:modified>
</cp:coreProperties>
</file>