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900" w:type="dxa"/>
            <w:vAlign w:val="bottom"/>
            <w:gridSpan w:val="2"/>
          </w:tcPr>
          <w:p>
            <w:pPr>
              <w:spacing w:after="0"/>
              <w:rPr>
                <w:sz w:val="20"/>
                <w:szCs w:val="20"/>
                <w:color w:val="auto"/>
              </w:rPr>
            </w:pPr>
            <w:r>
              <w:rPr>
                <w:rFonts w:ascii="Courier New" w:cs="Courier New" w:eastAsia="Courier New" w:hAnsi="Courier New"/>
                <w:sz w:val="18"/>
                <w:szCs w:val="18"/>
                <w:color w:val="auto"/>
              </w:rPr>
              <w:t>OMB APPROVAL</w:t>
            </w:r>
          </w:p>
        </w:tc>
        <w:tc>
          <w:tcPr>
            <w:tcW w:w="840" w:type="dxa"/>
            <w:vAlign w:val="bottom"/>
          </w:tcPr>
          <w:p>
            <w:pPr>
              <w:spacing w:after="0"/>
              <w:rPr>
                <w:sz w:val="17"/>
                <w:szCs w:val="17"/>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EXPIRES:</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October</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31, 1994</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ESTIMATED</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AVERAGE</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BURDEN</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HOURS PER</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RESPONSE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14.90</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U.S.A. Waste Services, Inc.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90291710</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7" w:lineRule="exact"/>
        <w:rPr>
          <w:sz w:val="24"/>
          <w:szCs w:val="24"/>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amount reflected in Item 9 of the cover pages may include common stock issueable upon conversion of 8.5% convertible subordinated debentures due 2002 (CUSIP 902917AA1). In the aggregate, Merrill Lynch &amp; Co., Inc. beneficially owns 147,166 shares of common stock and $1,950,000 principal amount of 8.5% convertible subordinated debentures due 2002.</w:t>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 of 9 Pages</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20"/>
                <w:szCs w:val="20"/>
                <w:color w:val="auto"/>
              </w:rPr>
            </w:pPr>
            <w:r>
              <w:rPr>
                <w:rFonts w:ascii="Courier New" w:cs="Courier New" w:eastAsia="Courier New" w:hAnsi="Courier New"/>
                <w:sz w:val="18"/>
                <w:szCs w:val="18"/>
                <w:color w:val="auto"/>
              </w:rPr>
              <w:t>CUSIP NO. 90291710</w:t>
            </w:r>
          </w:p>
        </w:tc>
        <w:tc>
          <w:tcPr>
            <w:tcW w:w="1260" w:type="dxa"/>
            <w:vAlign w:val="bottom"/>
          </w:tcPr>
          <w:p>
            <w:pPr>
              <w:ind w:left="94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4"/>
          <w:szCs w:val="24"/>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Joint Filing</w:t>
      </w:r>
    </w:p>
    <w:p>
      <w:pPr>
        <w:spacing w:after="0" w:line="201" w:lineRule="exact"/>
        <w:rPr>
          <w:sz w:val="24"/>
          <w:szCs w:val="24"/>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p>
      <w:pPr>
        <w:ind w:left="320" w:hanging="312"/>
        <w:spacing w:after="0"/>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7023" w:orient="portrait"/>
          <w:cols w:equalWidth="0" w:num="1">
            <w:col w:w="10219"/>
          </w:cols>
          <w:pgMar w:left="240" w:top="447"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0"/>
          <w:szCs w:val="20"/>
          <w:color w:val="auto"/>
        </w:rPr>
      </w:pPr>
    </w:p>
    <w:p>
      <w:pPr>
        <w:ind w:right="8099" w:firstLine="8"/>
        <w:spacing w:after="0" w:line="470"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11" w:lineRule="exact"/>
        <w:rPr>
          <w:rFonts w:ascii="Courier New" w:cs="Courier New" w:eastAsia="Courier New" w:hAnsi="Courier New"/>
          <w:sz w:val="18"/>
          <w:szCs w:val="18"/>
          <w:color w:val="auto"/>
        </w:rPr>
      </w:pPr>
    </w:p>
    <w:p>
      <w:pPr>
        <w:ind w:right="7899" w:firstLine="8"/>
        <w:spacing w:after="0" w:line="470"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147,166</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147,166</w:t>
      </w:r>
    </w:p>
    <w:p>
      <w:pPr>
        <w:spacing w:after="0" w:line="11" w:lineRule="exact"/>
        <w:rPr>
          <w:rFonts w:ascii="Courier New" w:cs="Courier New" w:eastAsia="Courier New" w:hAnsi="Courier New"/>
          <w:sz w:val="18"/>
          <w:szCs w:val="18"/>
          <w:color w:val="auto"/>
        </w:rPr>
      </w:pPr>
    </w:p>
    <w:p>
      <w:pPr>
        <w:ind w:right="3579" w:firstLine="8"/>
        <w:spacing w:after="0" w:line="470"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147,166</w:t>
      </w:r>
    </w:p>
    <w:p>
      <w:pPr>
        <w:spacing w:after="0" w:line="1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18"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0.6%</w:t>
      </w:r>
    </w:p>
    <w:p>
      <w:pPr>
        <w:spacing w:after="0" w:line="207" w:lineRule="exact"/>
        <w:rPr>
          <w:sz w:val="20"/>
          <w:szCs w:val="20"/>
          <w:color w:val="auto"/>
        </w:rPr>
      </w:pPr>
    </w:p>
    <w:p>
      <w:pPr>
        <w:ind w:right="7159" w:firstLine="8"/>
        <w:spacing w:after="0" w:line="470" w:lineRule="auto"/>
        <w:tabs>
          <w:tab w:leader="none" w:pos="42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 BEFORE FILING OUT!</w:t>
      </w:r>
    </w:p>
    <w:p>
      <w:pPr>
        <w:sectPr>
          <w:pgSz w:w="11900" w:h="16838" w:orient="portrait"/>
          <w:cols w:equalWidth="0" w:num="1">
            <w:col w:w="10219"/>
          </w:cols>
          <w:pgMar w:left="240" w:top="339"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Page 3 of 9 Pages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86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90291710</w:t>
            </w:r>
          </w:p>
        </w:tc>
        <w:tc>
          <w:tcPr>
            <w:tcW w:w="1100" w:type="dxa"/>
            <w:vAlign w:val="bottom"/>
          </w:tcPr>
          <w:p>
            <w:pPr>
              <w:ind w:left="78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0"/>
          <w:szCs w:val="20"/>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Joint Filing</w:t>
      </w:r>
    </w:p>
    <w:p>
      <w:pPr>
        <w:spacing w:after="0" w:line="201" w:lineRule="exact"/>
        <w:rPr>
          <w:sz w:val="20"/>
          <w:szCs w:val="20"/>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320" w:hanging="312"/>
        <w:spacing w:after="0"/>
        <w:tabs>
          <w:tab w:leader="none" w:pos="3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7899" w:firstLine="8"/>
        <w:spacing w:after="0" w:line="470" w:lineRule="auto"/>
        <w:tabs>
          <w:tab w:leader="none" w:pos="31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147,166</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147,166</w:t>
      </w:r>
    </w:p>
    <w:p>
      <w:pPr>
        <w:spacing w:after="0" w:line="11" w:lineRule="exact"/>
        <w:rPr>
          <w:rFonts w:ascii="Courier New" w:cs="Courier New" w:eastAsia="Courier New" w:hAnsi="Courier New"/>
          <w:sz w:val="18"/>
          <w:szCs w:val="18"/>
          <w:color w:val="auto"/>
        </w:rPr>
      </w:pPr>
    </w:p>
    <w:p>
      <w:pPr>
        <w:ind w:right="3579" w:firstLine="8"/>
        <w:spacing w:after="0" w:line="470" w:lineRule="auto"/>
        <w:tabs>
          <w:tab w:leader="none" w:pos="31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147,166</w:t>
      </w:r>
    </w:p>
    <w:p>
      <w:pPr>
        <w:spacing w:after="0" w:line="1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18"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0.6%</w:t>
      </w:r>
    </w:p>
    <w:p>
      <w:pPr>
        <w:spacing w:after="0" w:line="207" w:lineRule="exact"/>
        <w:rPr>
          <w:sz w:val="20"/>
          <w:szCs w:val="20"/>
          <w:color w:val="auto"/>
        </w:rPr>
      </w:pPr>
    </w:p>
    <w:p>
      <w:pPr>
        <w:ind w:right="7159" w:firstLine="8"/>
        <w:spacing w:after="0" w:line="470"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 BEFORE FILING OUT!</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Page 4 of 9 Pages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8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90291710</w:t>
            </w:r>
          </w:p>
        </w:tc>
        <w:tc>
          <w:tcPr>
            <w:tcW w:w="1060" w:type="dxa"/>
            <w:vAlign w:val="bottom"/>
          </w:tcPr>
          <w:p>
            <w:pPr>
              <w:ind w:left="74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0"/>
          <w:szCs w:val="20"/>
          <w:color w:val="auto"/>
        </w:rPr>
      </w:pPr>
    </w:p>
    <w:p>
      <w:pPr>
        <w:ind w:left="320" w:hanging="312"/>
        <w:spacing w:after="0"/>
        <w:tabs>
          <w:tab w:leader="none" w:pos="3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Joint Filing</w:t>
      </w:r>
    </w:p>
    <w:p>
      <w:pPr>
        <w:spacing w:after="0" w:line="201" w:lineRule="exact"/>
        <w:rPr>
          <w:sz w:val="20"/>
          <w:szCs w:val="20"/>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320" w:hanging="312"/>
        <w:spacing w:after="0"/>
        <w:tabs>
          <w:tab w:leader="none" w:pos="3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7899" w:firstLine="8"/>
        <w:spacing w:after="0" w:line="470" w:lineRule="auto"/>
        <w:tabs>
          <w:tab w:leader="none" w:pos="316"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147,166</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147,166</w:t>
      </w:r>
    </w:p>
    <w:p>
      <w:pPr>
        <w:spacing w:after="0" w:line="11" w:lineRule="exact"/>
        <w:rPr>
          <w:rFonts w:ascii="Courier New" w:cs="Courier New" w:eastAsia="Courier New" w:hAnsi="Courier New"/>
          <w:sz w:val="18"/>
          <w:szCs w:val="18"/>
          <w:color w:val="auto"/>
        </w:rPr>
      </w:pPr>
    </w:p>
    <w:p>
      <w:pPr>
        <w:ind w:right="3579" w:firstLine="8"/>
        <w:spacing w:after="0" w:line="470" w:lineRule="auto"/>
        <w:tabs>
          <w:tab w:leader="none" w:pos="316"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147,166</w:t>
      </w:r>
    </w:p>
    <w:p>
      <w:pPr>
        <w:spacing w:after="0" w:line="1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18"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0.6%</w:t>
      </w:r>
    </w:p>
    <w:p>
      <w:pPr>
        <w:spacing w:after="0" w:line="207" w:lineRule="exact"/>
        <w:rPr>
          <w:sz w:val="20"/>
          <w:szCs w:val="20"/>
          <w:color w:val="auto"/>
        </w:rPr>
      </w:pPr>
    </w:p>
    <w:p>
      <w:pPr>
        <w:ind w:right="7159" w:firstLine="8"/>
        <w:spacing w:after="0" w:line="470" w:lineRule="auto"/>
        <w:tabs>
          <w:tab w:leader="none" w:pos="42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 BEFORE FILING OUT!</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Page 5 of 9 Pages</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 (a)</w:t>
      </w:r>
      <w:r>
        <w:rPr>
          <w:sz w:val="20"/>
          <w:szCs w:val="20"/>
          <w:color w:val="auto"/>
        </w:rPr>
        <w:tab/>
      </w:r>
      <w:r>
        <w:rPr>
          <w:rFonts w:ascii="Courier New" w:cs="Courier New" w:eastAsia="Courier New" w:hAnsi="Courier New"/>
          <w:sz w:val="16"/>
          <w:szCs w:val="16"/>
          <w:color w:val="auto"/>
        </w:rPr>
        <w:t>Name of Issuer:</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U.S.A. Waste Services, Inc.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 (b)</w:t>
      </w:r>
      <w:r>
        <w:rPr>
          <w:sz w:val="20"/>
          <w:szCs w:val="20"/>
          <w:color w:val="auto"/>
        </w:rPr>
        <w:tab/>
      </w:r>
      <w:r>
        <w:rPr>
          <w:rFonts w:ascii="Courier New" w:cs="Courier New" w:eastAsia="Courier New" w:hAnsi="Courier New"/>
          <w:sz w:val="16"/>
          <w:szCs w:val="16"/>
          <w:color w:val="auto"/>
        </w:rPr>
        <w:t>Address of Issuer's Principal Executive Offices:</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5000 Quorum Drive</w:t>
      </w:r>
    </w:p>
    <w:p>
      <w:pPr>
        <w:ind w:left="1280"/>
        <w:spacing w:after="0" w:line="238" w:lineRule="auto"/>
        <w:rPr>
          <w:sz w:val="20"/>
          <w:szCs w:val="20"/>
          <w:color w:val="auto"/>
        </w:rPr>
      </w:pPr>
      <w:r>
        <w:rPr>
          <w:rFonts w:ascii="Courier New" w:cs="Courier New" w:eastAsia="Courier New" w:hAnsi="Courier New"/>
          <w:sz w:val="18"/>
          <w:szCs w:val="18"/>
          <w:color w:val="auto"/>
        </w:rPr>
        <w:t>Suite 325</w:t>
      </w:r>
    </w:p>
    <w:p>
      <w:pPr>
        <w:ind w:left="1280"/>
        <w:spacing w:after="0"/>
        <w:tabs>
          <w:tab w:leader="none" w:pos="2520" w:val="left"/>
        </w:tabs>
        <w:rPr>
          <w:sz w:val="20"/>
          <w:szCs w:val="20"/>
          <w:color w:val="auto"/>
        </w:rPr>
      </w:pPr>
      <w:r>
        <w:rPr>
          <w:rFonts w:ascii="Courier New" w:cs="Courier New" w:eastAsia="Courier New" w:hAnsi="Courier New"/>
          <w:sz w:val="18"/>
          <w:szCs w:val="18"/>
          <w:color w:val="auto"/>
        </w:rPr>
        <w:t>Dallas, TX</w:t>
      </w:r>
      <w:r>
        <w:rPr>
          <w:sz w:val="20"/>
          <w:szCs w:val="20"/>
          <w:color w:val="auto"/>
        </w:rPr>
        <w:tab/>
      </w:r>
      <w:r>
        <w:rPr>
          <w:rFonts w:ascii="Courier New" w:cs="Courier New" w:eastAsia="Courier New" w:hAnsi="Courier New"/>
          <w:sz w:val="16"/>
          <w:szCs w:val="16"/>
          <w:color w:val="auto"/>
        </w:rPr>
        <w:t>75240</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Name of Persons Filing:</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Merrill Lynch &amp; Co., Inc.</w:t>
      </w:r>
    </w:p>
    <w:p>
      <w:pPr>
        <w:ind w:left="1280"/>
        <w:spacing w:after="0" w:line="238" w:lineRule="auto"/>
        <w:rPr>
          <w:sz w:val="20"/>
          <w:szCs w:val="20"/>
          <w:color w:val="auto"/>
        </w:rPr>
      </w:pPr>
      <w:r>
        <w:rPr>
          <w:rFonts w:ascii="Courier New" w:cs="Courier New" w:eastAsia="Courier New" w:hAnsi="Courier New"/>
          <w:sz w:val="18"/>
          <w:szCs w:val="18"/>
          <w:color w:val="auto"/>
        </w:rPr>
        <w:t>Merrill Lynch Group, Inc..</w:t>
      </w:r>
    </w:p>
    <w:p>
      <w:pPr>
        <w:ind w:left="1280"/>
        <w:spacing w:after="0"/>
        <w:rPr>
          <w:sz w:val="20"/>
          <w:szCs w:val="20"/>
          <w:color w:val="auto"/>
        </w:rPr>
      </w:pPr>
      <w:r>
        <w:rPr>
          <w:rFonts w:ascii="Courier New" w:cs="Courier New" w:eastAsia="Courier New" w:hAnsi="Courier New"/>
          <w:sz w:val="18"/>
          <w:szCs w:val="18"/>
          <w:color w:val="auto"/>
        </w:rPr>
        <w:t>Princeton Services, Inc.</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38" w:lineRule="auto"/>
        <w:rPr>
          <w:sz w:val="20"/>
          <w:szCs w:val="20"/>
          <w:color w:val="auto"/>
        </w:rPr>
      </w:pPr>
      <w:r>
        <w:rPr>
          <w:rFonts w:ascii="Courier New" w:cs="Courier New" w:eastAsia="Courier New" w:hAnsi="Courier New"/>
          <w:sz w:val="18"/>
          <w:szCs w:val="18"/>
          <w:color w:val="auto"/>
        </w:rPr>
        <w:t>World Financial Center, North Tower</w:t>
      </w:r>
    </w:p>
    <w:p>
      <w:pPr>
        <w:spacing w:after="0"/>
        <w:rPr>
          <w:sz w:val="20"/>
          <w:szCs w:val="20"/>
          <w:color w:val="auto"/>
        </w:rPr>
      </w:pPr>
      <w:r>
        <w:rPr>
          <w:rFonts w:ascii="Courier New" w:cs="Courier New" w:eastAsia="Courier New" w:hAnsi="Courier New"/>
          <w:sz w:val="18"/>
          <w:szCs w:val="18"/>
          <w:color w:val="auto"/>
        </w:rPr>
        <w:t>250 Vesey Street</w:t>
      </w:r>
    </w:p>
    <w:p>
      <w:pPr>
        <w:spacing w:after="0"/>
        <w:tabs>
          <w:tab w:leader="none" w:pos="210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10281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Group, Inc.</w:t>
      </w:r>
    </w:p>
    <w:p>
      <w:pPr>
        <w:spacing w:after="0" w:line="238" w:lineRule="auto"/>
        <w:rPr>
          <w:sz w:val="20"/>
          <w:szCs w:val="20"/>
          <w:color w:val="auto"/>
        </w:rPr>
      </w:pPr>
      <w:r>
        <w:rPr>
          <w:rFonts w:ascii="Courier New" w:cs="Courier New" w:eastAsia="Courier New" w:hAnsi="Courier New"/>
          <w:sz w:val="18"/>
          <w:szCs w:val="18"/>
          <w:color w:val="auto"/>
        </w:rPr>
        <w:t>World Financial Center, North Tower</w:t>
      </w:r>
    </w:p>
    <w:p>
      <w:pPr>
        <w:spacing w:after="0"/>
        <w:rPr>
          <w:sz w:val="20"/>
          <w:szCs w:val="20"/>
          <w:color w:val="auto"/>
        </w:rPr>
      </w:pPr>
      <w:r>
        <w:rPr>
          <w:rFonts w:ascii="Courier New" w:cs="Courier New" w:eastAsia="Courier New" w:hAnsi="Courier New"/>
          <w:sz w:val="18"/>
          <w:szCs w:val="18"/>
          <w:color w:val="auto"/>
        </w:rPr>
        <w:t>250 Vesey Street</w:t>
      </w:r>
    </w:p>
    <w:p>
      <w:pPr>
        <w:spacing w:after="0"/>
        <w:tabs>
          <w:tab w:leader="none" w:pos="210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10281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Princeton Services, Inc.</w:t>
      </w:r>
    </w:p>
    <w:p>
      <w:pPr>
        <w:spacing w:after="0" w:line="238" w:lineRule="auto"/>
        <w:rPr>
          <w:sz w:val="20"/>
          <w:szCs w:val="20"/>
          <w:color w:val="auto"/>
        </w:rPr>
      </w:pPr>
      <w:r>
        <w:rPr>
          <w:rFonts w:ascii="Courier New" w:cs="Courier New" w:eastAsia="Courier New" w:hAnsi="Courier New"/>
          <w:sz w:val="18"/>
          <w:szCs w:val="18"/>
          <w:color w:val="auto"/>
        </w:rPr>
        <w:t>800 Scudders Mill Road</w:t>
      </w:r>
    </w:p>
    <w:p>
      <w:pPr>
        <w:spacing w:after="0"/>
        <w:tabs>
          <w:tab w:leader="none" w:pos="2520" w:val="left"/>
        </w:tabs>
        <w:rPr>
          <w:sz w:val="20"/>
          <w:szCs w:val="20"/>
          <w:color w:val="auto"/>
        </w:rPr>
      </w:pPr>
      <w:r>
        <w:rPr>
          <w:rFonts w:ascii="Courier New" w:cs="Courier New" w:eastAsia="Courier New" w:hAnsi="Courier New"/>
          <w:sz w:val="18"/>
          <w:szCs w:val="18"/>
          <w:color w:val="auto"/>
        </w:rPr>
        <w:t>Plainsboro, New Jersey</w:t>
      </w:r>
      <w:r>
        <w:rPr>
          <w:sz w:val="20"/>
          <w:szCs w:val="20"/>
          <w:color w:val="auto"/>
        </w:rPr>
        <w:tab/>
      </w:r>
      <w:r>
        <w:rPr>
          <w:rFonts w:ascii="Courier New" w:cs="Courier New" w:eastAsia="Courier New" w:hAnsi="Courier New"/>
          <w:sz w:val="16"/>
          <w:szCs w:val="16"/>
          <w:color w:val="auto"/>
        </w:rPr>
        <w:t>08536</w:t>
      </w:r>
    </w:p>
    <w:p>
      <w:pPr>
        <w:sectPr>
          <w:pgSz w:w="11900" w:h="16838" w:orient="portrait"/>
          <w:cols w:equalWidth="0" w:num="1">
            <w:col w:w="10219"/>
          </w:cols>
          <w:pgMar w:left="240" w:top="7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Page 6 of 9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(c)</w:t>
      </w:r>
      <w:r>
        <w:rPr>
          <w:sz w:val="20"/>
          <w:szCs w:val="20"/>
          <w:color w:val="auto"/>
        </w:rPr>
        <w:tab/>
      </w:r>
      <w:r>
        <w:rPr>
          <w:rFonts w:ascii="Courier New" w:cs="Courier New" w:eastAsia="Courier New" w:hAnsi="Courier New"/>
          <w:sz w:val="16"/>
          <w:szCs w:val="16"/>
          <w:color w:val="auto"/>
        </w:rPr>
        <w:t>Citizenship:</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4 of Cover Pages</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(d)</w:t>
      </w:r>
      <w:r>
        <w:rPr>
          <w:sz w:val="20"/>
          <w:szCs w:val="20"/>
          <w:color w:val="auto"/>
        </w:rPr>
        <w:tab/>
      </w:r>
      <w:r>
        <w:rPr>
          <w:rFonts w:ascii="Courier New" w:cs="Courier New" w:eastAsia="Courier New" w:hAnsi="Courier New"/>
          <w:sz w:val="16"/>
          <w:szCs w:val="16"/>
          <w:color w:val="auto"/>
        </w:rPr>
        <w:t>Title of Class of Securities:</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90291710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Merrill Lynch &amp; Co., Inc. ("ML&amp;Co."), Merrill Lynch Group, Inc. ("ML Group") and Princeton Services, Inc. ("PSI") are parent holding companies, in accordance with (S) 240.13d-1(b) (ii) (G).</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hanging="532"/>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7" w:lineRule="exact"/>
        <w:rPr>
          <w:sz w:val="20"/>
          <w:szCs w:val="20"/>
          <w:color w:val="auto"/>
        </w:rPr>
      </w:pPr>
    </w:p>
    <w:p>
      <w:pPr>
        <w:ind w:right="2319" w:firstLine="316"/>
        <w:spacing w:after="0" w:line="236" w:lineRule="auto"/>
        <w:rPr>
          <w:sz w:val="20"/>
          <w:szCs w:val="20"/>
          <w:color w:val="auto"/>
        </w:rPr>
      </w:pPr>
      <w:r>
        <w:rPr>
          <w:rFonts w:ascii="Courier New" w:cs="Courier New" w:eastAsia="Courier New" w:hAnsi="Courier New"/>
          <w:sz w:val="18"/>
          <w:szCs w:val="18"/>
          <w:color w:val="auto"/>
        </w:rPr>
        <w:t>See Item 9 of Cover Pages. Pursuant to (S) 240.13d-4, ML&amp;Co., ML Group, and PSI (the "Reporting Persons") disclaim beneficial ownership of the securities of U.S.A. Waste Services, Inc. (the "Company") referred</w:t>
      </w:r>
    </w:p>
    <w:p>
      <w:pPr>
        <w:spacing w:after="0" w:line="6"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to herein, and the filing of this Schedule 13G shall not be construed as an admission that the Reporting Persons are, for the purposes of Section 13(d) or 13(g) of the Securities Exchange Act of 1934, the beneficial owner of any securities of the Company covered by this statement.</w:t>
      </w:r>
    </w:p>
    <w:p>
      <w:pPr>
        <w:spacing w:after="0" w:line="202" w:lineRule="exact"/>
        <w:rPr>
          <w:sz w:val="20"/>
          <w:szCs w:val="20"/>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11 of Cover Pages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1060" w:right="4839" w:hanging="525"/>
        <w:spacing w:after="0" w:line="470" w:lineRule="auto"/>
        <w:tabs>
          <w:tab w:leader="none" w:pos="10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of Cover Pages</w:t>
      </w:r>
    </w:p>
    <w:p>
      <w:pPr>
        <w:spacing w:after="0" w:line="11" w:lineRule="exact"/>
        <w:rPr>
          <w:rFonts w:ascii="Courier New" w:cs="Courier New" w:eastAsia="Courier New" w:hAnsi="Courier New"/>
          <w:sz w:val="18"/>
          <w:szCs w:val="18"/>
          <w:color w:val="auto"/>
        </w:rPr>
      </w:pPr>
    </w:p>
    <w:p>
      <w:pPr>
        <w:ind w:left="1060" w:right="4619" w:hanging="631"/>
        <w:spacing w:after="0" w:line="470" w:lineRule="auto"/>
        <w:tabs>
          <w:tab w:leader="none" w:pos="10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Item 6 of the Cover Pages</w:t>
      </w:r>
    </w:p>
    <w:p>
      <w:pPr>
        <w:spacing w:after="0" w:line="11" w:lineRule="exact"/>
        <w:rPr>
          <w:rFonts w:ascii="Courier New" w:cs="Courier New" w:eastAsia="Courier New" w:hAnsi="Courier New"/>
          <w:sz w:val="18"/>
          <w:szCs w:val="18"/>
          <w:color w:val="auto"/>
        </w:rPr>
      </w:pPr>
    </w:p>
    <w:p>
      <w:pPr>
        <w:ind w:left="1060" w:right="3159" w:hanging="736"/>
        <w:spacing w:after="0" w:line="470" w:lineRule="auto"/>
        <w:tabs>
          <w:tab w:leader="none" w:pos="10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of or to direct the disposition of: See Item 7 of Cover Pages</w:t>
      </w:r>
    </w:p>
    <w:p>
      <w:pPr>
        <w:sectPr>
          <w:pgSz w:w="11900" w:h="16838" w:orient="portrait"/>
          <w:cols w:equalWidth="0" w:num="1">
            <w:col w:w="10219"/>
          </w:cols>
          <w:pgMar w:left="240" w:top="7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Page 7 of 9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060" w:hanging="631"/>
        <w:spacing w:after="0"/>
        <w:tabs>
          <w:tab w:leader="none" w:pos="10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power to dispose of or direct the disposition of:</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See Item 8 of Cover Pages</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2419" w:firstLine="316"/>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Acquired the Security Being Reported on by the Parent Holding Company.</w:t>
      </w:r>
    </w:p>
    <w:p>
      <w:pPr>
        <w:ind w:left="22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71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Page 8 of 9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By signing below each of the undersigned certifies that, to the best of their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After reasonable inquiry and to the best of my knowledge and belief, each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undersigned certifies that the information set forth in this statement is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true, complete and correct.</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10, 1995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L. Dick</w:t>
      </w:r>
    </w:p>
    <w:p>
      <w:pPr>
        <w:ind w:left="220" w:hanging="212"/>
        <w:spacing w:after="0" w:line="238" w:lineRule="auto"/>
        <w:tabs>
          <w:tab w:leader="none" w:pos="2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David L. Dick</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Assistant Secretary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Group,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L. Dick</w:t>
      </w:r>
    </w:p>
    <w:p>
      <w:pPr>
        <w:ind w:left="220" w:hanging="212"/>
        <w:spacing w:after="0" w:line="238" w:lineRule="auto"/>
        <w:tabs>
          <w:tab w:leader="none" w:pos="2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David L. Dick</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Secretary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Princeton Services,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L. Dick</w:t>
      </w:r>
    </w:p>
    <w:p>
      <w:pPr>
        <w:ind w:left="220" w:hanging="212"/>
        <w:spacing w:after="0" w:line="238" w:lineRule="auto"/>
        <w:tabs>
          <w:tab w:leader="none" w:pos="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David L. Dick</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999" w:firstLine="8"/>
        <w:spacing w:after="0" w:line="237" w:lineRule="auto"/>
        <w:tabs>
          <w:tab w:leader="none" w:pos="21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pursuant to a power of attorney, dated February 10, 1994, included as an Exhibit to Schedule 13G filed with the Securities and Exchange Commission by Merrill Lynch Group, Inc. et. al. on February 14, 1994 with respect to Dial REIT Inc.</w:t>
      </w:r>
    </w:p>
    <w:p>
      <w:pPr>
        <w:sectPr>
          <w:pgSz w:w="11900" w:h="16838" w:orient="portrait"/>
          <w:cols w:equalWidth="0" w:num="1">
            <w:col w:w="10219"/>
          </w:cols>
          <w:pgMar w:left="240" w:top="717"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Page 9 of 9 Pages</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EXHIBIT A TO SCHEDULE 13G</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ITEM 7 DISCLOSURE RESPECTING SUBSIDIARIES</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316"/>
        <w:spacing w:after="0" w:line="270" w:lineRule="auto"/>
        <w:rPr>
          <w:sz w:val="20"/>
          <w:szCs w:val="20"/>
          <w:color w:val="auto"/>
        </w:rPr>
      </w:pPr>
      <w:r>
        <w:rPr>
          <w:rFonts w:ascii="Courier New" w:cs="Courier New" w:eastAsia="Courier New" w:hAnsi="Courier New"/>
          <w:sz w:val="16"/>
          <w:szCs w:val="16"/>
          <w:color w:val="auto"/>
        </w:rPr>
        <w:t>Three of the persons filing this report, Merrill Lynch &amp; Co., Inc., a Delaware corporation with its principal place of business at World Financial Center, North Tower, 250 Vesey Street, New York, New York ("ML&amp;Co."), Merrill Lynch Group, Inc., a Delaware corporation with its principal place of business at World Financial Center, North Tower, 250 Vesey Street, New York, New York ("ML Group"), and Princeton Services, Inc. a Delaware corporation with its principal place of business at 800 Scudders Mill Road, Plainsboro, New Jersey, ("PSI") are parent holding companies pursuant to (S)240 13d-1(b) (1) (ii) (G). The relevant subsidiaries of Merrill Lynch &amp; Co. are ML Group and PSI, which is the general partner of Fund Asset Management, L.P. (d/b/a) Fund Asset Management ("FAM"). The relevant subsidiary of Merrill Lynch Group is PSI.</w:t>
      </w:r>
    </w:p>
    <w:p>
      <w:pPr>
        <w:spacing w:after="0" w:line="188"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ML Group, a wholly-owned direct subsidiary of ML&amp;Co., may be deemed to be the beneficial owner of less than 5% of the common stock of U.S.A. Waste Services, Inc. (the "Company") by virtue of its control of its wholly-owned subsidiary, PSI.</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PSI, a wholly-owned direct subsidiary of ML Group, may be deemed to be the beneficial owner of less than 5% of the common stock of the Company by virtue of its being the general partner of FAM, which acts as investment adviser to investment companies registered under Section 203 of the Investment Advisers Act of 1940. No one investment company owns more than 5% of the securities of the U.S.A. Waste Services, Inc.</w:t>
      </w:r>
    </w:p>
    <w:p>
      <w:pPr>
        <w:spacing w:after="0" w:line="210" w:lineRule="exact"/>
        <w:rPr>
          <w:sz w:val="20"/>
          <w:szCs w:val="20"/>
          <w:color w:val="auto"/>
        </w:rPr>
      </w:pPr>
    </w:p>
    <w:p>
      <w:pPr>
        <w:ind w:right="2199" w:firstLine="421"/>
        <w:spacing w:after="0" w:line="273" w:lineRule="auto"/>
        <w:rPr>
          <w:sz w:val="20"/>
          <w:szCs w:val="20"/>
          <w:color w:val="auto"/>
        </w:rPr>
      </w:pPr>
      <w:r>
        <w:rPr>
          <w:rFonts w:ascii="Courier New" w:cs="Courier New" w:eastAsia="Courier New" w:hAnsi="Courier New"/>
          <w:sz w:val="16"/>
          <w:szCs w:val="16"/>
          <w:color w:val="auto"/>
        </w:rPr>
        <w:t>Pursuant to (S)240.13d-4, ML &amp; Co., ML Group, PSI and FAM disclaim beneficial ownership of the securities of the Company, and the filing of this Schedule 13G shall not be construed as an admission that any such entity is, for the purposes of Section 13(d) or 13(g) of the Securities Exchange Act of 1934, the beneficial owner of any securities of the Company.</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lowerLetter"/>
      <w:start w:val="1"/>
    </w:lvl>
  </w:abstractNum>
  <w:abstractNum w:abstractNumId="5">
    <w:nsid w:val="41A7C4C9"/>
    <w:multiLevelType w:val="hybridMultilevel"/>
    <w:lvl w:ilvl="0">
      <w:lvlJc w:val="left"/>
      <w:lvlText w:val="%1."/>
      <w:numFmt w:val="decimal"/>
      <w:start w:val="3"/>
    </w:lvl>
  </w:abstractNum>
  <w:abstractNum w:abstractNumId="6">
    <w:nsid w:val="6B68079A"/>
    <w:multiLevelType w:val="hybridMultilevel"/>
    <w:lvl w:ilvl="0">
      <w:lvlJc w:val="left"/>
      <w:lvlText w:val="%1."/>
      <w:numFmt w:val="decimal"/>
      <w:start w:val="5"/>
    </w:lvl>
  </w:abstractNum>
  <w:abstractNum w:abstractNumId="7">
    <w:nsid w:val="4E6AFB66"/>
    <w:multiLevelType w:val="hybridMultilevel"/>
    <w:lvl w:ilvl="0">
      <w:lvlJc w:val="left"/>
      <w:lvlText w:val="%1."/>
      <w:numFmt w:val="decimal"/>
      <w:start w:val="12"/>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lowerLetter"/>
      <w:start w:val="1"/>
    </w:lvl>
  </w:abstractNum>
  <w:abstractNum w:abstractNumId="10">
    <w:nsid w:val="431BD7B7"/>
    <w:multiLevelType w:val="hybridMultilevel"/>
    <w:lvl w:ilvl="0">
      <w:lvlJc w:val="left"/>
      <w:lvlText w:val="%1."/>
      <w:numFmt w:val="decimal"/>
      <w:start w:val="3"/>
    </w:lvl>
  </w:abstractNum>
  <w:abstractNum w:abstractNumId="11">
    <w:nsid w:val="3F2DBA31"/>
    <w:multiLevelType w:val="hybridMultilevel"/>
    <w:lvl w:ilvl="0">
      <w:lvlJc w:val="left"/>
      <w:lvlText w:val="%1."/>
      <w:numFmt w:val="decimal"/>
      <w:start w:val="6"/>
    </w:lvl>
  </w:abstractNum>
  <w:abstractNum w:abstractNumId="12">
    <w:nsid w:val="7C83E458"/>
    <w:multiLevelType w:val="hybridMultilevel"/>
    <w:lvl w:ilvl="0">
      <w:lvlJc w:val="left"/>
      <w:lvlText w:val="%1."/>
      <w:numFmt w:val="decimal"/>
      <w:start w:val="12"/>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lowerLetter"/>
      <w:start w:val="1"/>
    </w:lvl>
  </w:abstractNum>
  <w:abstractNum w:abstractNumId="15">
    <w:nsid w:val="436C6125"/>
    <w:multiLevelType w:val="hybridMultilevel"/>
    <w:lvl w:ilvl="0">
      <w:lvlJc w:val="left"/>
      <w:lvlText w:val="%1."/>
      <w:numFmt w:val="decimal"/>
      <w:start w:val="3"/>
    </w:lvl>
  </w:abstractNum>
  <w:abstractNum w:abstractNumId="16">
    <w:nsid w:val="628C895D"/>
    <w:multiLevelType w:val="hybridMultilevel"/>
    <w:lvl w:ilvl="0">
      <w:lvlJc w:val="left"/>
      <w:lvlText w:val="%1."/>
      <w:numFmt w:val="decimal"/>
      <w:start w:val="6"/>
    </w:lvl>
  </w:abstractNum>
  <w:abstractNum w:abstractNumId="17">
    <w:nsid w:val="333AB105"/>
    <w:multiLevelType w:val="hybridMultilevel"/>
    <w:lvl w:ilvl="0">
      <w:lvlJc w:val="left"/>
      <w:lvlText w:val="%1."/>
      <w:numFmt w:val="decimal"/>
      <w:start w:val="12"/>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lowerLetter"/>
      <w:start w:val="2"/>
    </w:lvl>
    <w:lvl w:ilvl="1">
      <w:lvlJc w:val="left"/>
      <w:lvlText w:val="(%2)"/>
      <w:numFmt w:val="lowerRoman"/>
      <w:start w:val="1"/>
    </w:lvl>
  </w:abstractNum>
  <w:abstractNum w:abstractNumId="20">
    <w:nsid w:val="2D1D5AE9"/>
    <w:multiLevelType w:val="hybridMultilevel"/>
    <w:lvl w:ilvl="0">
      <w:lvlJc w:val="left"/>
      <w:lvlText w:val="(%1)"/>
      <w:numFmt w:val="lowerRoman"/>
      <w:start w:val="4"/>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2019-12-19T20:43:21Z</dcterms:created>
  <dcterms:modified xsi:type="dcterms:W3CDTF">2019-12-19T20:43:21Z</dcterms:modified>
</cp:coreProperties>
</file>