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November 5, 2020, Waste Management, Inc. (the “Company”) commenced and priced an underwritten public offering of $500,000,000 aggregate principal amount of its 0.750% Senior Notes due 2025, $500,000,000 aggregate principal amount of its 1.150% Senior Notes due 2028, $1,000,000,000 aggregate principal amount of its 1.500% Senior Notes due 2031 and $500,000,000 aggregate principal amount of its 2.500% Senior Notes due 2050 (collectively, the “Notes”) under the Company’s Registration Statement on Form S-3 (No. 333-231027). The Notes, which will be fully and unconditionally guaranteed by the Company’s wholly owned subsidiary Waste Management Holdings, Inc. (“WM Holdings”), will be sold pursuant to an underwriting agreement (the “Underwriting Agreement”) entered into on November 5, 2020 among the Company and WM Holdings and Barclays Capital Inc., Mizuho Securities USA LLC, BofA Securities, Inc., J.P. Morgan Securities LLC and Scotia Capital (USA) Inc. as representatives of the several underwriters named therein.</w:t>
      </w:r>
    </w:p>
    <w:p>
      <w:pPr>
        <w:spacing w:after="0" w:line="1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one of their respective affiliates are lenders under the Company’s $3.0 billion, 364-day, U.S. revolving credit facility and the Company’s $3.5 billion long-term U.S. and Canadian revolving credit facility, and are dealers under our commercial paper program. In addition, certain of the underwriters or their affiliates may be holders of our 4.60% Senior Notes due March 2021 and, accordingly, may receive a portion of the proceeds of the offering pursuant to the previously announced redemption of such notes with the proceeds of the offering.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November 17, 2020,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Copies of the Underwriting Agreement and the Indenture and the forms of the Officers’ Certificates and the guarantee agreements by WM Holdings are being filed as Exhibits 1.1, 4.1, 4.2, 4.3, 4.4, 4.5, 4.10, 4.11, 4.12 and 4.13 respectively, to this Form 8-K and are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20" w:type="dxa"/>
            <w:vAlign w:val="bottom"/>
            <w:gridSpan w:val="5"/>
          </w:tcPr>
          <w:p>
            <w:pPr>
              <w:ind w:left="1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1.1</w:t>
              </w:r>
            </w:hyperlink>
          </w:p>
        </w:tc>
        <w:tc>
          <w:tcPr>
            <w:tcW w:w="220" w:type="dxa"/>
            <w:vAlign w:val="bottom"/>
          </w:tcPr>
          <w:p>
            <w:pPr>
              <w:spacing w:after="0"/>
              <w:rPr>
                <w:sz w:val="14"/>
                <w:szCs w:val="14"/>
                <w:color w:val="auto"/>
              </w:rPr>
            </w:pPr>
          </w:p>
        </w:tc>
        <w:tc>
          <w:tcPr>
            <w:tcW w:w="9880" w:type="dxa"/>
            <w:vAlign w:val="bottom"/>
            <w:tcBorders>
              <w:top w:val="single" w:sz="8" w:color="auto"/>
              <w:bottom w:val="single" w:sz="8" w:color="0000EE"/>
            </w:tcBorders>
            <w:gridSpan w:val="7"/>
          </w:tcPr>
          <w:p>
            <w:pPr>
              <w:spacing w:after="0" w:line="169"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Underwriting Agreement dated November 5, 2020 by and among the Company, WM Holdings and Barclays Capital Inc., Mizuho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Securities USA LLC, BofA Securities, Inc., J.P. Morgan Securities LLC and Scotia Capital (USA) Inc. as representatives of the several</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Underwriters named therein.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Indenture dated September 10, 1997 by and between the Company and The Bank of New York Mellon Trust Company, N.A. (the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successor to Texas Commerce Bank National Association), as Trustee, relating to senior debt securities of the Company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7"/>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reference to Exhibit 4.1 to Current Report on Form 8-K filed September 24, 1997).</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Form of Officers’ Certificate delivered pursuant to Section 3.01 of the Indenture establishing the terms and form of the 0.750% Senior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Notes due 2025.</w:t>
              </w:r>
            </w:hyperlink>
          </w:p>
        </w:tc>
        <w:tc>
          <w:tcPr>
            <w:tcW w:w="8700" w:type="dxa"/>
            <w:vAlign w:val="bottom"/>
            <w:gridSpan w:val="6"/>
          </w:tcPr>
          <w:p>
            <w:pPr>
              <w:spacing w:after="0"/>
              <w:rPr>
                <w:sz w:val="17"/>
                <w:szCs w:val="17"/>
                <w:color w:val="auto"/>
              </w:rPr>
            </w:pPr>
          </w:p>
        </w:tc>
      </w:tr>
      <w:tr>
        <w:trPr>
          <w:trHeight w:val="41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4.3</w:t>
              </w:r>
            </w:hyperlink>
          </w:p>
        </w:tc>
        <w:tc>
          <w:tcPr>
            <w:tcW w:w="220" w:type="dxa"/>
            <w:vAlign w:val="bottom"/>
          </w:tcPr>
          <w:p>
            <w:pPr>
              <w:spacing w:after="0"/>
              <w:rPr>
                <w:sz w:val="24"/>
                <w:szCs w:val="24"/>
                <w:color w:val="auto"/>
              </w:rPr>
            </w:pPr>
          </w:p>
        </w:tc>
        <w:tc>
          <w:tcPr>
            <w:tcW w:w="9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Form of Officers’ Certificate delivered pursuant to Section 3.01 of the Indenture establishing the terms and form of the 1.150% Senior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Notes due 2028.</w:t>
              </w:r>
            </w:hyperlink>
          </w:p>
        </w:tc>
        <w:tc>
          <w:tcPr>
            <w:tcW w:w="8700" w:type="dxa"/>
            <w:vAlign w:val="bottom"/>
            <w:gridSpan w:val="6"/>
          </w:tcPr>
          <w:p>
            <w:pPr>
              <w:spacing w:after="0"/>
              <w:rPr>
                <w:sz w:val="17"/>
                <w:szCs w:val="17"/>
                <w:color w:val="auto"/>
              </w:rPr>
            </w:pPr>
          </w:p>
        </w:tc>
      </w:tr>
      <w:tr>
        <w:trPr>
          <w:trHeight w:val="41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4.4</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Form of Officers’ Certificate delivered pursuant to Section 3.01 of the Indenture establishing the terms and form of the 1.500% Senior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81">
              <w:r>
                <w:rPr>
                  <w:rFonts w:ascii="Times New Roman" w:cs="Times New Roman" w:eastAsia="Times New Roman" w:hAnsi="Times New Roman"/>
                  <w:sz w:val="18"/>
                  <w:szCs w:val="18"/>
                  <w:color w:val="0000EE"/>
                  <w:w w:val="98"/>
                </w:rPr>
                <w:t>Notes due 2031.</w:t>
              </w:r>
            </w:hyperlink>
          </w:p>
        </w:tc>
        <w:tc>
          <w:tcPr>
            <w:tcW w:w="8480" w:type="dxa"/>
            <w:vAlign w:val="bottom"/>
            <w:tcBorders>
              <w:top w:val="single" w:sz="8" w:color="0000EE"/>
            </w:tcBorders>
            <w:gridSpan w:val="5"/>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4.5</w:t>
              </w:r>
            </w:hyperlink>
          </w:p>
        </w:tc>
        <w:tc>
          <w:tcPr>
            <w:tcW w:w="220" w:type="dxa"/>
            <w:vAlign w:val="bottom"/>
          </w:tcPr>
          <w:p>
            <w:pPr>
              <w:spacing w:after="0"/>
              <w:rPr>
                <w:sz w:val="24"/>
                <w:szCs w:val="24"/>
                <w:color w:val="auto"/>
              </w:rPr>
            </w:pPr>
          </w:p>
        </w:tc>
        <w:tc>
          <w:tcPr>
            <w:tcW w:w="9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Form of Officers’ Certificate delivered pursuant to Section 3.01 of the Indenture establishing the terms and form of the 2.500% Senior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98">
              <w:r>
                <w:rPr>
                  <w:rFonts w:ascii="Times New Roman" w:cs="Times New Roman" w:eastAsia="Times New Roman" w:hAnsi="Times New Roman"/>
                  <w:sz w:val="18"/>
                  <w:szCs w:val="18"/>
                  <w:color w:val="0000EE"/>
                  <w:w w:val="98"/>
                </w:rPr>
                <w:t>Notes due 2050.</w:t>
              </w:r>
            </w:hyperlink>
          </w:p>
        </w:tc>
        <w:tc>
          <w:tcPr>
            <w:tcW w:w="8700" w:type="dxa"/>
            <w:vAlign w:val="bottom"/>
            <w:gridSpan w:val="6"/>
          </w:tcPr>
          <w:p>
            <w:pPr>
              <w:spacing w:after="0"/>
              <w:rPr>
                <w:sz w:val="17"/>
                <w:szCs w:val="17"/>
                <w:color w:val="auto"/>
              </w:rPr>
            </w:pPr>
          </w:p>
        </w:tc>
      </w:tr>
      <w:tr>
        <w:trPr>
          <w:trHeight w:val="453"/>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4.6</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Form of 0.750% Senior Note due 2025 (included in Exhibit 4.2 above).</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4.7</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Form of 1.150% Senior Note due 2028 (included in Exhibit 4.3 above).</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4.8</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Form of 1.500% Senior Note due 2031 (included in Exhibit 4.4 above).</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4.9</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Form of 2.500% Senior Note due 2050 (included in Exhibit 4.5 above).</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4.10</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Form of Guarantee Agreement by WM Holdings in favor of the holders of Waste Management, Inc.’s 0.750% Senior Notes due 2025.</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4.11</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Form of Guarantee Agreement by WM Holdings in favor of the holders of Waste Management, Inc.’s 1.150% Senior Notes due 2028.</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4.12</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Form of Guarantee Agreement by WM Holdings in favor of the holders of Waste Management, Inc.’s 1.500% Senior Notes due 2031.</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4.13</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Form of Guarantee Agreement by WM Holdings in favor of the holders of Waste Management, Inc.’s 2.500% Senior Notes due 2050.</w:t>
              </w:r>
            </w:hyperlink>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5.1</w:t>
              </w:r>
            </w:hyperlink>
          </w:p>
        </w:tc>
        <w:tc>
          <w:tcPr>
            <w:tcW w:w="22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Opinion of Baker Botts L.L.P.</w:t>
              </w:r>
            </w:hyperlink>
          </w:p>
        </w:tc>
      </w:tr>
    </w:tbl>
    <w:p>
      <w:pPr>
        <w:spacing w:after="0" w:line="198" w:lineRule="exact"/>
        <w:rPr>
          <w:sz w:val="20"/>
          <w:szCs w:val="20"/>
          <w:color w:val="auto"/>
        </w:rPr>
      </w:pPr>
    </w:p>
    <w:p>
      <w:pPr>
        <w:ind w:left="5580" w:right="3360" w:hanging="5572"/>
        <w:spacing w:after="0" w:line="783" w:lineRule="auto"/>
        <w:tabs>
          <w:tab w:leader="none" w:pos="1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w:t>
      </w:r>
      <w:r>
        <w:rPr>
          <w:rFonts w:ascii="Times New Roman" w:cs="Times New Roman" w:eastAsia="Times New Roman" w:hAnsi="Times New Roman"/>
          <w:sz w:val="17"/>
          <w:szCs w:val="17"/>
          <w:b w:val="1"/>
          <w:bCs w:val="1"/>
          <w:color w:val="auto"/>
        </w:rPr>
        <w:t>ASTE</w:t>
      </w:r>
      <w:r>
        <w:rPr>
          <w:rFonts w:ascii="Times New Roman" w:cs="Times New Roman" w:eastAsia="Times New Roman" w:hAnsi="Times New Roman"/>
          <w:sz w:val="25"/>
          <w:szCs w:val="25"/>
          <w:b w:val="1"/>
          <w:bCs w:val="1"/>
          <w:color w:val="auto"/>
        </w:rPr>
        <w:t xml:space="preserve"> M</w:t>
      </w:r>
      <w:r>
        <w:rPr>
          <w:rFonts w:ascii="Times New Roman" w:cs="Times New Roman" w:eastAsia="Times New Roman" w:hAnsi="Times New Roman"/>
          <w:sz w:val="17"/>
          <w:szCs w:val="17"/>
          <w:b w:val="1"/>
          <w:bCs w:val="1"/>
          <w:color w:val="auto"/>
        </w:rPr>
        <w:t>ANAGEMENT</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0.750% Senior Notes due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1.150% Senior Notes due 2028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1.500% Senior Notes due 2031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2.500% Senior Notes due 2050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 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$500,000,000 aggregate principal amount of 0.750% Senior Notes due 2025 (the “</w:t>
      </w: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$500,000,000 aggregate principal amount of 1.150% Senior Notes due 2028 (the “</w:t>
      </w:r>
      <w:r>
        <w:rPr>
          <w:rFonts w:ascii="Times New Roman" w:cs="Times New Roman" w:eastAsia="Times New Roman" w:hAnsi="Times New Roman"/>
          <w:sz w:val="18"/>
          <w:szCs w:val="18"/>
          <w:u w:val="single" w:color="auto"/>
          <w:color w:val="auto"/>
        </w:rPr>
        <w:t>2028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$1,000,000,000 aggregate principal amount of 1.500%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and $500,000,000 aggregate principal amount of 2.500% Senior Notes due 2050 (the “</w:t>
      </w:r>
      <w:r>
        <w:rPr>
          <w:rFonts w:ascii="Times New Roman" w:cs="Times New Roman" w:eastAsia="Times New Roman" w:hAnsi="Times New Roman"/>
          <w:sz w:val="18"/>
          <w:szCs w:val="18"/>
          <w:u w:val="single" w:color="auto"/>
          <w:color w:val="auto"/>
        </w:rPr>
        <w:t>2050 Notes</w:t>
      </w:r>
      <w:r>
        <w:rPr>
          <w:rFonts w:ascii="Times New Roman" w:cs="Times New Roman" w:eastAsia="Times New Roman" w:hAnsi="Times New Roman"/>
          <w:sz w:val="18"/>
          <w:szCs w:val="18"/>
          <w:color w:val="auto"/>
        </w:rPr>
        <w:t>,” and collectively with the 2025 Notes, the 2028 Notes and the 2031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guarantees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Guarantees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ind w:firstLine="656"/>
        <w:spacing w:after="0" w:line="282" w:lineRule="auto"/>
        <w:tabs>
          <w:tab w:leader="none" w:pos="13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Act and has prepared and filed with the Commission a registration statement (File Number 333-231027)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3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4" w:firstLine="644"/>
        <w:spacing w:after="0" w:line="255" w:lineRule="auto"/>
        <w:tabs>
          <w:tab w:leader="none" w:pos="14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4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other than (i) any document not constituting a prospectus pursuant to Section 2(a)(10)(a) of the Act or Rule 134 under the Act,</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jc w:val="both"/>
        <w:ind w:left="-460" w:firstLine="644"/>
        <w:spacing w:after="0" w:line="254" w:lineRule="auto"/>
        <w:tabs>
          <w:tab w:leader="none" w:pos="9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9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55" w:lineRule="auto"/>
        <w:tabs>
          <w:tab w:leader="none" w:pos="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2019,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55" w:lineRule="auto"/>
        <w:tabs>
          <w:tab w:leader="none" w:pos="10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88"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Holdings.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60" w:firstLine="644"/>
        <w:spacing w:after="0" w:line="255" w:lineRule="auto"/>
        <w:tabs>
          <w:tab w:leader="none" w:pos="10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54" w:lineRule="auto"/>
        <w:tabs>
          <w:tab w:leader="none" w:pos="9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9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 w:firstLine="644"/>
        <w:spacing w:after="0" w:line="261" w:lineRule="auto"/>
        <w:tabs>
          <w:tab w:leader="none" w:pos="14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80" w:lineRule="exact"/>
        <w:rPr>
          <w:sz w:val="20"/>
          <w:szCs w:val="20"/>
          <w:color w:val="auto"/>
        </w:rPr>
      </w:pPr>
    </w:p>
    <w:p>
      <w:pPr>
        <w:jc w:val="both"/>
        <w:ind w:left="4" w:firstLine="644"/>
        <w:spacing w:after="0" w:line="255" w:lineRule="auto"/>
        <w:tabs>
          <w:tab w:leader="none" w:pos="14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3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4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left="4" w:firstLine="644"/>
        <w:spacing w:after="0" w:line="255" w:lineRule="auto"/>
        <w:tabs>
          <w:tab w:leader="none" w:pos="14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w:t>
      </w:r>
    </w:p>
    <w:p>
      <w:pPr>
        <w:spacing w:after="0" w:line="181"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151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5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50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4" w:firstLine="644"/>
        <w:spacing w:after="0" w:line="254" w:lineRule="auto"/>
        <w:tabs>
          <w:tab w:leader="none" w:pos="14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91" w:lineRule="exact"/>
        <w:rPr>
          <w:rFonts w:ascii="Times New Roman" w:cs="Times New Roman" w:eastAsia="Times New Roman" w:hAnsi="Times New Roman"/>
          <w:sz w:val="18"/>
          <w:szCs w:val="18"/>
          <w:color w:val="auto"/>
        </w:rPr>
      </w:pPr>
    </w:p>
    <w:p>
      <w:pPr>
        <w:ind w:left="1464" w:hanging="816"/>
        <w:spacing w:after="0"/>
        <w:tabs>
          <w:tab w:leader="none" w:pos="14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Company or Holdings have rights to the registration of such securities under the Registration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5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4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2019 and the Company’s Quarterly Reports on Form 10-Q for the quarterly periods ended March 31, 2020, June 30, 2020 and September 30, 2020 were being prepared;</w:t>
      </w:r>
    </w:p>
    <w:p>
      <w:pPr>
        <w:spacing w:after="0" w:line="3"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evaluated for effectiveness as of the end of the periods covered by the Company’s Annual Report on Form 10-K for the year ended December 31, 2019 and the Company’s Quarterly Reports on Form 10-Q for the quarterly periods ended March 31, 2020, June 30, 2020 and September 30, 2020 pursuant to Rule 13a-15 of the Exchange Act; and (iii) are effective to ensure that the Company is able to collect, process and disclose the information required to be disclosed in reports filed with the Commission within required time periods.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9" w:lineRule="auto"/>
        <w:tabs>
          <w:tab w:leader="none" w:pos="16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evaluation of its disclosure controls and procedures as of the end of the periods covered by the Company’s Annual Report on Form 10-K for the year ended December 31, 2019 and the Company’s Quarterly Reports on Form 10-Q for the quarterly periods ended March 31, 2020, June 30, 2020 and September 30, 2020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w:t>
      </w:r>
    </w:p>
    <w:p>
      <w:pPr>
        <w:spacing w:after="0" w:line="2" w:lineRule="exact"/>
        <w:rPr>
          <w:rFonts w:ascii="Times New Roman" w:cs="Times New Roman" w:eastAsia="Times New Roman" w:hAnsi="Times New Roman"/>
          <w:sz w:val="17"/>
          <w:szCs w:val="17"/>
          <w:color w:val="auto"/>
        </w:rPr>
      </w:pPr>
    </w:p>
    <w:p>
      <w:pPr>
        <w:ind w:left="4" w:right="20" w:hanging="4"/>
        <w:spacing w:after="0" w:line="260" w:lineRule="auto"/>
        <w:tabs>
          <w:tab w:leader="none" w:pos="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controls of the Company.</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460" w:firstLine="644"/>
        <w:spacing w:after="0" w:line="256" w:lineRule="auto"/>
        <w:tabs>
          <w:tab w:leader="none" w:pos="9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8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2020, there have been no significant changes in internal controls or in other factors that could significantly affect the Company’s internal controls over financial reporting.</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8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guarantees made in the ordinary course of business.</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9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660" w:firstLine="644"/>
        <w:spacing w:after="0" w:line="252" w:lineRule="auto"/>
        <w:tabs>
          <w:tab w:leader="none" w:pos="21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Crimea, Cuba, Iran, North Korea and Syria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w:t>
      </w:r>
    </w:p>
    <w:p>
      <w:pPr>
        <w:spacing w:after="0" w:line="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any activities of or business in any Sanctioned Country.</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2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To the knowledge of the Company, there have been no breaches or unauthorized uses of or accesses to the IT Systems, and no such incidents are under internal investigation, that individually or in the aggregate, have, or would reasonably be expected to result in, a Material Adverse Effect.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380" w:hanging="724"/>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99.479% of the principal amount of the 2025 Notes, (ii) 99.537% of the principal amount of the 2028 Notes, (iii) 99.313% of the principal amount of the 2031 Notes and</w:t>
      </w:r>
    </w:p>
    <w:p>
      <w:pPr>
        <w:spacing w:after="0" w:line="1" w:lineRule="exact"/>
        <w:rPr>
          <w:sz w:val="20"/>
          <w:szCs w:val="20"/>
          <w:color w:val="auto"/>
        </w:rPr>
      </w:pPr>
    </w:p>
    <w:p>
      <w:pPr>
        <w:ind w:firstLine="8"/>
        <w:spacing w:after="0" w:line="260" w:lineRule="auto"/>
        <w:tabs>
          <w:tab w:leader="none" w:pos="3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98.123% of the principal amount of the 2050 Notes, plus, in each of the cases mentioned in the preceding clauses (i) through (iv), accrued interest, if any, from November 17, 2020 to the Closing Date, the principal amount of the Notes set forth opposite such Underwriter’s name in Schedule II hereto.</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jc w:val="both"/>
        <w:ind w:firstLine="656"/>
        <w:spacing w:after="0" w:line="255" w:lineRule="auto"/>
        <w:tabs>
          <w:tab w:leader="none" w:pos="15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724" w:hanging="724"/>
        <w:spacing w:after="0"/>
        <w:tabs>
          <w:tab w:leader="none" w:pos="7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6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4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5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left="-460" w:firstLine="644"/>
        <w:spacing w:after="0" w:line="255"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9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77" w:lineRule="auto"/>
        <w:tabs>
          <w:tab w:leader="none" w:pos="97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3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 w:firstLine="644"/>
        <w:spacing w:after="0" w:line="254" w:lineRule="auto"/>
        <w:tabs>
          <w:tab w:leader="none" w:pos="13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5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57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61"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4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1" w:lineRule="exact"/>
        <w:rPr>
          <w:rFonts w:ascii="Times New Roman" w:cs="Times New Roman" w:eastAsia="Times New Roman" w:hAnsi="Times New Roman"/>
          <w:sz w:val="18"/>
          <w:szCs w:val="18"/>
          <w:color w:val="auto"/>
        </w:rPr>
      </w:pPr>
    </w:p>
    <w:p>
      <w:pPr>
        <w:ind w:left="4" w:firstLine="644"/>
        <w:spacing w:after="0" w:line="282" w:lineRule="auto"/>
        <w:tabs>
          <w:tab w:leader="none" w:pos="14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Act with respect to the offering of the Securities (and will promptly notify the Company if any such proceeding against it is initiated during the Prospectus Delivery Period).</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firstLine="656"/>
        <w:spacing w:after="0" w:line="261" w:lineRule="auto"/>
        <w:tabs>
          <w:tab w:leader="none" w:pos="14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1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0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9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Holdings;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69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7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80" w:firstLine="652"/>
        <w:spacing w:after="0" w:line="254" w:lineRule="auto"/>
        <w:tabs>
          <w:tab w:leader="none" w:pos="16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88"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61" w:lineRule="exact"/>
        <w:rPr>
          <w:rFonts w:ascii="Times New Roman" w:cs="Times New Roman" w:eastAsia="Times New Roman" w:hAnsi="Times New Roman"/>
          <w:sz w:val="18"/>
          <w:szCs w:val="18"/>
          <w:color w:val="auto"/>
        </w:rPr>
      </w:pPr>
    </w:p>
    <w:p>
      <w:pPr>
        <w:jc w:val="both"/>
        <w:ind w:left="180" w:right="20" w:firstLine="652"/>
        <w:spacing w:after="0" w:line="261" w:lineRule="auto"/>
        <w:tabs>
          <w:tab w:leader="none" w:pos="15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644" w:firstLine="652"/>
        <w:spacing w:after="0" w:line="258" w:lineRule="auto"/>
        <w:tabs>
          <w:tab w:leader="none" w:pos="20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Times New Roman" w:cs="Times New Roman" w:eastAsia="Times New Roman" w:hAnsi="Times New Roman"/>
          <w:sz w:val="18"/>
          <w:szCs w:val="18"/>
          <w:u w:val="single" w:color="auto"/>
          <w:color w:val="auto"/>
        </w:rPr>
        <w:t>Reviewed Agreements</w:t>
      </w:r>
      <w:r>
        <w:rPr>
          <w:rFonts w:ascii="Times New Roman" w:cs="Times New Roman" w:eastAsia="Times New Roman" w:hAnsi="Times New Roman"/>
          <w:sz w:val="18"/>
          <w:szCs w:val="18"/>
          <w:color w:val="auto"/>
        </w:rPr>
        <w:t>”), or any existing applicable laws, rule or regulation (excluding any state securities or state or federal anti-fraud law, rule or regulation);</w:t>
      </w:r>
    </w:p>
    <w:p>
      <w:pPr>
        <w:spacing w:after="0" w:line="183" w:lineRule="exact"/>
        <w:rPr>
          <w:rFonts w:ascii="Times New Roman" w:cs="Times New Roman" w:eastAsia="Times New Roman" w:hAnsi="Times New Roman"/>
          <w:sz w:val="18"/>
          <w:szCs w:val="18"/>
          <w:color w:val="auto"/>
        </w:rPr>
      </w:pPr>
    </w:p>
    <w:p>
      <w:pPr>
        <w:jc w:val="both"/>
        <w:ind w:left="644" w:right="20" w:firstLine="652"/>
        <w:spacing w:after="0" w:line="261" w:lineRule="auto"/>
        <w:tabs>
          <w:tab w:leader="none" w:pos="2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79" w:lineRule="exact"/>
        <w:rPr>
          <w:rFonts w:ascii="Times New Roman" w:cs="Times New Roman" w:eastAsia="Times New Roman" w:hAnsi="Times New Roman"/>
          <w:sz w:val="18"/>
          <w:szCs w:val="18"/>
          <w:color w:val="auto"/>
        </w:rPr>
      </w:pPr>
    </w:p>
    <w:p>
      <w:pPr>
        <w:ind w:left="644" w:firstLine="652"/>
        <w:spacing w:after="0" w:line="282" w:lineRule="auto"/>
        <w:tabs>
          <w:tab w:leader="none" w:pos="23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 “investment company” or an entity “controlled” by an “investment company,” as such terms are defined in the 1940 Act.</w:t>
      </w:r>
    </w:p>
    <w:p>
      <w:pPr>
        <w:spacing w:after="0" w:line="162"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w:t>
      </w:r>
    </w:p>
    <w:p>
      <w:pPr>
        <w:spacing w:after="0" w:line="9" w:lineRule="exact"/>
        <w:rPr>
          <w:sz w:val="20"/>
          <w:szCs w:val="20"/>
          <w:color w:val="auto"/>
        </w:rPr>
      </w:pPr>
    </w:p>
    <w:p>
      <w:pPr>
        <w:jc w:val="both"/>
        <w:ind w:left="4" w:hanging="4"/>
        <w:spacing w:after="0" w:line="255" w:lineRule="auto"/>
        <w:tabs>
          <w:tab w:leader="none" w:pos="2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80" w:lineRule="exact"/>
        <w:rPr>
          <w:sz w:val="20"/>
          <w:szCs w:val="20"/>
          <w:color w:val="auto"/>
        </w:rPr>
      </w:pPr>
    </w:p>
    <w:p>
      <w:pPr>
        <w:ind w:firstLine="644"/>
        <w:spacing w:after="0" w:line="282" w:lineRule="auto"/>
        <w:tabs>
          <w:tab w:leader="none" w:pos="14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Courtney A. Tippy, General Counsel – Securities &amp; Governance, Corporate Secretary of the Company, shall have furnished to the Representatives her opinion, dated the Closing Date and addressed to the Representatives, to the effect that:</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211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21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25" w:name="page26"/>
    <w:bookmarkEnd w:id="25"/>
    <w:p>
      <w:pPr>
        <w:jc w:val="both"/>
        <w:ind w:left="180" w:firstLine="652"/>
        <w:spacing w:after="0" w:line="258" w:lineRule="auto"/>
        <w:tabs>
          <w:tab w:leader="none" w:pos="18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7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3"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8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holders of securities of the Company or Holdings that have rights to the registration of such securities under the Registration Statement;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90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Notes, the Guarantee Agreements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left="-460" w:firstLine="644"/>
        <w:spacing w:after="0" w:line="258" w:lineRule="auto"/>
        <w:tabs>
          <w:tab w:leader="none" w:pos="11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3"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0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the representations and warranties of Holdings in this Agreement are true and correct on and as of the Closing Date with the same effect as if made on the Closing Date;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6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7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jc w:val="both"/>
        <w:ind w:left="640" w:firstLine="652"/>
        <w:spacing w:after="0" w:line="266" w:lineRule="auto"/>
        <w:tabs>
          <w:tab w:leader="none" w:pos="20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or incorporated by reference in the Registration Statement, the Time of Sale Information and Final Prospectus in response to Regulation S-K, Item 301 (Selected Financial Data) is in conformity with the applicable disclosure requirements of Regulation S-K;</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20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2019, and the Company’s Quarterly Reports on Form 10-Q for the quarterly periods ended March 31, 2020, June 30, 2020 and September 30, 2020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20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inquired of certain officials of the Company who have responsibility for financial and accounting matters as to whether: (A) at November 2, 2020 there was any change in the capital stock, increase in long-term indebtedness or any decreases in consolidated net current assets or in total equity of the Company as compared with the amounts shown on the September 30, 2020 unaudited consolidated balance sheet incorporated by reference in the Registration Statement; or (B) for the period from October 1, 2020 to November 2, 2020 there were any decreases, as compared with the corresponding period in the preceding year, in consolidated operating revenues or in the total or per-share amounts of net consolidated income attributable to the Company.</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62" w:lineRule="exact"/>
        <w:rPr>
          <w:sz w:val="20"/>
          <w:szCs w:val="20"/>
          <w:color w:val="auto"/>
        </w:rPr>
      </w:pPr>
    </w:p>
    <w:p>
      <w:pPr>
        <w:jc w:val="both"/>
        <w:ind w:firstLine="644"/>
        <w:spacing w:after="0" w:line="254" w:lineRule="auto"/>
        <w:tabs>
          <w:tab w:leader="none" w:pos="13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ind w:left="660" w:firstLine="644"/>
        <w:spacing w:after="0" w:line="261" w:lineRule="auto"/>
        <w:tabs>
          <w:tab w:leader="none" w:pos="20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62" w:lineRule="exact"/>
        <w:rPr>
          <w:sz w:val="20"/>
          <w:szCs w:val="20"/>
          <w:color w:val="auto"/>
        </w:rPr>
      </w:pPr>
    </w:p>
    <w:p>
      <w:pPr>
        <w:jc w:val="both"/>
        <w:ind w:firstLine="656"/>
        <w:spacing w:after="0" w:line="256" w:lineRule="auto"/>
        <w:tabs>
          <w:tab w:leader="none" w:pos="14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2" w:lineRule="auto"/>
        <w:tabs>
          <w:tab w:leader="none" w:pos="14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2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57" w:lineRule="auto"/>
        <w:tabs>
          <w:tab w:leader="none" w:pos="22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22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no case shall any Underwriter (except as may be provided in any agreement among underwriters relating to the offering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56"/>
        <w:spacing w:after="0" w:line="253" w:lineRule="auto"/>
        <w:tabs>
          <w:tab w:leader="none" w:pos="15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4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3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58" w:lineRule="auto"/>
        <w:tabs>
          <w:tab w:leader="none" w:pos="13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72" w:lineRule="auto"/>
        <w:tabs>
          <w:tab w:leader="none" w:pos="154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communications hereunder will be in writing and effective only on receipt, and, if sent to the Representatives, will be mailed, delivered or telefaxed to: Barclays Capital Inc., 745 Seventh Avenue, New York, New York 10019, Facsimile No.: (646) 834-8133, Attention: Syndicate Registration; Mizuho Securities USA LLC, 1271 Avenue of the Americas, New York, New York 10020, Facsimile No.: (212) 205-7812, Attention: Debt Capital Markets; BofA Securities, Inc., 1540 Broadway, NY8-540-26-02, New York, New York 10036, Facsimile No.: (212) 901-7881, Attention: High Grade Transaction Management/Legal, email: dg.hg_ua_notices@bofa.com; J.P. Morgan Securities LLC, 383 Madison Avenue, New York, New York 10179, Facsimile No.: (212) 834-6081, Attention: High Grade; and Scotia Capital (USA) Inc., 250 Vesey Street, New York, New York 10281, email: Us.legal@scotiabank.com, Attention: Debt Capital Markets; or, if sent to the Company or Holdings, will be mailed, delivered or telefaxed to Waste Management, Inc., Attn: General Counsel (fax: 713-209-9710) and confirmed to it at 1001 Fannin, Houston, Texas 77002, Attention: Legal Department.</w:t>
      </w:r>
    </w:p>
    <w:p>
      <w:pPr>
        <w:spacing w:after="0" w:line="171" w:lineRule="exact"/>
        <w:rPr>
          <w:rFonts w:ascii="Times New Roman" w:cs="Times New Roman" w:eastAsia="Times New Roman" w:hAnsi="Times New Roman"/>
          <w:sz w:val="17"/>
          <w:szCs w:val="17"/>
          <w:color w:val="auto"/>
        </w:rPr>
      </w:pPr>
    </w:p>
    <w:p>
      <w:pPr>
        <w:jc w:val="both"/>
        <w:ind w:firstLine="656"/>
        <w:spacing w:after="0" w:line="266" w:lineRule="auto"/>
        <w:tabs>
          <w:tab w:leader="none" w:pos="14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380" w:hanging="724"/>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2020" w:hanging="716"/>
        <w:spacing w:after="0"/>
        <w:tabs>
          <w:tab w:leader="none" w:pos="2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w:t>
      </w:r>
    </w:p>
    <w:p>
      <w:pPr>
        <w:spacing w:after="0" w:line="162" w:lineRule="exact"/>
        <w:rPr>
          <w:sz w:val="20"/>
          <w:szCs w:val="20"/>
          <w:color w:val="auto"/>
        </w:rPr>
      </w:pPr>
    </w:p>
    <w:p>
      <w:pPr>
        <w:ind w:right="20" w:firstLine="656"/>
        <w:spacing w:after="0" w:line="282" w:lineRule="auto"/>
        <w:tabs>
          <w:tab w:leader="none" w:pos="14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764" w:hanging="764"/>
        <w:spacing w:after="0"/>
        <w:tabs>
          <w:tab w:leader="none" w:pos="7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as amended.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prospectus referred to in Section 1(a) above contained in the Registration Statement at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76"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shall mean the prospectus supplement relating to the Securities that was first filed with the Commission pursuant to Rule 424(b) after the Time of Sale, together with the Base Prospectus.</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shall mean the preliminary prospectus supplement relating to the Securities dated November 5, 2020 that was filed with the Commission pursuant to Rule 424(b) prior to the Time of Sale, together with the Base Prospectus.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above.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shall mean 5:15 P.M. New York time on November 5, 2020, the time when sales of the Securities were first made.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jc w:val="both"/>
        <w:ind w:firstLine="656"/>
        <w:spacing w:after="0" w:line="261" w:lineRule="auto"/>
        <w:tabs>
          <w:tab w:leader="none" w:pos="15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David L. Reed</w:t>
            </w:r>
          </w:p>
        </w:tc>
      </w:tr>
      <w:tr>
        <w:trPr>
          <w:trHeight w:val="191"/>
        </w:trPr>
        <w:tc>
          <w:tcPr>
            <w:tcW w:w="4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David L. Reed</w:t>
            </w:r>
          </w:p>
        </w:tc>
      </w:tr>
      <w:tr>
        <w:trPr>
          <w:trHeight w:val="191"/>
        </w:trPr>
        <w:tc>
          <w:tcPr>
            <w:tcW w:w="4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The foregoing Agreement is hereby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set forth above.</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BARCLAYS CAPITAL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 Cheng</w:t>
            </w:r>
          </w:p>
        </w:tc>
      </w:tr>
      <w:tr>
        <w:trPr>
          <w:trHeight w:val="191"/>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Cheng</w:t>
            </w:r>
          </w:p>
        </w:tc>
      </w:tr>
      <w:tr>
        <w:trPr>
          <w:trHeight w:val="234"/>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MIZUHO SECURITIES USA LLC</w:t>
            </w:r>
          </w:p>
        </w:tc>
      </w:tr>
      <w:tr>
        <w:trPr>
          <w:trHeight w:val="64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Thomas Bausano</w:t>
            </w:r>
          </w:p>
        </w:tc>
      </w:tr>
      <w:tr>
        <w:trPr>
          <w:trHeight w:val="191"/>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Bausano</w:t>
            </w:r>
          </w:p>
        </w:tc>
      </w:tr>
      <w:tr>
        <w:trPr>
          <w:trHeight w:val="234"/>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BOFA SECURITIES, INC.</w:t>
            </w:r>
          </w:p>
        </w:tc>
      </w:tr>
      <w:tr>
        <w:trPr>
          <w:trHeight w:val="64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Laurie Campbell</w:t>
            </w:r>
          </w:p>
        </w:tc>
      </w:tr>
      <w:tr>
        <w:trPr>
          <w:trHeight w:val="191"/>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Laurie Campbell</w:t>
            </w:r>
          </w:p>
        </w:tc>
      </w:tr>
      <w:tr>
        <w:trPr>
          <w:trHeight w:val="234"/>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J.P. MORGAN SECURITIES LLC</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Som Bhattacharyya</w:t>
            </w:r>
          </w:p>
        </w:tc>
      </w:tr>
      <w:tr>
        <w:trPr>
          <w:trHeight w:val="191"/>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Som Bhattacharyya</w:t>
            </w:r>
          </w:p>
        </w:tc>
      </w:tr>
      <w:tr>
        <w:trPr>
          <w:trHeight w:val="234"/>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SCOTIA CAPITAL (USA) INC.</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Elsa Wang</w:t>
            </w:r>
          </w:p>
        </w:tc>
      </w:tr>
      <w:tr>
        <w:trPr>
          <w:trHeight w:val="191"/>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Elsa Wang</w:t>
            </w:r>
          </w:p>
        </w:tc>
      </w:tr>
      <w:tr>
        <w:trPr>
          <w:trHeight w:val="234"/>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 &amp; Head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named in Schedule II to the foregoing Agreement.</w:t>
      </w:r>
    </w:p>
    <w:p>
      <w:pPr>
        <w:spacing w:after="0" w:line="205"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November 5, 2020 relating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November 5, 2020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Prospectus dated April 25, 2019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333-231027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8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3300" w:type="dxa"/>
            <w:vAlign w:val="bottom"/>
          </w:tcPr>
          <w:p>
            <w:pPr>
              <w:spacing w:after="0"/>
              <w:rPr>
                <w:sz w:val="24"/>
                <w:szCs w:val="24"/>
                <w:color w:val="auto"/>
              </w:rPr>
            </w:pPr>
          </w:p>
        </w:tc>
        <w:tc>
          <w:tcPr>
            <w:tcW w:w="48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$500,000,000 0.750% Senior Notes due 2025</w:t>
            </w:r>
          </w:p>
        </w:tc>
      </w:tr>
      <w:tr>
        <w:trPr>
          <w:trHeight w:val="216"/>
        </w:trPr>
        <w:tc>
          <w:tcPr>
            <w:tcW w:w="3300" w:type="dxa"/>
            <w:vAlign w:val="bottom"/>
          </w:tcPr>
          <w:p>
            <w:pPr>
              <w:spacing w:after="0"/>
              <w:rPr>
                <w:sz w:val="18"/>
                <w:szCs w:val="18"/>
                <w:color w:val="auto"/>
              </w:rPr>
            </w:pPr>
          </w:p>
        </w:tc>
        <w:tc>
          <w:tcPr>
            <w:tcW w:w="48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$500,000,000 1.150% Senior Notes due 2028</w:t>
            </w:r>
          </w:p>
        </w:tc>
      </w:tr>
      <w:tr>
        <w:trPr>
          <w:trHeight w:val="216"/>
        </w:trPr>
        <w:tc>
          <w:tcPr>
            <w:tcW w:w="3300" w:type="dxa"/>
            <w:vAlign w:val="bottom"/>
          </w:tcPr>
          <w:p>
            <w:pPr>
              <w:spacing w:after="0"/>
              <w:rPr>
                <w:sz w:val="18"/>
                <w:szCs w:val="18"/>
                <w:color w:val="auto"/>
              </w:rPr>
            </w:pPr>
          </w:p>
        </w:tc>
        <w:tc>
          <w:tcPr>
            <w:tcW w:w="48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$1,000,000,000 1.500% Senior Notes due 2031</w:t>
            </w:r>
          </w:p>
        </w:tc>
      </w:tr>
      <w:tr>
        <w:trPr>
          <w:trHeight w:val="238"/>
        </w:trPr>
        <w:tc>
          <w:tcPr>
            <w:tcW w:w="3300" w:type="dxa"/>
            <w:vAlign w:val="bottom"/>
          </w:tcPr>
          <w:p>
            <w:pPr>
              <w:spacing w:after="0"/>
              <w:rPr>
                <w:sz w:val="20"/>
                <w:szCs w:val="20"/>
                <w:color w:val="auto"/>
              </w:rPr>
            </w:pPr>
          </w:p>
        </w:tc>
        <w:tc>
          <w:tcPr>
            <w:tcW w:w="48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$500,000,000 2.500% Senior Notes due 2050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T+7; November 17, 2020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2025 Notes: $500,000,000</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$1,000,000,000</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2025 Notes: November 15, 2025</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2028</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2031</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November 15, 2050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2025 Notes: 0.750%</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1.150%</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1.500%</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2.500%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w w:val="98"/>
              </w:rPr>
              <w:t>2025 Notes: 0.250% due October 31, 2025</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Notes: 0.500% due October 31, 2027</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0.625% due August 15, 2030</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1.250% due May 15, 2050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2025 Notes: 99-18+ / 0.335%</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99-19 / 0.559%</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98-19 / 0.775%</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92-31 / 1.548%</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4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2025 Notes: +45 basis points</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2028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+60 basis points</w:t>
            </w:r>
          </w:p>
        </w:tc>
      </w:tr>
      <w:tr>
        <w:trPr>
          <w:trHeight w:val="216"/>
        </w:trPr>
        <w:tc>
          <w:tcPr>
            <w:tcW w:w="3300" w:type="dxa"/>
            <w:vAlign w:val="bottom"/>
          </w:tcPr>
          <w:p>
            <w:pPr>
              <w:spacing w:after="0"/>
              <w:rPr>
                <w:sz w:val="18"/>
                <w:szCs w:val="18"/>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2031</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 basis points</w:t>
            </w:r>
          </w:p>
        </w:tc>
      </w:tr>
      <w:tr>
        <w:trPr>
          <w:trHeight w:val="234"/>
        </w:trPr>
        <w:tc>
          <w:tcPr>
            <w:tcW w:w="3300" w:type="dxa"/>
            <w:vAlign w:val="bottom"/>
          </w:tcPr>
          <w:p>
            <w:pPr>
              <w:spacing w:after="0"/>
              <w:rPr>
                <w:sz w:val="20"/>
                <w:szCs w:val="20"/>
                <w:color w:val="auto"/>
              </w:rPr>
            </w:pPr>
          </w:p>
        </w:tc>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2050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basis points</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2025 Notes: 0.785%</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1.159%</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2031</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1.525%</w:t>
            </w:r>
          </w:p>
        </w:tc>
      </w:tr>
      <w:tr>
        <w:trPr>
          <w:trHeight w:val="234"/>
        </w:trPr>
        <w:tc>
          <w:tcPr>
            <w:tcW w:w="370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2050</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2.548%</w:t>
            </w:r>
          </w:p>
        </w:tc>
      </w:tr>
      <w:tr>
        <w:trPr>
          <w:trHeight w:val="4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2025 Notes: 99.829% of face amount</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99.937% of face amount</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2031</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99.763% of face amount</w:t>
            </w:r>
          </w:p>
        </w:tc>
      </w:tr>
      <w:tr>
        <w:trPr>
          <w:trHeight w:val="234"/>
        </w:trPr>
        <w:tc>
          <w:tcPr>
            <w:tcW w:w="370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2050</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98.998% of face amount</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$2.479 billion</w:t>
            </w:r>
          </w:p>
        </w:tc>
      </w:tr>
      <w:tr>
        <w:trPr>
          <w:trHeight w:val="4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2025 Notes: Semi-annually on May 15 and November 15, commencing on May 15,</w:t>
            </w:r>
          </w:p>
        </w:tc>
      </w:tr>
      <w:tr>
        <w:trPr>
          <w:trHeight w:val="234"/>
        </w:trPr>
        <w:tc>
          <w:tcPr>
            <w:tcW w:w="370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2021</w:t>
            </w:r>
          </w:p>
        </w:tc>
        <w:tc>
          <w:tcPr>
            <w:tcW w:w="578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Semi-annually on March 15 and September 15, commencing on</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March 15, 2021</w:t>
            </w:r>
          </w:p>
        </w:tc>
      </w:tr>
      <w:tr>
        <w:trPr>
          <w:trHeight w:val="414"/>
        </w:trPr>
        <w:tc>
          <w:tcPr>
            <w:tcW w:w="3700" w:type="dxa"/>
            <w:vAlign w:val="bottom"/>
          </w:tcPr>
          <w:p>
            <w:pPr>
              <w:spacing w:after="0"/>
              <w:rPr>
                <w:sz w:val="24"/>
                <w:szCs w:val="24"/>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2031</w:t>
            </w: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Semi-annually on March 15 and September 15, commencing on</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March 15, 2021</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2050 Notes: Semi-annually on May 15 and November 15, commencing on May 15,</w:t>
            </w:r>
          </w:p>
        </w:tc>
      </w:tr>
      <w:tr>
        <w:trPr>
          <w:trHeight w:val="234"/>
        </w:trPr>
        <w:tc>
          <w:tcPr>
            <w:tcW w:w="370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2021</w:t>
            </w:r>
          </w:p>
        </w:tc>
        <w:tc>
          <w:tcPr>
            <w:tcW w:w="5780" w:type="dxa"/>
            <w:vAlign w:val="bottom"/>
          </w:tcPr>
          <w:p>
            <w:pPr>
              <w:spacing w:after="0"/>
              <w:rPr>
                <w:sz w:val="20"/>
                <w:szCs w:val="20"/>
                <w:color w:val="auto"/>
              </w:rPr>
            </w:pPr>
          </w:p>
        </w:tc>
      </w:tr>
      <w:tr>
        <w:trPr>
          <w:trHeight w:val="4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The 2025 Notes are redeemable at any time prior to October 15, 2025 (one month</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prior to the maturity date), in whole or from time to time in part, at the option of the</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Company, at a make whole redemption price using the applicable Treasury rate plus</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7.5 basis points (as defined and described in further detail in the Preliminary</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Prospectus Supplement). The 2025 Notes are redeemable on or after October 15,</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month prior to the maturity date), in whole or from time to time in part, at</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the option of the Company, at par.</w:t>
            </w:r>
          </w:p>
        </w:tc>
      </w:tr>
      <w:tr>
        <w:trPr>
          <w:trHeight w:val="414"/>
        </w:trPr>
        <w:tc>
          <w:tcPr>
            <w:tcW w:w="3700" w:type="dxa"/>
            <w:vAlign w:val="bottom"/>
          </w:tcPr>
          <w:p>
            <w:pPr>
              <w:spacing w:after="0"/>
              <w:rPr>
                <w:sz w:val="24"/>
                <w:szCs w:val="24"/>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The 2028 Notes are redeemable at any time prior to January 15, 2028 (two months</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prior to the maturity date), in whole or from time to time in part, at the option of the</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Company, at a make whole redemption price using the applicable Treasury rate plus</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 basis points (as defined and described in further detail in the Preliminary</w:t>
            </w:r>
          </w:p>
        </w:tc>
      </w:tr>
      <w:tr>
        <w:trPr>
          <w:trHeight w:val="216"/>
        </w:trPr>
        <w:tc>
          <w:tcPr>
            <w:tcW w:w="3700" w:type="dxa"/>
            <w:vAlign w:val="bottom"/>
          </w:tcPr>
          <w:p>
            <w:pPr>
              <w:spacing w:after="0"/>
              <w:rPr>
                <w:sz w:val="18"/>
                <w:szCs w:val="18"/>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Prospectus Supplement). The 2028 Notes are redeemable on or after January 15,</w:t>
            </w:r>
          </w:p>
        </w:tc>
      </w:tr>
      <w:tr>
        <w:trPr>
          <w:trHeight w:val="216"/>
        </w:trPr>
        <w:tc>
          <w:tcPr>
            <w:tcW w:w="370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(two months prior to the maturity date), in whole or from time to time in part, at</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the option of the Company, at par.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5080"/>
        <w:spacing w:after="0" w:line="255" w:lineRule="auto"/>
        <w:rPr>
          <w:sz w:val="20"/>
          <w:szCs w:val="20"/>
          <w:color w:val="auto"/>
        </w:rPr>
      </w:pPr>
      <w:r>
        <w:rPr>
          <w:rFonts w:ascii="Times New Roman" w:cs="Times New Roman" w:eastAsia="Times New Roman" w:hAnsi="Times New Roman"/>
          <w:sz w:val="18"/>
          <w:szCs w:val="18"/>
          <w:color w:val="auto"/>
        </w:rPr>
        <w:t>The 2031 Notes are redeemable at any time prior to December 15, 2030 (three months prior to the maturity date), in whole or from time to time in part, at the option of the Company, at a make whole redemption price using the applicable Treasury rate plus 12.5 basis points (as defined and described in further detail in the Preliminary Prospectus Supplement). The 2031 Notes are redeemable on or after December 15, 2030 (three months prior to the maturity date), in whole or from time to time in part, at the option of the Company, at par.</w:t>
      </w:r>
    </w:p>
    <w:p>
      <w:pPr>
        <w:spacing w:after="0" w:line="189" w:lineRule="exact"/>
        <w:rPr>
          <w:sz w:val="20"/>
          <w:szCs w:val="20"/>
          <w:color w:val="auto"/>
        </w:rPr>
      </w:pPr>
    </w:p>
    <w:p>
      <w:pPr>
        <w:jc w:val="both"/>
        <w:ind w:left="5080"/>
        <w:spacing w:after="0" w:line="255" w:lineRule="auto"/>
        <w:rPr>
          <w:sz w:val="20"/>
          <w:szCs w:val="20"/>
          <w:color w:val="auto"/>
        </w:rPr>
      </w:pPr>
      <w:r>
        <w:rPr>
          <w:rFonts w:ascii="Times New Roman" w:cs="Times New Roman" w:eastAsia="Times New Roman" w:hAnsi="Times New Roman"/>
          <w:sz w:val="18"/>
          <w:szCs w:val="18"/>
          <w:color w:val="auto"/>
        </w:rPr>
        <w:t>The 2050 Notes are redeemable at any time prior to May 15, 2050 (six months prior to the maturity date), in whole or from time to time in part, at the option of the Company, at a make whole redemption price using the applicable Treasury rate plus 15 basis points (as defined and described in further detail in the Preliminary Prospectus Supplement). The 2050 Notes are redeemable on or after May 15, 2050 (six months prior to the maturity date), in whole or from time to time in part, at the option of the Company, at par.</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Notes: 94106L BL2 / US94106LBL27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94106L BN8 / US94106LBN82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94106L BP3 / US94106LBP31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2050 Notes: 94106L BM0 / US94106LBM00</w:t>
      </w:r>
    </w:p>
    <w:p>
      <w:pPr>
        <w:spacing w:after="0" w:line="200" w:lineRule="exact"/>
        <w:rPr>
          <w:sz w:val="20"/>
          <w:szCs w:val="20"/>
          <w:color w:val="auto"/>
        </w:rPr>
      </w:pPr>
    </w:p>
    <w:p>
      <w:pPr>
        <w:sectPr>
          <w:pgSz w:w="11900" w:h="16838" w:orient="portrait"/>
          <w:cols w:equalWidth="0" w:num="2">
            <w:col w:w="4360" w:space="720"/>
            <w:col w:w="6160"/>
          </w:cols>
          <w:pgMar w:left="320" w:top="90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4360" w:space="720"/>
            <w:col w:w="61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200" w:lineRule="exact"/>
        <w:rPr>
          <w:sz w:val="20"/>
          <w:szCs w:val="20"/>
          <w:color w:val="auto"/>
        </w:rPr>
      </w:pPr>
    </w:p>
    <w:p>
      <w:pPr>
        <w:sectPr>
          <w:pgSz w:w="11900" w:h="16838" w:orient="portrait"/>
          <w:cols w:equalWidth="0" w:num="2">
            <w:col w:w="4360" w:space="720"/>
            <w:col w:w="6160"/>
          </w:cols>
          <w:pgMar w:left="320" w:top="904" w:right="339" w:bottom="1440" w:gutter="0" w:footer="0" w:header="0"/>
          <w:type w:val="continuous"/>
        </w:sectPr>
      </w:pPr>
    </w:p>
    <w:p>
      <w:pPr>
        <w:spacing w:after="0" w:line="7" w:lineRule="exact"/>
        <w:rPr>
          <w:sz w:val="20"/>
          <w:szCs w:val="20"/>
          <w:color w:val="auto"/>
        </w:rPr>
      </w:pPr>
    </w:p>
    <w:p>
      <w:pPr>
        <w:jc w:val="both"/>
        <w:ind w:firstLine="8"/>
        <w:spacing w:after="0" w:line="256" w:lineRule="auto"/>
        <w:tabs>
          <w:tab w:leader="none" w:pos="1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November 17, 2020, which is the seventh business day following the date of pricing of the notes (such settlement being referred to as “T+7”).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November 5, 2020. To the extent information in this term sheet conflicts with information in the preliminary prospectus supplement, this term sheet controls.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(888) 603-5847; (2) Mizuho Securities USA LLC toll-free at (866) 271-7403; (3) BofA Securities, Inc. toll-free at (800) 294-1322; (4) J.P. Morgan Securities LLC collect at (212) 834-4533; or (5) Scotia Capital (USA) Inc. toll-free at (800) 372-3930.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Representatives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4"/>
        </w:trPr>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2028 Notes</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2031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2050 Notes</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to be</w:t>
            </w:r>
          </w:p>
        </w:tc>
      </w:tr>
      <w:tr>
        <w:trPr>
          <w:trHeight w:val="238"/>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09"/>
        </w:trPr>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18"/>
                <w:szCs w:val="18"/>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MFR Securities, Inc.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tcPr>
          <w:p>
            <w:pPr>
              <w:spacing w:after="0"/>
              <w:rPr>
                <w:sz w:val="18"/>
                <w:szCs w:val="18"/>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tcPr>
          <w:p>
            <w:pPr>
              <w:spacing w:after="0"/>
              <w:rPr>
                <w:sz w:val="18"/>
                <w:szCs w:val="18"/>
                <w:color w:val="auto"/>
              </w:rPr>
            </w:pPr>
          </w:p>
        </w:tc>
      </w:tr>
      <w:tr>
        <w:trPr>
          <w:trHeight w:val="230"/>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Stern Brothers &amp; Co.</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9"/>
                <w:szCs w:val="19"/>
                <w:color w:val="auto"/>
              </w:rPr>
            </w:pPr>
          </w:p>
        </w:tc>
      </w:tr>
      <w:tr>
        <w:trPr>
          <w:trHeight w:val="223"/>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Final Pricing Term Sheet, substantially in the form of Schedule I attached to this Agreement.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REVIEWED AGREEMENTS</w:t>
      </w:r>
    </w:p>
    <w:p>
      <w:pPr>
        <w:spacing w:after="0" w:line="229" w:lineRule="exact"/>
        <w:rPr>
          <w:sz w:val="20"/>
          <w:szCs w:val="20"/>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3.150% Senior Notes due 2027, (ii) 7.000% Senior Notes due 2028, (iii) 7.375% Senior Notes due 2029, (iv) 7.750% Senior Notes due 2032, (v) 6.125% Senior Notes due 2039, (vi) 4.60% Senior Notes due 2021, (vii) 2.900% Senior Notes due 2022, (viii) 3.500% Senior Notes due 2024, (ix) 3.125% Senior Notes due 2025, (x) 3.900% Senior Notes due 2035, (xi) 4.100% Senior Notes due 2045, (xii) 2.400% Senior Notes due 2023 and (xiii) 4.150% Senior Notes due 2049</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Guarantee Agreement by Waste Management Holdings, Inc. in favor of The Bank of New York Mellon Trust Company, N.A., as Trustee for the holders of Waste Management, Inc.’s: (i) 3.150% Senior Notes due 2027, (ii) 7.000% Senior Notes due 2028, (iii) 7.375% Senior Notes due 2029, (iv) 7.750% Senior Notes due 2032, (v) 6.125% Senior Notes due 2039, (vi) 4.600% Senior Notes due 2021, (vii) 2.900% Senior Notes due 2022, (viii) 3.500% Senior Notes due 2024, (ix) 3.125% Senior Notes due 2025, (x) 3.900% Senior Notes due 2035, (xi) 4.100% Senior Notes due 2045, (xii) 2.400% Senior Notes due 2023 and (xiii) 4.150% Senior Notes due 2049</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Billion Fifth Amended and Restated Revolving Credit Agreement dated as of November 7, 2019 by and among Waste Management, Inc., Waste Management of Canada Corporation, WM Quebec Inc. and Waste Management Holdings, Inc., certain banks party thereto, and Bank of America, N.A., as Administrative Agent, which agreement is filed as Exhibit 10.1 to Waste Management, Inc.’s Form 8-K filed on November 7, 2019</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Dealer Agreement, substantially in the form as executed with each of Mizuho Securities USA Inc., Merrill Lynch, Pierce, Fenner &amp; Smith Incorporated, and J.P. Morgan Securities LLC, as Dealer, dated August 22, 2016, which agreement is filed as Exhibit 10.10 to Waste Management, Inc.’s Annual Report on Form 10-K for the year ended December 31, 2018</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Issuing and Paying Agent Agreement between Waste Management, Inc. and Bank of America, National Association dated August 15, 2016, which agreement is filed as Exhibit 10.11 to Waste Management, Inc.’s Annual Report on Form 10-K for the year ended December 31,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52" w:hanging="652"/>
        <w:spacing w:after="0" w:line="282"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Billion Credit Agreement dated as of July 28, 2020 by and among Waste Management, Inc., Waste Management Holdings, Inc., certain banks party thereto, and Mizuho Bank, Ltd., as administrative agent</w:t>
      </w:r>
    </w:p>
    <w:p>
      <w:pPr>
        <w:spacing w:after="0" w:line="3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304"/>
        <w:spacing w:after="0" w:line="261" w:lineRule="auto"/>
        <w:tabs>
          <w:tab w:leader="none" w:pos="18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0.750% Senior Notes due 2025 (the “Notes”).</w:t>
      </w:r>
    </w:p>
    <w:p>
      <w:pPr>
        <w:spacing w:after="0" w:line="179"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“0.750% Senior Notes due 2025”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November 15, 2025.</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17, 2020 at the fixed rate of 0.750% per annum; the Interest Payment Dates on which such interest shall be payable shall be May 15 and November 15, of each year, commencing May 15, 2021,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652" w:hanging="652"/>
        <w:spacing w:after="0" w:line="254"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7.5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October 15, 2025.</w:t>
      </w:r>
    </w:p>
    <w:p>
      <w:pPr>
        <w:spacing w:after="0" w:line="188"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140" w:space="720"/>
            <w:col w:w="1380"/>
          </w:cols>
          <w:pgMar w:left="320" w:top="904" w:right="339" w:bottom="1440" w:gutter="0" w:footer="0" w:header="0"/>
          <w:type w:val="continuous"/>
        </w:sectPr>
      </w:pPr>
    </w:p>
    <w:p>
      <w:pPr>
        <w:spacing w:after="0" w:line="25" w:lineRule="exact"/>
        <w:rPr>
          <w:sz w:val="20"/>
          <w:szCs w:val="20"/>
          <w:color w:val="auto"/>
        </w:rPr>
      </w:pPr>
    </w:p>
    <w:p>
      <w:pPr>
        <w:ind w:left="8740"/>
        <w:spacing w:after="0"/>
        <w:tabs>
          <w:tab w:leader="none" w:pos="1002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7"/>
          <w:szCs w:val="17"/>
          <w:color w:val="auto"/>
        </w:rPr>
        <w:t>, which may be</w:t>
      </w:r>
    </w:p>
    <w:p>
      <w:pPr>
        <w:sectPr>
          <w:pgSz w:w="11900" w:h="16838" w:orient="portrait"/>
          <w:cols w:equalWidth="0" w:num="1">
            <w:col w:w="11240"/>
          </w:cols>
          <w:pgMar w:left="320" w:top="904" w:right="339" w:bottom="1440" w:gutter="0" w:footer="0" w:header="0"/>
          <w:type w:val="continuous"/>
        </w:sectPr>
      </w:pP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decreased by the Schedule of</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Exchanges of Definitive Security</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attached hereto</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0.750% SENIOR NOTES DUE 2025</w:t>
      </w:r>
    </w:p>
    <w:p>
      <w:pPr>
        <w:spacing w:after="0" w:line="22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CUSIP 94106L BL2</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985"/>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November 15, 2025 in such coin or currency of the United States of America as at the time of payment shall be legal tender for the payment of public and private debts, and to pay interest at an annual rate of 0.750% payable on May 15 and November 15 of each year, to the person in whose name this Security is registered at the close of business on the record date for such interest, which shall be the preceding May 1 or November 1, respectively, payable commencing May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1" w:name="page52"/>
    <w:bookmarkEnd w:id="51"/>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$500,000,000 in principal amount designated as the 0.750% Senior Notes due 2025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5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0.750% SENIOR NOTES DUE 2025</w:t>
      </w:r>
    </w:p>
    <w:p>
      <w:pPr>
        <w:spacing w:after="0" w:line="225"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0.750% Senior Notes due 2025 of the Company, in initial aggregate principal amount of $500,000,000 (the “Securities”).</w:t>
      </w:r>
    </w:p>
    <w:p>
      <w:pPr>
        <w:spacing w:after="0" w:line="187" w:lineRule="exact"/>
        <w:rPr>
          <w:sz w:val="20"/>
          <w:szCs w:val="20"/>
          <w:color w:val="auto"/>
        </w:rPr>
      </w:pPr>
    </w:p>
    <w:p>
      <w:pPr>
        <w:ind w:left="1100" w:hanging="444"/>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0.750% per annum.</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May 15 and November 15 of each year (each an “Interest Payment Date”), commencing May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0.750% per annum, in each case to the extent lawful.</w:t>
      </w:r>
    </w:p>
    <w:p>
      <w:pPr>
        <w:spacing w:after="0" w:line="185" w:lineRule="exact"/>
        <w:rPr>
          <w:sz w:val="20"/>
          <w:szCs w:val="20"/>
          <w:color w:val="auto"/>
        </w:rPr>
      </w:pPr>
    </w:p>
    <w:p>
      <w:pPr>
        <w:ind w:left="1100" w:hanging="444"/>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ind w:left="1100" w:hanging="444"/>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100" w:hanging="444"/>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87" w:lineRule="exact"/>
        <w:rPr>
          <w:sz w:val="20"/>
          <w:szCs w:val="20"/>
          <w:color w:val="auto"/>
        </w:rPr>
      </w:pPr>
    </w:p>
    <w:p>
      <w:pPr>
        <w:ind w:left="1100" w:hanging="444"/>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firstLine="667"/>
        <w:spacing w:after="0" w:line="261"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7.5 basis points; plus, in either case, accrued interest to the Redemption Date.</w:t>
      </w:r>
    </w:p>
    <w:p>
      <w:pPr>
        <w:spacing w:after="0" w:line="189"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0"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 to act as the Independent Investment Banker from time to time.</w:t>
      </w:r>
    </w:p>
    <w:p>
      <w:pPr>
        <w:spacing w:after="0" w:line="162"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 Call Date” means October 15, 2025.</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100" w:hanging="444"/>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100" w:hanging="444"/>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100" w:hanging="444"/>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100" w:hanging="444"/>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1200" w:hanging="544"/>
        <w:spacing w:after="0"/>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ind w:left="1180" w:hanging="52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200" w:hanging="544"/>
        <w:spacing w:after="0"/>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1200" w:hanging="544"/>
        <w:spacing w:after="0"/>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200" w:hanging="544"/>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200" w:hanging="544"/>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4" w:lineRule="exact"/>
        <w:rPr>
          <w:sz w:val="20"/>
          <w:szCs w:val="20"/>
          <w:color w:val="auto"/>
        </w:rPr>
      </w:pPr>
    </w:p>
    <w:p>
      <w:pPr>
        <w:ind w:left="1200" w:hanging="544"/>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ind w:left="1200" w:hanging="544"/>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200" w:hanging="544"/>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220" w:hanging="545"/>
        <w:spacing w:after="0"/>
        <w:tabs>
          <w:tab w:leader="none" w:pos="1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8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1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Custodian</w:t>
            </w:r>
          </w:p>
        </w:tc>
      </w:tr>
      <w:tr>
        <w:trPr>
          <w:trHeight w:val="884"/>
        </w:trPr>
        <w:tc>
          <w:tcPr>
            <w:tcW w:w="2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304"/>
        <w:spacing w:after="0" w:line="261" w:lineRule="auto"/>
        <w:tabs>
          <w:tab w:leader="none" w:pos="18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1.150% Senior Notes due 2028 (the “Notes”).</w:t>
      </w:r>
    </w:p>
    <w:p>
      <w:pPr>
        <w:spacing w:after="0" w:line="179"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“1.150% Senior Notes due 2028”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2028.</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17, 2020 at the fixed rate of 1.150% per annum; the Interest Payment Dates on which such interest shall be payable shall be March 15 and September 15, of each year, commencing March 15, 2021,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652" w:hanging="652"/>
        <w:spacing w:after="0" w:line="261" w:lineRule="auto"/>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72" w:lineRule="auto"/>
        <w:tabs>
          <w:tab w:leader="none" w:pos="65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2028.</w:t>
      </w:r>
    </w:p>
    <w:p>
      <w:pPr>
        <w:spacing w:after="0" w:line="171" w:lineRule="exact"/>
        <w:rPr>
          <w:rFonts w:ascii="Times New Roman" w:cs="Times New Roman" w:eastAsia="Times New Roman" w:hAnsi="Times New Roman"/>
          <w:sz w:val="17"/>
          <w:szCs w:val="17"/>
          <w:color w:val="auto"/>
        </w:rPr>
      </w:pPr>
    </w:p>
    <w:p>
      <w:pPr>
        <w:ind w:left="652" w:hanging="652"/>
        <w:spacing w:after="0" w:line="282" w:lineRule="auto"/>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ind w:right="40"/>
        <w:spacing w:after="0"/>
        <w:tabs>
          <w:tab w:leader="none" w:pos="6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which may be decreased</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by the Schedule of</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Exchanges of Definitive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p>
      <w:pPr>
        <w:spacing w:after="0" w:line="200" w:lineRule="exact"/>
        <w:rPr>
          <w:sz w:val="20"/>
          <w:szCs w:val="20"/>
          <w:color w:val="auto"/>
        </w:rPr>
      </w:pPr>
    </w:p>
    <w:p>
      <w:pPr>
        <w:sectPr>
          <w:pgSz w:w="11900" w:h="16838" w:orient="portrait"/>
          <w:cols w:equalWidth="0" w:num="2">
            <w:col w:w="8720" w:space="720"/>
            <w:col w:w="1800"/>
          </w:cols>
          <w:pgMar w:left="320" w:top="904" w:right="339" w:bottom="1440" w:gutter="0" w:footer="0" w:header="0"/>
          <w:type w:val="continuous"/>
        </w:sectPr>
      </w:pPr>
    </w:p>
    <w:p>
      <w:pPr>
        <w:spacing w:after="0" w:line="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1.150% SENIOR NOTES DUE 2028</w:t>
      </w:r>
    </w:p>
    <w:p>
      <w:pPr>
        <w:spacing w:after="0" w:line="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7"/>
          <w:szCs w:val="17"/>
          <w:color w:val="auto"/>
        </w:rPr>
        <w:t>CUSIP 94106L BN8</w:t>
      </w:r>
    </w:p>
    <w:p>
      <w:pPr>
        <w:spacing w:after="0" w:line="218"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1000"/>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15, 2028 in such coin or currency of the United States of America as at the time of payment shall be legal tender for the payment of public and private debts, and to pay interest at an annual rate of 1.150% payable on March 15 and September 15 of each year, to the person in whose name this Security is registered at the close of business on the record date for such interest, which shall be the preceding March 1 or September 1, respectively, payable commencing March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8" w:name="page69"/>
    <w:bookmarkEnd w:id="68"/>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$500,000,000 in principal amount designated as the 1.150% Senior Notes due 2028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7"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1.150% SENIOR NOTES DUE 2028</w:t>
      </w:r>
    </w:p>
    <w:p>
      <w:pPr>
        <w:spacing w:after="0" w:line="225"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1.150% Senior Notes due 2028 of the Company, in initial aggregate principal amount of $500,000,000 (the “Securities”).</w:t>
      </w:r>
    </w:p>
    <w:p>
      <w:pPr>
        <w:spacing w:after="0" w:line="187" w:lineRule="exact"/>
        <w:rPr>
          <w:sz w:val="20"/>
          <w:szCs w:val="20"/>
          <w:color w:val="auto"/>
        </w:rPr>
      </w:pPr>
    </w:p>
    <w:p>
      <w:pPr>
        <w:ind w:left="1200" w:hanging="544"/>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1.150% per annum.</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1.150% per annum, in each case to the extent lawful.</w:t>
      </w:r>
    </w:p>
    <w:p>
      <w:pPr>
        <w:spacing w:after="0" w:line="185" w:lineRule="exact"/>
        <w:rPr>
          <w:sz w:val="20"/>
          <w:szCs w:val="20"/>
          <w:color w:val="auto"/>
        </w:rPr>
      </w:pPr>
    </w:p>
    <w:p>
      <w:pPr>
        <w:ind w:left="1200" w:hanging="544"/>
        <w:spacing w:after="0"/>
        <w:tabs>
          <w:tab w:leader="none" w:pos="12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1200" w:hanging="544"/>
        <w:spacing w:after="0"/>
        <w:tabs>
          <w:tab w:leader="none" w:pos="12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200" w:hanging="544"/>
        <w:spacing w:after="0"/>
        <w:tabs>
          <w:tab w:leader="none" w:pos="12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87" w:lineRule="exact"/>
        <w:rPr>
          <w:sz w:val="20"/>
          <w:szCs w:val="20"/>
          <w:color w:val="auto"/>
        </w:rPr>
      </w:pPr>
    </w:p>
    <w:p>
      <w:pPr>
        <w:ind w:left="1200" w:hanging="544"/>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firstLine="667"/>
        <w:spacing w:after="0" w:line="261"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10 basis points; plus, in either case, accrued interest to the Redemption Date.</w:t>
      </w:r>
    </w:p>
    <w:p>
      <w:pPr>
        <w:spacing w:after="0" w:line="189"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0"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 to act as the Independent Investment Banker from time to time.</w:t>
      </w:r>
    </w:p>
    <w:p>
      <w:pPr>
        <w:spacing w:after="0" w:line="162"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 Call Date” means January 15, 2028.</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200" w:hanging="544"/>
        <w:spacing w:after="0"/>
        <w:tabs>
          <w:tab w:leader="none" w:pos="12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200" w:hanging="544"/>
        <w:spacing w:after="0"/>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200" w:hanging="544"/>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200" w:hanging="544"/>
        <w:spacing w:after="0"/>
        <w:tabs>
          <w:tab w:leader="none" w:pos="12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1200" w:hanging="544"/>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ind w:left="1180" w:hanging="524"/>
        <w:spacing w:after="0"/>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200" w:hanging="544"/>
        <w:spacing w:after="0"/>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200" w:hanging="544"/>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200" w:hanging="544"/>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4" w:lineRule="exact"/>
        <w:rPr>
          <w:sz w:val="20"/>
          <w:szCs w:val="20"/>
          <w:color w:val="auto"/>
        </w:rPr>
      </w:pPr>
    </w:p>
    <w:p>
      <w:pPr>
        <w:ind w:left="1200" w:hanging="544"/>
        <w:spacing w:after="0"/>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ind w:left="1200" w:hanging="544"/>
        <w:spacing w:after="0"/>
        <w:tabs>
          <w:tab w:leader="none" w:pos="1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200" w:hanging="544"/>
        <w:spacing w:after="0"/>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220" w:hanging="545"/>
        <w:spacing w:after="0"/>
        <w:tabs>
          <w:tab w:leader="none" w:pos="1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c>
          <w:tcPr>
            <w:tcW w:w="100" w:type="dxa"/>
            <w:vAlign w:val="bottom"/>
          </w:tcPr>
          <w:p>
            <w:pPr>
              <w:spacing w:after="0"/>
              <w:rPr>
                <w:sz w:val="18"/>
                <w:szCs w:val="18"/>
                <w:color w:val="auto"/>
              </w:rPr>
            </w:pPr>
          </w:p>
        </w:tc>
      </w:tr>
      <w:tr>
        <w:trPr>
          <w:trHeight w:val="238"/>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100" w:type="dxa"/>
            <w:vAlign w:val="bottom"/>
          </w:tcPr>
          <w:p>
            <w:pPr>
              <w:spacing w:after="0"/>
              <w:rPr>
                <w:sz w:val="20"/>
                <w:szCs w:val="20"/>
                <w:color w:val="auto"/>
              </w:rPr>
            </w:pPr>
          </w:p>
        </w:tc>
      </w:tr>
      <w:tr>
        <w:trPr>
          <w:trHeight w:val="642"/>
        </w:trPr>
        <w:tc>
          <w:tcPr>
            <w:tcW w:w="21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304"/>
        <w:spacing w:after="0" w:line="261" w:lineRule="auto"/>
        <w:tabs>
          <w:tab w:leader="none" w:pos="183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$1,000,000,000 aggregate principal amount of 1.500% Senior Notes due 2031 (the “Notes”).</w:t>
      </w:r>
    </w:p>
    <w:p>
      <w:pPr>
        <w:spacing w:after="0" w:line="179"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“1.500% Senior Notes due 2031”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15, 2031.</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17, 2020 at the fixed rate of 1.500% per annum; the Interest Payment Dates on which such interest shall be payable shall be March 15 and September 15, of each year, commencing March 15, 2021,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left="652" w:hanging="652"/>
        <w:spacing w:after="0" w:line="254"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15, 2030.</w:t>
      </w:r>
    </w:p>
    <w:p>
      <w:pPr>
        <w:spacing w:after="0" w:line="188"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140" w:space="720"/>
            <w:col w:w="1380"/>
          </w:cols>
          <w:pgMar w:left="320" w:top="904" w:right="339" w:bottom="1440" w:gutter="0" w:footer="0" w:header="0"/>
          <w:type w:val="continuous"/>
        </w:sectPr>
      </w:pPr>
    </w:p>
    <w:p>
      <w:pPr>
        <w:spacing w:after="0" w:line="25" w:lineRule="exact"/>
        <w:rPr>
          <w:sz w:val="20"/>
          <w:szCs w:val="20"/>
          <w:color w:val="auto"/>
        </w:rPr>
      </w:pPr>
    </w:p>
    <w:p>
      <w:pPr>
        <w:ind w:left="8740"/>
        <w:spacing w:after="0"/>
        <w:tabs>
          <w:tab w:leader="none" w:pos="1002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7"/>
          <w:szCs w:val="17"/>
          <w:color w:val="auto"/>
        </w:rPr>
        <w:t>, which may be</w:t>
      </w:r>
    </w:p>
    <w:p>
      <w:pPr>
        <w:sectPr>
          <w:pgSz w:w="11900" w:h="16838" w:orient="portrait"/>
          <w:cols w:equalWidth="0" w:num="1">
            <w:col w:w="11240"/>
          </w:cols>
          <w:pgMar w:left="320" w:top="904" w:right="339" w:bottom="1440" w:gutter="0" w:footer="0" w:header="0"/>
          <w:type w:val="continuous"/>
        </w:sectPr>
      </w:pP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decreased by the Schedule of</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Exchanges of Definitive Security</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attached hereto</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1.500% SENIOR NOTES DUE 2031</w:t>
      </w:r>
    </w:p>
    <w:p>
      <w:pPr>
        <w:spacing w:after="0" w:line="22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CUSIP 94106L BP3</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1105"/>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15, 2031 in such coin or currency of the United States of America as at the time of payment shall be legal tender for the payment of public and private debts, and to pay interest at an annual rate of 1.500% payable on March 15 and September 15 of each year, to the person in whose name this Security is registered at the close of business on the record date for such interest, which shall be the preceding March 1 or September 1, respectively, payable commencing March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5" w:name="page86"/>
    <w:bookmarkEnd w:id="85"/>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$1,000,000,000 in principal amount designated as the 1.500% Senior Notes due 2031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1.500% SENIOR NOTES DUE 2031</w:t>
      </w:r>
    </w:p>
    <w:p>
      <w:pPr>
        <w:spacing w:after="0" w:line="225"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1.500% Senior Notes due 2031 of the Company, in initial aggregate principal amount of $1,000,000,000 (the “Securities”).</w:t>
      </w:r>
    </w:p>
    <w:p>
      <w:pPr>
        <w:spacing w:after="0" w:line="187" w:lineRule="exact"/>
        <w:rPr>
          <w:sz w:val="20"/>
          <w:szCs w:val="20"/>
          <w:color w:val="auto"/>
        </w:rPr>
      </w:pPr>
    </w:p>
    <w:p>
      <w:pPr>
        <w:ind w:left="1100" w:hanging="444"/>
        <w:spacing w:after="0"/>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1.500% per annum.</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15 and September 15 of each year (each an “Interest Payment Date”), commencing March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1.500% per annum, in each case to the extent lawful.</w:t>
      </w:r>
    </w:p>
    <w:p>
      <w:pPr>
        <w:spacing w:after="0" w:line="185" w:lineRule="exact"/>
        <w:rPr>
          <w:sz w:val="20"/>
          <w:szCs w:val="20"/>
          <w:color w:val="auto"/>
        </w:rPr>
      </w:pPr>
    </w:p>
    <w:p>
      <w:pPr>
        <w:ind w:left="1100" w:hanging="444"/>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8" w:name="page89"/>
    <w:bookmarkEnd w:id="88"/>
    <w:p>
      <w:pPr>
        <w:ind w:left="1100" w:hanging="444"/>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100" w:hanging="444"/>
        <w:spacing w:after="0"/>
        <w:tabs>
          <w:tab w:leader="none" w:pos="11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87" w:lineRule="exact"/>
        <w:rPr>
          <w:sz w:val="20"/>
          <w:szCs w:val="20"/>
          <w:color w:val="auto"/>
        </w:rPr>
      </w:pPr>
    </w:p>
    <w:p>
      <w:pPr>
        <w:ind w:left="1100" w:hanging="444"/>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firstLine="667"/>
        <w:spacing w:after="0" w:line="261"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89"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0"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 to act as the Independent Investment Banker from time to time.</w:t>
      </w:r>
    </w:p>
    <w:p>
      <w:pPr>
        <w:spacing w:after="0" w:line="162"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 Call Date” means December 15, 2030.</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100" w:hanging="444"/>
        <w:spacing w:after="0"/>
        <w:tabs>
          <w:tab w:leader="none" w:pos="1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100" w:hanging="444"/>
        <w:spacing w:after="0"/>
        <w:tabs>
          <w:tab w:leader="none" w:pos="11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100" w:hanging="444"/>
        <w:spacing w:after="0"/>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100" w:hanging="444"/>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1200" w:hanging="544"/>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ind w:left="1180" w:hanging="524"/>
        <w:spacing w:after="0"/>
        <w:tabs>
          <w:tab w:leader="none" w:pos="1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200" w:hanging="544"/>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1200" w:hanging="544"/>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200" w:hanging="544"/>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200" w:hanging="544"/>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4" w:lineRule="exact"/>
        <w:rPr>
          <w:sz w:val="20"/>
          <w:szCs w:val="20"/>
          <w:color w:val="auto"/>
        </w:rPr>
      </w:pPr>
    </w:p>
    <w:p>
      <w:pPr>
        <w:ind w:left="1200" w:hanging="544"/>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ind w:left="1200" w:hanging="544"/>
        <w:spacing w:after="0"/>
        <w:tabs>
          <w:tab w:leader="none" w:pos="12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200" w:hanging="544"/>
        <w:spacing w:after="0"/>
        <w:tabs>
          <w:tab w:leader="none" w:pos="12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220" w:hanging="545"/>
        <w:spacing w:after="0"/>
        <w:tabs>
          <w:tab w:leader="none" w:pos="12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8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1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 Principal</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Custodian</w:t>
            </w:r>
          </w:p>
        </w:tc>
      </w:tr>
      <w:tr>
        <w:trPr>
          <w:trHeight w:val="885"/>
        </w:trPr>
        <w:tc>
          <w:tcPr>
            <w:tcW w:w="2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304"/>
        <w:spacing w:after="0" w:line="261" w:lineRule="auto"/>
        <w:tabs>
          <w:tab w:leader="none" w:pos="19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2020 (the “Order”) for the authentication and delivery by the Trustee of $500,000,000 aggregate principal amount of 2.500% Senior Notes due 2050 (the “Notes”).</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June 23, 2020 and the Sole Director of Waste Management Holdings, Inc. on October 28, 2020,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“2.500% Senior Notes due 2050”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November 15, 2050.</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November 17, 2020 at the fixed rate of 2.500% per annum; the Interest Payment Dates on which such interest shall be payable shall be May 15 and November 15, of each year, commencing May 15, 2021,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left="652" w:hanging="652"/>
        <w:spacing w:after="0" w:line="272" w:lineRule="auto"/>
        <w:tabs>
          <w:tab w:leader="none" w:pos="65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May 15, 2050.</w:t>
      </w:r>
    </w:p>
    <w:p>
      <w:pPr>
        <w:spacing w:after="0" w:line="171" w:lineRule="exact"/>
        <w:rPr>
          <w:rFonts w:ascii="Times New Roman" w:cs="Times New Roman" w:eastAsia="Times New Roman" w:hAnsi="Times New Roman"/>
          <w:sz w:val="17"/>
          <w:szCs w:val="17"/>
          <w:color w:val="auto"/>
        </w:rPr>
      </w:pPr>
    </w:p>
    <w:p>
      <w:pPr>
        <w:ind w:left="652" w:hanging="652"/>
        <w:spacing w:after="0" w:line="28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7" w:lineRule="exact"/>
        <w:rPr>
          <w:sz w:val="20"/>
          <w:szCs w:val="20"/>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8"/>
          <w:szCs w:val="18"/>
          <w:color w:val="auto"/>
        </w:rPr>
        <w:t>U.S.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which may be decreased</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Exchanges of Definitive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p>
      <w:pPr>
        <w:spacing w:after="0" w:line="200" w:lineRule="exact"/>
        <w:rPr>
          <w:sz w:val="20"/>
          <w:szCs w:val="20"/>
          <w:color w:val="auto"/>
        </w:rPr>
      </w:pPr>
    </w:p>
    <w:p>
      <w:pPr>
        <w:sectPr>
          <w:pgSz w:w="11900" w:h="16838" w:orient="portrait"/>
          <w:cols w:equalWidth="0" w:num="3">
            <w:col w:w="3720" w:space="720"/>
            <w:col w:w="4320" w:space="720"/>
            <w:col w:w="1760"/>
          </w:cols>
          <w:pgMar w:left="320" w:top="904" w:right="3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2.500% SENIOR NOTES DUE 2050</w:t>
      </w:r>
    </w:p>
    <w:p>
      <w:pPr>
        <w:spacing w:after="0" w:line="27"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7"/>
          <w:szCs w:val="17"/>
          <w:color w:val="auto"/>
        </w:rPr>
        <w:t>CUSIP 94106L BM0</w:t>
      </w:r>
    </w:p>
    <w:p>
      <w:pPr>
        <w:spacing w:after="0" w:line="218"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jc w:val="both"/>
        <w:spacing w:after="0" w:line="253" w:lineRule="auto"/>
        <w:rPr>
          <w:sz w:val="20"/>
          <w:szCs w:val="20"/>
          <w:color w:val="auto"/>
        </w:rPr>
      </w:pPr>
      <w:r>
        <w:rPr>
          <w:rFonts w:ascii="Times New Roman" w:cs="Times New Roman" w:eastAsia="Times New Roman" w:hAnsi="Times New Roman"/>
          <w:sz w:val="18"/>
          <w:szCs w:val="18"/>
          <w:color w:val="auto"/>
        </w:rPr>
        <w:t>of Million ($ ) U.S. dollars, or such lesser principal sum as is shown on the attached Schedule of Exchanges of Definitive Security, on November 15, 2050 in such coin or currency of the United States of America as at the time of payment shall be legal tender for the payment of public and private debts, and to pay interest at an annual rate of 2.500% payable on May 15 and November 15 of each year, to the person in whose name this Security is registered at the close of business on the record date for such interest, which shall be the preceding May 1 or November 1, respectively, payable commencing May 15, 2021, with interest accruing from November 17, 2020,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2" w:name="page103"/>
    <w:bookmarkEnd w:id="102"/>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$500,000,000 in principal amount designated as the 2.500% Senior Notes due 2050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76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 SENIOR NOTES DUE 2050</w:t>
      </w:r>
    </w:p>
    <w:p>
      <w:pPr>
        <w:spacing w:after="0" w:line="225"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2.500% Senior Notes due 2050 of the Company, in initial aggregate principal amount of $500,000,000 (the “Securities”).</w:t>
      </w:r>
    </w:p>
    <w:p>
      <w:pPr>
        <w:spacing w:after="0" w:line="187" w:lineRule="exact"/>
        <w:rPr>
          <w:sz w:val="20"/>
          <w:szCs w:val="20"/>
          <w:color w:val="auto"/>
        </w:rPr>
      </w:pPr>
    </w:p>
    <w:p>
      <w:pPr>
        <w:ind w:left="1240" w:hanging="584"/>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2.500% per annum.</w:t>
      </w:r>
    </w:p>
    <w:p>
      <w:pPr>
        <w:spacing w:after="0" w:line="225"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May 15 and November 15 of each year (each an “Interest Payment Date”), commencing May 15, 2021. Interest on the Securities will accrue from the most recent date to which interest has been paid or, if no interest has been paid on the Securities, from November 17, 2020.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2.500% per annum, in each case to the extent lawful.</w:t>
      </w:r>
    </w:p>
    <w:p>
      <w:pPr>
        <w:spacing w:after="0" w:line="185" w:lineRule="exact"/>
        <w:rPr>
          <w:sz w:val="20"/>
          <w:szCs w:val="20"/>
          <w:color w:val="auto"/>
        </w:rPr>
      </w:pPr>
    </w:p>
    <w:p>
      <w:pPr>
        <w:ind w:left="1240" w:hanging="584"/>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1240" w:hanging="584"/>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1240" w:hanging="584"/>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October 28, 2020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87" w:lineRule="exact"/>
        <w:rPr>
          <w:sz w:val="20"/>
          <w:szCs w:val="20"/>
          <w:color w:val="auto"/>
        </w:rPr>
      </w:pPr>
    </w:p>
    <w:p>
      <w:pPr>
        <w:ind w:left="1240" w:hanging="584"/>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firstLine="667"/>
        <w:spacing w:after="0" w:line="261"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6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89"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0"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 to act as the Independent Investment Banker from time to time.</w:t>
      </w:r>
    </w:p>
    <w:p>
      <w:pPr>
        <w:spacing w:after="0" w:line="162"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 Call Date” means May 15, 2050.</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1240" w:hanging="584"/>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67"/>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8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240" w:hanging="584"/>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1240" w:hanging="584"/>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1240" w:hanging="584"/>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67"/>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1240" w:hanging="584"/>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67"/>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1" w:name="page112"/>
    <w:bookmarkEnd w:id="111"/>
    <w:p>
      <w:pPr>
        <w:ind w:left="1240" w:hanging="584"/>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1240" w:hanging="584"/>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1240" w:hanging="584"/>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1240" w:hanging="584"/>
        <w:spacing w:after="0"/>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1240" w:hanging="584"/>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67"/>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4" w:lineRule="exact"/>
        <w:rPr>
          <w:sz w:val="20"/>
          <w:szCs w:val="20"/>
          <w:color w:val="auto"/>
        </w:rPr>
      </w:pPr>
    </w:p>
    <w:p>
      <w:pPr>
        <w:ind w:left="1240" w:hanging="584"/>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ind w:left="1240" w:hanging="584"/>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1240" w:hanging="584"/>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November 17, 2020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1260" w:hanging="585"/>
        <w:spacing w:after="0"/>
        <w:tabs>
          <w:tab w:leader="none" w:pos="1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ind w:left="94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8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3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668"/>
        </w:trPr>
        <w:tc>
          <w:tcPr>
            <w:tcW w:w="22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4.10</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0.750% Senior Notes due 2025</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15" w:name="page116"/>
    <w:bookmarkEnd w:id="1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0.750% Senior Notes due 2025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1304"/>
        <w:spacing w:after="0" w:line="256" w:lineRule="auto"/>
        <w:tabs>
          <w:tab w:leader="none" w:pos="19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2020" w:hanging="716"/>
        <w:spacing w:after="0"/>
        <w:tabs>
          <w:tab w:leader="none" w:pos="2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225" w:lineRule="exact"/>
        <w:rPr>
          <w:rFonts w:ascii="Times New Roman" w:cs="Times New Roman" w:eastAsia="Times New Roman" w:hAnsi="Times New Roman"/>
          <w:sz w:val="18"/>
          <w:szCs w:val="18"/>
          <w:color w:val="auto"/>
        </w:rPr>
      </w:pPr>
    </w:p>
    <w:p>
      <w:pPr>
        <w:ind w:left="340" w:firstLine="964"/>
        <w:spacing w:after="0" w:line="282" w:lineRule="auto"/>
        <w:tabs>
          <w:tab w:leader="none" w:pos="21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161" w:lineRule="exact"/>
        <w:rPr>
          <w:rFonts w:ascii="Times New Roman" w:cs="Times New Roman" w:eastAsia="Times New Roman" w:hAnsi="Times New Roman"/>
          <w:sz w:val="18"/>
          <w:szCs w:val="18"/>
          <w:color w:val="auto"/>
        </w:rPr>
      </w:pPr>
    </w:p>
    <w:p>
      <w:pPr>
        <w:ind w:left="340" w:firstLine="964"/>
        <w:spacing w:after="0" w:line="282" w:lineRule="auto"/>
        <w:tabs>
          <w:tab w:leader="none" w:pos="21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1960" w:hanging="656"/>
        <w:spacing w:after="0"/>
        <w:tabs>
          <w:tab w:leader="none" w:pos="1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Waiver; Subrogation</w:t>
      </w:r>
    </w:p>
    <w:p>
      <w:pPr>
        <w:spacing w:after="0" w:line="225" w:lineRule="exact"/>
        <w:rPr>
          <w:sz w:val="20"/>
          <w:szCs w:val="20"/>
          <w:color w:val="auto"/>
        </w:rPr>
      </w:pPr>
    </w:p>
    <w:p>
      <w:pPr>
        <w:jc w:val="both"/>
        <w:ind w:right="20" w:firstLine="1304"/>
        <w:spacing w:after="0" w:line="266" w:lineRule="auto"/>
        <w:tabs>
          <w:tab w:leader="none" w:pos="21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w:t>
      </w:r>
    </w:p>
    <w:p>
      <w:pPr>
        <w:spacing w:after="0" w:line="1" w:lineRule="exact"/>
        <w:rPr>
          <w:sz w:val="20"/>
          <w:szCs w:val="20"/>
          <w:color w:val="auto"/>
        </w:rPr>
      </w:pPr>
    </w:p>
    <w:p>
      <w:pPr>
        <w:jc w:val="both"/>
        <w:ind w:firstLine="8"/>
        <w:spacing w:after="0" w:line="252" w:lineRule="auto"/>
        <w:tabs>
          <w:tab w:leader="none" w:pos="29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4.11</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1.150% Senior Notes due 2028</w:t>
      </w:r>
    </w:p>
    <w:p>
      <w:pPr>
        <w:spacing w:after="0" w:line="2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20" w:name="page121"/>
    <w:bookmarkEnd w:id="1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1.150% Senior Notes due 2028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1304"/>
        <w:spacing w:after="0" w:line="256" w:lineRule="auto"/>
        <w:tabs>
          <w:tab w:leader="none" w:pos="18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8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880" w:hanging="576"/>
        <w:spacing w:after="0"/>
        <w:tabs>
          <w:tab w:leader="none" w:pos="18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225" w:lineRule="exact"/>
        <w:rPr>
          <w:rFonts w:ascii="Times New Roman" w:cs="Times New Roman" w:eastAsia="Times New Roman" w:hAnsi="Times New Roman"/>
          <w:sz w:val="18"/>
          <w:szCs w:val="18"/>
          <w:color w:val="auto"/>
        </w:rPr>
      </w:pPr>
    </w:p>
    <w:p>
      <w:pPr>
        <w:ind w:left="340" w:firstLine="964"/>
        <w:spacing w:after="0" w:line="282" w:lineRule="auto"/>
        <w:tabs>
          <w:tab w:leader="none" w:pos="20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161" w:lineRule="exact"/>
        <w:rPr>
          <w:rFonts w:ascii="Times New Roman" w:cs="Times New Roman" w:eastAsia="Times New Roman" w:hAnsi="Times New Roman"/>
          <w:sz w:val="18"/>
          <w:szCs w:val="18"/>
          <w:color w:val="auto"/>
        </w:rPr>
      </w:pPr>
    </w:p>
    <w:p>
      <w:pPr>
        <w:ind w:left="340" w:right="20" w:firstLine="964"/>
        <w:spacing w:after="0" w:line="282" w:lineRule="auto"/>
        <w:tabs>
          <w:tab w:leader="none" w:pos="19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Waiver; Subrogation</w:t>
      </w:r>
    </w:p>
    <w:p>
      <w:pPr>
        <w:spacing w:after="0" w:line="225" w:lineRule="exact"/>
        <w:rPr>
          <w:sz w:val="20"/>
          <w:szCs w:val="20"/>
          <w:color w:val="auto"/>
        </w:rPr>
      </w:pPr>
    </w:p>
    <w:p>
      <w:pPr>
        <w:jc w:val="both"/>
        <w:ind w:firstLine="1304"/>
        <w:spacing w:after="0" w:line="266" w:lineRule="auto"/>
        <w:tabs>
          <w:tab w:leader="none" w:pos="18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w:t>
      </w:r>
    </w:p>
    <w:p>
      <w:pPr>
        <w:spacing w:after="0" w:line="1" w:lineRule="exact"/>
        <w:rPr>
          <w:sz w:val="20"/>
          <w:szCs w:val="20"/>
          <w:color w:val="auto"/>
        </w:rPr>
      </w:pPr>
    </w:p>
    <w:p>
      <w:pPr>
        <w:jc w:val="both"/>
        <w:ind w:firstLine="8"/>
        <w:spacing w:after="0" w:line="252" w:lineRule="auto"/>
        <w:tabs>
          <w:tab w:leader="none" w:pos="29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$1,000,000,000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1.500% Senior Notes due 2031</w:t>
      </w:r>
    </w:p>
    <w:p>
      <w:pPr>
        <w:spacing w:after="0" w:line="2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25" w:name="page126"/>
    <w:bookmarkEnd w:id="1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1.500% Senior Notes due 2031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1304"/>
        <w:spacing w:after="0" w:line="256" w:lineRule="auto"/>
        <w:tabs>
          <w:tab w:leader="none" w:pos="208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2300" w:hanging="996"/>
        <w:spacing w:after="0"/>
        <w:tabs>
          <w:tab w:leader="none" w:pos="2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left="340" w:right="20" w:firstLine="964"/>
        <w:spacing w:after="0" w:line="282" w:lineRule="auto"/>
        <w:tabs>
          <w:tab w:leader="none" w:pos="22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161" w:lineRule="exact"/>
        <w:rPr>
          <w:rFonts w:ascii="Times New Roman" w:cs="Times New Roman" w:eastAsia="Times New Roman" w:hAnsi="Times New Roman"/>
          <w:sz w:val="18"/>
          <w:szCs w:val="18"/>
          <w:color w:val="auto"/>
        </w:rPr>
      </w:pPr>
    </w:p>
    <w:p>
      <w:pPr>
        <w:ind w:left="340" w:firstLine="964"/>
        <w:spacing w:after="0" w:line="282" w:lineRule="auto"/>
        <w:tabs>
          <w:tab w:leader="none" w:pos="221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2100" w:hanging="796"/>
        <w:spacing w:after="0"/>
        <w:tabs>
          <w:tab w:leader="none" w:pos="21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225" w:lineRule="exact"/>
        <w:rPr>
          <w:sz w:val="20"/>
          <w:szCs w:val="20"/>
          <w:color w:val="auto"/>
        </w:rPr>
      </w:pPr>
    </w:p>
    <w:p>
      <w:pPr>
        <w:jc w:val="both"/>
        <w:ind w:firstLine="1304"/>
        <w:spacing w:after="0" w:line="266" w:lineRule="auto"/>
        <w:tabs>
          <w:tab w:leader="none" w:pos="218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4.13</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2.500% Senior Notes due 2050</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November 17, 2020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2.500% Senior Notes due 2050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1304"/>
        <w:spacing w:after="0" w:line="256" w:lineRule="auto"/>
        <w:tabs>
          <w:tab w:leader="none" w:pos="177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3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740" w:hanging="436"/>
        <w:spacing w:after="0"/>
        <w:tabs>
          <w:tab w:leader="none" w:pos="17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225" w:lineRule="exact"/>
        <w:rPr>
          <w:rFonts w:ascii="Times New Roman" w:cs="Times New Roman" w:eastAsia="Times New Roman" w:hAnsi="Times New Roman"/>
          <w:sz w:val="18"/>
          <w:szCs w:val="18"/>
          <w:color w:val="auto"/>
        </w:rPr>
      </w:pPr>
    </w:p>
    <w:p>
      <w:pPr>
        <w:ind w:left="340" w:firstLine="964"/>
        <w:spacing w:after="0" w:line="282" w:lineRule="auto"/>
        <w:tabs>
          <w:tab w:leader="none" w:pos="187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161" w:lineRule="exact"/>
        <w:rPr>
          <w:rFonts w:ascii="Times New Roman" w:cs="Times New Roman" w:eastAsia="Times New Roman" w:hAnsi="Times New Roman"/>
          <w:sz w:val="18"/>
          <w:szCs w:val="18"/>
          <w:color w:val="auto"/>
        </w:rPr>
      </w:pPr>
    </w:p>
    <w:p>
      <w:pPr>
        <w:ind w:left="340" w:right="20" w:firstLine="964"/>
        <w:spacing w:after="0" w:line="282" w:lineRule="auto"/>
        <w:tabs>
          <w:tab w:leader="none" w:pos="17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center"/>
        <w:ind w:left="660"/>
        <w:spacing w:after="0"/>
        <w:tabs>
          <w:tab w:leader="none" w:pos="16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225" w:lineRule="exact"/>
        <w:rPr>
          <w:sz w:val="20"/>
          <w:szCs w:val="20"/>
          <w:color w:val="auto"/>
        </w:rPr>
      </w:pPr>
    </w:p>
    <w:p>
      <w:pPr>
        <w:jc w:val="both"/>
        <w:ind w:firstLine="1304"/>
        <w:spacing w:after="0" w:line="266" w:lineRule="auto"/>
        <w:tabs>
          <w:tab w:leader="none" w:pos="174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w:t>
      </w:r>
    </w:p>
    <w:p>
      <w:pPr>
        <w:spacing w:after="0" w:line="1" w:lineRule="exact"/>
        <w:rPr>
          <w:sz w:val="20"/>
          <w:szCs w:val="20"/>
          <w:color w:val="auto"/>
        </w:rPr>
      </w:pPr>
    </w:p>
    <w:p>
      <w:pPr>
        <w:jc w:val="both"/>
        <w:ind w:firstLine="8"/>
        <w:spacing w:after="0" w:line="252" w:lineRule="auto"/>
        <w:tabs>
          <w:tab w:leader="none" w:pos="29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and the Credit Agreement dated as of July 28, 2020 by and among the Issuer, the Guarantor (as guarantor), certain banks party thereto, and Mizuho Bank, Ltd., as administrative agent (in each case,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tbl>
      <w:tblPr>
        <w:tblLayout w:type="fixed"/>
        <w:tblInd w:w="6200" w:type="dxa"/>
        <w:tblCellMar>
          <w:top w:w="0" w:type="dxa"/>
          <w:left w:w="0" w:type="dxa"/>
          <w:bottom w:w="0" w:type="dxa"/>
          <w:right w:w="0" w:type="dxa"/>
        </w:tblCellMar>
      </w:tblPr>
      <w:tr>
        <w:trPr>
          <w:trHeight w:val="287"/>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w w:val="95"/>
              </w:rPr>
              <w:t>Exhibit 5.1</w:t>
            </w:r>
          </w:p>
        </w:tc>
      </w:tr>
      <w:tr>
        <w:trPr>
          <w:trHeight w:val="4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AUSTIN</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BEIJING</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BRUSSELS</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920" w:type="dxa"/>
            <w:vAlign w:val="bottom"/>
          </w:tcPr>
          <w:p>
            <w:pPr>
              <w:spacing w:after="0"/>
              <w:rPr>
                <w:sz w:val="18"/>
                <w:szCs w:val="18"/>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DUBAI</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FRANCISCO</w:t>
            </w:r>
          </w:p>
        </w:tc>
      </w:tr>
      <w:tr>
        <w:trPr>
          <w:trHeight w:val="234"/>
        </w:trPr>
        <w:tc>
          <w:tcPr>
            <w:tcW w:w="1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-633730</wp:posOffset>
            </wp:positionV>
            <wp:extent cx="128587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58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$500,000,000 aggregate principal amount of its 0.750% Senior Notes due 2025, $500,000,000 aggregate principal amount of its 1.150% Senior Notes due 2028, $1,000,000,000 aggregate principal amount of its 1.500% Senior Notes due 2031 and $500,000,000 aggregate principal amount of its 2.500% Senior Notes due 2050 (collectively, the “Notes”) and the issuance of the related guarantees of the Notes by Holdings (the “Guarantees”), as contemplated by the Registration Statement on Form S-3 (Registration No. 333-231027)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April 25, 2019 and prospectus supplement dated November 5, 2020 relating to the Notes (collectively, the “Prospectus”) have been filed with the Commission pursuant to Rule 424(b) under the Act.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November 5, 2020, with Barclays Capital Inc., Mizuho Securities USA LLC, BofA Securities, Inc., J.P. Morgan Securities LLC and Scotia Capital (USA)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Officers’ Certificates delivered pursuant to Section 301 of the Indenture; (v) the Guarantees to be entered into by Holdings in favor of the holders of the Notes concurrently with the issuance of the Notes under the Indenture (the “Guarantee Agreements”); (vi) the 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8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8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- 2 -</w:t>
            </w:r>
          </w:p>
        </w:tc>
        <w:tc>
          <w:tcPr>
            <w:tcW w:w="344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November 12, 2020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28587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62560"/>
                    </a:xfrm>
                    <a:prstGeom prst="rect">
                      <a:avLst/>
                    </a:prstGeom>
                    <a:noFill/>
                  </pic:spPr>
                </pic:pic>
              </a:graphicData>
            </a:graphic>
          </wp:anchor>
        </w:drawing>
      </w:r>
    </w:p>
    <w:p>
      <w:pPr>
        <w:spacing w:after="0" w:line="21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w:t>
      </w:r>
    </w:p>
    <w:p>
      <w:pPr>
        <w:spacing w:after="0" w:line="27" w:lineRule="exact"/>
        <w:rPr>
          <w:sz w:val="20"/>
          <w:szCs w:val="20"/>
          <w:color w:val="auto"/>
        </w:rPr>
      </w:pPr>
    </w:p>
    <w:p>
      <w:pPr>
        <w:jc w:val="both"/>
        <w:ind w:firstLine="8"/>
        <w:spacing w:after="0" w:line="251" w:lineRule="auto"/>
        <w:tabs>
          <w:tab w:leader="none" w:pos="22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Baker Botts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JAR/JAD/GBP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1)"/>
      <w:numFmt w:val="lowerLetter"/>
      <w:start w:val="4"/>
    </w:lvl>
  </w:abstractNum>
  <w:abstractNum w:abstractNumId="2">
    <w:nsid w:val="68EBC550"/>
    <w:multiLevelType w:val="hybridMultilevel"/>
    <w:lvl w:ilvl="0">
      <w:lvlJc w:val="left"/>
      <w:lvlText w:val="%1"/>
      <w:numFmt w:val="decimal"/>
      <w:start w:val="104"/>
    </w:lvl>
  </w:abstractNum>
  <w:abstractNum w:abstractNumId="3">
    <w:nsid w:val="2DF6D648"/>
    <w:multiLevelType w:val="hybridMultilevel"/>
    <w:lvl w:ilvl="0">
      <w:lvlJc w:val="left"/>
      <w:lvlText w:val="%1."/>
      <w:numFmt w:val="decimal"/>
      <w:start w:val="1"/>
    </w:lvl>
    <w:lvl w:ilvl="1">
      <w:lvlJc w:val="left"/>
      <w:lvlText w:val="(%2)"/>
      <w:numFmt w:val="lowerLetter"/>
      <w:start w:val="1"/>
    </w:lvl>
  </w:abstractNum>
  <w:abstractNum w:abstractNumId="4">
    <w:nsid w:val="46B7D447"/>
    <w:multiLevelType w:val="hybridMultilevel"/>
    <w:lvl w:ilvl="0">
      <w:lvlJc w:val="left"/>
      <w:lvlText w:val="%1"/>
      <w:numFmt w:val="lowerLetter"/>
      <w:start w:val="1"/>
    </w:lvl>
    <w:lvl w:ilvl="1">
      <w:lvlJc w:val="left"/>
      <w:lvlText w:val="(%2)"/>
      <w:numFmt w:val="lowerLetter"/>
      <w:start w:val="3"/>
    </w:lvl>
  </w:abstractNum>
  <w:abstractNum w:abstractNumId="5">
    <w:nsid w:val="4A2AC315"/>
    <w:multiLevelType w:val="hybridMultilevel"/>
    <w:lvl w:ilvl="0">
      <w:lvlJc w:val="left"/>
      <w:lvlText w:val="(%1)"/>
      <w:numFmt w:val="lowerLetter"/>
      <w:start w:val="35"/>
    </w:lvl>
    <w:lvl w:ilvl="1">
      <w:lvlJc w:val="left"/>
      <w:lvlText w:val="%2"/>
      <w:numFmt w:val="lowerLetter"/>
      <w:start w:val="1"/>
    </w:lvl>
  </w:abstractNum>
  <w:abstractNum w:abstractNumId="6">
    <w:nsid w:val="39EE015C"/>
    <w:multiLevelType w:val="hybridMultilevel"/>
    <w:lvl w:ilvl="0">
      <w:lvlJc w:val="left"/>
      <w:lvlText w:val="(%1)"/>
      <w:numFmt w:val="lowerLetter"/>
      <w:start w:val="5"/>
    </w:lvl>
  </w:abstractNum>
  <w:abstractNum w:abstractNumId="7">
    <w:nsid w:val="57FC4FBB"/>
    <w:multiLevelType w:val="hybridMultilevel"/>
    <w:lvl w:ilvl="0">
      <w:lvlJc w:val="left"/>
      <w:lvlText w:val="(%1)"/>
      <w:numFmt w:val="lowerLetter"/>
      <w:start w:val="8"/>
    </w:lvl>
  </w:abstractNum>
  <w:abstractNum w:abstractNumId="8">
    <w:nsid w:val="CC1016F"/>
    <w:multiLevelType w:val="hybridMultilevel"/>
    <w:lvl w:ilvl="0">
      <w:lvlJc w:val="left"/>
      <w:lvlText w:val="(%1)"/>
      <w:numFmt w:val="lowerLetter"/>
      <w:start w:val="12"/>
    </w:lvl>
  </w:abstractNum>
  <w:abstractNum w:abstractNumId="9">
    <w:nsid w:val="43F18422"/>
    <w:multiLevelType w:val="hybridMultilevel"/>
    <w:lvl w:ilvl="0">
      <w:lvlJc w:val="left"/>
      <w:lvlText w:val="(%1)"/>
      <w:numFmt w:val="lowerLetter"/>
      <w:start w:val="16"/>
    </w:lvl>
  </w:abstractNum>
  <w:abstractNum w:abstractNumId="10">
    <w:nsid w:val="60EF0119"/>
    <w:multiLevelType w:val="hybridMultilevel"/>
    <w:lvl w:ilvl="0">
      <w:lvlJc w:val="left"/>
      <w:lvlText w:val="(%1)"/>
      <w:numFmt w:val="lowerLetter"/>
      <w:start w:val="22"/>
    </w:lvl>
  </w:abstractNum>
  <w:abstractNum w:abstractNumId="11">
    <w:nsid w:val="26F324BA"/>
    <w:multiLevelType w:val="hybridMultilevel"/>
    <w:lvl w:ilvl="0">
      <w:lvlJc w:val="left"/>
      <w:lvlText w:val="(%1)"/>
      <w:numFmt w:val="lowerLetter"/>
      <w:start w:val="26"/>
    </w:lvl>
  </w:abstractNum>
  <w:abstractNum w:abstractNumId="12">
    <w:nsid w:val="7F01579B"/>
    <w:multiLevelType w:val="hybridMultilevel"/>
    <w:lvl w:ilvl="0">
      <w:lvlJc w:val="left"/>
      <w:lvlText w:val="%1"/>
      <w:numFmt w:val="lowerRoman"/>
      <w:start w:val="1"/>
    </w:lvl>
    <w:lvl w:ilvl="1">
      <w:lvlJc w:val="left"/>
      <w:lvlText w:val="(%2)"/>
      <w:numFmt w:val="lowerLetter"/>
      <w:start w:val="27"/>
    </w:lvl>
  </w:abstractNum>
  <w:abstractNum w:abstractNumId="13">
    <w:nsid w:val="49DA307D"/>
    <w:multiLevelType w:val="hybridMultilevel"/>
    <w:lvl w:ilvl="0">
      <w:lvlJc w:val="left"/>
      <w:lvlText w:val="(%1)"/>
      <w:numFmt w:val="lowerRoman"/>
      <w:start w:val="4"/>
    </w:lvl>
    <w:lvl w:ilvl="1">
      <w:lvlJc w:val="left"/>
      <w:lvlText w:val="(%2)"/>
      <w:numFmt w:val="lowerLetter"/>
      <w:start w:val="28"/>
    </w:lvl>
  </w:abstractNum>
  <w:abstractNum w:abstractNumId="14">
    <w:nsid w:val="7055A5F5"/>
    <w:multiLevelType w:val="hybridMultilevel"/>
    <w:lvl w:ilvl="0">
      <w:lvlJc w:val="left"/>
      <w:lvlText w:val="%1"/>
      <w:numFmt w:val="lowerRoman"/>
      <w:start w:val="1"/>
    </w:lvl>
    <w:lvl w:ilvl="1">
      <w:lvlJc w:val="left"/>
      <w:lvlText w:val="(%2)"/>
      <w:numFmt w:val="lowerLetter"/>
      <w:start w:val="30"/>
    </w:lvl>
  </w:abstractNum>
  <w:abstractNum w:abstractNumId="15">
    <w:nsid w:val="5FB8370B"/>
    <w:multiLevelType w:val="hybridMultilevel"/>
    <w:lvl w:ilvl="0">
      <w:lvlJc w:val="left"/>
      <w:lvlText w:val="(%1)"/>
      <w:numFmt w:val="lowerRoman"/>
      <w:start w:val="4"/>
    </w:lvl>
    <w:lvl w:ilvl="1">
      <w:lvlJc w:val="left"/>
      <w:lvlText w:val="(%2)"/>
      <w:numFmt w:val="lowerLetter"/>
      <w:start w:val="31"/>
    </w:lvl>
  </w:abstractNum>
  <w:abstractNum w:abstractNumId="16">
    <w:nsid w:val="50801EE1"/>
    <w:multiLevelType w:val="hybridMultilevel"/>
    <w:lvl w:ilvl="0">
      <w:lvlJc w:val="left"/>
      <w:lvlText w:val="%1"/>
      <w:numFmt w:val="lowerLetter"/>
      <w:start w:val="1"/>
    </w:lvl>
    <w:lvl w:ilvl="1">
      <w:lvlJc w:val="left"/>
      <w:lvlText w:val="(%2)"/>
      <w:numFmt w:val="lowerLetter"/>
      <w:start w:val="34"/>
    </w:lvl>
  </w:abstractNum>
  <w:abstractNum w:abstractNumId="17">
    <w:nsid w:val="488AC1A"/>
    <w:multiLevelType w:val="hybridMultilevel"/>
    <w:lvl w:ilvl="0">
      <w:lvlJc w:val="left"/>
      <w:lvlText w:val="(%1)"/>
      <w:numFmt w:val="lowerLetter"/>
      <w:start w:val="35"/>
    </w:lvl>
    <w:lvl w:ilvl="1">
      <w:lvlJc w:val="left"/>
      <w:lvlText w:val="(%2)"/>
      <w:numFmt w:val="lowerLetter"/>
      <w:start w:val="38"/>
    </w:lvl>
  </w:abstractNum>
  <w:abstractNum w:abstractNumId="18">
    <w:nsid w:val="5FB8011C"/>
    <w:multiLevelType w:val="hybridMultilevel"/>
    <w:lvl w:ilvl="0">
      <w:lvlJc w:val="left"/>
      <w:lvlText w:val="(%1)"/>
      <w:numFmt w:val="lowerLetter"/>
      <w:start w:val="35"/>
    </w:lvl>
    <w:lvl w:ilvl="1">
      <w:lvlJc w:val="left"/>
      <w:lvlText w:val="%2"/>
      <w:numFmt w:val="lowerLetter"/>
      <w:start w:val="1"/>
    </w:lvl>
  </w:abstractNum>
  <w:abstractNum w:abstractNumId="19">
    <w:nsid w:val="6AA78F7F"/>
    <w:multiLevelType w:val="hybridMultilevel"/>
    <w:lvl w:ilvl="0">
      <w:lvlJc w:val="left"/>
      <w:lvlText w:val="(%1)"/>
      <w:numFmt w:val="lowerLetter"/>
      <w:start w:val="39"/>
    </w:lvl>
  </w:abstractNum>
  <w:abstractNum w:abstractNumId="20">
    <w:nsid w:val="7672BD23"/>
    <w:multiLevelType w:val="hybridMultilevel"/>
    <w:lvl w:ilvl="0">
      <w:lvlJc w:val="left"/>
      <w:lvlText w:val="%1"/>
      <w:numFmt w:val="lowerLetter"/>
      <w:start w:val="1"/>
    </w:lvl>
    <w:lvl w:ilvl="1">
      <w:lvlJc w:val="left"/>
      <w:lvlText w:val="(%2)"/>
      <w:numFmt w:val="lowerLetter"/>
      <w:start w:val="44"/>
    </w:lvl>
  </w:abstractNum>
  <w:abstractNum w:abstractNumId="21">
    <w:nsid w:val="6FC75AF8"/>
    <w:multiLevelType w:val="hybridMultilevel"/>
    <w:lvl w:ilvl="0">
      <w:lvlJc w:val="left"/>
      <w:lvlText w:val="(%1)"/>
      <w:numFmt w:val="lowerLetter"/>
      <w:start w:val="35"/>
    </w:lvl>
    <w:lvl w:ilvl="1">
      <w:lvlJc w:val="left"/>
      <w:lvlText w:val="(%2)"/>
      <w:numFmt w:val="lowerLetter"/>
      <w:start w:val="45"/>
    </w:lvl>
  </w:abstractNum>
  <w:abstractNum w:abstractNumId="22">
    <w:nsid w:val="6A5F7029"/>
    <w:multiLevelType w:val="hybridMultilevel"/>
    <w:lvl w:ilvl="0">
      <w:lvlJc w:val="left"/>
      <w:lvlText w:val="%1."/>
      <w:numFmt w:val="decimal"/>
      <w:start w:val="2"/>
    </w:lvl>
  </w:abstractNum>
  <w:abstractNum w:abstractNumId="23">
    <w:nsid w:val="7D5E18F8"/>
    <w:multiLevelType w:val="hybridMultilevel"/>
    <w:lvl w:ilvl="0">
      <w:lvlJc w:val="left"/>
      <w:lvlText w:val="(%1)"/>
      <w:numFmt w:val="lowerRoman"/>
      <w:start w:val="4"/>
    </w:lvl>
  </w:abstractNum>
  <w:abstractNum w:abstractNumId="24">
    <w:nsid w:val="5F3534A4"/>
    <w:multiLevelType w:val="hybridMultilevel"/>
    <w:lvl w:ilvl="0">
      <w:lvlJc w:val="left"/>
      <w:lvlText w:val="%1."/>
      <w:numFmt w:val="decimal"/>
      <w:start w:val="3"/>
    </w:lvl>
  </w:abstractNum>
  <w:abstractNum w:abstractNumId="25">
    <w:nsid w:val="73A1821B"/>
    <w:multiLevelType w:val="hybridMultilevel"/>
    <w:lvl w:ilvl="0">
      <w:lvlJc w:val="left"/>
      <w:lvlText w:val="%1."/>
      <w:numFmt w:val="decimal"/>
      <w:start w:val="5"/>
    </w:lvl>
    <w:lvl w:ilvl="1">
      <w:lvlJc w:val="left"/>
      <w:lvlText w:val="(%2)"/>
      <w:numFmt w:val="lowerLetter"/>
      <w:start w:val="1"/>
    </w:lvl>
  </w:abstractNum>
  <w:abstractNum w:abstractNumId="26">
    <w:nsid w:val="7DE67713"/>
    <w:multiLevelType w:val="hybridMultilevel"/>
    <w:lvl w:ilvl="0">
      <w:lvlJc w:val="left"/>
      <w:lvlText w:val="(%1)"/>
      <w:numFmt w:val="lowerLetter"/>
      <w:start w:val="4"/>
    </w:lvl>
  </w:abstractNum>
  <w:abstractNum w:abstractNumId="27">
    <w:nsid w:val="555C55B5"/>
    <w:multiLevelType w:val="hybridMultilevel"/>
    <w:lvl w:ilvl="0">
      <w:lvlJc w:val="left"/>
      <w:lvlText w:val="%1"/>
      <w:numFmt w:val="decimal"/>
      <w:start w:val="1"/>
    </w:lvl>
    <w:lvl w:ilvl="1">
      <w:lvlJc w:val="left"/>
      <w:lvlText w:val="(%2)"/>
      <w:numFmt w:val="lowerLetter"/>
      <w:start w:val="9"/>
    </w:lvl>
  </w:abstractNum>
  <w:abstractNum w:abstractNumId="28">
    <w:nsid w:val="3FA62ACA"/>
    <w:multiLevelType w:val="hybridMultilevel"/>
    <w:lvl w:ilvl="0">
      <w:lvlJc w:val="left"/>
      <w:lvlText w:val="%1."/>
      <w:numFmt w:val="decimal"/>
      <w:start w:val="6"/>
    </w:lvl>
    <w:lvl w:ilvl="1">
      <w:lvlJc w:val="left"/>
      <w:lvlText w:val="(%2)"/>
      <w:numFmt w:val="lowerLetter"/>
      <w:start w:val="1"/>
    </w:lvl>
  </w:abstractNum>
  <w:abstractNum w:abstractNumId="29">
    <w:nsid w:val="14FCE74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6A3DD3E8"/>
    <w:multiLevelType w:val="hybridMultilevel"/>
    <w:lvl w:ilvl="0">
      <w:lvlJc w:val="left"/>
      <w:lvlText w:val="(%1)"/>
      <w:numFmt w:val="lowerRoman"/>
      <w:start w:val="5"/>
    </w:lvl>
  </w:abstractNum>
  <w:abstractNum w:abstractNumId="31">
    <w:nsid w:val="71C91298"/>
    <w:multiLevelType w:val="hybridMultilevel"/>
    <w:lvl w:ilvl="0">
      <w:lvlJc w:val="left"/>
      <w:lvlText w:val="(%1)"/>
      <w:numFmt w:val="lowerRoman"/>
      <w:start w:val="10"/>
    </w:lvl>
  </w:abstractNum>
  <w:abstractNum w:abstractNumId="32">
    <w:nsid w:val="9DAF632"/>
    <w:multiLevelType w:val="hybridMultilevel"/>
    <w:lvl w:ilvl="0">
      <w:lvlJc w:val="left"/>
      <w:lvlText w:val="(%1)"/>
      <w:numFmt w:val="lowerRoman"/>
      <w:start w:val="10"/>
    </w:lvl>
  </w:abstractNum>
  <w:abstractNum w:abstractNumId="33">
    <w:nsid w:val="53299938"/>
    <w:multiLevelType w:val="hybridMultilevel"/>
    <w:lvl w:ilvl="0">
      <w:lvlJc w:val="left"/>
      <w:lvlText w:val="(%1)"/>
      <w:numFmt w:val="lowerLetter"/>
      <w:start w:val="3"/>
    </w:lvl>
    <w:lvl w:ilvl="1">
      <w:lvlJc w:val="left"/>
      <w:lvlText w:val="(%2)"/>
      <w:numFmt w:val="lowerRoman"/>
      <w:start w:val="1"/>
    </w:lvl>
  </w:abstractNum>
  <w:abstractNum w:abstractNumId="34">
    <w:nsid w:val="1FBFE8E0"/>
    <w:multiLevelType w:val="hybridMultilevel"/>
    <w:lvl w:ilvl="0">
      <w:lvlJc w:val="left"/>
      <w:lvlText w:val="%1"/>
      <w:numFmt w:val="lowerLetter"/>
      <w:start w:val="1"/>
    </w:lvl>
    <w:lvl w:ilvl="1">
      <w:lvlJc w:val="left"/>
      <w:lvlText w:val="(%2)"/>
      <w:numFmt w:val="lowerRoman"/>
      <w:start w:val="3"/>
    </w:lvl>
  </w:abstractNum>
  <w:abstractNum w:abstractNumId="35">
    <w:nsid w:val="5092CA79"/>
    <w:multiLevelType w:val="hybridMultilevel"/>
    <w:lvl w:ilvl="0">
      <w:lvlJc w:val="left"/>
      <w:lvlText w:val="(%1)"/>
      <w:numFmt w:val="lowerLetter"/>
      <w:start w:val="4"/>
    </w:lvl>
    <w:lvl w:ilvl="1">
      <w:lvlJc w:val="left"/>
      <w:lvlText w:val="%2"/>
      <w:numFmt w:val="lowerRoman"/>
      <w:start w:val="1"/>
    </w:lvl>
  </w:abstractNum>
  <w:abstractNum w:abstractNumId="36">
    <w:nsid w:val="1D545C4D"/>
    <w:multiLevelType w:val="hybridMultilevel"/>
    <w:lvl w:ilvl="0">
      <w:lvlJc w:val="left"/>
      <w:lvlText w:val="(%1)"/>
      <w:numFmt w:val="lowerLetter"/>
      <w:start w:val="5"/>
    </w:lvl>
    <w:lvl w:ilvl="1">
      <w:lvlJc w:val="left"/>
      <w:lvlText w:val="(%2)"/>
      <w:numFmt w:val="lowerRoman"/>
      <w:start w:val="1"/>
    </w:lvl>
  </w:abstractNum>
  <w:abstractNum w:abstractNumId="37">
    <w:nsid w:val="59ADEA3D"/>
    <w:multiLevelType w:val="hybridMultilevel"/>
    <w:lvl w:ilvl="0">
      <w:lvlJc w:val="left"/>
      <w:lvlText w:val="(%1)"/>
      <w:numFmt w:val="lowerRoman"/>
      <w:start w:val="2"/>
    </w:lvl>
  </w:abstractNum>
  <w:abstractNum w:abstractNumId="38">
    <w:nsid w:val="288F1A34"/>
    <w:multiLevelType w:val="hybridMultilevel"/>
    <w:lvl w:ilvl="0">
      <w:lvlJc w:val="left"/>
      <w:lvlText w:val="(%1)"/>
      <w:numFmt w:val="lowerLetter"/>
      <w:start w:val="7"/>
    </w:lvl>
  </w:abstractNum>
  <w:abstractNum w:abstractNumId="39">
    <w:nsid w:val="2A155DBC"/>
    <w:multiLevelType w:val="hybridMultilevel"/>
    <w:lvl w:ilvl="0">
      <w:lvlJc w:val="left"/>
      <w:lvlText w:val="(%1)"/>
      <w:numFmt w:val="lowerLetter"/>
      <w:start w:val="8"/>
    </w:lvl>
  </w:abstractNum>
  <w:abstractNum w:abstractNumId="40">
    <w:nsid w:val="1D9F6E5F"/>
    <w:multiLevelType w:val="hybridMultilevel"/>
    <w:lvl w:ilvl="0">
      <w:lvlJc w:val="left"/>
      <w:lvlText w:val="%1."/>
      <w:numFmt w:val="decimal"/>
      <w:start w:val="8"/>
    </w:lvl>
  </w:abstractNum>
  <w:abstractNum w:abstractNumId="41">
    <w:nsid w:val="97E1B4E"/>
    <w:multiLevelType w:val="hybridMultilevel"/>
    <w:lvl w:ilvl="0">
      <w:lvlJc w:val="left"/>
      <w:lvlText w:val="%1."/>
      <w:numFmt w:val="decimal"/>
      <w:start w:val="9"/>
    </w:lvl>
    <w:lvl w:ilvl="1">
      <w:lvlJc w:val="left"/>
      <w:lvlText w:val="(%2)"/>
      <w:numFmt w:val="lowerLetter"/>
      <w:start w:val="2"/>
    </w:lvl>
  </w:abstractNum>
  <w:abstractNum w:abstractNumId="42">
    <w:nsid w:val="51088277"/>
    <w:multiLevelType w:val="hybridMultilevel"/>
    <w:lvl w:ilvl="0">
      <w:lvlJc w:val="left"/>
      <w:lvlText w:val="%1"/>
      <w:numFmt w:val="lowerLetter"/>
      <w:start w:val="1"/>
    </w:lvl>
    <w:lvl w:ilvl="1">
      <w:lvlJc w:val="left"/>
      <w:lvlText w:val="(%2)"/>
      <w:numFmt w:val="lowerLetter"/>
      <w:start w:val="3"/>
    </w:lvl>
  </w:abstractNum>
  <w:abstractNum w:abstractNumId="43">
    <w:nsid w:val="1CA0C5FA"/>
    <w:multiLevelType w:val="hybridMultilevel"/>
    <w:lvl w:ilvl="0">
      <w:lvlJc w:val="left"/>
      <w:lvlText w:val="(%1)"/>
      <w:numFmt w:val="lowerLetter"/>
      <w:start w:val="2"/>
    </w:lvl>
    <w:lvl w:ilvl="1">
      <w:lvlJc w:val="left"/>
      <w:lvlText w:val="(%2)"/>
      <w:numFmt w:val="lowerLetter"/>
      <w:start w:val="4"/>
    </w:lvl>
  </w:abstractNum>
  <w:abstractNum w:abstractNumId="44">
    <w:nsid w:val="53584BCB"/>
    <w:multiLevelType w:val="hybridMultilevel"/>
    <w:lvl w:ilvl="0">
      <w:lvlJc w:val="left"/>
      <w:lvlText w:val="%1"/>
      <w:numFmt w:val="lowerRoman"/>
      <w:start w:val="1"/>
    </w:lvl>
    <w:lvl w:ilvl="1">
      <w:lvlJc w:val="left"/>
      <w:lvlText w:val="%2."/>
      <w:numFmt w:val="decimal"/>
      <w:start w:val="10"/>
    </w:lvl>
  </w:abstractNum>
  <w:abstractNum w:abstractNumId="45">
    <w:nsid w:val="415E286C"/>
    <w:multiLevelType w:val="hybridMultilevel"/>
    <w:lvl w:ilvl="0">
      <w:lvlJc w:val="left"/>
      <w:lvlText w:val="(%1)"/>
      <w:numFmt w:val="lowerRoman"/>
      <w:start w:val="4"/>
    </w:lvl>
    <w:lvl w:ilvl="1">
      <w:lvlJc w:val="left"/>
      <w:lvlText w:val="%2"/>
      <w:numFmt w:val="decimal"/>
      <w:start w:val="1"/>
    </w:lvl>
  </w:abstractNum>
  <w:abstractNum w:abstractNumId="46">
    <w:nsid w:val="7C58FD05"/>
    <w:multiLevelType w:val="hybridMultilevel"/>
    <w:lvl w:ilvl="0">
      <w:lvlJc w:val="left"/>
      <w:lvlText w:val="%1."/>
      <w:numFmt w:val="decimal"/>
      <w:start w:val="12"/>
    </w:lvl>
  </w:abstractNum>
  <w:abstractNum w:abstractNumId="47">
    <w:nsid w:val="23D86AAC"/>
    <w:multiLevelType w:val="hybridMultilevel"/>
    <w:lvl w:ilvl="0">
      <w:lvlJc w:val="left"/>
      <w:lvlText w:val="%1."/>
      <w:numFmt w:val="decimal"/>
      <w:start w:val="16"/>
    </w:lvl>
    <w:lvl w:ilvl="1">
      <w:lvlJc w:val="left"/>
      <w:lvlText w:val="(%2)"/>
      <w:numFmt w:val="lowerLetter"/>
      <w:start w:val="1"/>
    </w:lvl>
  </w:abstractNum>
  <w:abstractNum w:abstractNumId="48">
    <w:nsid w:val="45E6D486"/>
    <w:multiLevelType w:val="hybridMultilevel"/>
    <w:lvl w:ilvl="0">
      <w:lvlJc w:val="left"/>
      <w:lvlText w:val="(%1)"/>
      <w:numFmt w:val="lowerRoman"/>
      <w:start w:val="1"/>
    </w:lvl>
  </w:abstractNum>
  <w:abstractNum w:abstractNumId="49">
    <w:nsid w:val="5C10FE21"/>
    <w:multiLevelType w:val="hybridMultilevel"/>
    <w:lvl w:ilvl="0">
      <w:lvlJc w:val="left"/>
      <w:lvlText w:val="%1."/>
      <w:numFmt w:val="decimal"/>
      <w:start w:val="17"/>
    </w:lvl>
  </w:abstractNum>
  <w:abstractNum w:abstractNumId="50">
    <w:nsid w:val="E7FFA2B"/>
    <w:multiLevelType w:val="hybridMultilevel"/>
    <w:lvl w:ilvl="0">
      <w:lvlJc w:val="left"/>
      <w:lvlText w:val="%1."/>
      <w:numFmt w:val="decimal"/>
      <w:start w:val="19"/>
    </w:lvl>
  </w:abstractNum>
  <w:abstractNum w:abstractNumId="51">
    <w:nsid w:val="3C5991AA"/>
    <w:multiLevelType w:val="hybridMultilevel"/>
    <w:lvl w:ilvl="0">
      <w:lvlJc w:val="left"/>
      <w:lvlText w:val="%1."/>
      <w:numFmt w:val="decimal"/>
      <w:start w:val="20"/>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1."/>
      <w:numFmt w:val="decimal"/>
      <w:start w:val="1"/>
    </w:lvl>
  </w:abstractNum>
  <w:abstractNum w:abstractNumId="54">
    <w:nsid w:val="39B7AAA2"/>
    <w:multiLevelType w:val="hybridMultilevel"/>
    <w:lvl w:ilvl="0">
      <w:lvlJc w:val="left"/>
      <w:lvlText w:val="%1."/>
      <w:numFmt w:val="decimal"/>
      <w:start w:val="7"/>
    </w:lvl>
  </w:abstractNum>
  <w:abstractNum w:abstractNumId="55">
    <w:nsid w:val="2B0D8DBE"/>
    <w:multiLevelType w:val="hybridMultilevel"/>
    <w:lvl w:ilvl="0">
      <w:lvlJc w:val="left"/>
      <w:lvlText w:val="%1."/>
      <w:numFmt w:val="decimal"/>
      <w:start w:val="1"/>
    </w:lvl>
  </w:abstractNum>
  <w:abstractNum w:abstractNumId="56">
    <w:nsid w:val="6C80EC70"/>
    <w:multiLevelType w:val="hybridMultilevel"/>
    <w:lvl w:ilvl="0">
      <w:lvlJc w:val="left"/>
      <w:lvlText w:val="(%1)"/>
      <w:numFmt w:val="decimal"/>
      <w:start w:val="1"/>
    </w:lvl>
  </w:abstractNum>
  <w:abstractNum w:abstractNumId="57">
    <w:nsid w:val="379E21B5"/>
    <w:multiLevelType w:val="hybridMultilevel"/>
    <w:lvl w:ilvl="0">
      <w:lvlJc w:val="left"/>
      <w:lvlText w:val="(%1)"/>
      <w:numFmt w:val="decimal"/>
      <w:start w:val="9"/>
    </w:lvl>
  </w:abstractNum>
  <w:abstractNum w:abstractNumId="58">
    <w:nsid w:val="69E373"/>
    <w:multiLevelType w:val="hybridMultilevel"/>
    <w:lvl w:ilvl="0">
      <w:lvlJc w:val="left"/>
      <w:lvlText w:val="%1."/>
      <w:numFmt w:val="decimal"/>
      <w:start w:val="1"/>
    </w:lvl>
  </w:abstractNum>
  <w:abstractNum w:abstractNumId="59">
    <w:nsid w:val="2C27173B"/>
    <w:multiLevelType w:val="hybridMultilevel"/>
    <w:lvl w:ilvl="0">
      <w:lvlJc w:val="left"/>
      <w:lvlText w:val="%1."/>
      <w:numFmt w:val="decimal"/>
      <w:start w:val="2"/>
    </w:lvl>
  </w:abstractNum>
  <w:abstractNum w:abstractNumId="60">
    <w:nsid w:val="4C9B0904"/>
    <w:multiLevelType w:val="hybridMultilevel"/>
    <w:lvl w:ilvl="0">
      <w:lvlJc w:val="left"/>
      <w:lvlText w:val="%1."/>
      <w:numFmt w:val="decimal"/>
      <w:start w:val="3"/>
    </w:lvl>
  </w:abstractNum>
  <w:abstractNum w:abstractNumId="61">
    <w:nsid w:val="6AA7B75C"/>
    <w:multiLevelType w:val="hybridMultilevel"/>
    <w:lvl w:ilvl="0">
      <w:lvlJc w:val="left"/>
      <w:lvlText w:val="%1."/>
      <w:numFmt w:val="decimal"/>
      <w:start w:val="4"/>
    </w:lvl>
  </w:abstractNum>
  <w:abstractNum w:abstractNumId="62">
    <w:nsid w:val="1DF029D3"/>
    <w:multiLevelType w:val="hybridMultilevel"/>
    <w:lvl w:ilvl="0">
      <w:lvlJc w:val="left"/>
      <w:lvlText w:val="%1."/>
      <w:numFmt w:val="decimal"/>
      <w:start w:val="5"/>
    </w:lvl>
  </w:abstractNum>
  <w:abstractNum w:abstractNumId="63">
    <w:nsid w:val="5675FF36"/>
    <w:multiLevelType w:val="hybridMultilevel"/>
    <w:lvl w:ilvl="0">
      <w:lvlJc w:val="left"/>
      <w:lvlText w:val="(%1)"/>
      <w:numFmt w:val="lowerRoman"/>
      <w:start w:val="2"/>
    </w:lvl>
  </w:abstractNum>
  <w:abstractNum w:abstractNumId="64">
    <w:nsid w:val="3DD15094"/>
    <w:multiLevelType w:val="hybridMultilevel"/>
    <w:lvl w:ilvl="0">
      <w:lvlJc w:val="left"/>
      <w:lvlText w:val="%1."/>
      <w:numFmt w:val="decimal"/>
      <w:start w:val="6"/>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1."/>
      <w:numFmt w:val="decimal"/>
      <w:start w:val="7"/>
    </w:lvl>
  </w:abstractNum>
  <w:abstractNum w:abstractNumId="68">
    <w:nsid w:val="175DFCF0"/>
    <w:multiLevelType w:val="hybridMultilevel"/>
    <w:lvl w:ilvl="0">
      <w:lvlJc w:val="left"/>
      <w:lvlText w:val="%1."/>
      <w:numFmt w:val="decimal"/>
      <w:start w:val="8"/>
    </w:lvl>
  </w:abstractNum>
  <w:abstractNum w:abstractNumId="69">
    <w:nsid w:val="4F97E3E4"/>
    <w:multiLevelType w:val="hybridMultilevel"/>
    <w:lvl w:ilvl="0">
      <w:lvlJc w:val="left"/>
      <w:lvlText w:val="%1."/>
      <w:numFmt w:val="decimal"/>
      <w:start w:val="9"/>
    </w:lvl>
  </w:abstractNum>
  <w:abstractNum w:abstractNumId="70">
    <w:nsid w:val="53B0A9E"/>
    <w:multiLevelType w:val="hybridMultilevel"/>
    <w:lvl w:ilvl="0">
      <w:lvlJc w:val="left"/>
      <w:lvlText w:val="%1."/>
      <w:numFmt w:val="decimal"/>
      <w:start w:val="10"/>
    </w:lvl>
  </w:abstractNum>
  <w:abstractNum w:abstractNumId="71">
    <w:nsid w:val="34FD6B4F"/>
    <w:multiLevelType w:val="hybridMultilevel"/>
    <w:lvl w:ilvl="0">
      <w:lvlJc w:val="left"/>
      <w:lvlText w:val="(%1)"/>
      <w:numFmt w:val="upperLetter"/>
      <w:start w:val="2"/>
    </w:lvl>
  </w:abstractNum>
  <w:abstractNum w:abstractNumId="72">
    <w:nsid w:val="5915FF32"/>
    <w:multiLevelType w:val="hybridMultilevel"/>
    <w:lvl w:ilvl="0">
      <w:lvlJc w:val="left"/>
      <w:lvlText w:val="%1."/>
      <w:numFmt w:val="decimal"/>
      <w:start w:val="11"/>
    </w:lvl>
  </w:abstractNum>
  <w:abstractNum w:abstractNumId="73">
    <w:nsid w:val="56438D15"/>
    <w:multiLevelType w:val="hybridMultilevel"/>
    <w:lvl w:ilvl="0">
      <w:lvlJc w:val="left"/>
      <w:lvlText w:val="%1."/>
      <w:numFmt w:val="decimal"/>
      <w:start w:val="12"/>
    </w:lvl>
  </w:abstractNum>
  <w:abstractNum w:abstractNumId="74">
    <w:nsid w:val="519E3149"/>
    <w:multiLevelType w:val="hybridMultilevel"/>
    <w:lvl w:ilvl="0">
      <w:lvlJc w:val="left"/>
      <w:lvlText w:val="%1."/>
      <w:numFmt w:val="decimal"/>
      <w:start w:val="13"/>
    </w:lvl>
  </w:abstractNum>
  <w:abstractNum w:abstractNumId="75">
    <w:nsid w:val="2C6E4AFD"/>
    <w:multiLevelType w:val="hybridMultilevel"/>
    <w:lvl w:ilvl="0">
      <w:lvlJc w:val="left"/>
      <w:lvlText w:val="%1."/>
      <w:numFmt w:val="decimal"/>
      <w:start w:val="14"/>
    </w:lvl>
  </w:abstractNum>
  <w:abstractNum w:abstractNumId="76">
    <w:nsid w:val="17A1B582"/>
    <w:multiLevelType w:val="hybridMultilevel"/>
    <w:lvl w:ilvl="0">
      <w:lvlJc w:val="left"/>
      <w:lvlText w:val="%1."/>
      <w:numFmt w:val="decimal"/>
      <w:start w:val="15"/>
    </w:lvl>
  </w:abstractNum>
  <w:abstractNum w:abstractNumId="77">
    <w:nsid w:val="4DF72E4E"/>
    <w:multiLevelType w:val="hybridMultilevel"/>
    <w:lvl w:ilvl="0">
      <w:lvlJc w:val="left"/>
      <w:lvlText w:val="%1."/>
      <w:numFmt w:val="decimal"/>
      <w:start w:val="16"/>
    </w:lvl>
  </w:abstractNum>
  <w:abstractNum w:abstractNumId="78">
    <w:nsid w:val="5046B5A9"/>
    <w:multiLevelType w:val="hybridMultilevel"/>
    <w:lvl w:ilvl="0">
      <w:lvlJc w:val="left"/>
      <w:lvlText w:val="%1."/>
      <w:numFmt w:val="decimal"/>
      <w:start w:val="17"/>
    </w:lvl>
  </w:abstractNum>
  <w:abstractNum w:abstractNumId="79">
    <w:nsid w:val="5D888A08"/>
    <w:multiLevelType w:val="hybridMultilevel"/>
    <w:lvl w:ilvl="0">
      <w:lvlJc w:val="left"/>
      <w:lvlText w:val="%1."/>
      <w:numFmt w:val="decimal"/>
      <w:start w:val="18"/>
    </w:lvl>
  </w:abstractNum>
  <w:abstractNum w:abstractNumId="80">
    <w:nsid w:val="2A082C70"/>
    <w:multiLevelType w:val="hybridMultilevel"/>
    <w:lvl w:ilvl="0">
      <w:lvlJc w:val="left"/>
      <w:lvlText w:val="%1."/>
      <w:numFmt w:val="decimal"/>
      <w:start w:val="19"/>
    </w:lvl>
  </w:abstractNum>
  <w:abstractNum w:abstractNumId="81">
    <w:nsid w:val="5EC6AFD4"/>
    <w:multiLevelType w:val="hybridMultilevel"/>
    <w:lvl w:ilvl="0">
      <w:lvlJc w:val="left"/>
      <w:lvlText w:val="%1."/>
      <w:numFmt w:val="decimal"/>
      <w:start w:val="1"/>
    </w:lvl>
  </w:abstractNum>
  <w:abstractNum w:abstractNumId="82">
    <w:nsid w:val="19E21BB2"/>
    <w:multiLevelType w:val="hybridMultilevel"/>
    <w:lvl w:ilvl="0">
      <w:lvlJc w:val="left"/>
      <w:lvlText w:val="(%1)"/>
      <w:numFmt w:val="decimal"/>
      <w:start w:val="1"/>
    </w:lvl>
  </w:abstractNum>
  <w:abstractNum w:abstractNumId="83">
    <w:nsid w:val="75E0858A"/>
    <w:multiLevelType w:val="hybridMultilevel"/>
    <w:lvl w:ilvl="0">
      <w:lvlJc w:val="left"/>
      <w:lvlText w:val="(%1)"/>
      <w:numFmt w:val="decimal"/>
      <w:start w:val="8"/>
    </w:lvl>
  </w:abstractNum>
  <w:abstractNum w:abstractNumId="84">
    <w:nsid w:val="57A61A29"/>
    <w:multiLevelType w:val="hybridMultilevel"/>
    <w:lvl w:ilvl="0">
      <w:lvlJc w:val="left"/>
      <w:lvlText w:val="%1."/>
      <w:numFmt w:val="decimal"/>
      <w:start w:val="1"/>
    </w:lvl>
  </w:abstractNum>
  <w:abstractNum w:abstractNumId="85">
    <w:nsid w:val="5399C654"/>
    <w:multiLevelType w:val="hybridMultilevel"/>
    <w:lvl w:ilvl="0">
      <w:lvlJc w:val="left"/>
      <w:lvlText w:val="%1."/>
      <w:numFmt w:val="decimal"/>
      <w:start w:val="2"/>
    </w:lvl>
  </w:abstractNum>
  <w:abstractNum w:abstractNumId="86">
    <w:nsid w:val="20EE1348"/>
    <w:multiLevelType w:val="hybridMultilevel"/>
    <w:lvl w:ilvl="0">
      <w:lvlJc w:val="left"/>
      <w:lvlText w:val="%1."/>
      <w:numFmt w:val="decimal"/>
      <w:start w:val="3"/>
    </w:lvl>
  </w:abstractNum>
  <w:abstractNum w:abstractNumId="87">
    <w:nsid w:val="4427069A"/>
    <w:multiLevelType w:val="hybridMultilevel"/>
    <w:lvl w:ilvl="0">
      <w:lvlJc w:val="left"/>
      <w:lvlText w:val="%1."/>
      <w:numFmt w:val="decimal"/>
      <w:start w:val="4"/>
    </w:lvl>
  </w:abstractNum>
  <w:abstractNum w:abstractNumId="88">
    <w:nsid w:val="B37E80A"/>
    <w:multiLevelType w:val="hybridMultilevel"/>
    <w:lvl w:ilvl="0">
      <w:lvlJc w:val="left"/>
      <w:lvlText w:val="%1."/>
      <w:numFmt w:val="decimal"/>
      <w:start w:val="5"/>
    </w:lvl>
  </w:abstractNum>
  <w:abstractNum w:abstractNumId="89">
    <w:nsid w:val="2157F6BC"/>
    <w:multiLevelType w:val="hybridMultilevel"/>
    <w:lvl w:ilvl="0">
      <w:lvlJc w:val="left"/>
      <w:lvlText w:val="(%1)"/>
      <w:numFmt w:val="lowerRoman"/>
      <w:start w:val="2"/>
    </w:lvl>
  </w:abstractNum>
  <w:abstractNum w:abstractNumId="90">
    <w:nsid w:val="704E1DD5"/>
    <w:multiLevelType w:val="hybridMultilevel"/>
    <w:lvl w:ilvl="0">
      <w:lvlJc w:val="left"/>
      <w:lvlText w:val="%1."/>
      <w:numFmt w:val="decimal"/>
      <w:start w:val="6"/>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1."/>
      <w:numFmt w:val="decimal"/>
      <w:start w:val="7"/>
    </w:lvl>
  </w:abstractNum>
  <w:abstractNum w:abstractNumId="94">
    <w:nsid w:val="2E48F044"/>
    <w:multiLevelType w:val="hybridMultilevel"/>
    <w:lvl w:ilvl="0">
      <w:lvlJc w:val="left"/>
      <w:lvlText w:val="%1."/>
      <w:numFmt w:val="decimal"/>
      <w:start w:val="8"/>
    </w:lvl>
  </w:abstractNum>
  <w:abstractNum w:abstractNumId="95">
    <w:nsid w:val="49D0FEAC"/>
    <w:multiLevelType w:val="hybridMultilevel"/>
    <w:lvl w:ilvl="0">
      <w:lvlJc w:val="left"/>
      <w:lvlText w:val="%1."/>
      <w:numFmt w:val="decimal"/>
      <w:start w:val="9"/>
    </w:lvl>
  </w:abstractNum>
  <w:abstractNum w:abstractNumId="96">
    <w:nsid w:val="4BEE5A5B"/>
    <w:multiLevelType w:val="hybridMultilevel"/>
    <w:lvl w:ilvl="0">
      <w:lvlJc w:val="left"/>
      <w:lvlText w:val="%1."/>
      <w:numFmt w:val="decimal"/>
      <w:start w:val="10"/>
    </w:lvl>
  </w:abstractNum>
  <w:abstractNum w:abstractNumId="97">
    <w:nsid w:val="5551B9F3"/>
    <w:multiLevelType w:val="hybridMultilevel"/>
    <w:lvl w:ilvl="0">
      <w:lvlJc w:val="left"/>
      <w:lvlText w:val="(%1)"/>
      <w:numFmt w:val="upperLetter"/>
      <w:start w:val="2"/>
    </w:lvl>
  </w:abstractNum>
  <w:abstractNum w:abstractNumId="98">
    <w:nsid w:val="24F6AB8E"/>
    <w:multiLevelType w:val="hybridMultilevel"/>
    <w:lvl w:ilvl="0">
      <w:lvlJc w:val="left"/>
      <w:lvlText w:val="%1."/>
      <w:numFmt w:val="decimal"/>
      <w:start w:val="11"/>
    </w:lvl>
  </w:abstractNum>
  <w:abstractNum w:abstractNumId="99">
    <w:nsid w:val="634C574C"/>
    <w:multiLevelType w:val="hybridMultilevel"/>
    <w:lvl w:ilvl="0">
      <w:lvlJc w:val="left"/>
      <w:lvlText w:val="%1."/>
      <w:numFmt w:val="decimal"/>
      <w:start w:val="12"/>
    </w:lvl>
  </w:abstractNum>
  <w:abstractNum w:abstractNumId="100">
    <w:nsid w:val="24E99DD7"/>
    <w:multiLevelType w:val="hybridMultilevel"/>
    <w:lvl w:ilvl="0">
      <w:lvlJc w:val="left"/>
      <w:lvlText w:val="%1."/>
      <w:numFmt w:val="decimal"/>
      <w:start w:val="13"/>
    </w:lvl>
  </w:abstractNum>
  <w:abstractNum w:abstractNumId="101">
    <w:nsid w:val="2A31B62D"/>
    <w:multiLevelType w:val="hybridMultilevel"/>
    <w:lvl w:ilvl="0">
      <w:lvlJc w:val="left"/>
      <w:lvlText w:val="%1."/>
      <w:numFmt w:val="decimal"/>
      <w:start w:val="14"/>
    </w:lvl>
  </w:abstractNum>
  <w:abstractNum w:abstractNumId="102">
    <w:nsid w:val="1849C29B"/>
    <w:multiLevelType w:val="hybridMultilevel"/>
    <w:lvl w:ilvl="0">
      <w:lvlJc w:val="left"/>
      <w:lvlText w:val="%1."/>
      <w:numFmt w:val="decimal"/>
      <w:start w:val="15"/>
    </w:lvl>
  </w:abstractNum>
  <w:abstractNum w:abstractNumId="103">
    <w:nsid w:val="7DFF9D09"/>
    <w:multiLevelType w:val="hybridMultilevel"/>
    <w:lvl w:ilvl="0">
      <w:lvlJc w:val="left"/>
      <w:lvlText w:val="%1."/>
      <w:numFmt w:val="decimal"/>
      <w:start w:val="16"/>
    </w:lvl>
  </w:abstractNum>
  <w:abstractNum w:abstractNumId="104">
    <w:nsid w:val="754342"/>
    <w:multiLevelType w:val="hybridMultilevel"/>
    <w:lvl w:ilvl="0">
      <w:lvlJc w:val="left"/>
      <w:lvlText w:val="%1."/>
      <w:numFmt w:val="decimal"/>
      <w:start w:val="17"/>
    </w:lvl>
  </w:abstractNum>
  <w:abstractNum w:abstractNumId="105">
    <w:nsid w:val="69E7F3E5"/>
    <w:multiLevelType w:val="hybridMultilevel"/>
    <w:lvl w:ilvl="0">
      <w:lvlJc w:val="left"/>
      <w:lvlText w:val="%1."/>
      <w:numFmt w:val="decimal"/>
      <w:start w:val="18"/>
    </w:lvl>
  </w:abstractNum>
  <w:abstractNum w:abstractNumId="106">
    <w:nsid w:val="2A6DE806"/>
    <w:multiLevelType w:val="hybridMultilevel"/>
    <w:lvl w:ilvl="0">
      <w:lvlJc w:val="left"/>
      <w:lvlText w:val="%1."/>
      <w:numFmt w:val="decimal"/>
      <w:start w:val="19"/>
    </w:lvl>
  </w:abstractNum>
  <w:abstractNum w:abstractNumId="107">
    <w:nsid w:val="1816F8C4"/>
    <w:multiLevelType w:val="hybridMultilevel"/>
    <w:lvl w:ilvl="0">
      <w:lvlJc w:val="left"/>
      <w:lvlText w:val="%1."/>
      <w:numFmt w:val="decimal"/>
      <w:start w:val="1"/>
    </w:lvl>
  </w:abstractNum>
  <w:abstractNum w:abstractNumId="108">
    <w:nsid w:val="37DF2233"/>
    <w:multiLevelType w:val="hybridMultilevel"/>
    <w:lvl w:ilvl="0">
      <w:lvlJc w:val="left"/>
      <w:lvlText w:val="(%1)"/>
      <w:numFmt w:val="decimal"/>
      <w:start w:val="1"/>
    </w:lvl>
  </w:abstractNum>
  <w:abstractNum w:abstractNumId="109">
    <w:nsid w:val="7AB49DAF"/>
    <w:multiLevelType w:val="hybridMultilevel"/>
    <w:lvl w:ilvl="0">
      <w:lvlJc w:val="left"/>
      <w:lvlText w:val="(%1)"/>
      <w:numFmt w:val="decimal"/>
      <w:start w:val="9"/>
    </w:lvl>
  </w:abstractNum>
  <w:abstractNum w:abstractNumId="110">
    <w:nsid w:val="759F82CD"/>
    <w:multiLevelType w:val="hybridMultilevel"/>
    <w:lvl w:ilvl="0">
      <w:lvlJc w:val="left"/>
      <w:lvlText w:val="%1."/>
      <w:numFmt w:val="decimal"/>
      <w:start w:val="1"/>
    </w:lvl>
  </w:abstractNum>
  <w:abstractNum w:abstractNumId="111">
    <w:nsid w:val="61E74EA3"/>
    <w:multiLevelType w:val="hybridMultilevel"/>
    <w:lvl w:ilvl="0">
      <w:lvlJc w:val="left"/>
      <w:lvlText w:val="%1."/>
      <w:numFmt w:val="decimal"/>
      <w:start w:val="2"/>
    </w:lvl>
  </w:abstractNum>
  <w:abstractNum w:abstractNumId="112">
    <w:nsid w:val="597B4D84"/>
    <w:multiLevelType w:val="hybridMultilevel"/>
    <w:lvl w:ilvl="0">
      <w:lvlJc w:val="left"/>
      <w:lvlText w:val="%1."/>
      <w:numFmt w:val="decimal"/>
      <w:start w:val="3"/>
    </w:lvl>
  </w:abstractNum>
  <w:abstractNum w:abstractNumId="113">
    <w:nsid w:val="F819E7F"/>
    <w:multiLevelType w:val="hybridMultilevel"/>
    <w:lvl w:ilvl="0">
      <w:lvlJc w:val="left"/>
      <w:lvlText w:val="%1."/>
      <w:numFmt w:val="decimal"/>
      <w:start w:val="4"/>
    </w:lvl>
  </w:abstractNum>
  <w:abstractNum w:abstractNumId="114">
    <w:nsid w:val="57C7D42D"/>
    <w:multiLevelType w:val="hybridMultilevel"/>
    <w:lvl w:ilvl="0">
      <w:lvlJc w:val="left"/>
      <w:lvlText w:val="%1."/>
      <w:numFmt w:val="decimal"/>
      <w:start w:val="5"/>
    </w:lvl>
  </w:abstractNum>
  <w:abstractNum w:abstractNumId="115">
    <w:nsid w:val="312167AD"/>
    <w:multiLevelType w:val="hybridMultilevel"/>
    <w:lvl w:ilvl="0">
      <w:lvlJc w:val="left"/>
      <w:lvlText w:val="(%1)"/>
      <w:numFmt w:val="lowerRoman"/>
      <w:start w:val="2"/>
    </w:lvl>
  </w:abstractNum>
  <w:abstractNum w:abstractNumId="116">
    <w:nsid w:val="631B64D4"/>
    <w:multiLevelType w:val="hybridMultilevel"/>
    <w:lvl w:ilvl="0">
      <w:lvlJc w:val="left"/>
      <w:lvlText w:val="%1."/>
      <w:numFmt w:val="decimal"/>
      <w:start w:val="6"/>
    </w:lvl>
  </w:abstractNum>
  <w:abstractNum w:abstractNumId="117">
    <w:nsid w:val="78B5E776"/>
    <w:multiLevelType w:val="hybridMultilevel"/>
    <w:lvl w:ilvl="0">
      <w:lvlJc w:val="left"/>
      <w:lvlText w:val="·"/>
      <w:numFmt w:val="bullet"/>
      <w:start w:val="1"/>
    </w:lvl>
  </w:abstractNum>
  <w:abstractNum w:abstractNumId="118">
    <w:nsid w:val="75486E47"/>
    <w:multiLevelType w:val="hybridMultilevel"/>
    <w:lvl w:ilvl="0">
      <w:lvlJc w:val="left"/>
      <w:lvlText w:val="·"/>
      <w:numFmt w:val="bullet"/>
      <w:start w:val="1"/>
    </w:lvl>
  </w:abstractNum>
  <w:abstractNum w:abstractNumId="119">
    <w:nsid w:val="6E534CDE"/>
    <w:multiLevelType w:val="hybridMultilevel"/>
    <w:lvl w:ilvl="0">
      <w:lvlJc w:val="left"/>
      <w:lvlText w:val="%1."/>
      <w:numFmt w:val="decimal"/>
      <w:start w:val="7"/>
    </w:lvl>
  </w:abstractNum>
  <w:abstractNum w:abstractNumId="120">
    <w:nsid w:val="1A0DDE32"/>
    <w:multiLevelType w:val="hybridMultilevel"/>
    <w:lvl w:ilvl="0">
      <w:lvlJc w:val="left"/>
      <w:lvlText w:val="%1."/>
      <w:numFmt w:val="decimal"/>
      <w:start w:val="8"/>
    </w:lvl>
  </w:abstractNum>
  <w:abstractNum w:abstractNumId="121">
    <w:nsid w:val="65968C1C"/>
    <w:multiLevelType w:val="hybridMultilevel"/>
    <w:lvl w:ilvl="0">
      <w:lvlJc w:val="left"/>
      <w:lvlText w:val="%1."/>
      <w:numFmt w:val="decimal"/>
      <w:start w:val="9"/>
    </w:lvl>
  </w:abstractNum>
  <w:abstractNum w:abstractNumId="122">
    <w:nsid w:val="46263DEC"/>
    <w:multiLevelType w:val="hybridMultilevel"/>
    <w:lvl w:ilvl="0">
      <w:lvlJc w:val="left"/>
      <w:lvlText w:val="%1."/>
      <w:numFmt w:val="decimal"/>
      <w:start w:val="10"/>
    </w:lvl>
  </w:abstractNum>
  <w:abstractNum w:abstractNumId="123">
    <w:nsid w:val="260D8C4A"/>
    <w:multiLevelType w:val="hybridMultilevel"/>
    <w:lvl w:ilvl="0">
      <w:lvlJc w:val="left"/>
      <w:lvlText w:val="(%1)"/>
      <w:numFmt w:val="upperLetter"/>
      <w:start w:val="2"/>
    </w:lvl>
  </w:abstractNum>
  <w:abstractNum w:abstractNumId="124">
    <w:nsid w:val="73D4D3C4"/>
    <w:multiLevelType w:val="hybridMultilevel"/>
    <w:lvl w:ilvl="0">
      <w:lvlJc w:val="left"/>
      <w:lvlText w:val="%1."/>
      <w:numFmt w:val="decimal"/>
      <w:start w:val="11"/>
    </w:lvl>
  </w:abstractNum>
  <w:abstractNum w:abstractNumId="125">
    <w:nsid w:val="746F2E30"/>
    <w:multiLevelType w:val="hybridMultilevel"/>
    <w:lvl w:ilvl="0">
      <w:lvlJc w:val="left"/>
      <w:lvlText w:val="%1."/>
      <w:numFmt w:val="decimal"/>
      <w:start w:val="12"/>
    </w:lvl>
  </w:abstractNum>
  <w:abstractNum w:abstractNumId="126">
    <w:nsid w:val="6FDE8AF6"/>
    <w:multiLevelType w:val="hybridMultilevel"/>
    <w:lvl w:ilvl="0">
      <w:lvlJc w:val="left"/>
      <w:lvlText w:val="%1."/>
      <w:numFmt w:val="decimal"/>
      <w:start w:val="13"/>
    </w:lvl>
  </w:abstractNum>
  <w:abstractNum w:abstractNumId="127">
    <w:nsid w:val="3FC32E20"/>
    <w:multiLevelType w:val="hybridMultilevel"/>
    <w:lvl w:ilvl="0">
      <w:lvlJc w:val="left"/>
      <w:lvlText w:val="%1."/>
      <w:numFmt w:val="decimal"/>
      <w:start w:val="14"/>
    </w:lvl>
  </w:abstractNum>
  <w:abstractNum w:abstractNumId="128">
    <w:nsid w:val="49C0E823"/>
    <w:multiLevelType w:val="hybridMultilevel"/>
    <w:lvl w:ilvl="0">
      <w:lvlJc w:val="left"/>
      <w:lvlText w:val="%1."/>
      <w:numFmt w:val="decimal"/>
      <w:start w:val="15"/>
    </w:lvl>
  </w:abstractNum>
  <w:abstractNum w:abstractNumId="129">
    <w:nsid w:val="14D53685"/>
    <w:multiLevelType w:val="hybridMultilevel"/>
    <w:lvl w:ilvl="0">
      <w:lvlJc w:val="left"/>
      <w:lvlText w:val="%1."/>
      <w:numFmt w:val="decimal"/>
      <w:start w:val="16"/>
    </w:lvl>
  </w:abstractNum>
  <w:abstractNum w:abstractNumId="130">
    <w:nsid w:val="230F856C"/>
    <w:multiLevelType w:val="hybridMultilevel"/>
    <w:lvl w:ilvl="0">
      <w:lvlJc w:val="left"/>
      <w:lvlText w:val="%1."/>
      <w:numFmt w:val="decimal"/>
      <w:start w:val="17"/>
    </w:lvl>
  </w:abstractNum>
  <w:abstractNum w:abstractNumId="131">
    <w:nsid w:val="6EAA85FB"/>
    <w:multiLevelType w:val="hybridMultilevel"/>
    <w:lvl w:ilvl="0">
      <w:lvlJc w:val="left"/>
      <w:lvlText w:val="%1."/>
      <w:numFmt w:val="decimal"/>
      <w:start w:val="18"/>
    </w:lvl>
  </w:abstractNum>
  <w:abstractNum w:abstractNumId="132">
    <w:nsid w:val="3F06ECB2"/>
    <w:multiLevelType w:val="hybridMultilevel"/>
    <w:lvl w:ilvl="0">
      <w:lvlJc w:val="left"/>
      <w:lvlText w:val="%1."/>
      <w:numFmt w:val="decimal"/>
      <w:start w:val="19"/>
    </w:lvl>
  </w:abstractNum>
  <w:abstractNum w:abstractNumId="133">
    <w:nsid w:val="3B594807"/>
    <w:multiLevelType w:val="hybridMultilevel"/>
    <w:lvl w:ilvl="0">
      <w:lvlJc w:val="left"/>
      <w:lvlText w:val="%1."/>
      <w:numFmt w:val="decimal"/>
      <w:start w:val="1"/>
    </w:lvl>
  </w:abstractNum>
  <w:abstractNum w:abstractNumId="134">
    <w:nsid w:val="6CAA2304"/>
    <w:multiLevelType w:val="hybridMultilevel"/>
    <w:lvl w:ilvl="0">
      <w:lvlJc w:val="left"/>
      <w:lvlText w:val="(%1)"/>
      <w:numFmt w:val="decimal"/>
      <w:start w:val="1"/>
    </w:lvl>
  </w:abstractNum>
  <w:abstractNum w:abstractNumId="135">
    <w:nsid w:val="3F7C2FF4"/>
    <w:multiLevelType w:val="hybridMultilevel"/>
    <w:lvl w:ilvl="0">
      <w:lvlJc w:val="left"/>
      <w:lvlText w:val="(%1)"/>
      <w:numFmt w:val="decimal"/>
      <w:start w:val="9"/>
    </w:lvl>
  </w:abstractNum>
  <w:abstractNum w:abstractNumId="136">
    <w:nsid w:val="25413BEC"/>
    <w:multiLevelType w:val="hybridMultilevel"/>
    <w:lvl w:ilvl="0">
      <w:lvlJc w:val="left"/>
      <w:lvlText w:val="%1."/>
      <w:numFmt w:val="decimal"/>
      <w:start w:val="1"/>
    </w:lvl>
  </w:abstractNum>
  <w:abstractNum w:abstractNumId="137">
    <w:nsid w:val="17180B0B"/>
    <w:multiLevelType w:val="hybridMultilevel"/>
    <w:lvl w:ilvl="0">
      <w:lvlJc w:val="left"/>
      <w:lvlText w:val="%1."/>
      <w:numFmt w:val="decimal"/>
      <w:start w:val="2"/>
    </w:lvl>
  </w:abstractNum>
  <w:abstractNum w:abstractNumId="138">
    <w:nsid w:val="579328B9"/>
    <w:multiLevelType w:val="hybridMultilevel"/>
    <w:lvl w:ilvl="0">
      <w:lvlJc w:val="left"/>
      <w:lvlText w:val="%1."/>
      <w:numFmt w:val="decimal"/>
      <w:start w:val="3"/>
    </w:lvl>
  </w:abstractNum>
  <w:abstractNum w:abstractNumId="139">
    <w:nsid w:val="5D205E20"/>
    <w:multiLevelType w:val="hybridMultilevel"/>
    <w:lvl w:ilvl="0">
      <w:lvlJc w:val="left"/>
      <w:lvlText w:val="%1."/>
      <w:numFmt w:val="decimal"/>
      <w:start w:val="4"/>
    </w:lvl>
  </w:abstractNum>
  <w:abstractNum w:abstractNumId="140">
    <w:nsid w:val="11CCA8BA"/>
    <w:multiLevelType w:val="hybridMultilevel"/>
    <w:lvl w:ilvl="0">
      <w:lvlJc w:val="left"/>
      <w:lvlText w:val="%1."/>
      <w:numFmt w:val="decimal"/>
      <w:start w:val="5"/>
    </w:lvl>
  </w:abstractNum>
  <w:abstractNum w:abstractNumId="141">
    <w:nsid w:val="4D32AB86"/>
    <w:multiLevelType w:val="hybridMultilevel"/>
    <w:lvl w:ilvl="0">
      <w:lvlJc w:val="left"/>
      <w:lvlText w:val="(%1)"/>
      <w:numFmt w:val="lowerRoman"/>
      <w:start w:val="2"/>
    </w:lvl>
  </w:abstractNum>
  <w:abstractNum w:abstractNumId="142">
    <w:nsid w:val="3F07ACC3"/>
    <w:multiLevelType w:val="hybridMultilevel"/>
    <w:lvl w:ilvl="0">
      <w:lvlJc w:val="left"/>
      <w:lvlText w:val="%1."/>
      <w:numFmt w:val="decimal"/>
      <w:start w:val="6"/>
    </w:lvl>
  </w:abstractNum>
  <w:abstractNum w:abstractNumId="143">
    <w:nsid w:val="6B47F63E"/>
    <w:multiLevelType w:val="hybridMultilevel"/>
    <w:lvl w:ilvl="0">
      <w:lvlJc w:val="left"/>
      <w:lvlText w:val="·"/>
      <w:numFmt w:val="bullet"/>
      <w:start w:val="1"/>
    </w:lvl>
  </w:abstractNum>
  <w:abstractNum w:abstractNumId="144">
    <w:nsid w:val="5CB44A05"/>
    <w:multiLevelType w:val="hybridMultilevel"/>
    <w:lvl w:ilvl="0">
      <w:lvlJc w:val="left"/>
      <w:lvlText w:val="%1."/>
      <w:numFmt w:val="decimal"/>
      <w:start w:val="7"/>
    </w:lvl>
  </w:abstractNum>
  <w:abstractNum w:abstractNumId="145">
    <w:nsid w:val="16CF80F1"/>
    <w:multiLevelType w:val="hybridMultilevel"/>
    <w:lvl w:ilvl="0">
      <w:lvlJc w:val="left"/>
      <w:lvlText w:val="%1."/>
      <w:numFmt w:val="decimal"/>
      <w:start w:val="8"/>
    </w:lvl>
  </w:abstractNum>
  <w:abstractNum w:abstractNumId="146">
    <w:nsid w:val="1C695DEC"/>
    <w:multiLevelType w:val="hybridMultilevel"/>
    <w:lvl w:ilvl="0">
      <w:lvlJc w:val="left"/>
      <w:lvlText w:val="%1."/>
      <w:numFmt w:val="decimal"/>
      <w:start w:val="9"/>
    </w:lvl>
  </w:abstractNum>
  <w:abstractNum w:abstractNumId="147">
    <w:nsid w:val="3FCFAED9"/>
    <w:multiLevelType w:val="hybridMultilevel"/>
    <w:lvl w:ilvl="0">
      <w:lvlJc w:val="left"/>
      <w:lvlText w:val="%1."/>
      <w:numFmt w:val="decimal"/>
      <w:start w:val="10"/>
    </w:lvl>
  </w:abstractNum>
  <w:abstractNum w:abstractNumId="148">
    <w:nsid w:val="F856867"/>
    <w:multiLevelType w:val="hybridMultilevel"/>
    <w:lvl w:ilvl="0">
      <w:lvlJc w:val="left"/>
      <w:lvlText w:val="(%1)"/>
      <w:numFmt w:val="upperLetter"/>
      <w:start w:val="2"/>
    </w:lvl>
  </w:abstractNum>
  <w:abstractNum w:abstractNumId="149">
    <w:nsid w:val="11B1CC33"/>
    <w:multiLevelType w:val="hybridMultilevel"/>
    <w:lvl w:ilvl="0">
      <w:lvlJc w:val="left"/>
      <w:lvlText w:val="%1."/>
      <w:numFmt w:val="decimal"/>
      <w:start w:val="11"/>
    </w:lvl>
  </w:abstractNum>
  <w:abstractNum w:abstractNumId="150">
    <w:nsid w:val="2E22FBB7"/>
    <w:multiLevelType w:val="hybridMultilevel"/>
    <w:lvl w:ilvl="0">
      <w:lvlJc w:val="left"/>
      <w:lvlText w:val="%1."/>
      <w:numFmt w:val="decimal"/>
      <w:start w:val="12"/>
    </w:lvl>
  </w:abstractNum>
  <w:abstractNum w:abstractNumId="151">
    <w:nsid w:val="29934699"/>
    <w:multiLevelType w:val="hybridMultilevel"/>
    <w:lvl w:ilvl="0">
      <w:lvlJc w:val="left"/>
      <w:lvlText w:val="%1."/>
      <w:numFmt w:val="decimal"/>
      <w:start w:val="13"/>
    </w:lvl>
  </w:abstractNum>
  <w:abstractNum w:abstractNumId="152">
    <w:nsid w:val="77485850"/>
    <w:multiLevelType w:val="hybridMultilevel"/>
    <w:lvl w:ilvl="0">
      <w:lvlJc w:val="left"/>
      <w:lvlText w:val="%1."/>
      <w:numFmt w:val="decimal"/>
      <w:start w:val="14"/>
    </w:lvl>
  </w:abstractNum>
  <w:abstractNum w:abstractNumId="153">
    <w:nsid w:val="744939A3"/>
    <w:multiLevelType w:val="hybridMultilevel"/>
    <w:lvl w:ilvl="0">
      <w:lvlJc w:val="left"/>
      <w:lvlText w:val="%1."/>
      <w:numFmt w:val="decimal"/>
      <w:start w:val="15"/>
    </w:lvl>
  </w:abstractNum>
  <w:abstractNum w:abstractNumId="154">
    <w:nsid w:val="4FA0D2E3"/>
    <w:multiLevelType w:val="hybridMultilevel"/>
    <w:lvl w:ilvl="0">
      <w:lvlJc w:val="left"/>
      <w:lvlText w:val="%1."/>
      <w:numFmt w:val="decimal"/>
      <w:start w:val="16"/>
    </w:lvl>
  </w:abstractNum>
  <w:abstractNum w:abstractNumId="155">
    <w:nsid w:val="6B1D2C14"/>
    <w:multiLevelType w:val="hybridMultilevel"/>
    <w:lvl w:ilvl="0">
      <w:lvlJc w:val="left"/>
      <w:lvlText w:val="%1."/>
      <w:numFmt w:val="decimal"/>
      <w:start w:val="17"/>
    </w:lvl>
  </w:abstractNum>
  <w:abstractNum w:abstractNumId="156">
    <w:nsid w:val="68B867D3"/>
    <w:multiLevelType w:val="hybridMultilevel"/>
    <w:lvl w:ilvl="0">
      <w:lvlJc w:val="left"/>
      <w:lvlText w:val="%1."/>
      <w:numFmt w:val="decimal"/>
      <w:start w:val="18"/>
    </w:lvl>
  </w:abstractNum>
  <w:abstractNum w:abstractNumId="157">
    <w:nsid w:val="3F7F5DD9"/>
    <w:multiLevelType w:val="hybridMultilevel"/>
    <w:lvl w:ilvl="0">
      <w:lvlJc w:val="left"/>
      <w:lvlText w:val="%1."/>
      <w:numFmt w:val="decimal"/>
      <w:start w:val="19"/>
    </w:lvl>
  </w:abstractNum>
  <w:abstractNum w:abstractNumId="158">
    <w:nsid w:val="2AE05A34"/>
    <w:multiLevelType w:val="hybridMultilevel"/>
    <w:lvl w:ilvl="0">
      <w:lvlJc w:val="left"/>
      <w:lvlText w:val="(%1)"/>
      <w:numFmt w:val="lowerLetter"/>
      <w:start w:val="1"/>
    </w:lvl>
  </w:abstractNum>
  <w:abstractNum w:abstractNumId="159">
    <w:nsid w:val="32794FF7"/>
    <w:multiLevelType w:val="hybridMultilevel"/>
    <w:lvl w:ilvl="0">
      <w:lvlJc w:val="left"/>
      <w:lvlText w:val="(%1)"/>
      <w:numFmt w:val="lowerRoman"/>
      <w:start w:val="1"/>
    </w:lvl>
  </w:abstractNum>
  <w:abstractNum w:abstractNumId="160">
    <w:nsid w:val="5454945E"/>
    <w:multiLevelType w:val="hybridMultilevel"/>
    <w:lvl w:ilvl="0">
      <w:lvlJc w:val="left"/>
      <w:lvlText w:val="(%1)"/>
      <w:numFmt w:val="lowerRoman"/>
      <w:start w:val="4"/>
    </w:lvl>
  </w:abstractNum>
  <w:abstractNum w:abstractNumId="161">
    <w:nsid w:val="4DEFDFA0"/>
    <w:multiLevelType w:val="hybridMultilevel"/>
    <w:lvl w:ilvl="0">
      <w:lvlJc w:val="left"/>
      <w:lvlText w:val="(%1)"/>
      <w:numFmt w:val="lowerLetter"/>
      <w:start w:val="1"/>
    </w:lvl>
  </w:abstractNum>
  <w:abstractNum w:abstractNumId="162">
    <w:nsid w:val="2123D5F2"/>
    <w:multiLevelType w:val="hybridMultilevel"/>
    <w:lvl w:ilvl="0">
      <w:lvlJc w:val="left"/>
      <w:lvlText w:val="(%1)"/>
      <w:numFmt w:val="upperLetter"/>
      <w:start w:val="4"/>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lowerRoman"/>
      <w:start w:val="1"/>
    </w:lvl>
  </w:abstractNum>
  <w:abstractNum w:abstractNumId="165">
    <w:nsid w:val="DCDF8F6"/>
    <w:multiLevelType w:val="hybridMultilevel"/>
    <w:lvl w:ilvl="0">
      <w:lvlJc w:val="left"/>
      <w:lvlText w:val="(%1)"/>
      <w:numFmt w:val="lowerLetter"/>
      <w:start w:val="1"/>
    </w:lvl>
  </w:abstractNum>
  <w:abstractNum w:abstractNumId="166">
    <w:nsid w:val="52D7B105"/>
    <w:multiLevelType w:val="hybridMultilevel"/>
    <w:lvl w:ilvl="0">
      <w:lvlJc w:val="left"/>
      <w:lvlText w:val="(%1)"/>
      <w:numFmt w:val="upperLetter"/>
      <w:start w:val="4"/>
    </w:lvl>
  </w:abstractNum>
  <w:abstractNum w:abstractNumId="167">
    <w:nsid w:val="2E8A6394"/>
    <w:multiLevelType w:val="hybridMultilevel"/>
    <w:lvl w:ilvl="0">
      <w:lvlJc w:val="left"/>
      <w:lvlText w:val="(%1)"/>
      <w:numFmt w:val="lowerLetter"/>
      <w:start w:val="1"/>
    </w:lvl>
  </w:abstractNum>
  <w:abstractNum w:abstractNumId="168">
    <w:nsid w:val="24E60401"/>
    <w:multiLevelType w:val="hybridMultilevel"/>
    <w:lvl w:ilvl="0">
      <w:lvlJc w:val="left"/>
      <w:lvlText w:val="(%1)"/>
      <w:numFmt w:val="lowerRoman"/>
      <w:start w:val="1"/>
    </w:lvl>
  </w:abstractNum>
  <w:abstractNum w:abstractNumId="169">
    <w:nsid w:val="2A6AD9BE"/>
    <w:multiLevelType w:val="hybridMultilevel"/>
    <w:lvl w:ilvl="0">
      <w:lvlJc w:val="left"/>
      <w:lvlText w:val="(%1)"/>
      <w:numFmt w:val="lowerRoman"/>
      <w:start w:val="2"/>
    </w:lvl>
  </w:abstractNum>
  <w:abstractNum w:abstractNumId="170">
    <w:nsid w:val="BAAC1B4"/>
    <w:multiLevelType w:val="hybridMultilevel"/>
    <w:lvl w:ilvl="0">
      <w:lvlJc w:val="left"/>
      <w:lvlText w:val="(%1)"/>
      <w:numFmt w:val="lowerRoman"/>
      <w:start w:val="4"/>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lowerLetter"/>
      <w:start w:val="1"/>
    </w:lvl>
  </w:abstractNum>
  <w:abstractNum w:abstractNumId="173">
    <w:nsid w:val="4AB26E78"/>
    <w:multiLevelType w:val="hybridMultilevel"/>
    <w:lvl w:ilvl="0">
      <w:lvlJc w:val="left"/>
      <w:lvlText w:val="(%1)"/>
      <w:numFmt w:val="lowerRoman"/>
      <w:start w:val="1"/>
    </w:lvl>
  </w:abstractNum>
  <w:abstractNum w:abstractNumId="174">
    <w:nsid w:val="21FAA2FA"/>
    <w:multiLevelType w:val="hybridMultilevel"/>
    <w:lvl w:ilvl="0">
      <w:lvlJc w:val="left"/>
      <w:lvlText w:val="(%1)"/>
      <w:numFmt w:val="lowerLetter"/>
      <w:start w:val="1"/>
    </w:lvl>
  </w:abstractNum>
  <w:abstractNum w:abstractNumId="175">
    <w:nsid w:val="5451CF49"/>
    <w:multiLevelType w:val="hybridMultilevel"/>
    <w:lvl w:ilvl="0">
      <w:lvlJc w:val="left"/>
      <w:lvlText w:val="(%1)"/>
      <w:numFmt w:val="upperLetter"/>
      <w:start w:val="4"/>
    </w:lvl>
  </w:abstractNum>
  <w:abstractNum w:abstractNumId="176">
    <w:nsid w:val="6181EF6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png"/><Relationship Id="rId15" Type="http://schemas.openxmlformats.org/officeDocument/2006/relationships/hyperlink" Target="https://www.sec.gov/Archives/edgar/data/823768/0000950129-97-003909-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2020-11-12T11:34:55Z</dcterms:created>
  <dcterms:modified xsi:type="dcterms:W3CDTF">2020-11-12T11:34:55Z</dcterms:modified>
</cp:coreProperties>
</file>