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6" w:lineRule="exact"/>
        <w:rPr>
          <w:sz w:val="24"/>
          <w:szCs w:val="24"/>
          <w:color w:val="auto"/>
        </w:rPr>
      </w:pPr>
    </w:p>
    <w:p>
      <w:pPr>
        <w:ind w:left="520" w:right="1400" w:hanging="373"/>
        <w:spacing w:after="0" w:line="364" w:lineRule="auto"/>
        <w:tabs>
          <w:tab w:leader="none" w:pos="5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AND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AND EXCHANGE ACT OF 1934</w:t>
      </w:r>
    </w:p>
    <w:p>
      <w:pPr>
        <w:sectPr>
          <w:pgSz w:w="11900" w:h="16838" w:orient="portrait"/>
          <w:cols w:equalWidth="0" w:num="1">
            <w:col w:w="10240"/>
          </w:cols>
          <w:pgMar w:left="820" w:top="661" w:right="839" w:bottom="1440" w:gutter="0" w:footer="0" w:header="0"/>
        </w:sectPr>
      </w:pPr>
    </w:p>
    <w:p>
      <w:pPr>
        <w:spacing w:after="0" w:line="81" w:lineRule="exact"/>
        <w:rPr>
          <w:sz w:val="24"/>
          <w:szCs w:val="24"/>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0240"/>
          </w:cols>
          <w:pgMar w:left="820" w:top="661" w:right="839"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1-12154</w:t>
      </w:r>
    </w:p>
    <w:p>
      <w:pPr>
        <w:sectPr>
          <w:pgSz w:w="11900" w:h="16838" w:orient="portrait"/>
          <w:cols w:equalWidth="0" w:num="1">
            <w:col w:w="10240"/>
          </w:cols>
          <w:pgMar w:left="820" w:top="661" w:right="8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Waste Management,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73-1309529</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20" w:type="dxa"/>
            <w:vAlign w:val="bottom"/>
          </w:tcPr>
          <w:p>
            <w:pPr>
              <w:jc w:val="center"/>
              <w:ind w:right="160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800 Capitol Street</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Suite 3000</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77002</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Houston, Texas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right="162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gridSpan w:val="2"/>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20" w:type="dxa"/>
            <w:vAlign w:val="bottom"/>
            <w:gridSpan w:val="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50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Common Stock, $0.01 par</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108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rPr>
              <w:t>WM</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56"/>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60"/>
        <w:spacing w:after="0" w:line="161" w:lineRule="exact"/>
        <w:tabs>
          <w:tab w:leader="none" w:pos="77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7" w:lineRule="exact"/>
        <w:rPr>
          <w:sz w:val="24"/>
          <w:szCs w:val="24"/>
          <w:color w:val="auto"/>
        </w:rPr>
      </w:pPr>
    </w:p>
    <w:p>
      <w:pPr>
        <w:jc w:val="both"/>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Regulations S-T (§</w:t>
      </w:r>
    </w:p>
    <w:p>
      <w:pPr>
        <w:spacing w:after="0" w:line="12" w:lineRule="exact"/>
        <w:rPr>
          <w:sz w:val="24"/>
          <w:szCs w:val="24"/>
          <w:color w:val="auto"/>
        </w:rPr>
      </w:pPr>
    </w:p>
    <w:p>
      <w:pPr>
        <w:ind w:left="20"/>
        <w:spacing w:after="0" w:line="161" w:lineRule="exact"/>
        <w:tabs>
          <w:tab w:leader="none" w:pos="8960" w:val="left"/>
        </w:tabs>
        <w:rPr>
          <w:sz w:val="20"/>
          <w:szCs w:val="20"/>
          <w:color w:val="auto"/>
        </w:rPr>
      </w:pP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left="20" w:right="2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type w:val="continuous"/>
        </w:sectPr>
      </w:pPr>
    </w:p>
    <w:p>
      <w:pPr>
        <w:spacing w:after="0" w:line="24"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2"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7760" w:space="720"/>
            <w:col w:w="1760"/>
          </w:cols>
          <w:pgMar w:left="820" w:top="661" w:right="839" w:bottom="1440" w:gutter="0" w:footer="0" w:header="0"/>
          <w:type w:val="continuous"/>
        </w:sect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3"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 w:lineRule="exact"/>
        <w:rPr>
          <w:sz w:val="24"/>
          <w:szCs w:val="24"/>
          <w:color w:val="auto"/>
        </w:r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6"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jc w:val="both"/>
        <w:ind w:left="20" w:firstLine="25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2025 was approximately $92.0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The number of shares of Common Stock, $0.01 par value, of the registrant outstanding as of February 5, 2026 was 403,335,781 (excluding treasury shares of 226,946,680).</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1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40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Incorporated as to</w:t>
            </w:r>
          </w:p>
        </w:tc>
      </w:tr>
      <w:tr>
        <w:trPr>
          <w:trHeight w:val="119"/>
        </w:trPr>
        <w:tc>
          <w:tcPr>
            <w:tcW w:w="2180" w:type="dxa"/>
            <w:vAlign w:val="bottom"/>
          </w:tcPr>
          <w:p>
            <w:pPr>
              <w:ind w:left="1820"/>
              <w:spacing w:after="0" w:line="119" w:lineRule="exact"/>
              <w:rPr>
                <w:sz w:val="20"/>
                <w:szCs w:val="20"/>
                <w:color w:val="auto"/>
              </w:rPr>
            </w:pPr>
            <w:r>
              <w:rPr>
                <w:rFonts w:ascii="Times New Roman" w:cs="Times New Roman" w:eastAsia="Times New Roman" w:hAnsi="Times New Roman"/>
                <w:sz w:val="13"/>
                <w:szCs w:val="13"/>
                <w:color w:val="auto"/>
              </w:rPr>
              <w:t>Proxy</w:t>
            </w: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Statement</w:t>
            </w:r>
          </w:p>
        </w:tc>
        <w:tc>
          <w:tcPr>
            <w:tcW w:w="15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for the</w:t>
            </w:r>
          </w:p>
        </w:tc>
        <w:tc>
          <w:tcPr>
            <w:tcW w:w="1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Part III</w:t>
            </w:r>
          </w:p>
        </w:tc>
        <w:tc>
          <w:tcPr>
            <w:tcW w:w="1940" w:type="dxa"/>
            <w:vAlign w:val="bottom"/>
          </w:tcPr>
          <w:p>
            <w:pPr>
              <w:spacing w:after="0"/>
              <w:rPr>
                <w:sz w:val="10"/>
                <w:szCs w:val="10"/>
                <w:color w:val="auto"/>
              </w:rPr>
            </w:pPr>
          </w:p>
        </w:tc>
      </w:tr>
      <w:tr>
        <w:trPr>
          <w:trHeight w:val="188"/>
        </w:trPr>
        <w:tc>
          <w:tcPr>
            <w:tcW w:w="4360" w:type="dxa"/>
            <w:vAlign w:val="bottom"/>
            <w:gridSpan w:val="3"/>
          </w:tcPr>
          <w:p>
            <w:pPr>
              <w:jc w:val="center"/>
              <w:ind w:left="570"/>
              <w:spacing w:after="0"/>
              <w:rPr>
                <w:sz w:val="20"/>
                <w:szCs w:val="20"/>
                <w:color w:val="auto"/>
              </w:rPr>
            </w:pPr>
            <w:r>
              <w:rPr>
                <w:rFonts w:ascii="Times New Roman" w:cs="Times New Roman" w:eastAsia="Times New Roman" w:hAnsi="Times New Roman"/>
                <w:sz w:val="14"/>
                <w:szCs w:val="14"/>
                <w:color w:val="auto"/>
              </w:rPr>
              <w:t>2026 Annual Meeting of Stockholders</w:t>
            </w:r>
          </w:p>
        </w:tc>
        <w:tc>
          <w:tcPr>
            <w:tcW w:w="1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64"/>
        </w:trPr>
        <w:tc>
          <w:tcPr>
            <w:tcW w:w="2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601"/>
        </w:trPr>
        <w:tc>
          <w:tcPr>
            <w:tcW w:w="2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6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0000EE"/>
              </w:rPr>
              <w:t>Cautionary Statement on Forward-Looking Statements</w:t>
            </w: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60" w:type="dxa"/>
            <w:vAlign w:val="bottom"/>
            <w:gridSpan w:val="34"/>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13"/>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3420" w:type="dxa"/>
            <w:vAlign w:val="bottom"/>
            <w:gridSpan w:val="17"/>
          </w:tcPr>
          <w:p>
            <w:pPr>
              <w:ind w:left="6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tcPr>
          <w:p>
            <w:pPr>
              <w:spacing w:after="0"/>
              <w:rPr>
                <w:sz w:val="17"/>
                <w:szCs w:val="17"/>
                <w:color w:val="auto"/>
              </w:rPr>
            </w:pPr>
          </w:p>
        </w:tc>
        <w:tc>
          <w:tcPr>
            <w:tcW w:w="338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1C.</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gridSpan w:val="14"/>
          </w:tcPr>
          <w:p>
            <w:pPr>
              <w:jc w:val="center"/>
              <w:ind w:right="3340"/>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5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860" w:type="dxa"/>
            <w:vAlign w:val="bottom"/>
            <w:tcBorders>
              <w:top w:val="single" w:sz="8" w:color="0000EE"/>
            </w:tcBorders>
            <w:gridSpan w:val="3"/>
          </w:tcPr>
          <w:p>
            <w:pPr>
              <w:spacing w:after="0"/>
              <w:rPr>
                <w:sz w:val="17"/>
                <w:szCs w:val="17"/>
                <w:color w:val="auto"/>
              </w:rPr>
            </w:pPr>
          </w:p>
        </w:tc>
        <w:tc>
          <w:tcPr>
            <w:tcW w:w="24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10.</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gridSpan w:val="15"/>
          </w:tcPr>
          <w:p>
            <w:pPr>
              <w:jc w:val="center"/>
              <w:ind w:right="3300"/>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15.</w:t>
            </w:r>
          </w:p>
        </w:tc>
        <w:tc>
          <w:tcPr>
            <w:tcW w:w="100" w:type="dxa"/>
            <w:vAlign w:val="bottom"/>
            <w:gridSpan w:val="2"/>
          </w:tcPr>
          <w:p>
            <w:pPr>
              <w:spacing w:after="0"/>
              <w:rPr>
                <w:sz w:val="17"/>
                <w:szCs w:val="17"/>
                <w:color w:val="auto"/>
              </w:rPr>
            </w:pPr>
          </w:p>
        </w:tc>
        <w:tc>
          <w:tcPr>
            <w:tcW w:w="3400" w:type="dxa"/>
            <w:vAlign w:val="bottom"/>
            <w:gridSpan w:val="16"/>
          </w:tcPr>
          <w:p>
            <w:pPr>
              <w:ind w:left="6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Borders>
              <w:top w:val="single" w:sz="8" w:color="0000EE"/>
            </w:tcBorders>
            <w:gridSpan w:val="4"/>
          </w:tcPr>
          <w:p>
            <w:pPr>
              <w:spacing w:after="0"/>
              <w:rPr>
                <w:sz w:val="17"/>
                <w:szCs w:val="17"/>
                <w:color w:val="auto"/>
              </w:rPr>
            </w:pPr>
          </w:p>
        </w:tc>
        <w:tc>
          <w:tcPr>
            <w:tcW w:w="330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5780" w:type="dxa"/>
            <w:vAlign w:val="bottom"/>
            <w:gridSpan w:val="2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100" w:type="dxa"/>
            <w:vAlign w:val="bottom"/>
            <w:gridSpan w:val="2"/>
          </w:tcPr>
          <w:p>
            <w:pPr>
              <w:spacing w:after="0"/>
              <w:rPr>
                <w:sz w:val="17"/>
                <w:szCs w:val="17"/>
                <w:color w:val="auto"/>
              </w:rPr>
            </w:pPr>
          </w:p>
        </w:tc>
        <w:tc>
          <w:tcPr>
            <w:tcW w:w="7380" w:type="dxa"/>
            <w:vAlign w:val="bottom"/>
            <w:gridSpan w:val="30"/>
          </w:tcPr>
          <w:p>
            <w:pPr>
              <w:ind w:left="6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top w:val="single" w:sz="8" w:color="0000EE"/>
            </w:tcBorders>
            <w:gridSpan w:val="8"/>
          </w:tcPr>
          <w:p>
            <w:pPr>
              <w:spacing w:after="0"/>
              <w:rPr>
                <w:sz w:val="24"/>
                <w:szCs w:val="24"/>
                <w:color w:val="auto"/>
              </w:rPr>
            </w:pPr>
          </w:p>
        </w:tc>
        <w:tc>
          <w:tcPr>
            <w:tcW w:w="2400" w:type="dxa"/>
            <w:vAlign w:val="bottom"/>
            <w:gridSpan w:val="9"/>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including share repurchases; projections, estimates or assumptions relating to our operational or financial performance, including anticipated impacts of the Inflation Reduction Act of 2022 and the One Big Beautiful Bill Act; projections, estimates or assumptions relating to our capital expenditures; or our opinions, views or beliefs about the effects of current or future events, circumstances or performance.</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Annual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 During 2025, our largest customer represented less than 5% of annual revenues.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own or operate 257 landfill sites, which is the largest network of landfills throughout the U.S. and Canada. In order to make disposal more practical for larger urban markets, where the distance to landfills is typically farther, we manage 342 transfer stations, excluding those acquired from Stericycle,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investments in our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medical waste, a sector with attractive near- and long-term growth dynamics, and in secure information destruction services to further our leading suite of comprehensive waste and environmental solutions. Furthermore, we continue to evaluate and plan to pursue emerging diversion technologies that may generate additional value.</w:t>
      </w:r>
    </w:p>
    <w:p>
      <w:pPr>
        <w:spacing w:after="0" w:line="188"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19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believe that execution of our strategy will deliver shareholder value and leadership in a dynamic industry and in any economic environment. In addition, we intend to continue to return value to our stockholders through dividend payments and share repurchases. In December 2025, we announced that our Board of Directors expects to increase the quarterly dividend from $0.825 to $0.945 per share for dividends declared in 2026, which is a 14.5% increase from the quarterly dividends we declared in 2025. This is an indication of our ability to generate strong and consistent cash flows and marks the 23rd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 Additionally, given the substantial progress already made on leverage reduction following the Stericycle acquisition, we resumed share repurchases in February 2026. Our Board of Directors approved up to $3.0 billion in future share repurchases, exclusive of fees, commissions and taxes. This new authorization supersedes and replaces the remaining authority under the prior Board of Directors’ authorization for share repurchases announced in December 2023. Under this new authorization, we currently expect to repurchase approximately $2.0 billion of shares during 2026, while continuing to prioritize a return to our targeted leverage level during the year.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191" w:lineRule="exact"/>
        <w:rPr>
          <w:sz w:val="20"/>
          <w:szCs w:val="20"/>
          <w:color w:val="auto"/>
        </w:rPr>
      </w:pPr>
    </w:p>
    <w:p>
      <w:pPr>
        <w:jc w:val="center"/>
        <w:ind w:right="8039"/>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also provide additional services not managed through our five reportable segments, which are presented as Corporate and Other. For further discussion refer to Note 19 of our Consolidated Financial Statements.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Services provided through our Collection and Disposal businesses are described below:</w:t>
      </w:r>
    </w:p>
    <w:p>
      <w:pPr>
        <w:spacing w:after="0" w:line="22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Our commitment to customers begins with a vast waste collection network. Collection involves picking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transporting waste and recyclable, construction and demolition, and organic materials from where it was generated to a transfer station, recycling facility or disposal site. We generally provide collection services under one of two types of arrangements:</w:t>
      </w:r>
    </w:p>
    <w:p>
      <w:pPr>
        <w:spacing w:after="0" w:line="182" w:lineRule="exact"/>
        <w:rPr>
          <w:sz w:val="20"/>
          <w:szCs w:val="20"/>
          <w:color w:val="auto"/>
        </w:rPr>
      </w:pPr>
    </w:p>
    <w:p>
      <w:pPr>
        <w:jc w:val="both"/>
        <w:ind w:left="720" w:right="79" w:hanging="319"/>
        <w:spacing w:after="0" w:line="25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fuel costs, truck types,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delivered to a disposal site. By using these containers, we can service most of our commercial and industrial customers with trucks operated by only one employee.</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containerization of waste, improved service delivery to the customer and an overall reduction in the cost to provide services.</w:t>
      </w:r>
    </w:p>
    <w:p>
      <w:pPr>
        <w:spacing w:after="0" w:line="18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Landfill. </w:t>
      </w:r>
      <w:r>
        <w:rPr>
          <w:rFonts w:ascii="Times New Roman" w:cs="Times New Roman" w:eastAsia="Times New Roman" w:hAnsi="Times New Roman"/>
          <w:sz w:val="18"/>
          <w:szCs w:val="18"/>
          <w:color w:val="auto"/>
        </w:rPr>
        <w:t>Landfills are the main depositories for solid waste in North America. As of December 31, 2025, we owned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operated 253 solid waste landfills and four hazardous waste landfills, which represents the largest network of landfills throughout the U.S. and Canada. As of December 31, 2025, we owned or controlled the management of 244 sites with remedial activities that are in closure or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and/or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renewable identification numbers (“RINs”), electricity and capacity, Renewable Energy Credits (“RECs”) and related environmental attributes from the 86 landfill beneficial use renewable energy projects owned by Renewable Energy on our active landfills, which is eliminated in consolidation.</w:t>
      </w:r>
    </w:p>
    <w:p>
      <w:pPr>
        <w:spacing w:after="0" w:line="19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As of December 31, 2025, we owned or operated 342 transfer stations in the U.S. and Canada. We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at these stations, as do other waste haulers. The solid waste is then consolidated and compacted to reduce the volume and increase the density of the waste and transported by transfer trucks, rail or barge to disposal sites.</w:t>
      </w:r>
    </w:p>
    <w:p>
      <w:pPr>
        <w:spacing w:after="0" w:line="17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rail containers or barge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businesses providing collection and disposal services include the following:</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Business Solutions (“WMSBS”) </w:t>
      </w:r>
      <w:r>
        <w:rPr>
          <w:rFonts w:ascii="Times New Roman" w:cs="Times New Roman" w:eastAsia="Times New Roman" w:hAnsi="Times New Roman"/>
          <w:sz w:val="18"/>
          <w:szCs w:val="18"/>
          <w:color w:val="auto"/>
        </w:rPr>
        <w:t>— Although many waste management services such as collection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Sustainability and Environmental Solutions (“SES”) </w:t>
      </w:r>
      <w:r>
        <w:rPr>
          <w:rFonts w:ascii="Times New Roman" w:cs="Times New Roman" w:eastAsia="Times New Roman" w:hAnsi="Times New Roman"/>
          <w:sz w:val="18"/>
          <w:szCs w:val="18"/>
          <w:color w:val="auto"/>
        </w:rPr>
        <w:t>— Our SES business collaborates with our geographic areas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accounts sales team to offer our customers end-to-end solutions that help businesses achieve their sustainability, recycling and waste diversion goals while meeting industry-specific compliance requirements and rising environmental demands. These solutions include (i) Sustainability Services, where our employees provide full-service waste management solutions and advisory services, working full-time onsite at our customers’ facilities or through remote-managed programs (this service is managed through our SES business but reflected principally in our collection line of business);</w:t>
      </w:r>
    </w:p>
    <w:p>
      <w:pPr>
        <w:spacing w:after="0" w:line="2" w:lineRule="exact"/>
        <w:rPr>
          <w:sz w:val="20"/>
          <w:szCs w:val="20"/>
          <w:color w:val="auto"/>
        </w:rPr>
      </w:pPr>
    </w:p>
    <w:p>
      <w:pPr>
        <w:jc w:val="both"/>
        <w:ind w:left="60" w:right="59" w:hanging="10"/>
        <w:spacing w:after="0" w:line="253" w:lineRule="auto"/>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technology-enabled infrastructure in recycling, organics and renewable energy give us the ability to help customers reduce the amount of waste they generate, identify recycling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opportunities and determine efficient and environmentally friendly means for waste collection and disposal. Through these services, we aim to help customers increase circularity and accelerate their decarbonization goals.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process and sell them to manufacturers to be recycled and sold generally within the North American market. Demand for recycled materials is generally growing. Several states have passed minimum-recycled-content mandates, and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program.</w:t>
      </w:r>
    </w:p>
    <w:p>
      <w:pPr>
        <w:spacing w:after="0" w:line="6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cups, tubs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2025 and 2024, we opened eight and three new recycling facilities, respectively, within the U.S. and Canada equipped with advanced recycling technology. We continue to invest in recycling facility automation and new markets across the U.S. and Canada. Our Recycling Processing and Sales segment includes the following:</w:t>
      </w:r>
    </w:p>
    <w:p>
      <w:pPr>
        <w:spacing w:after="0" w:line="188"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Materials processing — </w:t>
      </w:r>
      <w:r>
        <w:rPr>
          <w:rFonts w:ascii="Times New Roman" w:cs="Times New Roman" w:eastAsia="Times New Roman" w:hAnsi="Times New Roman"/>
          <w:sz w:val="18"/>
          <w:szCs w:val="18"/>
          <w:color w:val="auto"/>
        </w:rPr>
        <w:t>Through our collection operations and third-party customer base, we collect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from residential, commercial and industrial customers and direct these materials to one of our recycling facilities for processing. As of December 31, 2025, we operated 113 recycling facilities, of which 51 are single stream, where cardboard, paper, glass, metals, plastics, construction and demolition materials and other recycling commodities are recovered for resale or redirected for other purposes.</w:t>
      </w:r>
    </w:p>
    <w:p>
      <w:pPr>
        <w:spacing w:after="0" w:line="183" w:lineRule="exact"/>
        <w:rPr>
          <w:sz w:val="20"/>
          <w:szCs w:val="20"/>
          <w:color w:val="auto"/>
        </w:rPr>
      </w:pPr>
    </w:p>
    <w:p>
      <w:pPr>
        <w:jc w:val="both"/>
        <w:ind w:left="38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 </w:t>
      </w:r>
      <w:r>
        <w:rPr>
          <w:rFonts w:ascii="Times New Roman" w:cs="Times New Roman" w:eastAsia="Times New Roman" w:hAnsi="Times New Roman"/>
          <w:sz w:val="18"/>
          <w:szCs w:val="18"/>
          <w:color w:val="auto"/>
        </w:rPr>
        <w:t>We market and resell recycling commodities globally. We manage the marketing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recycling commodities that are processed in our facilities by continuously analyzing market prices, logistics, market demands and product quality through our dedicated recycling service centers and account managers.</w:t>
      </w:r>
    </w:p>
    <w:p>
      <w:pPr>
        <w:spacing w:after="0" w:line="173"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Recycling brokerage services </w:t>
      </w:r>
      <w:r>
        <w:rPr>
          <w:rFonts w:ascii="Times New Roman" w:cs="Times New Roman" w:eastAsia="Times New Roman" w:hAnsi="Times New Roman"/>
          <w:sz w:val="18"/>
          <w:szCs w:val="18"/>
          <w:color w:val="auto"/>
        </w:rPr>
        <w:t>— We also provide recycling brokerage services, which involve managing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pacing w:after="0" w:line="183"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Organics processing and sales </w:t>
      </w:r>
      <w:r>
        <w:rPr>
          <w:rFonts w:ascii="Times New Roman" w:cs="Times New Roman" w:eastAsia="Times New Roman" w:hAnsi="Times New Roman"/>
          <w:sz w:val="18"/>
          <w:szCs w:val="18"/>
          <w:color w:val="auto"/>
        </w:rPr>
        <w:t>— We collect recyclable food and yard waste from commercial, residential,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customers, and process these materials through a network of mulching, composting, CORe®, and anaerobic digestion facilities. As of December 31, 2025, we operated 49 organics recycling facilities and also partner with third-party processors. Our network of facilities utilizes, markets and sells products including mulch, compost, soil amendments, and renewable energy.</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Renewable Energy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develop, operate and promote projects for the beneficial use of landfill gas through our Renewable Energy segment.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of these projects are on third-party landfills. The revenues from both WM owned and third-party owned facilities are primarily generated through (i) the sale of captured and converted landfill methane gas; (ii) the sale of RINs under the Renewable Fuel Standard (“RFS”) program implemented by the EPA; (iii) sale of Low Carbon Fuel credits designed to stimulate the use of low-carbon fuels and (iv) the sale of energy (electricity and capacity) and associated RECs.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19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Renewable Energy converts landfill gas into several sources of renewable energy, which include RNG, electricity, heat and steam. Renewable Energy also generates RINs under the RFS program, other credits under a variety of state programs associated with the use of RNG in our compressed natural gas fleet and RECs associated with the production of electricity. Additionally, we generate and sell credits in Canadian and European markets through the Clean Fuels Regulations and the International Sustainability and Carbon Certification System, respectively. The RINs, RECs and other credits are sold to counterparties who are obligated under various regulatory programs and have a responsibility to procure RINs, RECs and other credits in order to offset their fossil fuel production and imports.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Healthcare Solutions</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Healthcare Solutions segment, through our subsidiary Stericycle, is primarily a business-to-business company providing RWCS and SID services that protect people and brands, promote health and well-being and safeguard the environment. Healthcare Solutions serves customers in the U.S., Canada and Western Europe with solutions to safely manage materials that could otherwise spread disease, contaminate the environment or compromise one’s identity. Services provided through our Healthcare Solutions segment includes the following: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Regulated Waste and Compliance Services</w:t>
      </w:r>
    </w:p>
    <w:p>
      <w:pPr>
        <w:spacing w:after="0" w:line="173"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Healthcare Solutions includes compliance programs and collection, processing, and disposal of regulated and specialized waste, including medical, pharmaceutical and hazardous waste. RWCS are provided to customers in the U.S., Canada, Ireland and the United Kingdom (“U.K.”).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97" w:lineRule="auto"/>
        <w:rPr>
          <w:sz w:val="20"/>
          <w:szCs w:val="20"/>
          <w:color w:val="auto"/>
        </w:rPr>
      </w:pPr>
      <w:r>
        <w:rPr>
          <w:rFonts w:ascii="Times New Roman" w:cs="Times New Roman" w:eastAsia="Times New Roman" w:hAnsi="Times New Roman"/>
          <w:sz w:val="18"/>
          <w:szCs w:val="18"/>
          <w:color w:val="auto"/>
        </w:rPr>
        <w:t>Regulated waste can be defined as any material subject to government-imposed guidelines for handling the material for transportation or disposal. Examples include medical waste, pathological waste, sharps and pharmaceutical waste.</w:t>
      </w:r>
    </w:p>
    <w:p>
      <w:pPr>
        <w:spacing w:after="0" w:line="93"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Collection and Transportation </w:t>
      </w:r>
      <w:r>
        <w:rPr>
          <w:rFonts w:ascii="Times New Roman" w:cs="Times New Roman" w:eastAsia="Times New Roman" w:hAnsi="Times New Roman"/>
          <w:sz w:val="18"/>
          <w:szCs w:val="18"/>
          <w:color w:val="auto"/>
        </w:rPr>
        <w:t>— The collection process for regulated waste streams begins at the customer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waste segregation. To assure regulatory compliance, we educate our customers and will not accept material from customers unless it complies with our waste acceptance protocols and is properly stored or packaged in containers that we have either supplied or approved and is appropriately labeled.</w:t>
      </w:r>
    </w:p>
    <w:p>
      <w:pPr>
        <w:spacing w:after="0" w:line="99"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Our team members then collect containers at the customer location via our fleet of vehicles. The majority of collected waste is then transported directly to one of our processing facilities or to one of our Healthcare Solutions transfer stations where waste is aggregated until it is transported to a processing facility.</w:t>
      </w:r>
    </w:p>
    <w:p>
      <w:pPr>
        <w:spacing w:after="0" w:line="108"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Processing and Disposal of Regulated Waste </w:t>
      </w:r>
      <w:r>
        <w:rPr>
          <w:rFonts w:ascii="Times New Roman" w:cs="Times New Roman" w:eastAsia="Times New Roman" w:hAnsi="Times New Roman"/>
          <w:sz w:val="18"/>
          <w:szCs w:val="18"/>
          <w:color w:val="auto"/>
        </w:rPr>
        <w:t>— Upon arrival at a processing facility, containers or boxes of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undergo a quality control process to verify that they do not contain any unacceptable substances. Any container or box that is discovered to contain unacceptable waste goes through a corrective action process which could include redirecting the waste, returning the waste to the customer and/or notifying the appropriate regulatory authorities. From there, regulated waste is processed using one of several treatments or processing technologies, predominantly at one of our facilities:</w:t>
      </w:r>
    </w:p>
    <w:p>
      <w:pPr>
        <w:spacing w:after="0" w:line="120" w:lineRule="exact"/>
        <w:rPr>
          <w:sz w:val="20"/>
          <w:szCs w:val="20"/>
          <w:color w:val="auto"/>
        </w:rPr>
      </w:pPr>
    </w:p>
    <w:p>
      <w:pPr>
        <w:jc w:val="both"/>
        <w:ind w:left="880" w:right="79" w:hanging="317"/>
        <w:spacing w:after="0" w:line="283"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Autoclaving </w:t>
      </w:r>
      <w:r>
        <w:rPr>
          <w:rFonts w:ascii="Times New Roman" w:cs="Times New Roman" w:eastAsia="Times New Roman" w:hAnsi="Times New Roman"/>
          <w:sz w:val="18"/>
          <w:szCs w:val="18"/>
          <w:color w:val="auto"/>
        </w:rPr>
        <w:t>— Autoclaving is the primary method of regulated waste treatment. This process relies on steam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temperature and pressure to kill pathogens and render materials non-infectious. As of December 31, 2025, we operated 42 autoclave facilities in the U.S. and Canada.</w:t>
      </w:r>
    </w:p>
    <w:p>
      <w:pPr>
        <w:spacing w:after="0" w:line="104" w:lineRule="exact"/>
        <w:rPr>
          <w:rFonts w:ascii="Times New Roman" w:cs="Times New Roman" w:eastAsia="Times New Roman" w:hAnsi="Times New Roman"/>
          <w:sz w:val="18"/>
          <w:szCs w:val="18"/>
          <w:color w:val="auto"/>
        </w:rPr>
      </w:pPr>
    </w:p>
    <w:p>
      <w:pPr>
        <w:jc w:val="both"/>
        <w:ind w:left="880" w:right="79" w:hanging="317"/>
        <w:spacing w:after="0" w:line="269"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Technologies </w:t>
      </w:r>
      <w:r>
        <w:rPr>
          <w:rFonts w:ascii="Times New Roman" w:cs="Times New Roman" w:eastAsia="Times New Roman" w:hAnsi="Times New Roman"/>
          <w:sz w:val="18"/>
          <w:szCs w:val="18"/>
          <w:color w:val="auto"/>
        </w:rPr>
        <w:t>— We use several different non-incineration alternatives to autoclaves, predominantly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of the U.S. The processes used by these technologies are similar to autoclaving, as the regulated waste is heated to a specified temperature for a required time to kill the pathogens and render materials non-infectious. Depending on local requirements, the waste may be shredded before or after treatment to render it unrecognizable. As of December 31, 2025, we operated 9 alternative medical waste treatment facilities in the U.S., Ireland and the U.K.</w:t>
      </w:r>
    </w:p>
    <w:p>
      <w:pPr>
        <w:spacing w:after="0" w:line="120" w:lineRule="exact"/>
        <w:rPr>
          <w:rFonts w:ascii="Times New Roman" w:cs="Times New Roman" w:eastAsia="Times New Roman" w:hAnsi="Times New Roman"/>
          <w:sz w:val="18"/>
          <w:szCs w:val="18"/>
          <w:color w:val="auto"/>
        </w:rPr>
      </w:pPr>
    </w:p>
    <w:p>
      <w:pPr>
        <w:jc w:val="both"/>
        <w:ind w:left="880" w:right="79" w:hanging="317"/>
        <w:spacing w:after="0" w:line="270"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Incineration </w:t>
      </w:r>
      <w:r>
        <w:rPr>
          <w:rFonts w:ascii="Times New Roman" w:cs="Times New Roman" w:eastAsia="Times New Roman" w:hAnsi="Times New Roman"/>
          <w:sz w:val="18"/>
          <w:szCs w:val="18"/>
          <w:color w:val="auto"/>
        </w:rPr>
        <w:t>— While we strive to use alternative, non-incineration methods for treating medical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incineration remains a regulatory requirement and/or a best practice in certain geographies or for certain types of medical waste that need to be chemically destroyed. Incineration burns regulated waste at elevated temperatures and reduces it to ash. Incineration reduces the volume of waste, and it is the recommended treatment and disposal option for some types of regulated waste such as anatomical waste, residues from chemotherapy procedures and non-hazardous pharmaceutical waste. Air emissions from incinerators can contain certain byproducts that are subject to federal, state and in some cases, local regulation. In some circumstances, the ash byproduct of incineration may be regulated. As of December 31, 2025, we operated 17 medical waste incinerator facilities in the U.S., Canada and the U.K.</w:t>
      </w:r>
    </w:p>
    <w:p>
      <w:pPr>
        <w:spacing w:after="0" w:line="107"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Upon completion of the treatment process, the resulting waste or incinerator ash is transported for disposal in a landfill owned by the Company or a third party. Additionally, in several of our incineration facilities, primarily in the U.K., we use different types of waste-to-energy solutions as part of our processes.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Secure Information Destruction</w:t>
      </w:r>
    </w:p>
    <w:p>
      <w:pPr>
        <w:spacing w:after="0" w:line="173"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Healthcare Solutions also provides for the collection of personal and confidential information for secure destruction and recycling of sorted office paper. SID services are provided to customers in the U.S., Belgium, Canada, France, Germany, Ireland, Luxembourg, the Netherlands and the U.K.</w:t>
      </w:r>
    </w:p>
    <w:p>
      <w:pPr>
        <w:spacing w:after="0" w:line="96" w:lineRule="exact"/>
        <w:rPr>
          <w:sz w:val="20"/>
          <w:szCs w:val="20"/>
          <w:color w:val="auto"/>
        </w:rPr>
      </w:pPr>
    </w:p>
    <w:p>
      <w:pPr>
        <w:jc w:val="both"/>
        <w:ind w:left="60" w:right="59" w:firstLine="324"/>
        <w:spacing w:after="0" w:line="276" w:lineRule="auto"/>
        <w:rPr>
          <w:sz w:val="20"/>
          <w:szCs w:val="20"/>
          <w:color w:val="auto"/>
        </w:rPr>
      </w:pPr>
      <w:r>
        <w:rPr>
          <w:rFonts w:ascii="Times New Roman" w:cs="Times New Roman" w:eastAsia="Times New Roman" w:hAnsi="Times New Roman"/>
          <w:sz w:val="18"/>
          <w:szCs w:val="18"/>
          <w:color w:val="auto"/>
        </w:rPr>
        <w:t>We leverage a combination of off-site and on-site document destruction methods for one-time and recurring paper shredding. As of December 31, 2025, we operated 99 secure information destruction facilities in the U.S., Canada and Western Europe. Our service offerings leverage cross-cut shredding technology to enhance the security level of destruction and can provide secure chain-of-custody and proof of service. Shredded paper is then sold as sorted office paper.</w:t>
      </w:r>
    </w:p>
    <w:p>
      <w:pPr>
        <w:sectPr>
          <w:pgSz w:w="11900" w:h="16838" w:orient="portrait"/>
          <w:cols w:equalWidth="0" w:num="1">
            <w:col w:w="9019"/>
          </w:cols>
          <w:pgMar w:left="1440" w:top="60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Included within our Corporate and Other businesses’ closed sites are (i) five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189"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1" w:lineRule="exact"/>
        <w:rPr>
          <w:sz w:val="20"/>
          <w:szCs w:val="20"/>
          <w:color w:val="auto"/>
        </w:rPr>
      </w:pPr>
    </w:p>
    <w:p>
      <w:pPr>
        <w:jc w:val="both"/>
        <w:ind w:left="60" w:right="59" w:hanging="10"/>
        <w:spacing w:after="0" w:line="253" w:lineRule="auto"/>
        <w:tabs>
          <w:tab w:leader="none" w:pos="2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60,500 full-time employees across the U.S., Canada, Western Europe, and India. Approximately 53,600 employees were located within the U.S. and 6,900 employees were located outside of the U.S. Approximately 8,400 employees were employed in administrative and sales positions with the remainder in operations. Approximately 9,200 of our employees are covered by collective bargaining agreements. Additional information about our workforce can be found in our 2025 Sustainability Report at sustainability.wm.com. Our 2025 Sustainability Report does not constitute a part of, and is not incorporated by reference into, this report or any other report we file with (or furnish to) the SEC, whether made before or after the date of this Annual Report on Form 10-K.</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People First Commitment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being an inclusive employer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demonstrate that we are (i) investing in our teams by providing comprehensive benefits; (ii) committed to the growth of our team by providing state-of-the-art trainings and our education benefit, Your Tomorrow, as further discussed under </w:t>
      </w: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60" w:right="59" w:hanging="10"/>
        <w:spacing w:after="0" w:line="253" w:lineRule="auto"/>
        <w:tabs>
          <w:tab w:leader="none" w:pos="3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Safety as a Core Value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At the Company, safety is a core value, with no compromise. A large number of our employee population work as drivers, heavy equipment operators, technicians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targeting 2.0 annually by 2030, and continued focus on prevention of serious injuries. TRIR measures the number of OSHA recordable injuries occurring per 200,000 hours. Our TRIR as of December 31, 2025 was 3.14, approximately a 3% improvement from 2024. While our overall results in 2025 did not demonstrate significant progress toward the 2030 goal, we continue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 focus efforts on priority districts and integrating safety culture and reporting throughout operations, including through acquisition activity. We often find that the discipline and culture of the Company benefit acquired businesses. Accordingly, while acquisitions can impact metric performance related to our established goal, we are confident that our programs and processes will continue to reduce incident frequency and severity in our operations in the years ahead. The Company reduced overall TRIR (2.8%), OSHA recordable (5.1%), and Lost Time (4.9%) injuries in 2025 and remains focused on the prevention of serious injuries.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Cultivating Belonging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embrace and cultivate respect, trust, open communications and diversity of thought and people. We are committed to fostering an environment where all team members feel welcomed, valued and seen. Our commitment to a culture of belonging is reflected in the diverse backgrounds of our Board of Directors and senior leadership team and in our overall workforce in the U.S., which is comprised of individuals of all ethnicities and genders. Additional information about our workforce can be found in our 2025 Sustainability Report at sustainability.wm.com. We are proud of what we have been able to achieve so far, and we will continue to strive to further embed a culture of belonging within the Company. To enable us to achieve a workplace where all feel welcomed and valued, we are committed to evaluating our policies, practices and procedures, recruitment and partnerships to ensure that our efforts are fair, sustainable and tied to our business strategy.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objective of our compensation and benefit programs is to attract, engage, reward and incentivize valuable employees who will drive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Our education benefit, Your Tomorrow, makes a contribution toward benefits-eligible employees’ tuition for a broad range of four-year college degree programs, as well as programs such as high-school equivalency and other certificate programs and graduate degrees. We also provide plans to help employees save for their future for example, through our 401(k) retirement savings plan. Refer to Note 9 to the Consolidated Financial Statements for additional information on our employee benefit plans.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Assurance and Insurance Obligations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Assurance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1" w:lineRule="exact"/>
        <w:rPr>
          <w:sz w:val="20"/>
          <w:szCs w:val="20"/>
          <w:color w:val="auto"/>
        </w:rPr>
      </w:pPr>
    </w:p>
    <w:p>
      <w:pPr>
        <w:jc w:val="both"/>
        <w:ind w:left="60" w:right="59" w:hanging="10"/>
        <w:spacing w:after="0" w:line="253" w:lineRule="auto"/>
        <w:tabs>
          <w:tab w:leader="none" w:pos="3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Surety bonds and insurance policies are supported by either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2025 are summarized in Note 10 to the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extensive and evolving laws and regulations pertaining to environmental protection, health, safety, land use, zoning, transportation, ethical business conduct, data privacy and security, and other related and similar subjects. These laws and regulations are administered by the EPA, Environment and Climate Change Canada (“ECCC”), and various other agencies at the federal, state, provincial, regional and local level in the U.S., Canada and other international jurisdictions in which we operate. Many of these agencies regularly examine our operations to monitor compliance with applicable laws and regulations and have the power to enforce compliance, obtain injunctions or impose civil or criminal penalties in cases of violations.</w:t>
      </w:r>
    </w:p>
    <w:p>
      <w:pPr>
        <w:spacing w:after="0" w:line="189" w:lineRule="exact"/>
        <w:rPr>
          <w:sz w:val="20"/>
          <w:szCs w:val="20"/>
          <w:color w:val="auto"/>
        </w:rPr>
      </w:pPr>
    </w:p>
    <w:p>
      <w:pPr>
        <w:jc w:val="both"/>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Our business primarily involves the collection, transport, handling, treatment, destruction, and other processing and management of solid waste, medical waste, controlled substances waste, hazardous waste, organics, and recyclables in an environmentally sound manner. A significant amount of our capital expenditures is related, either directly or indirectly, to compliance with applicable laws and regulations, including environmental protection measures. Our November 2024 acquisition of Stericycle increased our exposure to international jurisdictions, primarily Western Europe, and we are subject to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Additionally, our secure information destruction services are subject to laws and regulations regarding proper handling and protection of personal and confidential information.</w:t>
      </w:r>
    </w:p>
    <w:p>
      <w:pPr>
        <w:spacing w:after="0" w:line="17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are costs associated with siting, design, permitting, construction, operating, monitoring, site maintenance, corrective actions, financial assurance and closure and post-closure obligations at our facilities. In connection with the acquisition, development or expansion of a waste management or disposal facility, recycling facility, compost facility, transfer station, processing facility, or landfill gas-to-energy facility, or the transport, handling, treatment and disposal or destruction of various waste streams,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Permit issuance or renewal may also be subject to public participation or other governmental reviews and may be subject to challenges and delays. Compliance with current regulations and future requirements could require us to make significant capital and operating expenditures. However, most of these expenditures are made in the normal course of business and do not place us at a competitive disadvantage.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regulatory environment in which we operate is influenced by changes in governmental administrations and leadership. The current administration has called for, and undertaken, substantial changes to areas of foreign trade policy and is generally in favor of reducing regulation, including environmental regulation. The impact and timing of these shifts in regulatory policy impacting our industry and our Company remain uncertain, as many are subject to ongoing litigation and agency review. Further, state and municipal governments may impose additional regulatory duties in response to such shifts in federal policy, which could lead to a patchwork of regulatory obligations across the U.S. for our industry and our Company. Reduction of regulation may have a favorable impact on our operating costs, but the extensive environmental regulation applicable to our industry is also a barrier to rapid entry that benefits our Company. Moreover, the risk reduction provided by appropriate regulation is valuable to our customers and the communities we serve. Significant restrictions and tariffs on foreign trade could have a negative impact on our recycling export business and our cross-border commerce, particularly with Canada, and could increase the cost of certain equipment and other materials used in our operations that we procure from outside the U.S., including our trucks and certain equipment used to implement our sustainability growth strategy. It is likely that some policies adopted by the administration will benefit us and others will negatively affect us.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2024, the U.S. Supreme Court issued a number of decisions that will affect the future of federal regulation, including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overturned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had held that a court must give deference to a regulatory agency’s reasonable interpretation of an ambiguous statute the agency implements. The full impact of that decision is not yet known, but at a minimum, our operations could face increased regulatory uncertainty in connection with legal challenges to agency actions and rulemakings impacting our industry.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key U.S. federal statutes affecting our business are summarized below:</w:t>
      </w:r>
    </w:p>
    <w:p>
      <w:pPr>
        <w:spacing w:after="0" w:line="117" w:lineRule="exact"/>
        <w:rPr>
          <w:sz w:val="20"/>
          <w:szCs w:val="20"/>
          <w:color w:val="auto"/>
        </w:rPr>
      </w:pPr>
    </w:p>
    <w:p>
      <w:pPr>
        <w:jc w:val="both"/>
        <w:ind w:left="720" w:right="79" w:hanging="319"/>
        <w:spacing w:after="0" w:line="255"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8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spacing w:after="0" w:line="258" w:lineRule="auto"/>
        <w:rPr>
          <w:sz w:val="20"/>
          <w:szCs w:val="20"/>
          <w:color w:val="auto"/>
        </w:rPr>
      </w:pPr>
      <w:r>
        <w:rPr>
          <w:rFonts w:ascii="Times New Roman" w:cs="Times New Roman" w:eastAsia="Times New Roman" w:hAnsi="Times New Roman"/>
          <w:sz w:val="18"/>
          <w:szCs w:val="18"/>
          <w:color w:val="auto"/>
        </w:rPr>
        <w:t>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75" w:lineRule="exact"/>
        <w:rPr>
          <w:sz w:val="20"/>
          <w:szCs w:val="20"/>
          <w:color w:val="auto"/>
        </w:rPr>
      </w:pPr>
    </w:p>
    <w:p>
      <w:pPr>
        <w:jc w:val="both"/>
        <w:ind w:left="720" w:right="79" w:hanging="319"/>
        <w:spacing w:after="0" w:line="25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Air Act of 1970, as amended, provides for federal, state and local regulation of the emission of air pollutants. Many of our operations, including many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personal protective equipment, safety in excavation and demolition work, exposure to bloodborne pathogens, and the handling of asbestos, may apply to our operations.</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Transportation and the Occupational Safety and Health Administration, along with other federal agencies, have jurisdiction over certain aspects of hazardous materials and hazardous waste, including safety, movement and disposal. Certain waste (including medical waste) is subject to roadside inspections that have a cumulative effect on our compliance history and require us to remain in good standing so as not to jeopardize certain permits. Various state and local agencies with jurisdiction over disposal of hazardous and medical waste may seek to regulate movement of such materials in areas not otherwise preempted by federal law.</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offerings for the collection, treatment, disposal and destruction of controlled substances waste and medical waste, from both the healthcare industry and individual consumers, are subject to numerous laws and regulations issued by various regulatory agencies, including the U.S. Drug Enforcement Administration (“DEA”). These regulations typically require our facilities to obtain licenses or registrations, and meet certain other requirements in order to collect, transport, treat and dispose of controlled substances. These regulations include significant requirements for security, recordkeeping and reporting. Registrations and licenses must be kept current, or periodically renewed, and facilities may be subject to inspection or enforcement.</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primarily in the U.S.; however, Canada and other countries in which we operate have various environmental, safety, health, transportation and materials handling laws and regulations that we must comply with in the ordinary course of our business.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State, Provincial, Regional and Local Regulations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are also various state, provincial, regional and local regulations, in the U.S. and internationally, that affect our operations and may require a specific operating plan. Many jurisdictions in which we operate have their own laws and regulations governing solid waste disposal, including for hazardous wastes, medical wastes and controlled substances wastes; water and air pollution; and, in most cases, releases and cleanup of hazardous substances and liabilities for such matters. Many governmental organizations have also adopted regulations governing the design, operation, maintenance and closure of landfills, transfer stations, incineration facilities and processing facilities, and laws governing where recyclable materials can be sold.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 materials at landfills, such as recyclable materials (cardboard, bottles and cans), yard waste, food waste and electronics.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number of governments with recycling and diversion requirements and disposal bans continues to grow, while the logistics and economics of recycling or processing many of these items remain challenging. In addition, regulations requiring the diversion of organic wastes away from landfills could have the effect of decreasing the amount of landfill gas produced over time in our landfills, negatively impacting our Renewable Energy segment.</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Various states have enacted, or are considering enacting, laws that restrict or discourage the disposal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waste, hazardous waste, medical waste and controlled substances management services.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Many governmental organizations have enacted “fitness” laws that allow the agencies that have jurisdiction over waste services contracts or permits to deny or revoke these contracts or permits based on the applicant’s or permit holder’s compliance history. Some governmental organizations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EPA does not regulate medical waste at the federal level, with some limited exceptions, resulting in a lack of uniformity of applicable laws and regulations. States have adopted their own regulations related to the handling, treatment and storage of medical waste, with many states following requirements similar to the Medical Waste Tracking Act of 1988, a U.S. federal law concerning disposal of biological material that expired in 1991. Other states have placed medical waste regulations within solid waste regulations. Further, while the Canadian Council of Ministers of the Environment has promulgated the </w:t>
      </w:r>
      <w:r>
        <w:rPr>
          <w:rFonts w:ascii="Times New Roman" w:cs="Times New Roman" w:eastAsia="Times New Roman" w:hAnsi="Times New Roman"/>
          <w:sz w:val="18"/>
          <w:szCs w:val="18"/>
          <w:i w:val="1"/>
          <w:iCs w:val="1"/>
          <w:color w:val="auto"/>
        </w:rPr>
        <w:t>Guidelines for the Management of Biomedical Waste in Canada</w:t>
      </w:r>
      <w:r>
        <w:rPr>
          <w:rFonts w:ascii="Times New Roman" w:cs="Times New Roman" w:eastAsia="Times New Roman" w:hAnsi="Times New Roman"/>
          <w:sz w:val="18"/>
          <w:szCs w:val="18"/>
          <w:color w:val="auto"/>
        </w:rPr>
        <w:t>, these are not enforceable unless adopted by provincial legislation or municipal by-laws, and local by-laws may be more stringent than such guidelines.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Developments and Focus Areas in Policy and Regulation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Climate and Sustainability</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Certain jurisdictions are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also continue to expand our work with various private and government entities employing such technologies at our sites, and we are actively engaged with the EPA, the ECCC, state agencies, nongovernmental organizations and environmental stakeholders on the implications of the changing landscape for the waste industry and potential future regulation. Continued dialogue, engagement and collaboration with these regulatory agencies will be important, as the EPA, the ECCC and several states, including California and Colorado, are evaluating landfill emissions standards that may require the application of various emerging methane measurement technologies and plan to develop methods and standards for such measurement technologies. While we cannot predict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what regulations will result from these initiatives, these developments could result in increased compliance costs and adversely affect our operations. Specifically, these various regulatory actions could result in changes to how we have historically reported GHG emissions and may result in increases in such emissions reported for our operations. For example, in August 2024, the EPA released revised emission factors for the reporting of methane emissions from landfills that would, amongst other matters, result in increased reported emissions from flares and other equipment and processes. Industry groups have filed legal challenges to the EPA’s updated emission factors, and the EPA granted the industry’s petition for reconsideration. In September 2025, the EPA announced a proposed rule to significantly revise the Greenhouse Gas Reporting Program. The proposal would eliminate reporting requirements for numerous source categories, including landfills. This uncertainty regarding the status of the federal reporting program could result in increased state-level GHG reporting requirements.</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light of customer demand, we have identified strategic business opportunities to provide our public and private sector customers with sustainability-related solutions intended to have the potential to reduce GHG emissions across their respective businesses. We assess customer demand for and opportunities to develop waste services with potential to avoid lifecycle emissions, such as waste reduction, increased recycling, composting and conversion of landfill gas and discarded materials into renewable energy. Demand and willingness to pay premium prices for recycled materials or enhanced sustainability solutions can fluctuate based on economic conditions, consumer preferences and trends. We use estimated lifecycle emissions assessments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how materials management practices can be more sustainable. In addition, we work with stakeholders at the federal, state, and provincial level in support of legislation that encourages production and use of renewable, lower-carbon fuels and electricity.</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nature, scope, and complexity of matters that our Company must assess, quantify and disclose are expanding due to current, proposed, and recently enacted governmental reporting requirements pertaining to sustainability and climate-related risks and other topics. Such topics include water usage, waste production, labor, human capital, cybersecurity, privacy and risk oversight. For example, in September 2024, the California Governor signed into law amendments to the 2023 California Climate Corporate Data Accountability Act and the Climate-Related Financial Risk Act, which among other things, requires the disclosure of Scope 1, 2, and 3 GHG emissions and other climate-related financial risks consistent with the framework established by the Task Force on Climate-Related Financial Disclosures. We potentially will be required to begin making disclosures of our Scope 1 and 2 GHG emissions in compliance with certain of these requirements in 2026, and Scope 3 GHG emissions disclosures will be required beginning in 2027. Additional U.S. states are in various stages of considering adoption of similar climate-related disclosure requirements. While the SEC voluntarily stayed implementation of its climate related disclosure rules indefinitely, and voted to end its defense of those rules in March 2025, the state-level and other similar laws and regulations could result in increased compliance costs and affect the results of our operations and financial position. Such laws and regulations could also increase our litigation risks or may increase risks related to our reputation or goodwill, as we cannot predict how disclosures under these laws may be perceived or interpreted by our customers and stakeholders. Methodology and timelines for mandatory 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 Such inconsistency could further increase costs and divert management time and attention.</w:t>
      </w:r>
    </w:p>
    <w:p>
      <w:pPr>
        <w:spacing w:after="0" w:line="19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subject to heightened scrutiny related to the risk of potential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allegations of misleading information or false claims overstating potential sustainability benefits made by governmental authorities, non-governmental organizations and other private actors.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Company’s long-standing commitment to sustainability and environmental stewardship, we have published our 2025 Sustainability Report, providing details on our sustainability-related performance and outlining</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progress towards our 2030 sustainability goals. The annual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PFAS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There are a number of risks related to PFAS that could impact our business, and the EPA has prioritized PFAS-related issues in recent years. For example, in 2021, the EPA released its PFAS Strategic Roadmap, providing a high-level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In April 2024, the EPA finalized the designation of two PFAS compounds (perfluorooctanoic acid (PFOA) and perfluorooctanesulfonic acid (PFOS)) as hazardous substances under CERCLA. We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Additionally, the EPA is pursuing legally enforceable maximum contaminant levels, as well as non-enforceable maximum contaminant level goals, for PFAS compounds in drinking water. We expect that there could be continued efforts to regulate or impose liability with respect to PFAS at the federal level. At the state level, an increasing number of jurisdictions have enacted new drinking water, surface water and/or groundwater limits for various PFAS compounds, which has led to a patchwork of PFAS standards across the U.S. Compliance with new and future state and federal PFAS standards is anticipated to result in additional expense to the Company, but such standards are also anticipated to present potential business opportunities in the area of PFAS management, treatment and disposal.</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Recycling; Foreign Import and Export Regulations and Material Restrictions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Regulations affecting, and in some cases restricting, the international flow of certain recyclables have led to a reduction in export activity for such recyclables, as well as higher quality requirements, and higher processing costs. We do not ship plastics collected on our residential recycling routes and processed at our single stream recycling facilities to locations outside of North America, except in very limited circumstances when no other commercially viable domestic markets are available; however, current and developing international regulations may limit our ability to export other commodities, including certain plastics. Additionally, the current U.S. presidential administration has called for, and undertaken, substantial changes to foreign trade policy. Significant restrictions and tariffs on foreign trade have a negative impact on our recycling export business, including decreasing paper mills’ demand for recycled corrugated cardboard used in packaging, which can constrict availability of counterparties and negatively impact commodity prices, and increase the cost of certain equipment and other materials used in our operations that we procure from outside the U.S., including certain equipment used to implement our sustainability growth strategy.</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Prices and demand for recyclables fluctuate. We have discussed our sustainability growth strategy that includes significant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 regulation, tariffs, international trade policies or other initiatives, including extended producer responsibility regulations, minimum recycled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content laws, container deposit laws, or regulations addressing climate change or GHG emissions, may impact supply and demand of material, or increase operating costs, which could impact the profitability of our recycling operations.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resulted in increased pressure by manufacturers for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the inclusion of certain materials in recycling programs.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Extended Producer Responsibility</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Regulations establishing extended producer responsibility (“EPR”) are being considered or implemented in many places around the world, including in certain states in the U.S. and provinces and territories in Canada. EPR regulations are designed to place either partial or total responsibility on producers of consumer-packaged goods and other products to fund the post-use life cycle of the products and packaging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governments could take, and in some cases have taken, steps to implement EPR regulations for packaging, including traditional recyclables such as cardboard, bottles and cans. If wide-ranging EPR regulations or other recycling-related regulations like container deposit laws are widely adopted, they could significantly impact the waste, recycling and other streams we manage, including with respect to quality and volume, how we operate our business, including contract terms and pricing, and the profitability of our recycling facilities. At the same time, concerns regarding price and affordability have led some jurisdictions to scale back previously enacted EPR requirements, creating uncertainty for long-term planning. Lawsuits have been filed in certain jurisdictions, contesting the constitutionality of certain programs, and the U.S. Department of Justice has indicated that state EPR laws may be among those subject to constitutional review. Deregulatory rulings or changes in program requirements in jurisdictions where we have adapted to meet customer demand may impact our operations, financial condition or result of operations.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EPR implementation also involves new operational requirements and information-sharing obligations that affect how recycling programs are managed. Compliance with EPR laws often requires us to provide detailed operational data to state agencies, producer responsibility organizations and their consultants in connection with needs assessments and tracking of material recyclability. This includes sharing information that is typically considered competitively sensitive. Where feasible, we enter into non-disclosure agreements to safeguard such information.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(“OBBBA”) into law. We have evaluated the business tax provisions in the legislation, none of which had a material impact on our effective tax rate. However, we had a beneficial impact to cash taxes related to bonus depreciation.</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OBBBA also reaffirmed and extended various tax-related provisions included in the Inflation Reduction Act of 2022 (the “IRA”) of relevance to the company, including with respect to tax incentives for investments in renewable energy production, carbon capture and other climate actions. Given the complexity and uncertainty around the administration’s implementation of certain tax credits, we continue to analyze this area to identify and quantify potential opportunities and applicable benefits included in the legislation. We believe that the production tax credit incentives for investments in renewable energy and carbon capture, as reaffirmed and expanded by the OBBBA, may result in an incremental benefit to the Company, although at this time, the anticipated amount of such benefit has not been quantified due, in part, to the lack of regulatory guidance.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 Natural Gas Vehicles and Infrastructure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in April 2024, the EPA established new GHG emissions standards applicable to heavy-duty vehicles that rely on increased deployment of electric vehicles to meet declining emissions targets; however, the current administration has signaled its intent to withdraw these regulations. California also has been active in pursuing policies promoting vehicle electrification, despite U.S. Congressional and presidential administration efforts to push back on the state’s electrification agenda. The full impact of these standards and regulations is uncertain, as several of the specific regulations are the subject of legal challenge and could impact our long-term vehicle fleet strategies.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Current options for heavy-duty electric powered vehicles lack sufficient range, recharging infrastructure and efficiency and proven experience for our operations, but we are proactively engaging in pilots of electric powered heavy-duty vehicles and anticipate that we could redirect future planned capital investments in our fleet toward these assets when the vehicles prove economically and operationally viable. We also are actively working with policymakers to help them understand the challenges involving the electrification of heavy-duty collection vehicles. If regulation requires widespread adoption of electric powered vehicles before the technology improves, we may suffer operational inefficiencies and incur higher operating costs. Regulation mandating an 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RNG production facilities.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Renewable Energy</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recent years, we have discussed our sustainability growth strategy that includes significant planned and ongoing investments in our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federal tax credits for investments in RNG production under the IRA and OBBBA, and federal and state incentive programs, such as the federal RFS program, California Low Carbon Fuel 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RINs prices generally respond to regulations enacted by the EPA, as well as fluctuations in supply and demand. The value of the RINs is set through a market established by the RFS program, which market has historically been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The current U.S. presidential administration, meanwhile, revisited and retroactively lowered the 2024 blending volumes, has proposed to revisit and lower the 2025 standards, has proposed low volumes for compliance years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2026 and 2027 and departed from the previous administration in granting small refinery exemptions from RFS program requirements. We do not yet know how these changes may impact the demand for renewable fuels and the value of RINs. In an effort to mitigate against such risk and stabilize our RNG portfolio, we are pursuing long-term RNG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We are closely working with state policymakers and non-governmental stakeholders to understand the role of RNG as a renewable energy resource and in delivering GHG reductions.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A similar program has been adopted in Canada under the Clean Fuel Regulations.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Community Engagement – Environmental Justice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Certain governmental bodies are in various stages of adopting or considering the adoption of requirements for environmental justice reviews as part of certain permitting decisions. These policies generally require permitting agencies to give heightened attention to a project’s potential to disproportionately impact low-income and minority communities and to proactively plan for community engagement. Environmental justice and community consultation considerations are also being increasingly adopted beyond permitting actions; for example, in rulemaking and enforcement priorities. Our Company supports policies seeking to advance high standards of environmental performance and the fair treatment of people of all races, cultures, and incomes, and we continue to proactively engage with local communities. We are actively monitoring regulatory developments in this area, particularly with respect to permitting, as additional conditions imposed on permitting decisions could increase the time and cost involved to pursue and maintain necessary authorizations.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Privacy and Information Security Regulation</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Various U.S. and international laws and regulations related to data privacy, the protection of confidential information and secure information destruction services apply to our business. Applicable laws require businesses to provide notice under certain circumstances to individuals and/or regulators where personal information has been disclosed in a data breach. Regulatory enforcement action concerning privacy and security is generally increasing, including significant fines imposed by regulators. Secure handling and disposal of waste that may contain sensitive information may be subject to heightened privacy requirements, and in the event of a breach, could result in regulatory penalties or wider enforcement action, reputational harm, and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business, financial condition and results of operations are subject to numerous risks and uncertainties, some of which are not presently known or not currently believed to be material. You should carefully consider the following risk factors in conjunction with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22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our financial performance and our growth could be materially and adversely affected.</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for more information on our business strategy. There are risks involved in pursuing our strategy, including the following:</w:t>
      </w:r>
    </w:p>
    <w:p>
      <w:pPr>
        <w:spacing w:after="0" w:line="72"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customers or investors may not embrace and support our strategy.</w:t>
      </w:r>
    </w:p>
    <w:p>
      <w:pPr>
        <w:spacing w:after="0" w:line="36"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price leadership, which has presented challenges to keep existing business and win new business at reasonable returns. Our unwillingness to pursue lower margin volumes may negatively affect our cash flows or results of operations.</w:t>
      </w:r>
    </w:p>
    <w:p>
      <w:pPr>
        <w:spacing w:after="0" w:line="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implementing our technology-led automation and optimization strategy and other improvements to operational efficiency and such efforts may not yield the intended result.</w:t>
      </w:r>
    </w:p>
    <w:p>
      <w:pPr>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cost savings achieved, including through our automation and optimization or acquisition integration efforts, due to inflationary cost pressures or otherwise.</w:t>
      </w:r>
    </w:p>
    <w:p>
      <w:pPr>
        <w:jc w:val="both"/>
        <w:ind w:left="720" w:right="7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growth strategy, including acquisitions and expansion of operations, has caused, and may in the future cause, us to incur substantial additional indebtedness, which may divert capital away from our traditional business operations and other financial plans.</w:t>
      </w:r>
    </w:p>
    <w:p>
      <w:pPr>
        <w:spacing w:after="0" w:line="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Recycling Processing and Sales and Renewable Energy segments may introduce additional compliance and regulatory risks and additional volatility to our financial performance.</w:t>
      </w:r>
    </w:p>
    <w:p>
      <w:pPr>
        <w:jc w:val="both"/>
        <w:ind w:left="720" w:right="7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or lines of business may not increase our earnings to the extent or in the timeframe anticipated, or at all, due to complexities or difficulties operating in new markets or providing new service offerings or lines of business, failure of technologies to perform as expected, failure to achieve targeted revenue growth or market expansion, inability to manage costs within budget, integration issues, or regulatory issues and compliance costs, among others, and we may experience issues successfully integrating acquisitions into our internal controls, operations, and/or accounting systems.</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services offerings or lines of business, such as our Healthcare Solutions segment, and additional expansion outside of North America, results in our business being subject to new regulations, greater exposure to risk of inadvertent noncompliance and additional compliance costs.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spacing w:after="0" w:line="22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risks set forth above, implementation of our business strategy could be affected by other factors beyond our control, such as increased competition, legal developments, government regulation, global geopolitical instability, general economic conditions, increased operating costs and changes in industry trends. Implementation of our strategy may not improve our operating results to the extent we anticipate, or at all.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benefits, revenue and earnings growth, or cost synergies anticipated from the Stericycle acquisition.</w:t>
      </w:r>
    </w:p>
    <w:p>
      <w:pPr>
        <w:spacing w:after="0" w:line="213"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The acquired Stericycle business, which is now presented as our Healthcare Solutions segment, is subject to numerous risks and uncertainties such as decreases in the volume of medical waste and controlled substances wastes or personal and confidential information collected from customers; disruptions resulting from deployment of operational or technological systems, including with respect to Healthcare Solution’s enterprise resource planning (“ERP”) system and related billing and collection issues and delays; customer loss resulting from frustration due to billing or service issues; delayed revenue growth from planned pricing increases due to factors including customer retention, stabilization of customer data engagement systems and processes, and more prolonged development of market and customer-specific insights than initially planned; changing market conditions in the healthcare industry; competition and demand for services for the medical waste, controlled substances waste and secure information destruction industries; commodity price volatility; changes in regulation of the collection, transportation, treatment and disposal or destruction of medical waste and controlled substances waste or the proper handling and protection of personal and confidential information; the level of government enforcement of regulations governing medical waste and controlled substances waste collection and treatment or the proper handling and protection of personal and confidential information; and the outcome of pending, future or settled litigation or investigations. If we are unsuccessful in achieving financial and operational targets and implementing the Healthcare Solutions business strategy, it could negatively impact our realization of benefits from the acquisition, as well as our stock price and our future business and financial results.</w:t>
      </w:r>
    </w:p>
    <w:p>
      <w:pPr>
        <w:spacing w:after="0" w:line="87" w:lineRule="exact"/>
        <w:rPr>
          <w:sz w:val="20"/>
          <w:szCs w:val="20"/>
          <w:color w:val="auto"/>
        </w:rPr>
      </w:pPr>
    </w:p>
    <w:p>
      <w:pPr>
        <w:jc w:val="both"/>
        <w:ind w:left="60" w:right="59" w:firstLine="363"/>
        <w:spacing w:after="0" w:line="256" w:lineRule="auto"/>
        <w:rPr>
          <w:sz w:val="20"/>
          <w:szCs w:val="20"/>
          <w:color w:val="auto"/>
        </w:rPr>
      </w:pPr>
      <w:r>
        <w:rPr>
          <w:rFonts w:ascii="Times New Roman" w:cs="Times New Roman" w:eastAsia="Times New Roman" w:hAnsi="Times New Roman"/>
          <w:sz w:val="18"/>
          <w:szCs w:val="18"/>
          <w:color w:val="auto"/>
        </w:rPr>
        <w:t>The benefits that are expected to result from our acquisition of Stericycle also depend, in part, on our ability to realize anticipated cost synergies. Our success in realizing these benefits and cost synergies, and the timing of this realization, depends on the successful integration of the Stericycle business. The acquisition of Stericycle may not result in realization of the benefits and cost synergies that we currently expect, and we cannot guarantee that these benefits and cost synergies will be achieved within anticipated time frames. Additionally, we have, and may continue to, incur substantial expenses in connection with the integration of the Stericycle business, which may exceed expectations and offset certain benefits.</w:t>
      </w:r>
    </w:p>
    <w:p>
      <w:pPr>
        <w:spacing w:after="0" w:line="75"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liabilities, reduce revenues, or require us to make additional capital expenditures.</w:t>
      </w:r>
    </w:p>
    <w:p>
      <w:pPr>
        <w:spacing w:after="0" w:line="6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Stringent government regulations at the federal, state, provincial and local level in the U.S. and Canada, as well as other international jurisdictions where we operate, have a substantial impact on our operations, and compliance with such regulations is costly. See Item 1. </w:t>
      </w:r>
      <w:r>
        <w:rPr>
          <w:rFonts w:ascii="Times New Roman" w:cs="Times New Roman" w:eastAsia="Times New Roman" w:hAnsi="Times New Roman"/>
          <w:sz w:val="18"/>
          <w:szCs w:val="18"/>
          <w:i w:val="1"/>
          <w:iCs w:val="1"/>
          <w:color w:val="auto"/>
        </w:rPr>
        <w:t>Business – Regulation</w:t>
      </w:r>
      <w:r>
        <w:rPr>
          <w:rFonts w:ascii="Times New Roman" w:cs="Times New Roman" w:eastAsia="Times New Roman" w:hAnsi="Times New Roman"/>
          <w:sz w:val="18"/>
          <w:szCs w:val="18"/>
          <w:color w:val="auto"/>
        </w:rPr>
        <w:t xml:space="preserve"> for additional information. Many complex laws, rules, orders and interpretations govern environmental protection, health, safety, land use, zoning, transportation, ethical business conduct, data privacy and security, and other related and similar subjects. Among other things, governmental regulations and enforcement actions restrict our operations at times and may adversely affect our financial condition, results of operations and cash flows by imposing limitations or other conditions on constructing or expanding facilities; collection and disposal pricing and volume; transportation of out-of-state waste and management and processing of certain waste streams.</w:t>
      </w:r>
    </w:p>
    <w:p>
      <w:pPr>
        <w:spacing w:after="0" w:line="3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or other emerging contaminants. Similar issues can also result in a significant increase in operating costs; for example, developments in recent years related to management of per- and polyfluoroalkyl substances (“PFAS”) have increased our landfill operating costs. See Item 1. </w:t>
      </w:r>
      <w:r>
        <w:rPr>
          <w:rFonts w:ascii="Times New Roman" w:cs="Times New Roman" w:eastAsia="Times New Roman" w:hAnsi="Times New Roman"/>
          <w:sz w:val="18"/>
          <w:szCs w:val="18"/>
          <w:i w:val="1"/>
          <w:iCs w:val="1"/>
          <w:color w:val="auto"/>
        </w:rPr>
        <w:t xml:space="preserve">Business – Regulation – Recent Developments and Focus Areas in Policy and Regulation – PFAS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We may face increased exposure to testing, remediation and litigation costs as a result of new and emerging PFAS regulations and requirements.</w:t>
      </w:r>
    </w:p>
    <w:p>
      <w:pPr>
        <w:spacing w:after="0" w:line="8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Regulations establishing extended producer responsibility (“EPR”) are being considered or implemented in many places around the world, including in certain states in the U.S. and provinces and territories in Canada. EPR regulations are designed to place either partial or total responsibility on producers of consumer-packaged goods and other products to fund the post-use life cycle of the products and packaging they create. At the same time, concerns over price and</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affordability have led some jurisdictions to scale back previously enacted EPR requirements, and certain programs have faced lawsuits and potential constitutional review, creating uncertainty for long-term planning. For additional information, See Item 1. </w:t>
      </w:r>
      <w:r>
        <w:rPr>
          <w:rFonts w:ascii="Times New Roman" w:cs="Times New Roman" w:eastAsia="Times New Roman" w:hAnsi="Times New Roman"/>
          <w:sz w:val="18"/>
          <w:szCs w:val="18"/>
          <w:i w:val="1"/>
          <w:iCs w:val="1"/>
          <w:color w:val="auto"/>
        </w:rPr>
        <w:t>Business – Regulation – Recent Developments and Focus Areas in Policy and Regulation – Extended Producer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Responsibility</w:t>
      </w:r>
      <w:r>
        <w:rPr>
          <w:rFonts w:ascii="Times New Roman" w:cs="Times New Roman" w:eastAsia="Times New Roman" w:hAnsi="Times New Roman"/>
          <w:sz w:val="18"/>
          <w:szCs w:val="18"/>
          <w:color w:val="auto"/>
        </w:rPr>
        <w:t>. A significant reduction in the waste, recycling and other streams we manage, including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and volume, could have a material adverse effect on our financial condition, results of operations and cash flows. Conversely, changes in program requirements or deregulatory rulings in jurisdictions where we have adapted to meet customer demand could affect our operations, financial condition or results of operations.</w:t>
      </w:r>
    </w:p>
    <w:p>
      <w:pPr>
        <w:spacing w:after="0" w:line="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also subject to additional laws and regulations in the U.S. and internationally concerning transportation, management and disposal or destruction of medical waste streams, including regulations that govern the definition, generation, segregation, handling, packaging, transportation, treatment, storage and disposal or destruction of medical waste and controlled substances waste, along with extensive recordkeeping and documentation requirements. Our secure information destruction services are subject to additional laws and regulations regarding proper handling and protection of personal and confidential information. Relaxation of enforcement, government shutdowns, or other changes in governmental regulation of medical waste and controlled substances waste and personal and confidential information could increase the number of competitors we face or reduce or delay the need for these services.</w:t>
      </w:r>
    </w:p>
    <w:p>
      <w:pPr>
        <w:spacing w:after="0" w:line="8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current U.S. presidential administration has implemented substantial changes to foreign trade policy and is generally in favor of reducing regulation, including environmental regulation. The impact and timing of these shifts in regulatory policy impacting our industry and our Company remain uncertain, as many are subject to ongoing litigation and agency review. Reduction of regulation may have a favorable impact on our operating costs, but the extensive environmental regulation applicable to our industry is also a barrier to rapid entry that benefits our Company. It is likely that some policies adopted by this administration will benefit us and others will negatively affect us.</w:t>
      </w:r>
    </w:p>
    <w:p>
      <w:pPr>
        <w:spacing w:after="0" w:line="7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It is our policy to comply with all applicable anti-bribery laws, such as the U.S. Foreign Corrupt Practices Act (“FCPA”),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Additionally, violations of such laws could subject us to significant fines and penalties.</w:t>
      </w:r>
    </w:p>
    <w:p>
      <w:pPr>
        <w:spacing w:after="0" w:line="7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we encounter regulatory compliance issues in the course of operating our business, we may experience adverse publicity, which may intensify if such noncompliance results in legal liability. Any legal liability or adverse publicity from such noncompliance may harm our reputation and result in difficulties in attracting new customers, or retaining existing customers, which would negatively impact our results of operations and financial condition.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operational and safety risks, including the risk of injury to employees and others.</w:t>
      </w:r>
    </w:p>
    <w:p>
      <w:pPr>
        <w:spacing w:after="0" w:line="12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Providing environmental and waste management services, including constructing and operating landfills, transfer stations, processing facilities, recycling facilities and other disposal or destruction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and we have proactively incurred increased costs to manage leachate in response to this risk. We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The Healthcare Solutions business requires handling of medical waste and controlled substances waste and operates incineration facilities. Incidents such as truck accidents, damaged or leaking containers, improper storage of medical waste and controlled substances waste, placement of prohibited materials into the waste stream, or malfunctioning plant or incineration equipment could result in exposure to contaminated or infectious waste or other hazardous materials.</w:t>
      </w:r>
    </w:p>
    <w:p>
      <w:pPr>
        <w:spacing w:after="0" w:line="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Any of these risks could potentially result in injury, illness or death of employees and others. These risks could also result in a need to shut down or reduce operation of facilities, increased operating costs and exposure to liability for pollution, public nuisance, and other environmental damage, and property damage or destruction. If we were to incur substantial liabilities in excess of any applicable insurance, our business, results of operations and financial condition could be adversely affected. Any such incidents could also tarnish our reputation and reduce the value of our brand. Additionally,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 major operational failure, even if suffered by a competitor, may bring enhanced scrutiny and regulation of our industry, with a corresponding increase in operating expense.</w:t>
      </w:r>
    </w:p>
    <w:p>
      <w:pPr>
        <w:spacing w:after="0" w:line="50"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for our operations or expand existing permitted capacity at our landfills, due to land scarcity, public opposition or otherwise, which can require us to identify disposal alternatives, resulting in decreased revenue and increased costs.</w:t>
      </w:r>
    </w:p>
    <w:p>
      <w:pPr>
        <w:spacing w:after="0" w:line="67"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Our ability to meet our financial and operating objectives depends in part on our ability to obtain and maintain the permits, authorizations, approvals, certificates, and other governmental permissions necessary to operate landfill sites, recycling facilities, compost facilities, processing facilities, landfill gas-to-energy facilities, incineration facilities and transfer stations in the various jurisdictions in which we operate. Changes in applicable laws and regulations could require us to obtain new permits or to change the way in which we operate our business. Even where permits are obtained, they may contain conditions or restrictions that limit our ability to operate efficiently.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Our ability to receive permits is also impacted by land scarcity, particularly in densely populated areas. Diminishing disposal capacity, typically in proximity to major metropolitan areas, sometimes requires us to transport waste by rail or find alternative disposal solutions in affected areas, increasing our operating costs. Certain governmental bodies are in various stages of adopting or considering the adoption of requirements for environmental justice reviews as part of certain permitting decisions. These policies generally require permitting agencies to give heightened attention to a project’s potential to disproportionately impact low-income and minority communities and to proactively plan for community engagement. Responding to permit challenges has, at times, increased our costs and extended the time associated with establishing new facilities and expanding existing facilities. Our failure to obtain the required permits and necessary capacity expansion to operate our business, including our landfills, could have a material adverse impact on our financial condition, results of operations and cash flows.</w:t>
      </w:r>
    </w:p>
    <w:p>
      <w:pPr>
        <w:spacing w:after="0" w:line="93"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develop and retain key team members and a high-quality workforce, and comply with applicable employment regulations, it could result in business and strategic disruption and increased costs, negatively impacting our results of operations.</w:t>
      </w:r>
    </w:p>
    <w:p>
      <w:pPr>
        <w:spacing w:after="0" w:line="67"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Our operations require us to attract, hire, develop and retain a high-quality workforce; this includes key individuals in leadership and specialty roles, as well as a very large number of skilled drivers, technicians and other front-line and back-office team members necessary to provide our environmental services. We experience significant competition to hire and retain certain front-line positions, such as commercial truck drivers. Additionally, the market for employees that serve on our digital team and support our investments in our technology-led automation and optimization strategy is highly competitive. We also compete to attract skilled business leaders, and our own key team members are sought after by our competitors and other companies. Labor shortages, as we have experienced in the past, could result in increased costs due to wage adjustments, overtime hours, training costs and inability to service customers. As an employer of over 60,000 individuals throughout the U.S. and Canada, as well as Western Europe and India, we are subject to numerous employment related regulations, including federal and state wage and hour laws and rapidly changing laws related to employment eligibility. If we are not able to attract, hire, develop and retain a high-quality workforce with the necessary skills and expertise, if we experience significant employee turnover, or if we fail to comply with applicable employment regulations, it can result in business and strategic disruption, increased costs, and loss of institutional knowledge, which could negatively impact our results of operations.</w:t>
      </w:r>
    </w:p>
    <w:p>
      <w:pPr>
        <w:spacing w:after="0" w:line="8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labor costs as a result of unions organizing, Multiemployer Pension Plan withdrawals, changes in regulations related to labor unions or increases in minimum wages, could adversely affect our future results.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We are a participating employer in a number of trustee-managed multiemployer defined benefit pension plans (“Multiemployer Pension Plans”) for employees who are covered by collective bargaining agreements. In the event of our withdrawal from a Multiemployer Pension Plan, we may incur significant expenses associated with our obligations for unfunded vested benefits at the time of the withdrawal that could have a material adverse effect on results of operations or cash flows.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6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severe weather events resulting from climate change and event driven projects cause our results to fluctuate, and prior performance may not be indicative of our future results.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Margins on weather-related and other event-driven projects may not be consistent with our ordinary course business. For these and other reasons, operating results in any period may not be indicative of operating results for any other period. Our stock price may be negatively impacted by interim variations in our results.</w:t>
      </w:r>
    </w:p>
    <w:p>
      <w:pPr>
        <w:spacing w:after="0" w:line="80" w:lineRule="exact"/>
        <w:rPr>
          <w:sz w:val="20"/>
          <w:szCs w:val="20"/>
          <w:color w:val="auto"/>
        </w:rPr>
      </w:pPr>
    </w:p>
    <w:p>
      <w:pPr>
        <w:jc w:val="both"/>
        <w:ind w:left="18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away from our current vehicle fleet to electric powered vehicles could impair our investments and result in cost increases and significant additional capital investment.</w:t>
      </w:r>
    </w:p>
    <w:p>
      <w:pPr>
        <w:spacing w:after="0" w:line="7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to power our natural gas fleet. Fluctuations in the price and supply of natural gas or diesel fuel could substantially increase our operating expenses; a reduction in the existing cost differential between natural gas and diesel fuel could materially reduce the benefits we anticipate from our investment in natural gas vehicles.</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See Item 1.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 Investment in Natural Gas Vehicles and Infrastructure </w:t>
      </w:r>
      <w:r>
        <w:rPr>
          <w:rFonts w:ascii="Times New Roman" w:cs="Times New Roman" w:eastAsia="Times New Roman" w:hAnsi="Times New Roman"/>
          <w:sz w:val="18"/>
          <w:szCs w:val="18"/>
          <w:color w:val="auto"/>
        </w:rPr>
        <w:t>for additional information. Regulation mandating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transition to electric powered vehicles would increase our cost to acquire vehicles needed to service our customers, and capital investment required to establish sufficient charging infrastructure could be significant. Additionally, the investments we have made in an industry-leading natural gas fleet and infrastructure could be impaired. Tax incentives and grants that advance the adoption of zero-emissions vehicles and lead to a shift away from natural gas trucks and RNG infrastructure would likely also negatively impact our investments in landfill gas-to-energy facilities.</w:t>
      </w:r>
    </w:p>
    <w:p>
      <w:pPr>
        <w:spacing w:after="0" w:line="82"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our sustainability-related goals, including reduction of our greenhouse gas ("GHG") emissions, or achieve the results and benefits anticipated from our sustainability-related investments and initiatives within planned timelines or anticipated budget.</w:t>
      </w:r>
    </w:p>
    <w:p>
      <w:pPr>
        <w:spacing w:after="0" w:line="6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have set goals to reduce our GHG emissions and announced other sustainability-related goals and initiatives. We may not be able to meet such goals or implement such initiatives in the manner or on timelines contemplated due to</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challenges including, but not limited to, unforeseen costs or delays, changes in how GHG emissions are calculated or otherwise reported, supply chain disruptions, regulatory impacts, integration of acquired assets or businesses, technology limitations or technical difficulties associated with achieving such goals. Changes to our business or asset base that were not contemplated when we set our sustainability-related goals could adversely impact our progress towards these goals and require us to adjust them. These changes could negatively impact public perception of our Company and stakeholders may view these changes unfavorably. Also, despite voluntarily announcing such sustainability goals, we may receive pressure from investors or other groups to adopt more aggressive sustainability-related goals that may not be technically, operationally, or financially feasible.</w:t>
      </w:r>
    </w:p>
    <w:p>
      <w:pPr>
        <w:spacing w:after="0" w:line="8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we have made significant investments in our Recycling Processing and Sales and Renewable Energy segments. Timing and achievement of the results and benefits anticipated from these investments may be impacted by the numerous risks and uncertainties including financial and operating performance; availability of technology and financing; compliance with regulations; inability to develop, obtain or scale necessary equipment; technology and innovations; challenges arising from the availability or cost of materials and infrastructure; difficulty obtaining regulatory approvals or permits; commodity price fluctuation and general economic conditions. (Also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revenues,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earnings and cash flows fluctuate based on changes in commodity prices and demand and may fluctuate substantially without notice in the future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 Changes to federal and state renewable fuel policies could affect the financial performance of our Renewable Energy segment</w:t>
      </w:r>
      <w:r>
        <w:rPr>
          <w:rFonts w:ascii="Times New Roman" w:cs="Times New Roman" w:eastAsia="Times New Roman" w:hAnsi="Times New Roman"/>
          <w:sz w:val="18"/>
          <w:szCs w:val="18"/>
          <w:color w:val="auto"/>
        </w:rPr>
        <w:t>). Favorable expectations regarding potential investment tax credits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stemming from the IRA and the OBBBA may not materialize or could fail to meet expectations. See Item 1. </w:t>
      </w:r>
      <w:r>
        <w:rPr>
          <w:rFonts w:ascii="Times New Roman" w:cs="Times New Roman" w:eastAsia="Times New Roman" w:hAnsi="Times New Roman"/>
          <w:sz w:val="18"/>
          <w:szCs w:val="18"/>
          <w:i w:val="1"/>
          <w:iCs w:val="1"/>
          <w:color w:val="auto"/>
        </w:rPr>
        <w:t xml:space="preserve">Business – Regulation – Recent Developments and Focus Areas in Policy and Regulation – Tax Legislation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8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also forecasted or projected certain operational and financial information with respect to our sustainability investments and initiatives. For example, the amount of gas produced over time at landfills can vary depending on many factors, including weather and the composition of the inbound waste stream. Gas curves are inherently uncertain, and if we have less gas than predicted at a site where we have invested in RNG infrastructure, it may take longer to achieve our return on investment. Relatedly, the quality of the gathered gas is subject to the composition of the waste deposited at our landfills, and the prevalence of certain chemical compounds may adversely affect the usability of such gas and require further investment in the treatment and management of such compounds. Regulations requiring diversion of organic waste away from landfills could have the effect of decreasing the amount of landfill gas produced over time in our landfills.</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Focus on, and regulation of, sustainability performance and disclosure can result in increased costs, risk of noncompliance, damage to our reputation and related adverse effects.</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nature, scope, and complexity of matters that our Company must assess, quantify and disclose are expanding due to current, proposed, and recently enacted governmental reporting requirements pertaining to sustainability and climate-related risks and other topics, such as water usage, waste production, labor, human capital, environmental justice, cybersecurity, privacy, and risk oversight. See Item 1. </w:t>
      </w:r>
      <w:r>
        <w:rPr>
          <w:rFonts w:ascii="Times New Roman" w:cs="Times New Roman" w:eastAsia="Times New Roman" w:hAnsi="Times New Roman"/>
          <w:sz w:val="18"/>
          <w:szCs w:val="18"/>
          <w:i w:val="1"/>
          <w:iCs w:val="1"/>
          <w:color w:val="auto"/>
        </w:rPr>
        <w:t>Business – Regulation – Recent Developments and Focus Areas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Policy and Regulation – Climate and Sustainability </w:t>
      </w:r>
      <w:r>
        <w:rPr>
          <w:rFonts w:ascii="Times New Roman" w:cs="Times New Roman" w:eastAsia="Times New Roman" w:hAnsi="Times New Roman"/>
          <w:sz w:val="18"/>
          <w:szCs w:val="18"/>
          <w:color w:val="auto"/>
        </w:rPr>
        <w:t>for more information. Methodology and timelines for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may be inconsistent with requirements enacted by other governmental entities, including with respect to measuring emissions and requiring a determination of “materiality” that may differ from traditional disclosure requirements under U.S. federal securities laws.</w:t>
      </w:r>
    </w:p>
    <w:p>
      <w:pPr>
        <w:spacing w:after="0" w:line="8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sustainability matters are subject to heightened scrutiny related to the risk of potential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allegations of misleading information or false claims overstating potential sustainability benefits made by governmental authorities, non-governmental organizations and other private actors. An inability to implement such policies, practices, and internal controls and maintain compliance with laws and regulations, or a perception among stakeholders that our sustainability disclosures and goals are insufficient or our goals are unattainable, could harm our reputation and competitive position and negatively impact our stock price and business performance.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and Industry Risks</w:t>
      </w:r>
    </w:p>
    <w:p>
      <w:pPr>
        <w:spacing w:after="0" w:line="225"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 disruption, including labor shortages, external strikes, supply chain constraints and major external events, and macroeconomic pressures, including inflation, have recently had, and may in the future have, an adverse impact on our business and results of operations.</w:t>
      </w:r>
    </w:p>
    <w:p>
      <w:pPr>
        <w:spacing w:after="0" w:line="6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Market disruption resulting from labor shortages, external labor disputes and strikes, supply chain and transportation constraints, major external events, including pandemic conditions, and macroeconomic pressures have recently had, and may in the future have, an adverse impact on our results and can create risk and uncertainty in financial outlook. Inflation can and has increased costs for the goods and services we purchase, particularly for labor, repair and maintenance, and subcontractor costs. Aspects of our business rely on third-party transportation providers, and such services have become more limited and expensive. Significant restrictions and tariffs on foreign trade have a negative impact on our recycling export business and our cross-border commerce, particularly with Canada, decrease paper mills’ demand for recycled corrugated cardboard used in packaging and increase the cost of certain equipment and other materials used in our operations that we procure from outside the U.S., including our trucks and certain equipment used to implement our sustainability growth strategy. Geopolitical conflicts and the resulting international responses may also exacerbate market disruption, leading to volatility in commodity prices, impacts on the availability and cost of energy, increased cyberattacks, and vendor and supplier disruptions across the global supply chain. Major external events, like pandemics or widespread social restrictions, could also have an adverse impact on our volumes, costs and operations. The extent and duration of the impact of these challenges are subject to numerous external factors beyond our control. If such impacts are prolonged and substantial, they could have a material negative effect on our results of operations.</w:t>
      </w:r>
    </w:p>
    <w:p>
      <w:pPr>
        <w:spacing w:after="0" w:line="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Accelerated and pronounced economic pressures, such as rising interest rates and inflationary cost pressures, have in the past and may in the future impact our cost structure and capital expenditures. Significant components of our operating expenses vary directly as we experience changes in revenue due to volume and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The inability to adequately increase prices to offset increased costs and inflationary pressures, or otherwise mitigate the impact of these conditions on our business, will increase our costs of doing business and reduce our margins.</w:t>
      </w:r>
    </w:p>
    <w:p>
      <w:pPr>
        <w:spacing w:after="0" w:line="76"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and when expanding to new lines of business or new markets.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8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earnings and cash flows fluctuate based on changes in commodity prices and demand and may fluctuate substantially without notice in the future.</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Prices and demand for recyclables fluctuate and are particularly susceptible to volatility based on macroeconomic conditions and regulations. The fluctuations in the market prices or demand for these commodities can affect our operating income and cash flows negatively, as we experienced in 2025, or positively, as we experienced in 2024. The decline in market prices in 2025 for recyclable commodities resulted in a year-over-year decrease in revenue of $166 million, and</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increase in market prices in 2024 for recyclable commodities resulted in a year-over-year increase in revenue of $245 million.</w:t>
      </w:r>
    </w:p>
    <w:p>
      <w:pPr>
        <w:spacing w:after="0" w:line="5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Regulations affecting, and in some cases restricting, the international flow of certain recyclables have led, and could in the future lead, to a reduction in export activity for such recyclables, as well as higher quality requirements and higher processing costs. We have made significant investments in our recycling business to increase automation and reduce labor dependency and address increases in regulatory- and customer-driven quality requirements for commodities. These investments increase our exposure to commodity price fluctuations. Future regulation, tariffs, international trade policies or other initiatives, including regulations addressing climate change or GHG emissions, may impact supply and demand of material and availability of counterparties, or increase operating costs, which could impact the profitability of our recycling operations. If we do not effectively manage changes in demand and commodity prices for recyclable materials, or if we do not successfully execute our sustainability growth strategy, our investments in recycling infrastructure and technology may not yield the results anticipated.</w:t>
      </w:r>
    </w:p>
    <w:p>
      <w:pPr>
        <w:spacing w:after="0" w:line="8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Fluctuation in energy-related prices also affects our business, including recycling of plastics manufactured from petroleum products. Our Renewable Energy segment generates and sells credits referred to as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Recent expansion of our Renewable Energy segment may introduce additional risks and volatility to our financial performance.</w:t>
      </w:r>
    </w:p>
    <w:p>
      <w:pPr>
        <w:spacing w:after="0" w:line="7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large North American and global companies and government agencies. This increased focus on minimizing climate impacts may require the Company to invest in higher-cost technologies.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and actual or perceived risks for human health, many governments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8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conditions and consumer trends can directly and adversely affect revenues for our services, our income from operations margins and our overall financial results.</w:t>
      </w:r>
    </w:p>
    <w:p>
      <w:pPr>
        <w:spacing w:after="0" w:line="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business is directly affected by changes in consumer trends and economic factors that are outside of our control, including consumer preferences and priorities, consumer confidence, inflation, interest rates and access to capital markets.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and variety of services requested by customers. Additionally, a weak market for consumer goods, or reduction in international trade due to tariffs or other factors, can significantly decrease demand by paper mills for recycled corrugated cardboard used in packaging, which can constrict availability of counterparties and negatively impact commodity prices and our operating income and cash flows. While sustainability remains a priority for many customers, we have observed a shift in prioritization by some companies with respect to sustainability objectives, including a decreased willingness to pay premium prices for recycled materials or enhanced sustainability solutions, which impacts demand for, and viability of, some of our offerings.</w:t>
      </w:r>
    </w:p>
    <w:p>
      <w:pPr>
        <w:spacing w:after="0" w:line="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Our costs may increase more than the increase, if any, in the Consumer Price Index,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high-cost structures. During these periods, such entities, and our non-governmental customers, could be unable to pay amounts owed to us or renew contracts with us at previous or increased rates. In addition, the financial difficulties of municipalities could reduce investor demand for municipal bonds and cause a correlating increase in interest rates. As of December 31, 2025, we had $1.8 billion of tax-exempt bonds with 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76"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 in volumes of medical waste, controlled substances wastes, and personal and confidential information, and changing conditions in the healthcare industry could adversely affect our financial results.</w:t>
      </w:r>
    </w:p>
    <w:p>
      <w:pPr>
        <w:spacing w:after="0" w:line="51" w:lineRule="exact"/>
        <w:rPr>
          <w:sz w:val="20"/>
          <w:szCs w:val="20"/>
          <w:color w:val="auto"/>
        </w:rPr>
      </w:pPr>
    </w:p>
    <w:p>
      <w:pPr>
        <w:jc w:val="both"/>
        <w:ind w:left="60" w:right="59" w:firstLine="401"/>
        <w:spacing w:after="0" w:line="258" w:lineRule="auto"/>
        <w:rPr>
          <w:sz w:val="20"/>
          <w:szCs w:val="20"/>
          <w:color w:val="auto"/>
        </w:rPr>
      </w:pPr>
      <w:r>
        <w:rPr>
          <w:rFonts w:ascii="Times New Roman" w:cs="Times New Roman" w:eastAsia="Times New Roman" w:hAnsi="Times New Roman"/>
          <w:sz w:val="18"/>
          <w:szCs w:val="18"/>
          <w:color w:val="auto"/>
        </w:rPr>
        <w:t>Through our Healthcare Solutions segment, we provide compliance-based services that rely on the generation of medical waste, controlled substances waste and personal and confidential information by our customers. The volume of such material may be impacted by macroeconomic trends associated with manufacturing and industrial markets, healthcare market dynamics, and trends associated with an increase in work-from-home arrangements and electronic and digital record keeping. Long-term trends resulting from these factors could reduce the demand for these services.</w:t>
      </w:r>
    </w:p>
    <w:p>
      <w:pPr>
        <w:spacing w:after="0" w:line="7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U.S. and elsewhere, the healthcare industry is evolving to meet competing demands for increased healthcare coverage of a growing and aging population and economic pressures to reduce healthcare costs. As a result of these dynamics, hospital networks are consolidating physician practices into their networks, independent practices are consolidating, and healthcare providers are focused on cutting costs within their businesses. These changes and consolidation of the customer base increase the competitive nature of the healthcare waste industry and exert downward pricing pressure, which could adversely affect our financial results.</w:t>
      </w:r>
    </w:p>
    <w:p>
      <w:pPr>
        <w:spacing w:after="0" w:line="7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 or interpretation thereof or the imposition of new or increased taxes may increase our tax liabilities and could adversely affect our operating results and cash flows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subject to various complex and evolving U.S. federal, state, local and non-U.S. tax laws. Existing tax laws, policies, statutes, rules, regulations or ordinances, including those related to any non-U.S. tax jurisdictions in which we operate, could be interpreted, changed, modified or applied adversely to us, in each case, possibly with retroactive effect. Any significant variance in our interpretation of current tax laws or a successful challenge of one or more of our tax positions by the U.S. Internal Revenue Service or other tax authorities could increase our future tax liabilities and adversely affect our operating results and cash flows.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Shortages in diesel fuel supply or increases in diesel fuel prices will increase our operating expenses.</w:t>
      </w:r>
    </w:p>
    <w:p>
      <w:pPr>
        <w:spacing w:after="0" w:line="12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notable portion of our collection and transfer trucks and our equipment used in our landfill operations. Fuel supply shortages and price increases could substantially increase our operating expenses. Regardless of any offsetting surcharge programs, increased operating costs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higher diesel fuel prices will decrease our income from operations margins.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Intellectual Property and Information Security Risks</w:t>
      </w:r>
    </w:p>
    <w:p>
      <w:pPr>
        <w:spacing w:after="0" w:line="11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existing and proposed service offerings to customers require that we invest in, develop, license, and protect new technologies. Our Company is continuing our multi-year commitment to strategic investments in technology that automate and innovate our operations, improve the customer experience, provide alternatives to traditional disposal and maximize the resource value of waste.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expensive, and an inability to obtain or protect new technologies could impact our services to customers and the development of new revenue sources. We rely on a combination of patents and trade secrets to protect our intellectual property, as well as confidentiality and non-disclosure agreements with employees, contractors, and other third parties. We cannot guarantee that these measures will fully prevent unauthorized access or use. Furthermore, there is no assurance that current or future applications will result in issued patents or, if issued, will provide adequate protection against competitors or other third parties. If a competitor or other third party develops or obtains exclusive rights to a “breakthrough technology” that provides a revolutionary change in our industry, or if we have inferior intellectual property to our competitors, our financial results may suffer.</w:t>
      </w:r>
    </w:p>
    <w:p>
      <w:pPr>
        <w:spacing w:after="0" w:line="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we have developed a reputation for high-quality service, reliability and social and environmental responsibility, and we believe our brand symbolizes these attributes. Intellectual property including the WM brand name, trademarks and logos are powerful sales and marketing tools, and we devote significant resources to promoting and protecting them.</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technology, and if our technology fails, our business would be adversely affected.</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Company, our customers, and the economy in general are increasingly dependent on continuous information technology systems and digital tools to conduct operations. This dependence spans nearly all areas of our business, from overseeing and controlling critical infrastructure to processing and securing proprietary and sensitive information. The information technology systems and networks that we, our customers, suppliers, and other third parties rely on can be vulnerable to disruptions from cyberattacks, power failures, telecommunications outages, major events like natural disasters, acts of war or terrorism, employee errors, and other unexpected or uncontrollable occurrences. Systems that increase our utilization of, and dependency on, third-party cloud computing services and digital platforms also increase various technology risks, including potential exposure to cyber incidents, loss of data, fraud, internal control challenges and other disruptions. Challenges in implementing new systems can affect our ability to comply with laws and regulations and realize projected cost savings or other benefits. Should our systems be compromised or cease to function effectively, we may face substantial costs to repair or replace them, as well as potential liability, loss of crucial data, reputational harm and interruptions to our services or operations.</w:t>
      </w:r>
    </w:p>
    <w:p>
      <w:pPr>
        <w:spacing w:after="0" w:line="7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adapt to and manage the benefits and risks of artificial intelligence could expose us to liability or put us at a disadvantage.</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Artificial intelligence could disrupt certain aspects of our business and change use of technology in ways that are not yet known. Artificial intelligence technologies are subject to a variety of laws and compliance risk, including intellectual property, data protection and privacy, cybersecurity, consumer protection, competition, and equal opportunity laws, and are expected to be subject to increased regulation and new laws or new applications of existing laws. The use of artificial intelligence may also result in litigation, ethical concerns, and other legal and business risks. If we are not able to adapt and effectively incorporate potential advantages of artificial intelligence in our business, it may negatively impact our ability to compete. If we are not able to effectively govern the use and manage the risks of artificial intelligence, we may suffer harm to our results of operations and reputation.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cybersecurity incidents may negatively impact our business and our relationships with customers, vendors and employees and expose us to increased liability.</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Substantially all aspects of our business operations rely on digital technology. We use computers, mobile devices, social networking and other online platforms to connect with our employees, customers, vendors, as well as other individuals and third parties. These uses give rise to cybersecurity risks, including security breach, ransomware, espionage, system disruption, theft and/or inadvertent, accidental, unlawful, unauthorized access, loss, alteration, destruction and/or disclosure 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data, and financial and strategic information about the Company and other businesses. In addition to our own safeguarding efforts, we also rely on third parties to process, collect and store sensitive data, including a Payment Card Industry compliant third-party to protect our customers’ credit card information. We are regularly the target of attempted cyber intrusions, have experienced cyber intrusions, and anticipate continuing to be subject to such attempts as cyber intrusions become increasingly sophisticated and more difficult to predict and protect against. Technological advancements, including the progression of the capabilities of artificial intelligence, also increase the risk, likelihood and precision of cyber incidents. As such, we must commit substantial resources to continuously monitor and further enhance our networks and infrastructure to prevent, detect, and address the risk of unauthorized access, misuse, computer malware and other events. These protections and other systems designed to mitigate cybersecurity risks may not fully defend against an attack or future cybersecurity incident, which can be unpredictable in nature. Data security measures that our third-party service providers have implemented may not be effective against all current or future security threats. We also cannot guarantee that the systems, networks, equipment or software used by us or our third-party service providers have not been breached or otherwise compromised.</w:t>
      </w:r>
    </w:p>
    <w:p>
      <w:pPr>
        <w:spacing w:after="0" w:line="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the probability of occurrence of a significant cybersecurity incident is less than likely, if such an incident were to occur, the impact on the Company could be substantial. The magnitude of future cyber intrusions that result in a theft, destruction, loss, misappropriation, or release of sensitive and/or confidential information (belonging to us or third parties) or intellectual property, or material interference with our information technology systems or the technology systems of third parties on which we rely cannot be predicted, such incidents could result in material business disruption, direct financial loss, remediation costs, reputational harm, brand damage, alleged violation of privacy laws, loss of customers, potential regulatory investigations and enforcement or private litigation liability and competitive disadvantage. To mitigate these risks, we maintain a cybersecurity insurance policy; however, due to policy terms, limits and exclusions, such insurance may not apply in all cases, and it may not be adequate to cover all liabilities incurred. Regulatory enforcement action concerning privacy infringement and security incidents is generally increasing, including significant fines recently imposed by U.K. and European regulators. Our Healthcare Solutions operations in Western Europe may subject us to short notification deadlines in international jurisdictions in the event of a significant cybersecurity incident that impacts us globally; it may not be possible for us to comply with such notification deadlines due to the time required to conduct investigations and assess the impact of such incident. Failure to comply with applicable laws and regulatory deadlines could attract enforcement action, penalties, litigation, investigations, proceedings, reputational harm and brand damage.</w:t>
      </w:r>
    </w:p>
    <w:p>
      <w:pPr>
        <w:spacing w:after="0" w:line="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is also expanding and improving its information technologies, resulting in a larger technological presence, utilization of cloud computing services, and corresponding exposure to cybersecurity risk. Certain new technologies, such as the use of autonomous vehicles, remote-controlled equipment, virtual reality, automation and artificial intelligence,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75"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security, privacy and data protection issues worldwide is rapidly evolving and is likely to remain uncertain for the foreseeable future. We collect, use, share, retain, delete and otherwise process certain personal data and other sensitive information in connection with our operations and are subject to increasingly demanding U.S. and international laws and regulations related to data protection and privacy and the protection of confidential information. These laws and regulations are inconsistent across jurisdictions and are subject to evolving interpretations. Government officials, regulators, customers, privacy advocates and class action attorneys are increasingly scrutinizing how companies collect, process, use, store, share, transmit and destroy personal data.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continued emphasis on personal privacy and information security may result in customers requesting that we implement additional safeguards or controls. One recent focus area involves the use of phone, text and email information for sales, marketing and other business purposes. We must continually monitor the development and adoption of, and commit substantial time and resources to comply with, new and emerging laws and regulations and/or expanded or novel interpretations of existing laws. Additionally, customers and regulators may seek to hold us responsible for the actions of third parties we work with, such as sub-processors, vendors or developers.</w:t>
      </w:r>
    </w:p>
    <w:p>
      <w:pPr>
        <w:spacing w:after="0" w:line="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7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Any inability, or perceived inability, to adequately address privacy and data protection concerns, even if unfounded, or to comply with laws, regulations, policies, industry standards, contractual obligations, or other legal obligations, including through acquired companies or third parties, could subject us to regulatory enforcement, private litigation, public criticism, business disruption, loss of customers, additional costs and legal liability, reputational damage and other harm.</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1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processing and disposal or destruction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violation of statutes, failure to meet contractual remediation conditions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8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federal and state renewable fuel policies could affect the financial performance of our Renewable Energy segment.</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primary drivers of value for renewable fuel produced at our landfills are tax policies, such as the federal tax credits for investments in RNG production under the IRA and OBBBA, and federal and state incentive programs, such as the federal RFS program, the California Low Carbon Fuel Standard and similar state programs that promote the production and use of renewable transportation fuels, which are all subject to change. At the federal level, oil refiners and importers are required through the RFS program to blend specified volumes of renewable transportation fuels with gasoline or buy RINs from renewable fuel producers. The Company has made significant investments in facilities that capture and process landfill gas into RNG so that we can participate in the RFS program. RINs prices generally respond to regulations enacted by the EPA, as well as fluctuations in supply and demand. The value of the RINs is set through a market established by the RFS program, which market has historically been volatile. While the previous rules under the RFS program reflected the outsized role of biogas under the program and delivered reforms benefiting the solid waste sector, the current administration has retroactively lowered 2024 blending volumes, proposed reductions for 2025, set low targets for 2026– 2027 and begun to grant small refinery exemptions from RFS program requirements. See Item 1. </w:t>
      </w:r>
      <w:r>
        <w:rPr>
          <w:rFonts w:ascii="Times New Roman" w:cs="Times New Roman" w:eastAsia="Times New Roman" w:hAnsi="Times New Roman"/>
          <w:sz w:val="18"/>
          <w:szCs w:val="18"/>
          <w:i w:val="1"/>
          <w:iCs w:val="1"/>
          <w:color w:val="auto"/>
        </w:rPr>
        <w:t>Business – Regulation –</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Recent Developments and Focus Areas in Policy and Regulation – Renewable Energy </w:t>
      </w:r>
      <w:r>
        <w:rPr>
          <w:rFonts w:ascii="Times New Roman" w:cs="Times New Roman" w:eastAsia="Times New Roman" w:hAnsi="Times New Roman"/>
          <w:sz w:val="18"/>
          <w:szCs w:val="18"/>
          <w:color w:val="auto"/>
        </w:rPr>
        <w:t>for additional information.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volatility in the RINs market, or changes in the structure of the RFS program or other clean fuel standard programs, can and has impacted the financial performance of our facilities. Further changes could impact future growth investments in our Renewable Energy segment.</w:t>
      </w:r>
    </w:p>
    <w:p>
      <w:pPr>
        <w:spacing w:after="0" w:line="7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climate change, and the adoption of climate change legislation or regulations restricting emissions of GHGs, could increase our costs to operate.</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and extreme rain events and flooding in low-lying areas enhanced by sea level rise can result in greater maintenance expenses at our facilities, service disruption, erosion of the protective vegetative caps on our landfills and increased volumes of leachate to manage. We have incurred and will incur costs to develop and implement protocols to address these conditions, but these protocols may not be effective in offsetting these risks. Additionally, the actions of others in response to climate change effects, such as rolling power blackouts, can result in service disruptions and increase our costs to operate.</w:t>
      </w:r>
    </w:p>
    <w:p>
      <w:pPr>
        <w:spacing w:after="0" w:line="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Landfill operations emit methane, identified as a GHG. Existing technology presents challenges to quantify landfill emissions precisely. Ongoing review by government agencies of emerging methane measurement technologies and related regulatory developments could result in changes to how we have historically reported GHG emissions and may result in increases in such emissions reported for our operations. Such regulatory developments could also result in increased compliance costs and adversely affect our operations. See Item 1. </w:t>
      </w:r>
      <w:r>
        <w:rPr>
          <w:rFonts w:ascii="Times New Roman" w:cs="Times New Roman" w:eastAsia="Times New Roman" w:hAnsi="Times New Roman"/>
          <w:sz w:val="18"/>
          <w:szCs w:val="18"/>
          <w:i w:val="1"/>
          <w:iCs w:val="1"/>
          <w:color w:val="auto"/>
        </w:rPr>
        <w:t>Business – Regulation – Recent Developments and Focus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Areas in Policy and Regulation – Climate and Sustainability </w:t>
      </w:r>
      <w:r>
        <w:rPr>
          <w:rFonts w:ascii="Times New Roman" w:cs="Times New Roman" w:eastAsia="Times New Roman" w:hAnsi="Times New Roman"/>
          <w:sz w:val="18"/>
          <w:szCs w:val="18"/>
          <w:color w:val="auto"/>
        </w:rPr>
        <w:t>for additional information.</w:t>
      </w:r>
    </w:p>
    <w:p>
      <w:pPr>
        <w:spacing w:after="0" w:line="7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Meanwhile, a number of legislative and regulatory efforts at the state, provincial, regional and federal levels and internationally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Should comprehensive federal climate change legislation be enacted, we expect it could impose operational and compliance costs that might not be offset by the revenue increases associated with our lower-carbon service options. Climate change laws and regulations could also result in increased operational costs or disruption to the business of our customers, potentially impacting our operations and financial condition. We could experience damage to our reputation and brand, including as a result of a failure or perceived failure to respond responsibly and effectively to changes in legal and regulatory measures adopted to address climate change.</w:t>
      </w:r>
    </w:p>
    <w:p>
      <w:pPr>
        <w:spacing w:after="0" w:line="190" w:lineRule="exact"/>
        <w:rPr>
          <w:sz w:val="20"/>
          <w:szCs w:val="20"/>
          <w:color w:val="auto"/>
        </w:rPr>
      </w:pPr>
    </w:p>
    <w:p>
      <w:pPr>
        <w:jc w:val="both"/>
        <w:ind w:left="18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system of internal control over financial reporting, due to technology issues, difficulties integrating Stericycle’s operations and systems, or otherwise, could adversely affect our ability to provide accurate and timely financial statements, which may harm our business and reputation.</w:t>
      </w:r>
    </w:p>
    <w:p>
      <w:pPr>
        <w:spacing w:after="0" w:line="6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It is critical that we maintain an effective system of internal control over financial reporting. Establishing, testing and maintaining an effective system of internal control over financial reporting requires significant resources and time commitments on the part of our management and our finance staff, and the time and expenditures needed may exceed our expectations. If we encounter issues with technology systems, including issues related to Stericycle’s ERP system or difficulties integrating Stericycle’s operations and systems into our system of internal control over financial reporting, and if we are unable to correct any issues encountered in a timely manner, our ability to record, process, summarize, and report financial data may be adversely affected, which may impact the accuracy, quality and completeness of our financial statements. Such failure could materially and adversely impact our business and subject us to potential investigations, liability, and penalties. Additionally, if we are unable to conclude that our internal control over financial reporting is effective in any future period (or if our auditors are unable to express an opinion on the effectiveness of our internal controls or conclude that our internal controls are ineffective), we could lose investor confidence and suffer an adverse effect on our stock price.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large company with extensive operations,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18"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environmental contamination, including releases of hazardous materials and odors;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practices, customer service agreements, prices and fees; and</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wage and hour and other laws.</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8" w:lineRule="exact"/>
        <w:rPr>
          <w:sz w:val="20"/>
          <w:szCs w:val="20"/>
          <w:color w:val="auto"/>
        </w:rPr>
      </w:pPr>
    </w:p>
    <w:p>
      <w:pPr>
        <w:jc w:val="both"/>
        <w:ind w:left="60" w:right="59" w:firstLine="383"/>
        <w:spacing w:after="0" w:line="256" w:lineRule="auto"/>
        <w:rPr>
          <w:sz w:val="20"/>
          <w:szCs w:val="20"/>
          <w:color w:val="auto"/>
        </w:rPr>
      </w:pPr>
      <w:r>
        <w:rPr>
          <w:rFonts w:ascii="Times New Roman" w:cs="Times New Roman" w:eastAsia="Times New Roman" w:hAnsi="Times New Roman"/>
          <w:sz w:val="18"/>
          <w:szCs w:val="18"/>
          <w:color w:val="auto"/>
        </w:rPr>
        <w:t>At the time of our acquisition of Stericycle, it was, and had been, involved in certain government investigations, enforcement proceedings, lawsuits and other disputes alleging noncompliance with applicable regulations, including alleged noncompliance with the Controlled Substances Act and other statutes involving its now-divested Domestic Environmental Solutions business, which collected, transported and destroyed controlled substances from retail customers. Resolution of these matters may result in adverse consequences, including permit revocations or denials and civil, criminal and administrative penalties.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manage interest rate exposure and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An important factor in our credit ratings is our leverage. If we do not achieve our projected reduction in leverage following our acquisition of Stericycle, it could negatively impact our credit ratings. If we were unable to maintain our investment grade credit ratings in the future, our interest expense would increase and our ability to obtain financing on favorable terms could be adversely affected. We have $2.9 billion of debt as of December 31, 2025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use our $3.5 billion long-term U.S. and Canadian revolving credit facility (“$3.5 billion revolving credit facility”) to meet our cash needs, to the extent available, until maturity in May 2029. As of December 31, 2025, we had no outstanding borrowings under this facility. We had $1.1 billion of outstanding borrowings (net of related discount on issuance) under our commercial paper program and $227 million of letters of credit issued, both supported by this facility, leaving unused and available credit capacity of $2.2 billion as of December 31, 2025.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76"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costs of obtaining adequate financial assurance, or the inadequacy of our insurance coverages, could negatively impact our liquidity and increase our liabilities.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 of insurance we are required to maintain for environmental liability is governed by statutory requirements.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carry a broad range of other insurance coverages that are customary for a company our size. To the extent our obligations for claims are more than we estimated, our insurance coverage is inadequate to cover our obligations, or our insurers are unable to meet their obligations, the requirement that we pay such obligations could have a material adverse effect on our financial results.</w:t>
      </w:r>
    </w:p>
    <w:p>
      <w:pPr>
        <w:spacing w:after="0" w:line="7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record material charges against our earnings due to impairments to our assets.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Events that have in the past and may in the future lead to an impairment include, but are not limited to, shutting down or divesting an underperforming or non-strategic asset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Strategy, Governance and Risk Management</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and our policies and procedures related to our development, deployment and monitoring of artificial intelligence.</w:t>
      </w:r>
    </w:p>
    <w:p>
      <w:pPr>
        <w:spacing w:after="0" w:line="12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212529"/>
        </w:rPr>
        <w:t xml:space="preserve">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 </w:t>
      </w:r>
      <w:r>
        <w:rPr>
          <w:rFonts w:ascii="Times New Roman" w:cs="Times New Roman" w:eastAsia="Times New Roman" w:hAnsi="Times New Roman"/>
          <w:sz w:val="18"/>
          <w:szCs w:val="18"/>
          <w:color w:val="000000"/>
        </w:rPr>
        <w:t>We have a Data Protection Office that works closely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with, and assists, our enterprise Privacy Program, overseen by the Chief Privacy Officer, along with advisory support from appointed Data Protection Officers in Europe and Quebec.</w:t>
      </w:r>
    </w:p>
    <w:p>
      <w:pPr>
        <w:spacing w:after="0" w:line="10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374151"/>
        </w:rPr>
        <w:t xml:space="preserve">While we have experienced cybersecurity threats and breaches targeting our information and operations technology systems and networks and those of our third-party providers, including within the last three years, these incidents have not had a material impact on our Company, including our business strategy, results of operations or financial condition. </w:t>
      </w:r>
      <w:r>
        <w:rPr>
          <w:rFonts w:ascii="Times New Roman" w:cs="Times New Roman" w:eastAsia="Times New Roman" w:hAnsi="Times New Roman"/>
          <w:sz w:val="18"/>
          <w:szCs w:val="18"/>
          <w:color w:val="212529"/>
        </w:rPr>
        <w:t>Risks</w:t>
      </w:r>
      <w:r>
        <w:rPr>
          <w:rFonts w:ascii="Times New Roman" w:cs="Times New Roman" w:eastAsia="Times New Roman" w:hAnsi="Times New Roman"/>
          <w:sz w:val="18"/>
          <w:szCs w:val="18"/>
          <w:color w:val="374151"/>
        </w:rPr>
        <w:t xml:space="preserve"> </w:t>
      </w:r>
      <w:r>
        <w:rPr>
          <w:rFonts w:ascii="Times New Roman" w:cs="Times New Roman" w:eastAsia="Times New Roman" w:hAnsi="Times New Roman"/>
          <w:sz w:val="18"/>
          <w:szCs w:val="18"/>
          <w:color w:val="212529"/>
        </w:rPr>
        <w:t xml:space="preserve">from cybersecurity threats, including previous cybersecurity incidents encountered by the Company and known incidents encountered by third parties with a connection to the Company, are also not currently viewed as reasonably likely to materially impact our Company, including our business strategy, results of operations or financial condition. </w:t>
      </w:r>
      <w:r>
        <w:rPr>
          <w:rFonts w:ascii="Times New Roman" w:cs="Times New Roman" w:eastAsia="Times New Roman" w:hAnsi="Times New Roman"/>
          <w:sz w:val="18"/>
          <w:szCs w:val="18"/>
          <w:color w:val="000000"/>
        </w:rPr>
        <w:t>We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regularly the target of attempted cyber intrusions, have experienced cyber intrusions, and we anticipate continuing to be subject to such attempts as cyber intrusions become increasingly sophisticated and more difficult to predict and protect against. Geopolitical conflicts and developments and technological advancements, including the progression of the capabilities of artificial intelligence, also increase the risk, likelihood and precision of cyber incidents.</w:t>
      </w:r>
    </w:p>
    <w:p>
      <w:pPr>
        <w:spacing w:after="0" w:line="1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such, we must commit substantial resources to continuously monitor and further develop our networks and infrastructure to prevent, detect, and address the risk of unauthorized access, misuse, computer malware and other events. Although we have implemented and maintain commercially reasonable security measures, safeguards, policies and procedures, including to protect against and identify potential threats, these protections and other systems designed to mitigate cybersecurity risks may not fully defend against an attack or future cybersecurity incident, which can be unpredictable in nature. </w:t>
      </w:r>
      <w:r>
        <w:rPr>
          <w:rFonts w:ascii="Times New Roman" w:cs="Times New Roman" w:eastAsia="Times New Roman" w:hAnsi="Times New Roman"/>
          <w:sz w:val="18"/>
          <w:szCs w:val="18"/>
          <w:color w:val="212529"/>
        </w:rPr>
        <w:t>Although we believe that the probability of occurrence of a significant cybersecurity incident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less than likely, if such an incident were to occur, the impact on the Company could be substantial. See Item 1A. </w:t>
      </w:r>
      <w:r>
        <w:rPr>
          <w:rFonts w:ascii="Times New Roman" w:cs="Times New Roman" w:eastAsia="Times New Roman" w:hAnsi="Times New Roman"/>
          <w:sz w:val="18"/>
          <w:szCs w:val="18"/>
          <w:i w:val="1"/>
          <w:iCs w:val="1"/>
          <w:color w:val="212529"/>
        </w:rPr>
        <w:t>Risk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 xml:space="preserve">Factors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i w:val="1"/>
          <w:iCs w:val="1"/>
          <w:color w:val="212529"/>
        </w:rPr>
        <w:t xml:space="preserve"> Significant cybersecurity incidents may negatively impact our business and our relationships with customers, vendors and employees and expose us to increased liability </w:t>
      </w:r>
      <w:r>
        <w:rPr>
          <w:rFonts w:ascii="Times New Roman" w:cs="Times New Roman" w:eastAsia="Times New Roman" w:hAnsi="Times New Roman"/>
          <w:sz w:val="18"/>
          <w:szCs w:val="18"/>
          <w:color w:val="212529"/>
        </w:rPr>
        <w:t>for additional discussion</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212529"/>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 our Chief Information Officer and CISO, and the Company’s executive officers, at least twice a year. Topics historically covered in such reports, and for which our Board exercises oversight, include third-party evaluation of our technology infrastructure and information security against the NIST cybersecurity framework; management of emerging cyber threats such as merger and acquisition activity; use and governance of artificial intelligence, including oversight of our artificial intelligence policies and procedures;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in Houston, Texas where we lease approximately 285,000 square feet under a lease expiring in 2035. We also have administrative offices in Arizona, Connecticut, Illinois, India and parts of Western Europe. We own or lease real property in most locations where we have operations or administrative functions. We have operations (i) in all 50 states; (ii) in the District of Columbia; (iii) parts of Canada and (iv) parts of Western Europe.</w:t>
      </w:r>
    </w:p>
    <w:p>
      <w:pPr>
        <w:spacing w:after="0" w:line="180"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investments to expand our Recycling Processing and Sales and Renewable Energy segments. For more information,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within this report.</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various operations as of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780" w:type="dxa"/>
            <w:vAlign w:val="bottom"/>
          </w:tcPr>
          <w:p>
            <w:pPr>
              <w:ind w:left="46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2024(c)</w:t>
            </w:r>
          </w:p>
        </w:tc>
      </w:tr>
      <w:tr>
        <w:trPr>
          <w:trHeight w:val="210"/>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Landfills owned or operated (a)</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 stations (b)</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and organics facilities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Autoclave or alternative medical waste treatment facilities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waste incinerator facilities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Secure information destruction processing facilities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r>
      <w:tr>
        <w:trPr>
          <w:trHeight w:val="90"/>
        </w:trPr>
        <w:tc>
          <w:tcPr>
            <w:tcW w:w="224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736"/>
        </w:trPr>
        <w:tc>
          <w:tcPr>
            <w:tcW w:w="702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2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 landfill gas beneficial use projects producing commercial quantities of methane gas in 2025 and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 and 167 transfer stations in 2025 and 2024, respectively, that are related to our Healthcare Solutions segment.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 Spain and Portugal locations consisting of 19 transfer stations, 12 autoclave or alternative medical waste treatment facilities, one medical waste incinerator facility and three secure information destruction processing facilities which were sold on January 2,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10 to the Consolidated Financial Statements included within this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80" w:right="59" w:hanging="12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“WM.” The number of holders of record of our common stock on February 5, 2026 was 6,682.</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-10795</wp:posOffset>
            </wp:positionV>
            <wp:extent cx="4020185" cy="2297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2018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6"/>
              </w:rPr>
              <w:t>12/31/21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Waste Management, Inc.</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There were no common stock repurchases during 2025. We announced in December 2025 that our Board of Directors has authorized up to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21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Additionally, in December 2025, we announced that our Board of Directors expects to increase the quarterly dividend from $0.825 to $0.945 per share for dividends declared in 2026. However, all future dividend declarations are at the discretion of the Board of Directors and depend on various factors, including our leverage level, net earnings, financial condition, cash required for future business plans, growth and acquisitions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This section includes a discussion of our results of operations for the year ended December 31, 2025.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elsewhere in this report and may also be described from time to time in our future reports filed with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(“SEC”). The following discussion should be read considering those disclosures and together with the Consolidated Financial Statements and the notes thereto.</w:t>
      </w:r>
    </w:p>
    <w:p>
      <w:pPr>
        <w:spacing w:after="0" w:line="192" w:lineRule="exact"/>
        <w:rPr>
          <w:sz w:val="20"/>
          <w:szCs w:val="20"/>
          <w:color w:val="auto"/>
        </w:rPr>
      </w:pPr>
    </w:p>
    <w:p>
      <w:pPr>
        <w:jc w:val="both"/>
        <w:ind w:left="60" w:right="59" w:firstLine="324"/>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For further discussion regarding our results of operations for the year ended December 31, 2024 as compared to the year ended December 31, 2023, refer to Part II,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 xml:space="preserve">Annual Report on </w:t>
      </w:r>
      <w:hyperlink r:id="rId49">
        <w:r>
          <w:rPr>
            <w:rFonts w:ascii="Times New Roman" w:cs="Times New Roman" w:eastAsia="Times New Roman" w:hAnsi="Times New Roman"/>
            <w:sz w:val="18"/>
            <w:szCs w:val="18"/>
            <w:u w:val="single" w:color="auto"/>
            <w:color w:val="0000FF"/>
          </w:rPr>
          <w:t>Form 10-K for the fiscal year ended December 31, 2024</w:t>
        </w:r>
      </w:hyperlink>
      <w:r>
        <w:rPr>
          <w:rFonts w:ascii="Times New Roman" w:cs="Times New Roman" w:eastAsia="Times New Roman" w:hAnsi="Times New Roman"/>
          <w:sz w:val="18"/>
          <w:szCs w:val="18"/>
          <w:u w:val="single" w:color="auto"/>
          <w:color w:val="0000FF"/>
        </w:rPr>
        <w: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primarily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Stericycle Acquisition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for $62.00 per share in cash, pursuant to an Agreement and Plan of Merger dated June 3, 2024. Total enterprise value of the acquisition was $7.2 billion (net of cash acquired) when including the assumption of $0.5 billion of debt and the repayment of approximately $0.8 billion of net debt. The acquisition expanded our offerings in the U.S., Canada and parts of Western Europe. The post-closing operating results of Stericycle have been included in our Consolidated Financial Statements within our Healthcare Solutions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incurred acquisition and integration related costs of $120 million, comprised of $89 million of selling, general and administrative costs and $31 million of restructuring costs. For the year ended December 31, 2024, we incurred acquisition and integration related costs of $160 million, which were primarily classified as selling, general and administrative expenses.Refer to Note 19 for more information on the performance of our Healthcare Solutions segment.</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and disposal.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Collection and Disposal businesses’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deposited, considering our cost of loading, transporting and disposing of the solid waste at a disposal site.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for direct and indirect costs incurred.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renewable identification numbers (“RINs”), electricity and capacity, Renewable Energy Credits (“RECs”) and related environmental attributes from the 86 landfill beneficial use renewable energy projects owned by Renewable Energy on our active landfills, which is eliminated in consolidation.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 Our Recycling Processing and Sales segment excludes the collection of recycled materials from our residential, commercial, and industrial customers which is included within our Collection and Disposal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Renewable Energy converts landfill gas into several sources of renewable energy which include RNG, electricity and capacity, heat and/or steam. Renewable Energy also generates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projects are on third-party landfills. The revenues from these facilities are primarily generated through</w:t>
      </w:r>
    </w:p>
    <w:p>
      <w:pPr>
        <w:spacing w:after="0" w:line="5" w:lineRule="exact"/>
        <w:rPr>
          <w:sz w:val="20"/>
          <w:szCs w:val="20"/>
          <w:color w:val="auto"/>
        </w:rPr>
      </w:pPr>
    </w:p>
    <w:p>
      <w:pPr>
        <w:jc w:val="both"/>
        <w:ind w:left="60" w:right="59" w:hanging="10"/>
        <w:spacing w:after="0" w:line="251" w:lineRule="auto"/>
        <w:tabs>
          <w:tab w:leader="none" w:pos="2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captured and converted landfill methane gas; (ii) the sale of RINs under the RFS program implemented by the EPA; (iii) sale of Low Carbon Fuel credits designed to stimulate the use of low-carbon fuels and (iv) the sale of energy (electricity and capacity) and associated RECs.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Healthcare Solutions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Healthcare Solutions segment includes (i) RWCS which provide compliance programs and collection, processing, and disposal of regulated and specialized waste, including medical, pharmaceutical and hazardous waste and (ii) SID services, which provide for the collection of personal and confidential information for secure destruction and recycling of sorted office paper. While the Healthcare Solutions businesses manage large volumes of waste and other materials, the average volume per customer site is relatively small.</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customers typically enter into a contract for the provision of services on a scheduled basis, including weekly, monthly or on an as-needed basis over the contract term. Under the contract terms, the Healthcare Solutions businesses receive fees based on a monthly, quarterly or annual rate and/or fees based on contractual rates depending upon measures including the type and volume or weight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our Healthcare Solutions segment operates out of approximately 307 leased and owned facilities worldwide with 51 autoclaves or other alternative medical waste treatment facilities, 17 medical waste incinerator facilities, 99 SID processing facilities and 140 transfer stations.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five third-party power</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2025 Sustainability Report, providing details on our sustainability-related performance and outlining progress towards our 2030 sustainability goals. The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Annual Report on Form 10-K. For further discussion see Item 1. </w:t>
      </w:r>
      <w:r>
        <w:rPr>
          <w:rFonts w:ascii="Times New Roman" w:cs="Times New Roman" w:eastAsia="Times New Roman" w:hAnsi="Times New Roman"/>
          <w:sz w:val="18"/>
          <w:szCs w:val="18"/>
          <w:i w:val="1"/>
          <w:iCs w:val="1"/>
          <w:color w:val="auto"/>
        </w:rPr>
        <w:t>Business – Regulation – Recent Developments and Focus Areas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Policy and Regulation</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Renewable Energy segments. During 2025, we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experienced decreases in market prices for recycled commodities when compared to prior year caused by a number of factors, including the closure of domestic paper mills, a decrease in demand for recycled content by certain consumer goods producers, focused reduction in cardboard packaging and overall market conditions. While the combined impacts of commodity price fluctuations from the prior year had a modestly favorable impact on the Renewable Energy segment, we may experience more significant impacts from fluctuations in the prices of RINs and natural gas in the future. We continue to take proactive steps to adjust our business models to protect against the down-side risk of changes in commodity prices.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2025, we continued to focus on our priorities to advance our strategy – enhancing employee engagement, permanently reducing our cost to serve our customers through the use of technology and automation, investing in growth through our Recycling Processing and Sales and Renewable Energy segments and integrating the Stericycle business. We continue to invest in our people through paying a competitive market wage, investing in our digital platform and providing training for our team members. We remain committed to our investment in recycling automation, which reduces costs and increases throughput, positioning us to overcome commodity price headwinds and deliver a differentiated service. As part of the ongoing integration of Stericycle, which constitutes our Healthcare Solutions segment, we achieved synergies by reducing costs of duplicative business processes, established a performance management approach aimed at accountability and continued to improve customer engagement, billing and collection processes to deliver cash flow.</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2025 financial results include:</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$25,204 million for 2025 compared with $22,063 million in 2024, an increase of $3,141 million, or 14.2%. The increase was primarily due to (i) our recent acquisitions, particularly Stericycle; (ii) higher yield in our Collection and Disposal businesses and (iii) higher volumes primarily in our landfill, renewable energy and recycling businesses. The increase was partially offset by lower residential collection volumes and a reduction in single-stream and brokerage recycled commodity prices;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$15,012 million in 2025, or 59.6% of revenues, compared with $13,383 million, or 60.7% of revenues, in 2024. The $1,629 million increase in operating expense compared to prior year related primarily to (i) our recent acquisitions, particularly Stericycle; (ii) incremental costs attributable to RNG facilities brought on line during 2025; (iii) increased landfill volumes and (iv) a decrease in the gains on sale of non-strategic assets. These increases were offset by (i) lower residential volumes; (ii) decreased costs of goods sold due to lower recycling commodity prices and (iii) continued efficiency and cost control in our Collection and Disposal business. Despite the increase in operating expenses, we significantly reduced our operating expenses as a percentage of revenue when compared to prior year through efficiency gains, improved employee turnover, momentum in truck deliveries, the benefit of customer price increases and higher margin special waste volumes;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$2,722 million in 2025, or 10.8% of revenues, compared with $2,264 million, or 10.3% of revenues, in 2024. The $458 million increase was primarily due to our recent acquisitions, particularly Stericycle, including consulting and technology costs incurred to support Stericycle’s integration;</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$4,308 million, or 17.1% of revenues, in 2025 compared with $4,063 million, or 18.4% of revenues, in 2024. The $245 million increase in the current year earnings was primarily due to (i) growth in our Collection and Disposal businesses; (ii) non-recurring transaction costs incurred in the prior year in connection with our Stericycle acquisition and (iii) higher volumes in our Renewable Energy business due to the completion of projects that increase the beneficial use of landfill gas sold to third parties. This growth was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partially offset by an impairment charge in our Recycling Processing and Sales business and higher depreciation and amortization costs and integration related expenses arising from our Stericycle acquisition;</w:t>
      </w:r>
    </w:p>
    <w:p>
      <w:pPr>
        <w:spacing w:after="0" w:line="54" w:lineRule="exact"/>
        <w:rPr>
          <w:sz w:val="20"/>
          <w:szCs w:val="20"/>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$2,708 million, or $6.70 per diluted share, compared with $2,746 million, or $6.81 per diluted share, in 2024. The $38 million decrease is primarily due to an increase in interest expense related to the additional debt incurred to finance our Stericycle acquisition. This decline was partially offset by the increase in income from operations, discussed above;</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$6,043 million in 2025, compared with $5,390 million in 2024. The $653 million increase in net cash provided by operating activities was primarily due to (i) higher earnings in our Collection and Disposal businesses; (ii) contributions from our recent acquisitions and (iii) lower cash tax payments. This increase was partially offset by (i) higher cash interest payments primarily due to additional debt incurred to fund our acquisition of Stericycle; (ii) unfavorable changes in working capital, net of effects from acquisitions and divestitures and (iii) higher annual incentive compensation payments;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$2,937 million in 2025, compared with $2,317 million in 2024. The $620 million increase in free cash flow was primarily due to the increases in operating cash described above and planned reductions in capital investment in our sustainability growth projects as we move from peak construction of this portfolio into a period where we will harvest strong returns on these businesses. These increases were partially offset by increased capital expenditures to support the business as well as within our Healthcare Solutions segment and lower proceeds from the sale of certain non-strategic assets.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mix of operating revenues for the years ended December 31 are as follows (in millions):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ind w:left="60"/>
        <w:spacing w:after="0"/>
        <w:tabs>
          <w:tab w:leader="none" w:pos="4160" w:val="left"/>
        </w:tabs>
        <w:rPr>
          <w:sz w:val="20"/>
          <w:szCs w:val="20"/>
          <w:color w:val="auto"/>
        </w:rPr>
      </w:pPr>
      <w:r>
        <w:rPr>
          <w:rFonts w:ascii="Times New Roman" w:cs="Times New Roman" w:eastAsia="Times New Roman" w:hAnsi="Times New Roman"/>
          <w:sz w:val="18"/>
          <w:szCs w:val="18"/>
          <w:color w:val="auto"/>
        </w:rPr>
        <w:t>Commercial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Industrial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Residential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collection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collection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Landfill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Transfer</w:t>
      </w:r>
    </w:p>
    <w:p>
      <w:pPr>
        <w:spacing w:after="0" w:line="9" w:lineRule="exact"/>
        <w:rPr>
          <w:sz w:val="20"/>
          <w:szCs w:val="20"/>
          <w:color w:val="auto"/>
        </w:rPr>
      </w:pPr>
    </w:p>
    <w:p>
      <w:pPr>
        <w:ind w:left="60" w:right="1880" w:firstLine="216"/>
        <w:spacing w:after="0" w:line="253" w:lineRule="auto"/>
        <w:rPr>
          <w:sz w:val="20"/>
          <w:szCs w:val="20"/>
          <w:color w:val="auto"/>
        </w:rPr>
      </w:pPr>
      <w:r>
        <w:rPr>
          <w:rFonts w:ascii="Times New Roman" w:cs="Times New Roman" w:eastAsia="Times New Roman" w:hAnsi="Times New Roman"/>
          <w:sz w:val="18"/>
          <w:szCs w:val="18"/>
          <w:color w:val="auto"/>
        </w:rPr>
        <w:t>Total Collection and Disposal Recycling Processing and Sales Renewable Energy Healthcare Solutions(b) Corporate and Other</w:t>
      </w:r>
    </w:p>
    <w:p>
      <w:pPr>
        <w:spacing w:after="0" w:line="3" w:lineRule="exact"/>
        <w:rPr>
          <w:sz w:val="20"/>
          <w:szCs w:val="20"/>
          <w:color w:val="auto"/>
        </w:rPr>
      </w:pPr>
    </w:p>
    <w:p>
      <w:pPr>
        <w:ind w:left="260"/>
        <w:spacing w:after="0"/>
        <w:tabs>
          <w:tab w:leader="none" w:pos="41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p>
      <w:pPr>
        <w:ind w:left="60"/>
        <w:spacing w:after="0"/>
        <w:tabs>
          <w:tab w:leader="none" w:pos="4160" w:val="left"/>
        </w:tabs>
        <w:rPr>
          <w:sz w:val="20"/>
          <w:szCs w:val="20"/>
          <w:color w:val="auto"/>
        </w:rPr>
      </w:pPr>
      <w:r>
        <w:rPr>
          <w:rFonts w:ascii="Times New Roman" w:cs="Times New Roman" w:eastAsia="Times New Roman" w:hAnsi="Times New Roman"/>
          <w:sz w:val="18"/>
          <w:szCs w:val="18"/>
          <w:color w:val="auto"/>
        </w:rPr>
        <w:t>Commercial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Industrial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Residential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collection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collection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Landfill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Transfer</w:t>
      </w:r>
    </w:p>
    <w:p>
      <w:pPr>
        <w:spacing w:after="0" w:line="9" w:lineRule="exact"/>
        <w:rPr>
          <w:sz w:val="20"/>
          <w:szCs w:val="20"/>
          <w:color w:val="auto"/>
        </w:rPr>
      </w:pPr>
    </w:p>
    <w:p>
      <w:pPr>
        <w:ind w:left="60" w:right="1880" w:firstLine="216"/>
        <w:spacing w:after="0" w:line="253" w:lineRule="auto"/>
        <w:rPr>
          <w:sz w:val="20"/>
          <w:szCs w:val="20"/>
          <w:color w:val="auto"/>
        </w:rPr>
      </w:pPr>
      <w:r>
        <w:rPr>
          <w:rFonts w:ascii="Times New Roman" w:cs="Times New Roman" w:eastAsia="Times New Roman" w:hAnsi="Times New Roman"/>
          <w:sz w:val="18"/>
          <w:szCs w:val="18"/>
          <w:color w:val="auto"/>
        </w:rPr>
        <w:t>Total Collection and Disposal Recycling Processing and Sales Renewable Energy Healthcare Solutions(b) Corporate and Other</w:t>
      </w:r>
    </w:p>
    <w:p>
      <w:pPr>
        <w:spacing w:after="0" w:line="3" w:lineRule="exact"/>
        <w:rPr>
          <w:sz w:val="20"/>
          <w:szCs w:val="20"/>
          <w:color w:val="auto"/>
        </w:rPr>
      </w:pPr>
    </w:p>
    <w:p>
      <w:pPr>
        <w:ind w:left="260"/>
        <w:spacing w:after="0"/>
        <w:tabs>
          <w:tab w:leader="none" w:pos="41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108585</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Net</w:t>
            </w:r>
          </w:p>
        </w:tc>
        <w:tc>
          <w:tcPr>
            <w:tcW w:w="5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3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8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2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34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128905</wp:posOffset>
            </wp:positionV>
            <wp:extent cx="56489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-8255</wp:posOffset>
            </wp:positionV>
            <wp:extent cx="9429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8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5,630</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3,106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3,510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3,175</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191"/>
        </w:trPr>
        <w:tc>
          <w:tcPr>
            <w:tcW w:w="8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6"/>
              </w:rPr>
              <w:t>15,421</w:t>
            </w:r>
          </w:p>
        </w:tc>
        <w:tc>
          <w:tcPr>
            <w:tcW w:w="5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2,148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17,569</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3,781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1,502</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191"/>
        </w:trPr>
        <w:tc>
          <w:tcPr>
            <w:tcW w:w="8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6"/>
              </w:rPr>
              <w:t>20,704</w:t>
            </w:r>
          </w:p>
        </w:tc>
        <w:tc>
          <w:tcPr>
            <w:tcW w:w="5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4,841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25,545</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1,492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2,508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6"/>
              </w:rPr>
              <w:t>25,204</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30,895</w:t>
            </w:r>
          </w:p>
        </w:tc>
      </w:tr>
      <w:tr>
        <w:trPr>
          <w:trHeight w:val="20"/>
        </w:trPr>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10"/>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5,371</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3,089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3,466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2,964</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191"/>
        </w:trPr>
        <w:tc>
          <w:tcPr>
            <w:tcW w:w="8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6"/>
              </w:rPr>
              <w:t>14,890</w:t>
            </w:r>
          </w:p>
        </w:tc>
        <w:tc>
          <w:tcPr>
            <w:tcW w:w="5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16,801</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3,445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1,381</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191"/>
        </w:trPr>
        <w:tc>
          <w:tcPr>
            <w:tcW w:w="8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6"/>
              </w:rPr>
              <w:t>19,716</w:t>
            </w:r>
          </w:p>
        </w:tc>
        <w:tc>
          <w:tcPr>
            <w:tcW w:w="5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4,491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24,207</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4"/>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6"/>
              </w:rPr>
              <w:t>22,063</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w:t>
            </w:r>
          </w:p>
        </w:tc>
      </w:tr>
      <w:tr>
        <w:trPr>
          <w:trHeight w:val="20"/>
        </w:trPr>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-3805555</wp:posOffset>
            </wp:positionV>
            <wp:extent cx="56489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-3531235</wp:posOffset>
            </wp:positionV>
            <wp:extent cx="5648960" cy="3531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48960" cy="35318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80" w:space="320"/>
            <w:col w:w="4419"/>
          </w:cols>
          <w:pgMar w:left="1440" w:top="607" w:right="1440" w:bottom="1440" w:gutter="0" w:footer="0" w:header="0"/>
          <w:type w:val="continuous"/>
        </w:sect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our Healthcare Solutions segment. These charges were designed to measure profitability at more granular levels of the enterprise and to facilitate clearer financial accountability within operating units. Accordingly, adjustments to the years ended December 31, 2025 and 2024 activity were made to properly reflect intra-segment activity for both periods. Intra-segment operating revenues within Healthcare Solutions for the years ended December 31, 2025 and 2024 are $425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for the year ended December 31 (dollars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right"/>
              <w:ind w:right="39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140" w:type="dxa"/>
            <w:vAlign w:val="bottom"/>
            <w:gridSpan w:val="3"/>
          </w:tcPr>
          <w:p>
            <w:pPr>
              <w:jc w:val="right"/>
              <w:ind w:right="4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7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Business(a)</w:t>
            </w:r>
            <w:r>
              <w:rPr>
                <w:rFonts w:ascii="Times New Roman" w:cs="Times New Roman" w:eastAsia="Times New Roman" w:hAnsi="Times New Roman"/>
                <w:sz w:val="14"/>
                <w:szCs w:val="14"/>
                <w:color w:val="auto"/>
              </w:rPr>
              <w:t xml:space="preserve"> ​​​ ​ </w:t>
            </w:r>
            <w:r>
              <w:rPr>
                <w:rFonts w:ascii="Times New Roman" w:cs="Times New Roman" w:eastAsia="Times New Roman" w:hAnsi="Times New Roman"/>
                <w:sz w:val="14"/>
                <w:szCs w:val="14"/>
                <w:b w:val="1"/>
                <w:bCs w:val="1"/>
                <w:color w:val="auto"/>
              </w:rPr>
              <w:t>Amount</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 and Renewable Energy (c)</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1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 and mandated fees</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average yield (d)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Healthcare Solutions (f)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revenues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revenues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Renewable Energy segments, as well as changes in certain recycling fees charged by our collection and disposal operations.</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 in our revenues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 in our revenues attributable to our Healthcare Solutions business in the period following the anniversary of the acquisition.</w:t>
      </w:r>
    </w:p>
    <w:p>
      <w:pPr>
        <w:spacing w:after="0" w:line="53" w:lineRule="exact"/>
        <w:rPr>
          <w:rFonts w:ascii="Times New Roman" w:cs="Times New Roman" w:eastAsia="Times New Roman" w:hAnsi="Times New Roman"/>
          <w:sz w:val="18"/>
          <w:szCs w:val="18"/>
          <w:color w:val="auto"/>
        </w:rPr>
      </w:pPr>
    </w:p>
    <w:p>
      <w:pPr>
        <w:ind w:left="380" w:right="2479"/>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provides further details about our period-to-period change in revenues: </w:t>
      </w:r>
      <w:r>
        <w:rPr>
          <w:rFonts w:ascii="Times New Roman" w:cs="Times New Roman" w:eastAsia="Times New Roman" w:hAnsi="Times New Roman"/>
          <w:sz w:val="18"/>
          <w:szCs w:val="18"/>
          <w:i w:val="1"/>
          <w:iCs w:val="1"/>
          <w:color w:val="auto"/>
        </w:rPr>
        <w:t>Average Yield</w:t>
      </w:r>
    </w:p>
    <w:p>
      <w:pPr>
        <w:spacing w:after="0" w:line="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for the year ended December 31 are as follows (dollars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117"/>
        </w:trPr>
        <w:tc>
          <w:tcPr>
            <w:tcW w:w="6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r>
      <w:tr>
        <w:trPr>
          <w:trHeight w:val="162"/>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6660" w:type="dxa"/>
            <w:vAlign w:val="bottom"/>
          </w:tcPr>
          <w:p>
            <w:pPr>
              <w:ind w:left="6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Business</w:t>
            </w: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r>
      <w:tr>
        <w:trPr>
          <w:trHeight w:val="21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tcPr>
          <w:p>
            <w:pPr>
              <w:spacing w:after="0"/>
              <w:rPr>
                <w:sz w:val="18"/>
                <w:szCs w:val="18"/>
                <w:color w:val="auto"/>
              </w:rPr>
            </w:pPr>
          </w:p>
        </w:tc>
      </w:tr>
      <w:tr>
        <w:trPr>
          <w:trHeight w:val="209"/>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36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focus on yield growth in our landfill business. This growth was primarily driven by municipal solid waste, which achieved yield of 6.5% in 2025.</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Renewable Energy — </w:t>
      </w:r>
      <w:r>
        <w:rPr>
          <w:rFonts w:ascii="Times New Roman" w:cs="Times New Roman" w:eastAsia="Times New Roman" w:hAnsi="Times New Roman"/>
          <w:sz w:val="18"/>
          <w:szCs w:val="18"/>
          <w:color w:val="auto"/>
        </w:rPr>
        <w:t>Recycling Processing and Sales revenues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decreased $166 million in 2025 as compared to prior year. Average market prices for single-stream recycled commodities declined approximately 20% in 2025 as compared to the prior year. Revenues attributable to yield in our Renewable Energy segment increased $11 million in 2025 as compared to prior year primarily driven by increases in natural gas and electricity pricing partially offset by declines in RINs pricing. While there may be short-term fluctuations in our commodity-driven businesses as prices change, we believe that our business models and processes appropriately mitigate the downside risk of changes in commodity prices.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increased $44 million as compared to prior year. Mandated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$33 million while fluctuations in energy surcharges drove an increase of $11 million as compared to prior year. The mandated fees are primarily related to fees and taxes assessed by various state, county and municipal government agencies at our landfills and transfer stations, particularly in our West Tier as a result of wildfire activity.</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$206 million, or 0.9%, in 2025 as compared to prior year. Volume growth during 2025 was led by our landfill business, with notable increases in special waste and municipal solid waste volumes in the West Tier, particularly driven by wildfire clean-up efforts. Contributions from growth projects also drove gains in our Renewable Energy and Recycling Processing and Sales segments, and volumes in our Strategic Business Solutions business continued to see growth due to our differentiated service model. These gains were partially offset by declines in residential collection volumes, reflecting our strategic exit from lower-margin contracts.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79" w:firstLine="259"/>
        <w:spacing w:after="0" w:line="266"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$2,334 million, or 10.6%, in 2025 as compared to prior year. The increase was primarily due to our acquisition of Stericycle in November 2024. The remaining increase was primarily related to our ongoing investment in tuck-in acquisitions of collection and disposal businesses.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and facilities and related labor costs; (iv) subcontractor costs, which include the costs of independent haulers who transport waste collected by us to disposal facilities and are affected by variables such as volumes, distance and fuel prices; (v) cost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5" w:lineRule="exact"/>
        <w:rPr>
          <w:sz w:val="20"/>
          <w:szCs w:val="20"/>
          <w:color w:val="auto"/>
        </w:rPr>
      </w:pPr>
    </w:p>
    <w:p>
      <w:pPr>
        <w:jc w:val="both"/>
        <w:ind w:left="60" w:right="59" w:hanging="10"/>
        <w:spacing w:after="0" w:line="252" w:lineRule="auto"/>
        <w:tabs>
          <w:tab w:leader="none" w:pos="4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in addition to cost inflation, affect the comparability of the components of our operating expenses.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for</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the  year  ended</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(dollars in millions and as a percentage of revenues):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5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580" w:type="dxa"/>
            <w:vAlign w:val="bottom"/>
            <w:tcBorders>
              <w:top w:val="single" w:sz="8" w:color="auto"/>
            </w:tcBorders>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6"/>
                <w:szCs w:val="16"/>
                <w:color w:val="auto"/>
              </w:rPr>
              <w:t xml:space="preserve"> 17.8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540" w:type="dxa"/>
            <w:vAlign w:val="bottom"/>
            <w:tcBorders>
              <w:top w:val="single" w:sz="8" w:color="auto"/>
            </w:tcBorders>
            <w:gridSpan w:val="2"/>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6"/>
                <w:szCs w:val="16"/>
                <w:color w:val="auto"/>
              </w:rPr>
              <w:t>17.4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r>
      <w:tr>
        <w:trPr>
          <w:trHeight w:val="210"/>
        </w:trPr>
        <w:tc>
          <w:tcPr>
            <w:tcW w:w="5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w:t>
            </w:r>
            <w:r>
              <w:rPr>
                <w:rFonts w:ascii="Times New Roman" w:cs="Times New Roman" w:eastAsia="Times New Roman" w:hAnsi="Times New Roman"/>
                <w:sz w:val="18"/>
                <w:szCs w:val="18"/>
                <w:u w:val="single" w:color="auto"/>
                <w:color w:val="auto"/>
                <w:w w:val="95"/>
              </w:rPr>
              <w:t>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2025, efficiency gains, improved employee turnover, momentum in truck deliveries, the benefit of customer price increases and higher margin special waste volumes, positioned us to significantly reduce our operating expenses as a percentage of operating revenue. The increase in total operating expenses as compared to prior year related primarily to (i) our recent acquisitions, particularly Stericycle; (ii) incremental costs attributable to RNG facilities brought on line during 2025; (iii) increased landfill volumes and (iv) a decrease in gains on the sale of non-strategic assets in 2025. These increases were partially offset by (i) lower residential volumes; (ii) decreased cost of goods sold attributable to lower recycling commodity prices and (iii) continued operating efficiency and cost control initiatives in our Collection and Disposal businesses.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between reported periods include:</w:t>
      </w:r>
    </w:p>
    <w:p>
      <w:pPr>
        <w:spacing w:after="0" w:line="22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driven by the addition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our recent acquisitions and annual employee wage increases. These increases were offset in part, by (i) lower annual incentive compensation and employee benefit expenses; (ii) collection efficiency improvements; (iii) lower residential volumes attributable to intentional shedding of lower margin contracts and (iv) improved driver retention.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our recent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inflationary cost pressures, which includes increased disposal fees at third-party sites and higher rates from our third-party haulers. These increases were offset, in part, by lower residential volumes attributable to intentional shedding of lower margin contracts.</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primarily due to (i) additional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as part of our recent acquisitions; (ii) inflation in parts, supplies and third-party services; (iii) annual wage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increases and (iv) higher technician headcount. These increases were offset, in part, by an increase in new truck deliveries, which lowered the average fleet age and reduced demand for parts, supplies and third-party services.</w:t>
      </w:r>
    </w:p>
    <w:p>
      <w:pPr>
        <w:spacing w:after="0" w:line="16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additional costs incurred as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 acquisitions and inflationary cost pressures, particularly labor costs from third-party haulers.</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 </w:t>
      </w:r>
      <w:r>
        <w:rPr>
          <w:rFonts w:ascii="Times New Roman" w:cs="Times New Roman" w:eastAsia="Times New Roman" w:hAnsi="Times New Roman"/>
          <w:sz w:val="18"/>
          <w:szCs w:val="18"/>
          <w:color w:val="auto"/>
        </w:rPr>
        <w:t>The decrease in cost of goods sold was primarily due to a nearly 20% decrease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single-stream recycling commodities. This decrease was partially offset by additional pipeline transportation costs attributable to new RNG facilities brought on line during 2025.</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 </w:t>
      </w:r>
      <w:r>
        <w:rPr>
          <w:rFonts w:ascii="Times New Roman" w:cs="Times New Roman" w:eastAsia="Times New Roman" w:hAnsi="Times New Roman"/>
          <w:sz w:val="18"/>
          <w:szCs w:val="18"/>
          <w:color w:val="auto"/>
        </w:rPr>
        <w:t>The increase in fuel costs was primarily due to our recent acquisitions and the expiration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fuel tax credit on December 31, 2024. This increase was partially offset by a decrease of approximately 3% in average market prices for diesel fuel and reduced diesel consumption due to declines in residential collection volumes.</w:t>
      </w:r>
    </w:p>
    <w:p>
      <w:pPr>
        <w:spacing w:after="0" w:line="173"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 </w:t>
      </w:r>
      <w:r>
        <w:rPr>
          <w:rFonts w:ascii="Times New Roman" w:cs="Times New Roman" w:eastAsia="Times New Roman" w:hAnsi="Times New Roman"/>
          <w:sz w:val="18"/>
          <w:szCs w:val="18"/>
          <w:color w:val="auto"/>
        </w:rPr>
        <w:t>The increase in disposal and franchise fees and taxes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landfill volumes and an overall rate increase in fees and taxes paid to municipalities on our disposal volumes.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increase in landfill operating costs was primarily due to an increase in volumes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leachate treatment costs in our West Tier.</w:t>
      </w:r>
    </w:p>
    <w:p>
      <w:pPr>
        <w:spacing w:after="0" w:line="158"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increase in risk management costs was primarily due to additional claims and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our recent acquisitions and higher insurance recoveries for property claims in the prior year as compared to 2025 offset, in part, by improved claims experience.</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other operating costs was primarily due to (i) additional expenses attributable to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(ii) gains on the sale of real estate in 2024 and, to a much lesser extent, (iii) increased utility costs and property taxes largely attributable to new RNG plants brought on line during 2025.</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year ended December 31 (dollars in millions and as a percentage of revenues):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280" w:type="dxa"/>
            <w:vAlign w:val="bottom"/>
            <w:gridSpan w:val="2"/>
          </w:tcPr>
          <w:p>
            <w:pPr>
              <w:ind w:left="20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42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940" w:type="dxa"/>
            <w:vAlign w:val="bottom"/>
            <w:gridSpan w:val="5"/>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xml:space="preserve">$ 1,655  </w:t>
            </w:r>
            <w:r>
              <w:rPr>
                <w:rFonts w:ascii="Times New Roman" w:cs="Times New Roman" w:eastAsia="Times New Roman" w:hAnsi="Times New Roman"/>
                <w:sz w:val="28"/>
                <w:szCs w:val="28"/>
                <w:color w:val="auto"/>
                <w:vertAlign w:val="subscript"/>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6.5 %</w:t>
            </w:r>
          </w:p>
        </w:tc>
        <w:tc>
          <w:tcPr>
            <w:tcW w:w="9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$ 1,400  </w:t>
            </w:r>
            <w:r>
              <w:rPr>
                <w:rFonts w:ascii="Times New Roman" w:cs="Times New Roman" w:eastAsia="Times New Roman" w:hAnsi="Times New Roman"/>
                <w:sz w:val="28"/>
                <w:szCs w:val="28"/>
                <w:color w:val="auto"/>
                <w:vertAlign w:val="subscript"/>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r>
      <w:tr>
        <w:trPr>
          <w:trHeight w:val="425"/>
        </w:trPr>
        <w:tc>
          <w:tcPr>
            <w:tcW w:w="3920" w:type="dxa"/>
            <w:vAlign w:val="bottom"/>
            <w:shd w:val="clear" w:color="auto" w:fill="CCEEFF"/>
          </w:tcPr>
          <w:p>
            <w:pPr>
              <w:spacing w:after="0"/>
              <w:rPr>
                <w:sz w:val="24"/>
                <w:szCs w:val="24"/>
                <w:color w:val="auto"/>
              </w:rPr>
            </w:pPr>
          </w:p>
        </w:tc>
        <w:tc>
          <w:tcPr>
            <w:tcW w:w="2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$ 2,722</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10.8 %</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$ 2,264</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10.3 %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from prior year primarily due to our recent acquisitions, particularly Stericycle.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between reported periods include:</w:t>
      </w:r>
    </w:p>
    <w:p>
      <w:pPr>
        <w:spacing w:after="0" w:line="160"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primarily due to (i)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(ii) higher long-term incentive compensation costs and (iii) annual employee wage increases. These increases were partially offset by lower annual incentive compensation and employee benefit expense.</w:t>
      </w:r>
    </w:p>
    <w:p>
      <w:pPr>
        <w:spacing w:after="0" w:line="17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primarily due to our acquisition and integration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Stericycle.</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the provision for bad debts was primarily attributable to our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segment, driven by data and system challenges, and an overall increase in revenue and increase in customer account write-offs.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was primarily due to increased spend across multiple cost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technology, risk management and advertising, largely driven by the acquisition and integration of Stericycle.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year ended December 31 (dollars in millions and as a percentage of revenues):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$ 1,544</w:t>
            </w:r>
          </w:p>
        </w:tc>
        <w:tc>
          <w:tcPr>
            <w:tcW w:w="2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$ 1,292</w:t>
            </w:r>
          </w:p>
        </w:tc>
        <w:tc>
          <w:tcPr>
            <w:tcW w:w="2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$ 2,863</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$ 2,267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was primarily due to our recent acquisitions and increased investments in capital assets such as equipment, primarily within our sustainability businesses, and trucks. The increase in depletion of landfill airspace from prior year was primarily due to increased volumes at our landfills, particularly in our West Tier, and changes in amortization rates from revisions in landfill estimates. The increase in amortization of intangible assets from prior year was primarily due to the incremental amortization of customer relationships and other intangibles acquired as part of the Stericycle acquisition.</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Restructuring charges for the year ended December 31, 2025 were primarily due to employee costs related to integration of our acquisition of Stericycle as well as employee retention and severance costs incurred to support automation at our recycling facilities and in certain back-office functions.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72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2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recognized $248 million of net charges primarily consisting of (i) a $160 million impairment charge related to the decision to temporarily suspend the operations of a business engaged in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(iii) a $16 million goodwill impairment charge related to a business engaged in oil recovery and sludge processing services reflected in Other Ancillary within our Collection and Disposal businesses and (iv) $11 million negotiated payment for early termination of a contract in our Renewable Energy segment.</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segment to adjust an indirect wholly-owned subsidiary’s estimated potential share of the liability for a proposed environmental remediation plan at a closed site.</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the year ended December 31 (dollars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6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left="375"/>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46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18"/>
                <w:szCs w:val="18"/>
                <w:color w:val="auto"/>
              </w:rPr>
            </w:pP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41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14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117"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income from operations for our segments between the reported periods include:</w:t>
      </w:r>
    </w:p>
    <w:p>
      <w:pPr>
        <w:spacing w:after="0" w:line="160" w:lineRule="exact"/>
        <w:rPr>
          <w:sz w:val="20"/>
          <w:szCs w:val="20"/>
          <w:color w:val="auto"/>
        </w:rPr>
      </w:pPr>
    </w:p>
    <w:p>
      <w:pPr>
        <w:jc w:val="both"/>
        <w:ind w:left="720" w:right="79" w:hanging="319"/>
        <w:spacing w:after="0" w:line="25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and Disposal — </w:t>
      </w:r>
      <w:r>
        <w:rPr>
          <w:rFonts w:ascii="Times New Roman" w:cs="Times New Roman" w:eastAsia="Times New Roman" w:hAnsi="Times New Roman"/>
          <w:sz w:val="18"/>
          <w:szCs w:val="18"/>
          <w:color w:val="auto"/>
        </w:rPr>
        <w:t>Income from operations in our Collection and Disposal businesses increased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 revenue growth from price increases, which translate into increased yield or average unit price; (ii) actions to improve the efficiency and operating costs incurred to serve our customers and (iii) elevated special waste volume in our West Tier, which was favorably impacted by the wildfire clean-up activities. These increases were partially offset by higher depreciation and depletion costs, as discussed in Depreciation, Depletion and Amortization Expenses above, as well as a decrease on the gains on the sale of non-strategic assets when compared to prior year.</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Income from operations in our Recycling Processing and Sales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a $160 million impairment charge related to the decision to temporarily suspend the operations of a business engaged in accelerating plastic film and wrap recycling capabilities due to significant deterioration of market pricing and demand for post-consumer plastics and declining commodity prices compared</w:t>
      </w:r>
    </w:p>
    <w:p>
      <w:pPr>
        <w:sectPr>
          <w:pgSz w:w="11900" w:h="16838" w:orient="portrait"/>
          <w:cols w:equalWidth="0" w:num="1">
            <w:col w:w="9019"/>
          </w:cols>
          <w:pgMar w:left="1440" w:top="60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to prior year. This decrease was partially offset by increased volumes, which can be attributed to the improved throughput of our facilities, the addition of new market facilities and improved operating costs from the automation of our recycling facilities.</w:t>
      </w:r>
    </w:p>
    <w:p>
      <w:pPr>
        <w:spacing w:after="0" w:line="174" w:lineRule="exact"/>
        <w:rPr>
          <w:sz w:val="20"/>
          <w:szCs w:val="20"/>
          <w:color w:val="auto"/>
        </w:rPr>
      </w:pPr>
    </w:p>
    <w:p>
      <w:pPr>
        <w:jc w:val="both"/>
        <w:ind w:left="720" w:right="79" w:hanging="319"/>
        <w:spacing w:after="0" w:line="267"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 Income from operations in our Renewable Energy segment increased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volumes resulting from the completion of projects that increase the beneficial use of landfill gas sold to third parties and higher electricity pricing.</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Healthcare Solutions </w:t>
      </w:r>
      <w:r>
        <w:rPr>
          <w:rFonts w:ascii="Times New Roman" w:cs="Times New Roman" w:eastAsia="Times New Roman" w:hAnsi="Times New Roman"/>
          <w:sz w:val="18"/>
          <w:szCs w:val="18"/>
          <w:color w:val="auto"/>
        </w:rPr>
        <w:t>— The positive earnings contributions from the Healthcare Solutions business were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offset by depreciation and amortization expenses and integration related expenses, driving a loss in both periods.</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Income from operations in our Corporate and Other segment increased primarily due to</w:t>
      </w:r>
    </w:p>
    <w:p>
      <w:pPr>
        <w:spacing w:after="0" w:line="29" w:lineRule="exact"/>
        <w:rPr>
          <w:rFonts w:ascii="Times New Roman" w:cs="Times New Roman" w:eastAsia="Times New Roman" w:hAnsi="Times New Roman"/>
          <w:sz w:val="18"/>
          <w:szCs w:val="18"/>
          <w:color w:val="auto"/>
        </w:rPr>
      </w:pPr>
    </w:p>
    <w:p>
      <w:pPr>
        <w:jc w:val="both"/>
        <w:ind w:left="720" w:right="79" w:firstLine="5"/>
        <w:spacing w:after="0" w:line="253" w:lineRule="auto"/>
        <w:tabs>
          <w:tab w:leader="none" w:pos="95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transaction costs incurred in the prior year in connection with our Stericycle acquisition; (ii) lower annual incentive compensation, and (iii) a decline in risk management expenses. The increase was partially offset by (i) annual employee wage increases; (ii) higher long term incentive compensation and (iii) increases in consulting fees driven by integration and business optimization activities related to the acquisition of Stericycle.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interest expense, net was $912 million and $598 million in 2025 and 2024, respectively. The increase in interest expense, net was primarily related to an increase in our average debt balances and borrowing rates resulting from debt incurred to fund our acquisition of Stericycle. See Note 6 to the Consolidated Financial Statements for more information related to our debt balances.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$717 million and $713 million in 2025 and 2024, respectively, resulting in effective income tax rates of 20.9% and 20.6% for the years ended December 31, 2025 and 2024, respectively. The comparability of our income tax expense for the reported periods has been primarily affected by the following:</w:t>
      </w:r>
    </w:p>
    <w:p>
      <w:pPr>
        <w:spacing w:after="0" w:line="174" w:lineRule="exact"/>
        <w:rPr>
          <w:sz w:val="20"/>
          <w:szCs w:val="20"/>
          <w:color w:val="auto"/>
        </w:rPr>
      </w:pPr>
    </w:p>
    <w:p>
      <w:pPr>
        <w:jc w:val="both"/>
        <w:ind w:left="720" w:right="79" w:hanging="319"/>
        <w:spacing w:after="0" w:line="25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Renewable Natural Gas — </w:t>
      </w:r>
      <w:r>
        <w:rPr>
          <w:rFonts w:ascii="Times New Roman" w:cs="Times New Roman" w:eastAsia="Times New Roman" w:hAnsi="Times New Roman"/>
          <w:sz w:val="18"/>
          <w:szCs w:val="18"/>
          <w:color w:val="auto"/>
        </w:rPr>
        <w:t>Through our Renewable Energy segment, we have invested in building landfill gas-to-energy facilities in the U.S. and Canada that produce renewable electricity and RNG. We expect our new RNG facilities to qualify for federal tax credits and to realize those credits through 2027 under Section 48 of the Internal Revenue Code. We completed construction of seven RNG facilities in 2025 and five RNG facilities in 2024, resulting in a reduction to our income tax expense of $184 million and $137 million, respectively (additional information related to these tax credits is included below under the Tax Legislation section);</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During the years ended December 31, 2025 and 2024, we recognized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$96 million and $78 million, respectively, related to amortization under ASU 2023-02, and a reduction in our income tax expense of $137 million and $104 million, respectively, primarily due to federal tax credits realized from these investments. See Notes 2, 8, and 18 to the Consolidated Financial Statements for additional information related to these unconsolidated variable interest entities;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During the year ended December 31, 2024, we recognized additional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$14 million due to non-cash impairment charges that were not deductible for tax purposes in the year of impairment. See Note 11 to the Consolidated Financial Statements for more information related to our impairment charges; and</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On July 4, 2025, President Trump signed the One Big Beautiful Bill Act (the “OBBBA”)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We have evaluated the business tax provisions in the legislation, none of which had a material impact on our effective tax rate. However, we had a beneficial impact to cash taxes related to bonus depreciation.</w:t>
      </w:r>
    </w:p>
    <w:p>
      <w:pPr>
        <w:spacing w:after="0" w:line="67"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(“IRA”) contains several tax-related provisions, including with respect to (i) alternative fuel tax credits; (ii) tax incentives for investments in renewable energy production, carbon capture,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53" w:lineRule="auto"/>
        <w:rPr>
          <w:sz w:val="20"/>
          <w:szCs w:val="20"/>
          <w:color w:val="auto"/>
        </w:rPr>
      </w:pPr>
      <w:r>
        <w:rPr>
          <w:rFonts w:ascii="Times New Roman" w:cs="Times New Roman" w:eastAsia="Times New Roman" w:hAnsi="Times New Roman"/>
          <w:sz w:val="18"/>
          <w:szCs w:val="18"/>
          <w:color w:val="auto"/>
        </w:rPr>
        <w:t>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secured approximately $60 million of annual pre-tax benefit (recorded as a reduction in our operating expense) from tax credits in 2024. The alternative fuel credit expired at the end of 2024 and will not provide any future benefit to the Company without further legislative action. With respect to the investment tax credit, we expect the cumulative benefit to be between $400 million and $425 million, the remainder of which we expect to recognize through 2027. The expected benefit from the investment tax credit is dependent on a number of estimates and assumptions, including the timing of project completion. Finally, we believe that the production tax credit incentives for investments in renewable energy and carbon capture, as expanded by the IRA, may result in an incremental benefit to the Company, although at this time, the anticipated amount of such benefit has not been quantified due, in part, to the lack of regulatory guidance.</w:t>
      </w:r>
    </w:p>
    <w:p>
      <w:pPr>
        <w:spacing w:after="0" w:line="79" w:lineRule="exact"/>
        <w:rPr>
          <w:sz w:val="20"/>
          <w:szCs w:val="20"/>
          <w:color w:val="auto"/>
        </w:rPr>
      </w:pPr>
    </w:p>
    <w:p>
      <w:pPr>
        <w:ind w:left="180" w:right="1219" w:firstLine="518"/>
        <w:spacing w:after="0" w:line="407" w:lineRule="auto"/>
        <w:rPr>
          <w:sz w:val="20"/>
          <w:szCs w:val="20"/>
          <w:color w:val="auto"/>
        </w:rPr>
      </w:pPr>
      <w:r>
        <w:rPr>
          <w:rFonts w:ascii="Times New Roman" w:cs="Times New Roman" w:eastAsia="Times New Roman" w:hAnsi="Times New Roman"/>
          <w:sz w:val="18"/>
          <w:szCs w:val="18"/>
          <w:color w:val="auto"/>
        </w:rPr>
        <w:t xml:space="preserve">See Note 8 to the Consolidated Financial Statements for more information related to income taxes. </w:t>
      </w:r>
      <w:r>
        <w:rPr>
          <w:rFonts w:ascii="Times New Roman" w:cs="Times New Roman" w:eastAsia="Times New Roman" w:hAnsi="Times New Roman"/>
          <w:sz w:val="18"/>
          <w:szCs w:val="18"/>
          <w:b w:val="1"/>
          <w:bCs w:val="1"/>
          <w:i w:val="1"/>
          <w:iCs w:val="1"/>
          <w:color w:val="auto"/>
        </w:rPr>
        <w:t>Landfill and Environmental Remediation Discussion and Analysis</w:t>
      </w:r>
    </w:p>
    <w:p>
      <w:pPr>
        <w:spacing w:after="0" w:line="5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owned or operated 253 solid waste landfills and four hazardous waste landfills as of December 31, 2025 and 257 solid waste landfills and five hazardous waste landfills as of December 31, 2024. For these landfills, the following table reflects changes in capacity, as measured in tons of waste, for the year ended December 31 and remaining airspace, measured in cubic yards of waste, as of December 31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60" w:type="dxa"/>
            <w:vAlign w:val="bottom"/>
          </w:tcPr>
          <w:p>
            <w:pPr>
              <w:spacing w:after="0"/>
              <w:rPr>
                <w:sz w:val="11"/>
                <w:szCs w:val="11"/>
                <w:color w:val="auto"/>
              </w:rPr>
            </w:pP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5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76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year (in tons)</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divestitures, newly permitted landfills and closures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expansions pursued (a)</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Expansion permits granted (b)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Depletable tons received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engineering estimates and other (c)</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year (in tons) (d)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end of year (in cubic yards) (d)</w:t>
            </w:r>
          </w:p>
        </w:tc>
        <w:tc>
          <w:tcPr>
            <w:tcW w:w="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4,982</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60" w:type="dxa"/>
            <w:vAlign w:val="bottom"/>
            <w:vMerge w:val="continue"/>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5,126</w:t>
            </w:r>
          </w:p>
        </w:tc>
        <w:tc>
          <w:tcPr>
            <w:tcW w:w="6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5,049</w:t>
            </w:r>
          </w:p>
        </w:tc>
        <w:tc>
          <w:tcPr>
            <w:tcW w:w="4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expansion permits at 13 of our landfills during 2025 and 11 of our landfills during 2024, demonstrating our continued success in working with municipalities and regulatory agencies to expand the disposal airspace of our existing landfills.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80"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the Consolidated Financial Statements for discussion of converting remaining cubic yards of airspace to tons of capacity.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depletable tons received at our landfills for the year ended December 31 are shown below (tons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00" w:type="dxa"/>
            <w:vAlign w:val="bottom"/>
            <w:gridSpan w:val="2"/>
          </w:tcPr>
          <w:p>
            <w:pPr>
              <w:ind w:left="23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Depletable</w:t>
            </w:r>
          </w:p>
        </w:tc>
        <w:tc>
          <w:tcPr>
            <w:tcW w:w="7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60" w:type="dxa"/>
            <w:vAlign w:val="bottom"/>
          </w:tcPr>
          <w:p>
            <w:pPr>
              <w:spacing w:after="0"/>
              <w:rPr>
                <w:sz w:val="10"/>
                <w:szCs w:val="10"/>
                <w:color w:val="auto"/>
              </w:rPr>
            </w:pP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 of</w:t>
            </w:r>
          </w:p>
        </w:tc>
        <w:tc>
          <w:tcPr>
            <w:tcW w:w="40" w:type="dxa"/>
            <w:vAlign w:val="bottom"/>
          </w:tcPr>
          <w:p>
            <w:pPr>
              <w:spacing w:after="0"/>
              <w:rPr>
                <w:sz w:val="10"/>
                <w:szCs w:val="10"/>
                <w:color w:val="auto"/>
              </w:rPr>
            </w:pPr>
          </w:p>
        </w:tc>
        <w:tc>
          <w:tcPr>
            <w:tcW w:w="8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​​​Depletable</w:t>
            </w:r>
          </w:p>
        </w:tc>
        <w:tc>
          <w:tcPr>
            <w:tcW w:w="7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Tons per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gridSpan w:val="2"/>
          </w:tcPr>
          <w:p>
            <w:pPr>
              <w:ind w:left="23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Sites</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Tons</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Day</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Sites</w:t>
            </w:r>
          </w:p>
        </w:tc>
        <w:tc>
          <w:tcPr>
            <w:tcW w:w="40" w:type="dxa"/>
            <w:vAlign w:val="bottom"/>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Tons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 landfills (a)</w:t>
            </w: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124,271</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Hazardous waste landfills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3"/>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Solid waste landfills closed, divested, held for sale, or lease or</w:t>
            </w: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7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contractual agreement expired during related year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20"/>
                <w:szCs w:val="20"/>
                <w:color w:val="auto"/>
              </w:rPr>
            </w:pPr>
          </w:p>
        </w:tc>
        <w:tc>
          <w:tcPr>
            <w:tcW w:w="6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As of December 31, 2025 and 2024, we had 16 and 15 landfills, respectively, which were not accepting waste.</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owned or managed 244 sites that are either in closure or post-closure, have received a certification post-closure, or are regulated under a remedial action plan.</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Based on remaining permitted airspace as of December 31, 2025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15 of our landfills that meet the expansion criteria outlined in the </w:t>
      </w:r>
      <w:r>
        <w:rPr>
          <w:rFonts w:ascii="Times New Roman" w:cs="Times New Roman" w:eastAsia="Times New Roman" w:hAnsi="Times New Roman"/>
          <w:sz w:val="18"/>
          <w:szCs w:val="18"/>
          <w:i w:val="1"/>
          <w:iCs w:val="1"/>
          <w:color w:val="auto"/>
        </w:rPr>
        <w:t xml:space="preserve">Critical Accounting Estimates and Assumptions — Landfills </w:t>
      </w:r>
      <w:r>
        <w:rPr>
          <w:rFonts w:ascii="Times New Roman" w:cs="Times New Roman" w:eastAsia="Times New Roman" w:hAnsi="Times New Roman"/>
          <w:sz w:val="18"/>
          <w:szCs w:val="18"/>
          <w:color w:val="auto"/>
        </w:rPr>
        <w:t>section below. Although no assurances can be made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number of landfills owned or operated as of December 31, 2025, segregated by their estimated operating lives based on remaining permitted and expansion airspace and projected annual disposal volume,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tcPr>
          <w:p>
            <w:pPr>
              <w:ind w:left="54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Landfills</w:t>
            </w:r>
          </w:p>
        </w:tc>
        <w:tc>
          <w:tcPr>
            <w:tcW w:w="22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to 5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to 10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to 20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to 40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9"/>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257 landfills, 219 are owned, 26 are operated under lease agreements and 12 are operated under other contractual agreements. For the landfills not owned, we are usually responsible for final capping, closure and post-closure obligations.</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Assets — </w:t>
      </w:r>
      <w:r>
        <w:rPr>
          <w:rFonts w:ascii="Times New Roman" w:cs="Times New Roman" w:eastAsia="Times New Roman" w:hAnsi="Times New Roman"/>
          <w:sz w:val="18"/>
          <w:szCs w:val="18"/>
          <w:color w:val="auto"/>
        </w:rPr>
        <w:t>We capitalize various costs that we incur to prepare a landfill to accept waste. These costs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the cost basis of our landfill assets and accumulated landfill airspace depletion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are reflected in the table below (in millions):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3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Cost Basis of</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Landfill Airspace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3"/>
        </w:trPr>
        <w:tc>
          <w:tcPr>
            <w:tcW w:w="4000" w:type="dxa"/>
            <w:vAlign w:val="bottom"/>
          </w:tcPr>
          <w:p>
            <w:pPr>
              <w:ind w:left="38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Depletion</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additions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Asset retirement obligations incurred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retirements and other adjustments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estimate that we will spend approximately $874 million in 2026, and approximately $1.8 billion in 2027 and 2028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7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and Environmental Remediation Liabilities — </w:t>
      </w:r>
      <w:r>
        <w:rPr>
          <w:rFonts w:ascii="Times New Roman" w:cs="Times New Roman" w:eastAsia="Times New Roman" w:hAnsi="Times New Roman"/>
          <w:sz w:val="18"/>
          <w:szCs w:val="18"/>
          <w:color w:val="auto"/>
        </w:rPr>
        <w:t>As we accept waste at our landfills, we incur significant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2025 are reflected in the table below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Environmental</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following table summarizes our landfill operating costs for the year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ind w:left="69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Leachate and methane collection and treatment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Landfill remediation costs and discount rate adjustments to environmental remediation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and recovery assets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landfill site costs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landfill operating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2453"/>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Airspace </w:t>
      </w:r>
      <w:r>
        <w:rPr>
          <w:rFonts w:ascii="Times New Roman" w:cs="Times New Roman" w:eastAsia="Times New Roman" w:hAnsi="Times New Roman"/>
          <w:sz w:val="18"/>
          <w:szCs w:val="18"/>
          <w:color w:val="auto"/>
        </w:rPr>
        <w:t>— Depletion of landfill airspace, which is included as a component of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depletion and amortization expenses, includes the following:</w:t>
      </w:r>
    </w:p>
    <w:p>
      <w:pPr>
        <w:spacing w:after="0" w:line="52" w:lineRule="exact"/>
        <w:rPr>
          <w:sz w:val="20"/>
          <w:szCs w:val="20"/>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asset retirement costs arising from landfill final capping, closure and post-closure obligations, including (i) costs that have been incurred and capitalized and (ii) projected asset retirement costs.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landfill airspace depletion expense on a per-ton basis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00" w:type="dxa"/>
            <w:vAlign w:val="bottom"/>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of landfill airspace (in millions)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Tons received, net of redirected waste (in millions)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landfill airspace depletion expense per ton</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bl>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Different per-ton depletion rates are applied at each of our 257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1" w:lineRule="exact"/>
        <w:rPr>
          <w:sz w:val="20"/>
          <w:szCs w:val="20"/>
          <w:color w:val="auto"/>
        </w:rPr>
      </w:pPr>
    </w:p>
    <w:p>
      <w:pPr>
        <w:jc w:val="both"/>
        <w:ind w:left="60" w:right="59" w:hanging="10"/>
        <w:spacing w:after="0" w:line="255"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Contractual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December 31, 2025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2030</w:t>
            </w:r>
          </w:p>
        </w:tc>
        <w:tc>
          <w:tcPr>
            <w:tcW w:w="6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Recorded Obligations: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Final capping, closure and post-closure liabilities (a)</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60" w:type="dxa"/>
            <w:vAlign w:val="bottom"/>
          </w:tcPr>
          <w:p>
            <w:pPr>
              <w:spacing w:after="0"/>
              <w:rPr>
                <w:sz w:val="18"/>
                <w:szCs w:val="18"/>
                <w:color w:val="auto"/>
              </w:rPr>
            </w:pPr>
          </w:p>
        </w:tc>
      </w:tr>
      <w:tr>
        <w:trPr>
          <w:trHeight w:val="432"/>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payments (b)</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1,802</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1,672</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60" w:type="dxa"/>
            <w:vAlign w:val="bottom"/>
          </w:tcPr>
          <w:p>
            <w:pPr>
              <w:spacing w:after="0"/>
              <w:rPr>
                <w:sz w:val="24"/>
                <w:szCs w:val="24"/>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Unrecorded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on debt (c)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60" w:type="dxa"/>
            <w:vAlign w:val="bottom"/>
          </w:tcPr>
          <w:p>
            <w:pPr>
              <w:spacing w:after="0"/>
              <w:rPr>
                <w:sz w:val="18"/>
                <w:szCs w:val="18"/>
                <w:color w:val="auto"/>
              </w:rPr>
            </w:pP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Estimated unconditional purchase obligations (d)</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18"/>
                <w:szCs w:val="18"/>
                <w:color w:val="auto"/>
              </w:rPr>
            </w:pPr>
          </w:p>
        </w:tc>
      </w:tr>
      <w:tr>
        <w:trPr>
          <w:trHeight w:val="425"/>
        </w:trPr>
        <w:tc>
          <w:tcPr>
            <w:tcW w:w="3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Anticipated liquidity impact as of December 31, 2025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3,199</w:t>
            </w:r>
          </w:p>
        </w:tc>
        <w:tc>
          <w:tcPr>
            <w:tcW w:w="6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2,677</w:t>
            </w:r>
          </w:p>
        </w:tc>
        <w:tc>
          <w:tcPr>
            <w:tcW w:w="6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37,921</w:t>
            </w:r>
          </w:p>
        </w:tc>
        <w:tc>
          <w:tcPr>
            <w:tcW w:w="60" w:type="dxa"/>
            <w:vAlign w:val="bottom"/>
          </w:tcPr>
          <w:p>
            <w:pPr>
              <w:spacing w:after="0"/>
              <w:rPr>
                <w:sz w:val="24"/>
                <w:szCs w:val="24"/>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for final capping, closure and post-closure costs recorded in our Consolidated Balance Sheet as of December 31, 2025, without the impact of discounting and inflation. Our recorded liabilities for final capping, closure and post-closure costs will increase as we continue to place additional tons within the permitted airspace at our landfills.</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fixed-rate debt was calculated based on contractual rates and interest on our variable-rate debt was calculated based on interest rates as of December 31, 2025. As of December 31, 2025, we had $233 million of accrued interest related to our debt obligations.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4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4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reserves</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4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restricted funds (a)</w:t>
            </w:r>
          </w:p>
        </w:tc>
        <w:tc>
          <w:tcPr>
            <w:tcW w:w="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$109 million and $100 million, respectively, of these account balances was included in other current assets in our Consolidated Balance Sheets.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We use long-term borrowings in addition to the cash we generate from operations as part of our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strategy to support and grow our business. We primarily use senior notes and tax-exempt bonds to borrow on a long-term basis, but we also use other instruments and facilities, when appropriate. The components of our borrowings as of December 31, 2025 are described in Note 6 to the Consolidated Financial Statements.</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$3.7 billion of debt maturing within the next 12 months, including (i) $1.8 billion of tax-exempt bonds with term interest rate periods that expire within the next 12 months, which is prior to their scheduled maturities; (ii) $1.1 billion of short-term borrowings under our commercial paper program (net of related discount on issuance); (iii) $223 million of 7.1% senior notes that mature in August 2026; (iv) $364 million of 2.6% Canadian senior notes that mature in September 2026 and (v) $200 million of other debt with scheduled maturities within the next 12 months. As of December 31,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$711 million of debt maturing in the next 12 months is classified as current obligations.</w:t>
      </w:r>
    </w:p>
    <w:p>
      <w:pPr>
        <w:spacing w:after="0" w:line="194" w:lineRule="exact"/>
        <w:rPr>
          <w:sz w:val="20"/>
          <w:szCs w:val="20"/>
          <w:color w:val="auto"/>
        </w:rPr>
      </w:pPr>
    </w:p>
    <w:p>
      <w:pPr>
        <w:jc w:val="both"/>
        <w:ind w:left="60" w:right="79" w:firstLine="259"/>
        <w:spacing w:after="0" w:line="282" w:lineRule="auto"/>
        <w:rPr>
          <w:sz w:val="20"/>
          <w:szCs w:val="20"/>
          <w:color w:val="auto"/>
        </w:rPr>
      </w:pPr>
      <w:r>
        <w:rPr>
          <w:rFonts w:ascii="Times New Roman" w:cs="Times New Roman" w:eastAsia="Times New Roman" w:hAnsi="Times New Roman"/>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0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4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letter of credit lines (b)</w:t>
            </w:r>
          </w:p>
        </w:tc>
        <w:tc>
          <w:tcPr>
            <w:tcW w:w="4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we had an unused and available credit capacity of $2.2 billion and $2.1 billion, respectively.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these other letter of credit lines are uncommitted with terms extending through December 2029.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ind w:left="60" w:right="59" w:firstLine="243"/>
        <w:spacing w:after="0" w:line="282"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Waste Management, Inc.’s (“WMI’s”) senior indebtedness. WMI has fully and unconditionally guaranteed all of WM Holdings’ senior indebtedness. None of WMI’s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0" w:type="dxa"/>
            <w:vAlign w:val="bottom"/>
          </w:tcPr>
          <w:p>
            <w:pPr>
              <w:spacing w:after="0"/>
              <w:rPr>
                <w:sz w:val="1"/>
                <w:szCs w:val="1"/>
                <w:color w:val="auto"/>
              </w:rPr>
            </w:pPr>
          </w:p>
        </w:tc>
      </w:tr>
      <w:tr>
        <w:trPr>
          <w:trHeight w:val="353"/>
        </w:trPr>
        <w:tc>
          <w:tcPr>
            <w:tcW w:w="4900" w:type="dxa"/>
            <w:vAlign w:val="bottom"/>
          </w:tcPr>
          <w:p>
            <w:pPr>
              <w:spacing w:after="0"/>
              <w:rPr>
                <w:sz w:val="24"/>
                <w:szCs w:val="24"/>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9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(3,566)</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(2,673)</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$653 million in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(i) higher earnings in our Collection and Disposal businesses; (ii) contributions from our recent acquisitions and (iii) lower cash tax payments. This increase was partially offset by (i) higher cash interest payments primarily due to additional debt incurred to fund our acquisition of Stericycle; (ii) higher annual incentive compensation payments and (iii) unfavorable changes in working capital, net of effects from acquisitions and divestitures. We continue to execute well in optimizing working capital, particularly in the reduction of days sales outstanding for our Healthcare Solutions business and alignment of our days-to-pay measure with contract terms, though overall working capital changes have been pressured by the Stericycle acquisition.</w:t>
      </w:r>
    </w:p>
    <w:p>
      <w:pPr>
        <w:spacing w:after="0" w:line="7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affecting the comparison of our investing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periods presented are summarized below:</w:t>
      </w:r>
    </w:p>
    <w:p>
      <w:pPr>
        <w:spacing w:after="0" w:line="50" w:lineRule="exact"/>
        <w:rPr>
          <w:sz w:val="20"/>
          <w:szCs w:val="20"/>
          <w:color w:val="auto"/>
        </w:rPr>
      </w:pPr>
    </w:p>
    <w:p>
      <w:pPr>
        <w:jc w:val="both"/>
        <w:ind w:left="720" w:right="7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$404 million and $7,503 million in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which $395 million and $7,488 million, respectively, are considered cash used in investing activities. The remaining spend is cash used in financing activity related to the timing of contingent consideration paid. Excluding our acquisition of Stericycle in 2024, substantially all of the remaining acquisitions are related to our solid waste and recycling businesses.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$3,227 million and $3,231 million for capital expenditures in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in capital spending in 2025 compared to 2024 is primarily due to planned reductions in capital investment in our sustainability growth projects as we move from peak construction of this portfolio into a period where we will harvest strong returns on these businesses. The decrease in capital spending was mostly offset by increased capital expenditures to support the business and incremental spend within our Healthcare Solutions segment driven by the timing of the acquisition in late 2024.</w:t>
      </w:r>
    </w:p>
    <w:p>
      <w:pPr>
        <w:sectPr>
          <w:pgSz w:w="11900" w:h="16838" w:orient="portrait"/>
          <w:cols w:equalWidth="0" w:num="1">
            <w:col w:w="9019"/>
          </w:cols>
          <w:pgMar w:left="1440" w:top="60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Proceeds from divestitures of businesses and other assets, net of cash divested, were $121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$158 million in 2025 and 2024, respectively. Proceeds in 2025 primarily related to the sale of our Healthcare Solutions segment’s Spain and Portugal subsidiaries. The remaining 2025 and 2024 proceeds were from the sale of certain non-strategic assets.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Our spending within other, net was $65 million and $40 million in 2025 and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2025 and 2024, we used $56 million and $4 million, respectively, of cash from restricted cash and cash equivalents to invest in available-for-sale securities. During 2024, we used $33 million to make initial cash payments associated with a low-income housing investment.</w:t>
      </w:r>
    </w:p>
    <w:p>
      <w:pPr>
        <w:spacing w:after="0" w:line="72" w:lineRule="exact"/>
        <w:rPr>
          <w:sz w:val="20"/>
          <w:szCs w:val="20"/>
          <w:color w:val="auto"/>
        </w:rPr>
      </w:pPr>
    </w:p>
    <w:p>
      <w:pPr>
        <w:ind w:left="38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The most significant items affecting the comparison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cash flows for the periods presented are summarized below:</w:t>
      </w:r>
    </w:p>
    <w:p>
      <w:pPr>
        <w:spacing w:after="0" w:line="50" w:lineRule="exact"/>
        <w:rPr>
          <w:sz w:val="20"/>
          <w:szCs w:val="20"/>
          <w:color w:val="auto"/>
        </w:rPr>
      </w:pPr>
    </w:p>
    <w:p>
      <w:pPr>
        <w:ind w:left="660" w:right="79" w:hanging="326"/>
        <w:spacing w:after="0" w:line="28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(in millions):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(20,374)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(12,319)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(21,747)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40" w:right="7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drew $5.2 billion of borrowings under a term credit agreement that were applied to funding our acquisition of Stericycle. In November 2024, we repaid all outstanding borrowings and contemporaneously terminated the term credit agreement.</w:t>
      </w:r>
    </w:p>
    <w:p>
      <w:pPr>
        <w:spacing w:after="0" w:line="6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6 to the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For the periods presented, all share repurchases have been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financial plans approved by our Board of Directors. No share repurchases were made in 2025. During 2024, we allocated $262 million of available cash to common stock repurchases. See Note 13 to the Consolidated Financial Statements for additional information about our share repurchase activity.</w:t>
      </w:r>
    </w:p>
    <w:p>
      <w:pPr>
        <w:spacing w:after="0" w:line="74" w:lineRule="exact"/>
        <w:rPr>
          <w:sz w:val="20"/>
          <w:szCs w:val="20"/>
          <w:color w:val="auto"/>
        </w:rPr>
      </w:pPr>
    </w:p>
    <w:p>
      <w:pPr>
        <w:jc w:val="both"/>
        <w:ind w:left="700" w:right="59"/>
        <w:spacing w:after="0" w:line="256" w:lineRule="auto"/>
        <w:rPr>
          <w:sz w:val="20"/>
          <w:szCs w:val="20"/>
          <w:color w:val="auto"/>
        </w:rPr>
      </w:pPr>
      <w:r>
        <w:rPr>
          <w:rFonts w:ascii="Times New Roman" w:cs="Times New Roman" w:eastAsia="Times New Roman" w:hAnsi="Times New Roman"/>
          <w:sz w:val="18"/>
          <w:szCs w:val="18"/>
          <w:color w:val="auto"/>
        </w:rPr>
        <w:t>We announced in December 2025 that our Board of Directors has authorized up to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185" w:lineRule="exact"/>
        <w:rPr>
          <w:sz w:val="20"/>
          <w:szCs w:val="20"/>
          <w:color w:val="auto"/>
        </w:rPr>
      </w:pPr>
    </w:p>
    <w:p>
      <w:pPr>
        <w:jc w:val="both"/>
        <w:ind w:left="720" w:right="79" w:hanging="319"/>
        <w:spacing w:after="0" w:line="267"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declared and paid were $1.3 billion in 2025, or $3.30 per common share and $1.2 billion in 2024, or $3.00 per common share.</w:t>
      </w:r>
    </w:p>
    <w:p>
      <w:pPr>
        <w:spacing w:after="0" w:line="67"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In December 2025, we announced that our Board of Directors expects to increase the quarterly dividend from $0.825 to $0.945 per share for dividends declared in 2026. However, all future dividend declarations are at the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discretion of the Board of Directors and depend on various factors, including our leverage level, net earnings, financial condition, cash required for future business plans, growth and acquisitions and other factors the Board of Directors may deem relevant.</w:t>
      </w:r>
    </w:p>
    <w:p>
      <w:pPr>
        <w:spacing w:after="0" w:line="66" w:lineRule="exact"/>
        <w:rPr>
          <w:sz w:val="20"/>
          <w:szCs w:val="20"/>
          <w:color w:val="auto"/>
        </w:rPr>
      </w:pPr>
    </w:p>
    <w:p>
      <w:pPr>
        <w:jc w:val="both"/>
        <w:ind w:left="720" w:right="79" w:hanging="319"/>
        <w:spacing w:after="0" w:line="267"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Common Stock Options — </w:t>
      </w:r>
      <w:r>
        <w:rPr>
          <w:rFonts w:ascii="Times New Roman" w:cs="Times New Roman" w:eastAsia="Times New Roman" w:hAnsi="Times New Roman"/>
          <w:sz w:val="18"/>
          <w:szCs w:val="18"/>
          <w:color w:val="auto"/>
        </w:rPr>
        <w:t>The exercise of common stock options generated financing cash inflows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 million and $53 million from the exercise of 676,000 and 693,000 of employee stock options during 2025 and 2024, respectively.</w:t>
      </w:r>
    </w:p>
    <w:p>
      <w:pPr>
        <w:spacing w:after="0" w:line="173"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During 2024, we acquired the remaining minority interests in a business engaged in accelerating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 and plastic wrap recycling capabilities for $41 million.</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7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16"/>
        </w:trPr>
        <w:tc>
          <w:tcPr>
            <w:tcW w:w="20" w:type="dxa"/>
            <w:vAlign w:val="bottom"/>
          </w:tcPr>
          <w:p>
            <w:pPr>
              <w:spacing w:after="0"/>
              <w:rPr>
                <w:sz w:val="18"/>
                <w:szCs w:val="18"/>
                <w:color w:val="auto"/>
              </w:rPr>
            </w:pPr>
          </w:p>
        </w:tc>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10"/>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20" w:type="dxa"/>
            <w:vAlign w:val="bottom"/>
          </w:tcPr>
          <w:p>
            <w:pPr>
              <w:spacing w:after="0"/>
              <w:rPr>
                <w:sz w:val="18"/>
                <w:szCs w:val="18"/>
                <w:color w:val="auto"/>
              </w:rPr>
            </w:pPr>
          </w:p>
        </w:tc>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RNG generation and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Landfills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Landfill Costs — </w:t>
      </w:r>
      <w:r>
        <w:rPr>
          <w:rFonts w:ascii="Times New Roman" w:cs="Times New Roman" w:eastAsia="Times New Roman" w:hAnsi="Times New Roman"/>
          <w:sz w:val="17"/>
          <w:szCs w:val="17"/>
          <w:color w:val="auto"/>
        </w:rPr>
        <w:t>We estimate the total cost to develop each of our landfill sites to its remaining permitted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 includes costs to develop a site to its remaining permitted and expansion airspace and includes amounts previously expended and capitalized, net of accumulated airspace depletion, and projections of future purchase and development costs.</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Final Capping Costs — </w:t>
      </w:r>
      <w:r>
        <w:rPr>
          <w:rFonts w:ascii="Times New Roman" w:cs="Times New Roman" w:eastAsia="Times New Roman" w:hAnsi="Times New Roman"/>
          <w:sz w:val="18"/>
          <w:szCs w:val="18"/>
          <w:color w:val="auto"/>
        </w:rPr>
        <w:t>We estimate the cost for each final capping event based on the area to be capped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 </w:t>
      </w:r>
      <w:r>
        <w:rPr>
          <w:rFonts w:ascii="Times New Roman" w:cs="Times New Roman" w:eastAsia="Times New Roman" w:hAnsi="Times New Roman"/>
          <w:sz w:val="18"/>
          <w:szCs w:val="18"/>
          <w:color w:val="auto"/>
        </w:rPr>
        <w:t>We base our estimates for closure and post-closure costs on our interpretations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185"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76"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Note 10 to the Consolidated Financial Statements for additional information on our environmental liabilities.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Nonfinancial Assets and Liabilities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7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 </w:t>
      </w:r>
      <w:r>
        <w:rPr>
          <w:rFonts w:ascii="Times New Roman" w:cs="Times New Roman" w:eastAsia="Times New Roman" w:hAnsi="Times New Roman"/>
          <w:sz w:val="18"/>
          <w:szCs w:val="18"/>
          <w:color w:val="auto"/>
        </w:rPr>
        <w:t>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the indefinite-lived intangible assets including the goodwill of our reporting units for impairment using Level 3 inputs.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may perform either a qualitative or quantitative assessment; however, if a qualitative assessment is performed and we determine that the fair value of a reporting unit is more likely than not to be less than its carrying amount, a quantitative assessment is performed. The quantitative assessment compares the estimated fair value of a reporting unit to its carrying amount, including goodwill. An impairment charge is recognized if the reporting unit’s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Reporting units within our Healthcare Solutions segment are more sensitive than others to changes in estimated fair values, specifically changes driven by revenue growth, cost and discount rate assumptions, as compared to our other reporting units due to the fact that the Stericycle business comprising these reporting units was recently acquired. As such, the reporting units within our Healthcare Solutions segment have a greater risk of impairment should their operations or market conditions experience a significant downturn.</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In accordance with the acquisition method of accounting, the purchase price paid for an acquisition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assets and liabilities rely on complex estimates and assumptions.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81"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Divestitures, Asset Impairments and Unusual Items, Net</w:t>
      </w:r>
      <w:r>
        <w:rPr>
          <w:rFonts w:ascii="Times New Roman" w:cs="Times New Roman" w:eastAsia="Times New Roman" w:hAnsi="Times New Roman"/>
          <w:sz w:val="18"/>
          <w:szCs w:val="18"/>
          <w:color w:val="auto"/>
        </w:rPr>
        <w:t>. See Note 11 to the Consolidated Financial Statements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related to Asset Impairments and Unusual Items.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certain commodity prices and currency rates. From time to time, we use derivatives to manage some portion of these risks. As of December 31, 2025 our outstanding derivatives were immaterial.</w:t>
      </w:r>
    </w:p>
    <w:p>
      <w:pPr>
        <w:spacing w:after="0" w:line="17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 </w:t>
      </w:r>
      <w:r>
        <w:rPr>
          <w:rFonts w:ascii="Times New Roman" w:cs="Times New Roman" w:eastAsia="Times New Roman" w:hAnsi="Times New Roman"/>
          <w:sz w:val="18"/>
          <w:szCs w:val="18"/>
          <w:color w:val="auto"/>
        </w:rPr>
        <w:t>Our exposure to market risk for changes in interest rates relates primarily to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As of December 31, 2025 and 2024, we had $22.9 billion and $24.1 billion, respectively, of long-term debt, excluding the impacts of accounting for debt issuance costs, discounts and fair value adjustments attributable to terminated interest rate derivatives. As of December 31, 2025, we have $2.9 billion of debt that is exposed to changes in market interest rates within the next 12 months, compared to $2.7 million as of December 31, 2024, comprised primarily of</w:t>
      </w:r>
    </w:p>
    <w:p>
      <w:pPr>
        <w:spacing w:after="0" w:line="1" w:lineRule="exact"/>
        <w:rPr>
          <w:sz w:val="20"/>
          <w:szCs w:val="20"/>
          <w:color w:val="auto"/>
        </w:rPr>
      </w:pPr>
    </w:p>
    <w:p>
      <w:pPr>
        <w:jc w:val="both"/>
        <w:ind w:left="60" w:right="59" w:hanging="10"/>
        <w:spacing w:after="0" w:line="253" w:lineRule="auto"/>
        <w:tabs>
          <w:tab w:leader="none" w:pos="2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billion of short-term borrowings under our commercial paper program and (ii) $1.8 billion of tax-exempt bonds with term interest rate periods that expire within the next 12 months. We currently estimate that a 100-basis point increase in the interest rates of our outstanding variable-rate debt obligations would increase our 2025 interest expense by $35 million.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$0.8 billion as of December 31, 2025.</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ten years, as well as equity securities.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 </w:t>
      </w:r>
      <w:r>
        <w:rPr>
          <w:rFonts w:ascii="Times New Roman" w:cs="Times New Roman" w:eastAsia="Times New Roman" w:hAnsi="Times New Roman"/>
          <w:sz w:val="18"/>
          <w:szCs w:val="18"/>
          <w:color w:val="auto"/>
        </w:rPr>
        <w:t>In the normal course of our business, we are subject to operating agreements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expose us to market risks arising from changes in the prices for commodities such as diesel fuel, natural gas,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decreased $166 million and increased $245 million in 2025 and 2024, respectively, as compared to prior year periods. During 2025, we experienced decreases in market prices for recycled commodities when compared to prior year caused by a number of factors, including the closure of domestic paper mills, a decrease in demand for recycled content by certain consumer goods producers, focused reduction in cardboard packaging and overall market conditions. Average market prices for single-stream recycled commodities were down 20% and up 50% in 2025 and 2024, respectively, as compared to prior year periods. Variability in commodity prices can also impact the margins of our business as certain components of our revenue are structured as a pass through of costs, including recycling brokerage and fuel surcharges.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recent years, we have discussed our sustainability growth strategy that includes significant planned and ongoing investments in our Renewable Energy segment. We have invested, and continue to invest, in facilities to capture methane produced from the Company’s landfills and process it into RNG and electricity. RNG produced from our landfills constitutes a significant source of fuel allocated to our natural gas collection vehicles. The primary drivers of renewable fuel development at our landfills are tax policies, such as federal tax credits for investments in RNG under the IRA and OBBBA, and federal and state incentive programs, such as the federal RFS program, California’s Low Carbon Fuel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Standard and similar state programs that promote the production and use of renewable transportation fuels. At the federal level, oil refiners and importers are required through the RFS program to blend specified volumes of various categories of renewable transportation fuels with gasoline or buy credits, referred to as RINs, from renewable fuel producers. Many of our facilities are EPA-registered producers of transportation fuel making compressed and liquefied RNG from landfill biogas, which qualifies as a cellulosic biofuel under the RFS program. The Company has invested, and continues to invest, in facilities that capture and process landfill gas into RNG so that we can participate in the RFS program, and the Company has grown and stated its intention to continue to grow its asset base to increase its RNG production.</w:t>
      </w:r>
    </w:p>
    <w:p>
      <w:pPr>
        <w:spacing w:after="0" w:line="18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RINs prices generally respond to regulations enacted by the EPA, as well as fluctuations in supply and demand. The value of the RINs is set through a market established by the RFS program, which market has historically been volatile. 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The current U.S. presidential administration, meanwhile, revisited and retroactively lowered the 2024 blending volumes, has proposed to revisit and lower the 2025 standards, has proposed low volumes for compliance years 2026 and 2027 and departed from the previous administration in granting small refinery exemptions from RFS program requirements. We do not yet know how these changes may impact the demand for renewable fuels and the value of RINs. In an effort to mitigate against such risk and stabilize our RNG portfolio, we are pursuing long-term sales transactions in the voluntary market. We continue to advocate for policies that could reduce the potential for volatility in the RINs market and ensure long-term stability for renewable transportation fuels, as changes in the RINs market or the structure of the RFS program can and has impacted the financial performance of our facilities. Such changes could impact or alter our projected future investments, and such investments may not yield the results anticipated. Revenue in our Renewable Energy segment attributable to yield increased $11 million and $26 million in 2025 and 2024, respectively, as compared to prior year periods, primarily driven by the fluctuations in energy and RIN market prices.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Washington, and New Mexico, establish annual carbon intensity benchmarks for transportation fuels that decrease over time. A similar program has been adopted in Canada under the Clean Fuel Regulations.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GHG emissions profiles. However, these state and voluntary programs may be altered, paused, or otherwise revoked by the applicable governmental authorities or as result of legal challenges.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Currency Rate Exposure — </w:t>
      </w:r>
      <w:r>
        <w:rPr>
          <w:rFonts w:ascii="Times New Roman" w:cs="Times New Roman" w:eastAsia="Times New Roman" w:hAnsi="Times New Roman"/>
          <w:sz w:val="18"/>
          <w:szCs w:val="18"/>
          <w:color w:val="auto"/>
        </w:rPr>
        <w:t>Our operations are primarily in the U.S. but we also have significant operations in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countries in Europe. Additionally, we have certain support functions in India. Where significant, we have quantified and described the impact of foreign currency translation on components of income, including operating revenues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364"/>
        </w:trPr>
        <w:tc>
          <w:tcPr>
            <w:tcW w:w="8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14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2024 and 2023</w:t>
            </w:r>
          </w:p>
        </w:tc>
        <w:tc>
          <w:tcPr>
            <w:tcW w:w="1240" w:type="dxa"/>
            <w:vAlign w:val="bottom"/>
            <w:gridSpan w:val="4"/>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2025, 2024 and 2023</w:t>
            </w:r>
          </w:p>
        </w:tc>
        <w:tc>
          <w:tcPr>
            <w:tcW w:w="32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8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2025, 2024 and 2023</w:t>
            </w:r>
          </w:p>
        </w:tc>
        <w:tc>
          <w:tcPr>
            <w:tcW w:w="700" w:type="dxa"/>
            <w:vAlign w:val="bottom"/>
            <w:gridSpan w:val="2"/>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8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We have audited Waste Management, Inc.’s internal control over financial reporting as of December 31, 2025,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2025, based on the COSO criteria.</w:t>
      </w:r>
    </w:p>
    <w:p>
      <w:pPr>
        <w:spacing w:after="0" w:line="91"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9, 2026 expressed an unqualified opinion thereon.</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ind w:left="60" w:right="59"/>
        <w:spacing w:after="0" w:line="23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2" w:lineRule="exact"/>
        <w:rPr>
          <w:sz w:val="20"/>
          <w:szCs w:val="20"/>
          <w:color w:val="auto"/>
        </w:rPr>
      </w:pPr>
    </w:p>
    <w:p>
      <w:pPr>
        <w:jc w:val="both"/>
        <w:ind w:left="60" w:right="59"/>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6" w:lineRule="exact"/>
        <w:rPr>
          <w:sz w:val="20"/>
          <w:szCs w:val="20"/>
          <w:color w:val="auto"/>
        </w:rPr>
      </w:pPr>
    </w:p>
    <w:p>
      <w:pPr>
        <w:jc w:val="both"/>
        <w:ind w:left="60" w:right="59"/>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0"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Waste Management, Inc. (the Company) as of December 31, 2025 and 2024, the related consolidated statements of operations, comprehensive income, cash flows and changes in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9, 2026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Depletion Expense</w:t>
            </w: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2025, the Company’s landfill assets, net of accumulated depletion,</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totaled $8.2 billion and the associated depletion expense for 2025 was $898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discussed in Note 2 of the consolidated financial statements, the Company updates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estimates used to calculate individual landfill depletion rates at least annually, or more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often if significant facts change. Landfill depletion rates are used in the computation of</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landfill depletion expense.</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landfill depletion rates and related depletion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costs associated with the construction and retirement of the landfill, estimated remaining</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permitted and expansion airspace, and airspace utilization factors.</w:t>
            </w:r>
          </w:p>
        </w:tc>
      </w:tr>
      <w:tr>
        <w:trPr>
          <w:trHeight w:val="412"/>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We  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 the Company’s controls over determining landfill depletion rates and calculating</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depletion expense. Our audit procedures included, among others, testing controls over: the</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Company’s process for evaluating and updating the significant assumptions used in the</w:t>
            </w:r>
          </w:p>
        </w:tc>
      </w:tr>
    </w:tbl>
    <w:p>
      <w:pPr>
        <w:jc w:val="both"/>
        <w:ind w:left="1960" w:right="499"/>
        <w:spacing w:after="0" w:line="255" w:lineRule="auto"/>
        <w:rPr>
          <w:sz w:val="20"/>
          <w:szCs w:val="20"/>
          <w:color w:val="auto"/>
        </w:rPr>
      </w:pPr>
      <w:r>
        <w:rPr>
          <w:rFonts w:ascii="Times New Roman" w:cs="Times New Roman" w:eastAsia="Times New Roman" w:hAnsi="Times New Roman"/>
          <w:sz w:val="18"/>
          <w:szCs w:val="18"/>
          <w:color w:val="24282D"/>
        </w:rPr>
        <w:t>development of the landfill depletion rates, management’s review of those significant assumptions, and the mathematical accuracy of the calculation and recording of depletion expense.</w:t>
      </w:r>
    </w:p>
    <w:p>
      <w:pPr>
        <w:spacing w:after="0" w:line="186" w:lineRule="exact"/>
        <w:rPr>
          <w:sz w:val="20"/>
          <w:szCs w:val="20"/>
          <w:color w:val="auto"/>
        </w:rPr>
      </w:pPr>
    </w:p>
    <w:p>
      <w:pPr>
        <w:jc w:val="both"/>
        <w:ind w:left="1960" w:right="499"/>
        <w:spacing w:after="0" w:line="253" w:lineRule="auto"/>
        <w:rPr>
          <w:sz w:val="20"/>
          <w:szCs w:val="20"/>
          <w:color w:val="auto"/>
        </w:rPr>
      </w:pPr>
      <w:r>
        <w:rPr>
          <w:rFonts w:ascii="Times New Roman" w:cs="Times New Roman" w:eastAsia="Times New Roman" w:hAnsi="Times New Roman"/>
          <w:sz w:val="18"/>
          <w:szCs w:val="18"/>
          <w:color w:val="24282D"/>
        </w:rPr>
        <w:t>To test the landfill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comparably sized landfills accepting a similar type of waste. Regarding expansion airspace, we evaluated the Company’s criteria for inclusion of unpermitted expansions in remaining airspace and the application of that criteria to relevant facts.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4" w:name="page75"/>
    <w:bookmarkEnd w:id="74"/>
    <w:tbl>
      <w:tblPr>
        <w:tblLayout w:type="fixed"/>
        <w:tblInd w:w="60" w:type="dxa"/>
        <w:tblCellMar>
          <w:top w:w="0" w:type="dxa"/>
          <w:left w:w="0" w:type="dxa"/>
          <w:bottom w:w="0" w:type="dxa"/>
          <w:right w:w="0" w:type="dxa"/>
        </w:tblCellMar>
      </w:tblPr>
      <w:tr>
        <w:trPr>
          <w:trHeight w:val="207"/>
        </w:trPr>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6660" w:type="dxa"/>
            <w:vAlign w:val="bottom"/>
          </w:tcPr>
          <w:p>
            <w:pPr>
              <w:spacing w:after="0"/>
              <w:rPr>
                <w:sz w:val="17"/>
                <w:szCs w:val="17"/>
                <w:color w:val="auto"/>
              </w:rPr>
            </w:pPr>
          </w:p>
        </w:tc>
      </w:tr>
      <w:tr>
        <w:trPr>
          <w:trHeight w:val="790"/>
        </w:trPr>
        <w:tc>
          <w:tcPr>
            <w:tcW w:w="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 Final Capping, Closure and Post-Closure Costs</w:t>
            </w:r>
          </w:p>
        </w:tc>
      </w:tr>
      <w:tr>
        <w:trPr>
          <w:trHeight w:val="344"/>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w w:val="98"/>
              </w:rPr>
              <w:t>Description</w:t>
            </w:r>
          </w:p>
        </w:tc>
        <w:tc>
          <w:tcPr>
            <w:tcW w:w="10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2025, the Company’s landfill asset retirement obligations related to final</w:t>
            </w:r>
          </w:p>
        </w:tc>
      </w:tr>
      <w:tr>
        <w:trPr>
          <w:trHeight w:val="218"/>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capping, closure and post-closure costs totaled $3.3 billion. As discussed in Note 2 of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consolidated financial statements, the Company updates the estimates used to measure the</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asset retirement obligations annually, or more often if significant facts change.</w:t>
            </w:r>
          </w:p>
        </w:tc>
      </w:tr>
      <w:tr>
        <w:trPr>
          <w:trHeight w:val="414"/>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the landfill asset retirement obligation is complex due to the highly judgmental</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nature of the assumptions used in the measurement process. Significant assumptions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include: estimated future costs associated with the capping, closure and post-closure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activities at each landfill, airspace consumed to date in relation to total estimated permitted</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and expansion airspace and the projected remaining landfill life.</w:t>
            </w:r>
          </w:p>
        </w:tc>
      </w:tr>
      <w:tr>
        <w:trPr>
          <w:trHeight w:val="425"/>
        </w:trPr>
        <w:tc>
          <w:tcPr>
            <w:tcW w:w="4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We</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5"/>
              </w:rPr>
              <w:t>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w:t>
            </w:r>
          </w:p>
        </w:tc>
      </w:tr>
      <w:tr>
        <w:trPr>
          <w:trHeight w:val="216"/>
        </w:trPr>
        <w:tc>
          <w:tcPr>
            <w:tcW w:w="4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Company’s controls over the calculation of landfill asset retirement obligations. Our</w:t>
            </w:r>
          </w:p>
        </w:tc>
      </w:tr>
      <w:tr>
        <w:trPr>
          <w:trHeight w:val="218"/>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procedures included, among others, testing the Company’s controls over the landfill</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 estimation process and management’s review of the significant</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assumptions used in the estimation of the liability, including the amount and timing of</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 costs.</w:t>
            </w:r>
          </w:p>
        </w:tc>
      </w:tr>
      <w:tr>
        <w:trPr>
          <w:trHeight w:val="414"/>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test the landfill asset retirement obligation, we performed audit procedures that</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included, among others, assessing methodologies used by the Company, testing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completeness of activities included in the estimate (e.g., gas monitoring and extraction),</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testing the significant assumptions discussed above, inclusive of the underlying data</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used by the Company in its development of these assumptions. We compared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significant assumptions used by management to historical trends and, when available, to</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comparably sized landfills accepting the same type of waste. In addition, we considered</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professional  qualifications  and  objectivity  of  management’s  internal  engineers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responsible for developing the assumptions. We involved EY engineering specialists to</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 us in evaluating the reasons for significant changes in assumptions from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historical trend and determining whether the change from the historical trend was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appropriate and identified timely. We also tested the completeness and accuracy of the</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historical data utilized in preparing the estimate.</w:t>
            </w:r>
          </w:p>
        </w:tc>
      </w:tr>
      <w:tr>
        <w:trPr>
          <w:trHeight w:val="432"/>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 Healthcare Solutions Segment</w:t>
            </w:r>
          </w:p>
        </w:tc>
      </w:tr>
      <w:tr>
        <w:trPr>
          <w:trHeight w:val="398"/>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w w:val="98"/>
              </w:rPr>
              <w:t>Description</w:t>
            </w:r>
          </w:p>
        </w:tc>
        <w:tc>
          <w:tcPr>
            <w:tcW w:w="10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2025, the Company’s goodwill related to the Healthcare Solutions</w:t>
            </w:r>
          </w:p>
        </w:tc>
      </w:tr>
      <w:tr>
        <w:trPr>
          <w:trHeight w:val="218"/>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segment totaled $3.8 billion. As discussed in Note 2 and Note 5 of the consolidated</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financial statements, goodwill is tested for impairment at least annually on October 1 at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reporting unit level, or more frequently if impairment indicators arise. The assessment of</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goodwill for impairment requires a comparison of the fair value of the reporting unit to its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carrying amount, including goodwill. If the fair value of a reporting unit is less than its</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carrying amount, an impairment loss would be recognized.</w:t>
            </w:r>
          </w:p>
        </w:tc>
      </w:tr>
      <w:tr>
        <w:trPr>
          <w:trHeight w:val="414"/>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the Company’s annual goodwill impairment test for one Healthcare Solutions</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reporting unit was complex due to the significant estimation uncertainty in determining the</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fair value of the reporting unit. The significant estimation uncertainty was primarily due to</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the sensitivity of the fair value to underlying assumptions used in the income approach,</w:t>
            </w: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including EBITDA margin and discount rate. These significant assumptions could be</w:t>
            </w:r>
          </w:p>
        </w:tc>
      </w:t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impacted by future economic and market conditions.</w:t>
            </w:r>
          </w:p>
        </w:tc>
      </w:tr>
      <w:tr>
        <w:trPr>
          <w:trHeight w:val="412"/>
        </w:trPr>
        <w:tc>
          <w:tcPr>
            <w:tcW w:w="4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We</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5"/>
              </w:rPr>
              <w:t>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4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of the Company’s controls over the goodwill impairment process. We tested management’s</w:t>
            </w:r>
          </w:p>
        </w:tc>
      </w:tr>
      <w:tr>
        <w:trPr>
          <w:trHeight w:val="236"/>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review controls over the significant assumptions described above.</w:t>
            </w:r>
          </w:p>
        </w:tc>
      </w:tr>
    </w:tbl>
    <w:p>
      <w:pPr>
        <w:spacing w:after="0" w:line="200" w:lineRule="exact"/>
        <w:rPr>
          <w:sz w:val="20"/>
          <w:szCs w:val="20"/>
          <w:color w:val="auto"/>
        </w:rPr>
      </w:pPr>
    </w:p>
    <w:p>
      <w:pPr>
        <w:sectPr>
          <w:pgSz w:w="11900" w:h="16838" w:orient="portrait"/>
          <w:cols w:equalWidth="0" w:num="1">
            <w:col w:w="9019"/>
          </w:cols>
          <w:pgMar w:left="1440" w:top="594"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960" w:right="499"/>
        <w:spacing w:after="0" w:line="253" w:lineRule="auto"/>
        <w:rPr>
          <w:sz w:val="20"/>
          <w:szCs w:val="20"/>
          <w:color w:val="auto"/>
        </w:rPr>
      </w:pPr>
      <w:r>
        <w:rPr>
          <w:rFonts w:ascii="Times New Roman" w:cs="Times New Roman" w:eastAsia="Times New Roman" w:hAnsi="Times New Roman"/>
          <w:sz w:val="18"/>
          <w:szCs w:val="18"/>
          <w:color w:val="24282D"/>
        </w:rPr>
        <w:t>To test the estimated fair value of the Healthcare Solutions reporting unit, our audit procedures included, among others, evaluating the Company's selection of the valuation methodology, evaluating the significant assumptions described above used to develop the prospective financial information and testing the completeness and accuracy of the underlying data supporting the significant assumptions. We involved our valuation specialists to assist with evaluating the methodology and significant assumptions used by management to determine the fair value estimate. We compared the significant assumptions used by the Company to relevant industry reports, historical operating results and other guideline companies within the same industry. We also performed sensitivity analyses of the significant assumptions to evaluate the changes in the fair value of the reporting unit that would result from changes in the assumptions.</w:t>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00" w:type="dxa"/>
            <w:vAlign w:val="bottom"/>
            <w:vMerge w:val="restart"/>
          </w:tcPr>
          <w:p>
            <w:pPr>
              <w:ind w:left="69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7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$87 and $165, respectively</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 net of allowance for doubtful accounts of $3 and $4, respectively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Parts and supplies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depletion of $25,096 and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$23,777, respectively</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1,500,000,000 shares authorized; 630,282,461 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227,340,757 and 228,788,284 shares, respectively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6.72</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6.81</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7220" w:type="dxa"/>
            <w:vAlign w:val="bottom"/>
            <w:gridSpan w:val="10"/>
          </w:tcPr>
          <w:p>
            <w:pPr>
              <w:ind w:left="17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4"/>
                <w:szCs w:val="24"/>
                <w:color w:val="auto"/>
              </w:rPr>
            </w:pPr>
          </w:p>
        </w:tc>
        <w:tc>
          <w:tcPr>
            <w:tcW w:w="3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20" w:type="dxa"/>
            <w:vAlign w:val="bottom"/>
            <w:gridSpan w:val="2"/>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3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320" w:type="dxa"/>
            <w:vAlign w:val="bottom"/>
          </w:tcPr>
          <w:p>
            <w:pPr>
              <w:spacing w:after="0"/>
              <w:rPr>
                <w:sz w:val="18"/>
                <w:szCs w:val="18"/>
                <w:color w:val="auto"/>
              </w:rPr>
            </w:pP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net (income) loss of unconsolidated entities, net of dividends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equivalents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4"/>
                <w:szCs w:val="14"/>
                <w:b w:val="1"/>
                <w:bCs w:val="1"/>
                <w:color w:val="auto"/>
              </w:rPr>
              <w:t>Waste Management, Inc. Stockholders’ Equity</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3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Amounts</w:t>
            </w:r>
          </w:p>
        </w:tc>
        <w:tc>
          <w:tcPr>
            <w:tcW w:w="1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 Income</w:t>
            </w: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Amounts</w:t>
            </w:r>
          </w:p>
        </w:tc>
        <w:tc>
          <w:tcPr>
            <w:tcW w:w="4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1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6,864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13,167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(222,396)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(11,569)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(1,136)</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(1,136)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$2.80 per common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(1,315)</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(7,840)</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(1,255)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program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(12,751)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Adoption of new accounting</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standard</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(1,210)</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$3.00 per common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repurchase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(265)</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(1,494)</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(325)</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program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15,858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(loss), net of tax</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(1,334)</w:t>
            </w:r>
          </w:p>
        </w:tc>
        <w:tc>
          <w:tcPr>
            <w:tcW w:w="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(1,334)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$3.30 per common share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2025</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(227,341)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(12,914)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3" w:lineRule="exact"/>
        <w:rPr>
          <w:sz w:val="20"/>
          <w:szCs w:val="20"/>
          <w:color w:val="auto"/>
        </w:rPr>
      </w:pPr>
    </w:p>
    <w:p>
      <w:pPr>
        <w:ind w:left="360" w:hanging="310"/>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Waste Management Renewable Energy (“Renewable Energy”) segment, we are also a leading developer, operator and owner of landfill gas-to-energy facilities in the U.S. and Canada that produce renewable electricity and renewable natural gas (“RNG”), which is a significant source of fuel that we allocate to our natural gas fleet. Following our 2024 acquisition of Stericycle, Inc. (“Stericycle”), our Healthcare Solutions segment provides regulated waste and compliance services (“RWCS”) and secure information destruction (“SID”)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19 for further discussion.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71" w:lineRule="exact"/>
        <w:rPr>
          <w:sz w:val="20"/>
          <w:szCs w:val="20"/>
          <w:color w:val="auto"/>
        </w:rPr>
      </w:pPr>
    </w:p>
    <w:p>
      <w:pPr>
        <w:ind w:left="360" w:hanging="310"/>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WMI, its wholly-owned and majority-owned subsidiaries and certain variable interest entities for which we have determined that we are the primary beneficiary. In the opinion of management, these Consolidated Financial Statements include all adjustments, which, unless otherwise disclosed, are of a normal recurring nature, necessary for a fair presentation of the financial position, results of operations, comprehensive income, cash flows, and changes in equity for the periods presented. All material intercompany balances and transactions have been eliminated. Investments in unconsolidated entities are accounted for under the appropriate method of accounting.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2025 and 2024, no single customer represented greater than 5% of total accounts receivable.</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and Other Receivables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as well as existing and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of trade receivables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3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written-off, net of recoveries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net</w:t>
            </w:r>
          </w:p>
        </w:tc>
        <w:tc>
          <w:tcPr>
            <w:tcW w:w="2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 determine the allowance for doubtful accounts for trade receivables, we rely upon, among other factors, historical payment and loss trends, the age of outstanding receivables, as well as existing and expected economic conditions. We believe that trade receivables across our Collection and Disposal, Recycling Processing and Sales, and Renewable Energy segments share similar risk characteristics. We monitor our credit exposure on an ongoing basis and assess whether trade receivables continue to display similar risk characteristics.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Generally, the risk characteristics of Healthcare Solutions customers are similar to customers of our other business segments, though complexities within the customer engagement systems and processes of the acquired business have caused billing and collection delays. As of the acquisition date, the Company determined that these issues contributed to a portion of the acquired Stericycle receivables having a more-than-insignificant deterioration in credit quality since origination. As a result, a gross allowance for doubtful accounts of trade receivables was established with our opening balance sheet for the acquired business in the amount of $144 million. Over the course of 2025, $88 million of acquired and reserved trade account receivable balances related to the Stericycle acquisition was written off.</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Based on aging analysis as of December 31, 2025 and 2024, approximately 85% of our trade receivables were outstanding less than 60 days.</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To determine the allowance for doubtful accounts for other receivables, as well as loans and other instruments, we rely primarily on credit ratings and associated default rates based on the maturity of the instrument. Other receivables, as of December 31, 2025 and 2024, include receivables related to income tax payments in excess of our current income tax obligations of $482 million and $255 million, respectively. Other receivables as of December 31, 2025 and 2024 also include a receivable of $25 million and $46 million, respectively, related to alternative fuel tax credits. Based on an aging analysis as of December 31, 2025 and 2024, approximately 70% and 65%, respectively, of our other receivables were due within 12 months or less.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Parts and Supplies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Basis of Landfill Assets — </w:t>
      </w:r>
      <w:r>
        <w:rPr>
          <w:rFonts w:ascii="Times New Roman" w:cs="Times New Roman" w:eastAsia="Times New Roman" w:hAnsi="Times New Roman"/>
          <w:sz w:val="18"/>
          <w:szCs w:val="18"/>
          <w:color w:val="auto"/>
        </w:rPr>
        <w:t>We capitalize various costs that we incur to make a landfill ready to accept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Final Capping, Closure and Post-Closure Costs — </w:t>
      </w:r>
      <w:r>
        <w:rPr>
          <w:rFonts w:ascii="Times New Roman" w:cs="Times New Roman" w:eastAsia="Times New Roman" w:hAnsi="Times New Roman"/>
          <w:sz w:val="18"/>
          <w:szCs w:val="18"/>
          <w:color w:val="auto"/>
        </w:rPr>
        <w:t>Following is a description of our asset retirement activities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accounting:</w:t>
      </w:r>
    </w:p>
    <w:p>
      <w:pPr>
        <w:spacing w:after="0" w:line="158" w:lineRule="exact"/>
        <w:rPr>
          <w:sz w:val="20"/>
          <w:szCs w:val="20"/>
          <w:color w:val="auto"/>
        </w:rPr>
      </w:pPr>
    </w:p>
    <w:p>
      <w:pPr>
        <w:jc w:val="both"/>
        <w:ind w:left="720" w:right="79" w:hanging="319"/>
        <w:spacing w:after="0" w:line="257"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Capping — </w:t>
      </w:r>
      <w:r>
        <w:rPr>
          <w:rFonts w:ascii="Times New Roman" w:cs="Times New Roman" w:eastAsia="Times New Roman" w:hAnsi="Times New Roman"/>
          <w:sz w:val="18"/>
          <w:szCs w:val="18"/>
          <w:color w:val="auto"/>
        </w:rPr>
        <w:t>Generally involves the installation of flexible membrane liners and geosynthetic clay liners,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Closure — </w:t>
      </w:r>
      <w:r>
        <w:rPr>
          <w:rFonts w:ascii="Times New Roman" w:cs="Times New Roman" w:eastAsia="Times New Roman" w:hAnsi="Times New Roman"/>
          <w:sz w:val="18"/>
          <w:szCs w:val="18"/>
          <w:color w:val="auto"/>
        </w:rPr>
        <w:t>Includes the construction of the final portion of methane gas collection systems (when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demobilization and routine maintenance costs. These are costs incurred after the site ceases to accept waste, but before the landfill is certified as closed by the applicable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Post-Closure — </w:t>
      </w:r>
      <w:r>
        <w:rPr>
          <w:rFonts w:ascii="Times New Roman" w:cs="Times New Roman" w:eastAsia="Times New Roman" w:hAnsi="Times New Roman"/>
          <w:sz w:val="18"/>
          <w:szCs w:val="18"/>
          <w:color w:val="auto"/>
        </w:rPr>
        <w:t>Involves the maintenance and monitoring of a landfill site that has been certified closed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develop our estimates of these obligations using input from our operations personnel, engineers and accountants. Our estimates are based on our interpretation of current requirements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we have determined final capping, closure and post-closure costs, we inflate those costs to the expected time of payment and discount those expected future costs back to present value. As of December 31, 2025, 2024 and 2023, we inflated these costs in current dollars to the expected time of payment using an inflation rate of 2.50%, for each year.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2025 was approximately 4.9%.</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 consumed landfill result in an adjustment to the recorded liability and landfill assets with an immediate corresponding adjustment to landfill airspace depletion expense.</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7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Assets — </w:t>
      </w:r>
      <w:r>
        <w:rPr>
          <w:rFonts w:ascii="Times New Roman" w:cs="Times New Roman" w:eastAsia="Times New Roman" w:hAnsi="Times New Roman"/>
          <w:sz w:val="18"/>
          <w:szCs w:val="18"/>
          <w:color w:val="auto"/>
        </w:rPr>
        <w:t>The depletable basis of a landfill includes (i) amounts previously expended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net of accumulated airspace depletion; (ii) capitalized landfill final capping, closure and post-closure costs, net of accumulated airspace depletion;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Depletion is recorded on a units-of-consumption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115" w:lineRule="exact"/>
        <w:rPr>
          <w:sz w:val="20"/>
          <w:szCs w:val="20"/>
          <w:color w:val="auto"/>
        </w:rPr>
      </w:pPr>
    </w:p>
    <w:p>
      <w:pPr>
        <w:jc w:val="both"/>
        <w:ind w:left="720" w:right="7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76"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1040" w:right="7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15 landfill sites with expansions included as of December 31, 2025, there were none that required approval by our Chief Financial Officer.</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Environmental Remediation Liabilities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developed using our internal resources, third-party environmental engineers or other service providers. Internally developed estimates are based on:</w:t>
      </w:r>
    </w:p>
    <w:p>
      <w:pPr>
        <w:spacing w:after="0" w:line="79"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$8 million higher than the $231 million recorded in the Consolidated Balance Sheet as of December 31, 2025.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record our obligations on an undiscounted basis unless we are aware of a material environmental liability where we believe that both the amount and timing of the payments are fixed or reliably determinable.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and Equipment (exclusive of landfills, discussed above)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useful lives for significant property and equipment categories are as follows (in years):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720" w:type="dxa"/>
            <w:vAlign w:val="bottom"/>
            <w:tcBorders>
              <w:bottom w:val="single" w:sz="8" w:color="CCEEFF"/>
            </w:tcBorders>
          </w:tcPr>
          <w:p>
            <w:pPr>
              <w:ind w:left="55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09"/>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 excluding rail haul cars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 rail haul cars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30</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30</w:t>
            </w: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40</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72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Includes recycling and RNG facilities and Healthcare Solutions autoclaves and incinerators as well as containers.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lease property and equipment in the ordinary course of our business. Our operating lease activities primarily consist of leases for real estate, landfills, fleet vehicles and operating equipment. Our financing lease activities primarily consist of leases for operating equipment, railcars and landfill assets. Our leases have varying terms. Some may include renewal or purchase options, escalation clauses, restrictions, penalties or other obligations that we consider in determining minimum lease payments. The leases are classified as either operating leases or financing leases, as appropriate.</w:t>
      </w:r>
    </w:p>
    <w:p>
      <w:pPr>
        <w:spacing w:after="0" w:line="18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Leases (excluding landfill leases discussed below) — </w:t>
      </w:r>
      <w:r>
        <w:rPr>
          <w:rFonts w:ascii="Times New Roman" w:cs="Times New Roman" w:eastAsia="Times New Roman" w:hAnsi="Times New Roman"/>
          <w:sz w:val="18"/>
          <w:szCs w:val="18"/>
          <w:color w:val="auto"/>
        </w:rPr>
        <w:t>The majority of our leases are operating leases.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(excluding landfill leases discussed below) — </w:t>
      </w:r>
      <w:r>
        <w:rPr>
          <w:rFonts w:ascii="Times New Roman" w:cs="Times New Roman" w:eastAsia="Times New Roman" w:hAnsi="Times New Roman"/>
          <w:sz w:val="18"/>
          <w:szCs w:val="18"/>
          <w:color w:val="auto"/>
        </w:rPr>
        <w:t>Assets under financing leases are capitalized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Leases — </w:t>
      </w:r>
      <w:r>
        <w:rPr>
          <w:rFonts w:ascii="Times New Roman" w:cs="Times New Roman" w:eastAsia="Times New Roman" w:hAnsi="Times New Roman"/>
          <w:sz w:val="18"/>
          <w:szCs w:val="18"/>
          <w:color w:val="auto"/>
        </w:rPr>
        <w:t>From an operating perspective, landfills that we lease are similar to landfills we own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operating and financing leases, including landfill leases, our rent expense for each of the last three years and future minimum lease payments are disclosed in Note 7.</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generally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 </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negotiated goals, such as targeted revenue levels, targeted disposal volumes or the issuance of permits for expanded landfill airspace. We have recognized liabilities for these contingent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obligations based on their estimated fair value as of the date of acquisition with any differences between the acquisition date fair value, subsequent remeasurements and the ultimate settlement of the obligations being recognized as an adjustment to income from operations. Refer to Note 11 for adjustments recognized during the reported periods.</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Acquired Assets and Assumed Liabilities — </w:t>
      </w:r>
      <w:r>
        <w:rPr>
          <w:rFonts w:ascii="Times New Roman" w:cs="Times New Roman" w:eastAsia="Times New Roman" w:hAnsi="Times New Roman"/>
          <w:sz w:val="18"/>
          <w:szCs w:val="18"/>
          <w:color w:val="auto"/>
        </w:rPr>
        <w:t>Assets and liabilities arising from contingencies such as pre-acquisition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matters and litigation are recognized at their acquisition-date fair value when their respective fair values can be determined. Acquired contingencies whose fair value is not determinable during the measurement period are recognized only if they are probable and reasonably estimable.</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generally expensed as incurred. See Note 17 for additional information related to our acquisitions.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Goodwill is the excess of our purchase cost over the fair value of the net assets of acquired businesses. As discussed in the </w:t>
      </w:r>
      <w:r>
        <w:rPr>
          <w:rFonts w:ascii="Times New Roman" w:cs="Times New Roman" w:eastAsia="Times New Roman" w:hAnsi="Times New Roman"/>
          <w:sz w:val="18"/>
          <w:szCs w:val="18"/>
          <w:i w:val="1"/>
          <w:iCs w:val="1"/>
          <w:color w:val="auto"/>
        </w:rPr>
        <w:t>Long-Lived Asset Impairments</w:t>
      </w:r>
      <w:r>
        <w:rPr>
          <w:rFonts w:ascii="Times New Roman" w:cs="Times New Roman" w:eastAsia="Times New Roman" w:hAnsi="Times New Roman"/>
          <w:sz w:val="18"/>
          <w:szCs w:val="18"/>
          <w:color w:val="auto"/>
        </w:rPr>
        <w:t xml:space="preserve"> section below, we assess our goodwill for impairment at least annually.</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consist primarily of customer and supplier relationships, covenants not-to-compete, licenses, permits (other than landfill permits, which are combined with landfill tangible assets and depleted per our landfill depletion policy), trade names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Definite-lived intangibles are amortized over their useful lives on a straight-line basis while indefinite-lived intangibles are not amortized.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Long-Lived Asset Impairments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w:t>
      </w:r>
      <w:r>
        <w:rPr>
          <w:rFonts w:ascii="Times New Roman" w:cs="Times New Roman" w:eastAsia="Times New Roman" w:hAnsi="Times New Roman"/>
          <w:sz w:val="18"/>
          <w:szCs w:val="18"/>
          <w:color w:val="auto"/>
        </w:rPr>
        <w:t>— 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Estimating future cash flows requires significant judgment and projections may vary from the cash flows eventually realized, which could impact our ability to accurately assess whether an asset has been impaired.</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9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our indefinite-lived intangible assets, including the goodwill of our reporting units, for impairment.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may perform either a qualitative or quantitative assessment; however, if a qualitative assessment is performed and we determine that the fair value of a reporting unit is more likely than not to be less than its carrying amount, a quantitative assessment is performed. The quantitative assessment compares the estimated fair value of a reporting unit to its carrying amount, including goodwill. An impairment charge is recognized if the reporting unit’s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part of our 2025 annual assessment, we performed a quantitative review for a reporting unit within our Healthcare Solutions segment due its sensitivity to changes in estimates of fair value, specifically changes driven by revenue growth, cost and discount rate assumptions, given the recent acquisition of the business. Based on our assessment no impairment was recorded for the year ended December 31, 2025. Refer to Note 11 for information related to impairments recognized during the reported periods.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Insured and Self-Insured Claims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For our self-insured portions, the exposure for unpaid claims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Restricted Funds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 deposits made to comply with contractual arrangements; (iii) the ongoing use of funds; (iv) acquisitions or divestitures and (v) changes in the fair value of the financial instruments held in the restricted funds accounts.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Notes 16 and 18 for additional discussion related to restricted funds accounts for final capping, closure, post-closure or environmental remediation obligations.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Investments in Unconsolidated Entities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result of adopting Accounting Standards Update (“ASU”) 2023-02 in 2024, our investments in entities established to invest in and manage low-income housing properties are accounted for using the proportional amortization method. Under the proportional amortization method, the equity investment is amortized in proportion to the income tax credits and other income tax benefits received. 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following table summarizes our investments in unconsolidated entities as of December 31 (in millions):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60" w:type="dxa"/>
            <w:vAlign w:val="bottom"/>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qualifying for proportional amortization method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without readily determinable fair values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11 for information related to impairments and other adjustments recognized during the reported periods.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At times we use derivative instruments to manage risk.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quarterly basis thereafter. Forecasted transactions are evaluated for the probability of occurrence.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required to recognize derivative instruments at fair value as either assets or liabilities on our Consolidated Balance Sheets unless such instruments meet certain normal purchase/normal sale criteria. For derivatives that qualify for hedge accounting, we designate them as cash flow hedges. The change in the fair value of a cash flow hedge is reported in accumulated other comprehensive income (loss) and is reclassified to earnings when the forecasted transaction affects earnings.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primarily in the U.S. but we also have significant operations in Canada and certain countries in Western Europe.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net of tax. Foreign currency translation adjustments have primarily been impacted by fluctuations in the U.S. dollar/Canadian dollar exchange rate and to a lesser extent, the U.S. dollar/Euro exchange rates and the U.S. dollar/British pound sterling exchange rate.</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U.S. dollar/Canadian dollar exchange rate was 1.3724 at December 31, 2025, 1.4384 at December 31, 2024 and 1.3243 at December 31, 2023. The U.S. dollar/Euro exchange rate was 0.8514 at December 31, 2025 and 0.9659 at December 31, 2024. The U.S. dollar/British pound sterling exchange rate was 0.7421 at December 31, 2025 and 0.7990 at December 31, 2024. Refer to Note 12 for information regarding the impacts of foreign currency on our comprehensive income and results of operations.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 We also bill for certain services prior to performance. Such services include, among others, certain commercial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residential contracts, and equipment rentals. These advanced billings are included in deferred revenues and recognized as revenue in the period service is provided.</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Renewable Energy revenue is primarily generated from (i) the sale of captured and converted landfill methane gas; (ii) the sale of RINs under the Renewable Fuel Standard (“RFS”) program implemented by the U.S. Environmental Protection Agency (“EPA”); (iii) sale of Low Carbon Fuel credits designed to stimulate the use of low-carbon fuels and (iv) the sale of energy (electricity and capacity) and associated RECs.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Healthcare Solutions revenue is primarily generated from (i) RWCS, which provide collection, processing and disposal of regulated and specialized waste, including medical, pharmaceutical and hazardous waste, and compliance programs and (ii) SID services, which provide for the collection of personal and confidential information for secure destruction and recycling of sorted office paper. The customers typically enter into a contract for the provision of services on a weekly, monthly or as-needed basis over the contract term. We receive fees based on a monthly, quarterly or annual rate and/or fees based on contractual rates depending on measures including the volume, weight, and type of waste, as specified in applicable contracts.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19 for additional information related to revenue by reportable segment and major lines of business.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4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2024, we had $237 million and $218 million of deferred contract costs, respectively, of which $177 million and $154 million, respectively, were related to deferred sales incentives. During each of the years ended December 31, 2025, 2024 and 2023, we amortized $31 million, $28 million and $26 million, respectively, of sales incentives to selling, general and administrative expense.</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Approximately 30% of our total revenue is derived from contracts with a remaining term greater than one year. The consideration for these contracts is primarily variable in nature. The variable elements of these contracts primarily include the number of homes and businesses served, weight, number of containers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Environmental Credits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generate environmental credits through our production and sale of renewable energy. Our operating costs are associated with the production of renewable energy. The environmental credits are a form of government incentive generated through our renewable energy production and not as a result of the physical attributes of our production. The environmental credits are able to be separated and sold independent of the renewable energy produced. Thus, no cost is allocated to the environmental credit when it is generated.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capitalize interest on certain projects under development, including landfill expansion projects, certain assets under construction, including operating landfills and landfill gas-to-energy projects and internal-use software. During 2025, 2024 and 2023, total interest costs were $1.0 billion, $728 million and $590 million, respectively, of which $82 million, $84 million and $63 million were capitalized in 2025, 2024 and 2023, respectively.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U.S., Canada and within parts of Western Europe. Current tax obligations associated with our income tax expense are reflected in the accompanying Consolidated Balance Sheets as a component of accrued liabilities and our deferred tax obligations are reflected in deferred income taxes.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8 for discussion of our income taxes.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estimate the amount of potential exposure we may have with respect to claims, assessments and litigation in accordance with authoritative guidance on accounting for contingencies. We are party to pending or threatened legal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supplemental cash flow information for the year ended December 31 (in millions):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1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 of capitalized interest</w:t>
            </w:r>
          </w:p>
        </w:tc>
        <w:tc>
          <w:tcPr>
            <w:tcW w:w="1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State and Local</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Canada</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2025, 2024 and 2023, we had $238 million, $474 million and $276 million, respectively, of non-cash financing activities primarily from our low-income housing investments and new financing leases. These are discussed further in Notes 6 and 8. Additionally, we had approximately $41 million, $20 million and $25 million of non-cash investing activities related to non-cash consideration transferred as part of our acquisitions in 2025, 2024 and 2023, respectively. See Note 17 for further discussion of our acquisitions.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recognized $51 million of pre-tax restructuring charges, primarily related to employee costs associated with the integration of Stericycle as well as employee retention and severance costs incurred to support automation at our recycling facilities and in certain back-office functions.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 in 2025</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(“ASU 2023-09”) which improves the transparency of income tax disclosures by requiring specific categories in the income tax rate reconciliation and additional information for reconciling items that meet a quantitative threshold. Further, ASU 2023-09 requires certain disclosures on income taxes paid disaggregated by jurisdiction. ASU 2023-09 was effective for public entities for fiscal years beginning after December 15, 2024. The Company adopted ASU 2023-09 for the year ended December 31, 2025 on a retrospective basis and accordingly, our income tax disclosures for years 2024 and 2023 have been retrospectively recast under this guidance. 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10"/>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Liabilities for landfill and environmental remediation costs as of December 31 are presented in the table below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080" w:type="dxa"/>
            <w:vAlign w:val="bottom"/>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Remediation</w:t>
            </w:r>
          </w:p>
        </w:tc>
        <w:tc>
          <w:tcPr>
            <w:tcW w:w="3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Remediation</w:t>
            </w: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2025 are reflected in the table below (in millions):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00" w:type="dxa"/>
            <w:vAlign w:val="bottom"/>
            <w:vMerge w:val="restart"/>
          </w:tcPr>
          <w:p>
            <w:pPr>
              <w:ind w:left="6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recorded liabilities as of December 31, 2025 include the impacts of inflating certain of these costs based on our expectations of the timing of cash settlement.</w:t>
      </w:r>
    </w:p>
    <w:p>
      <w:pPr>
        <w:spacing w:after="0" w:line="158" w:lineRule="exact"/>
        <w:rPr>
          <w:sz w:val="20"/>
          <w:szCs w:val="20"/>
          <w:color w:val="auto"/>
        </w:rPr>
      </w:pPr>
    </w:p>
    <w:p>
      <w:pPr>
        <w:ind w:left="360" w:hanging="310"/>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December 31 consisted of the following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84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54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 (a)</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1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9"/>
        </w:trPr>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43,117</w:t>
            </w:r>
          </w:p>
        </w:tc>
      </w:tr>
      <w:tr>
        <w:trPr>
          <w:trHeight w:val="216"/>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of tangible property and equipment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r>
      <w:tr>
        <w:trPr>
          <w:trHeight w:val="216"/>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depletion of landfill airspace</w:t>
            </w: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w:t>
            </w:r>
          </w:p>
        </w:tc>
      </w:tr>
      <w:tr>
        <w:trPr>
          <w:trHeight w:val="210"/>
        </w:trPr>
        <w:tc>
          <w:tcPr>
            <w:tcW w:w="6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 (b)</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includes (i) $1.7 billion related to recycling facilities; (ii) $1.2 billion and $834 million, respectively, related to RNG facilities and (iii) $340 million and $419 million, respectively, related to autoclaves, incinerators, and other equipment of Healthcare Solutions.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79" w:hanging="330"/>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$2.7 billion and $3.4 billion of construction in progress as of December 31, 2025 and 2024, respectively.</w:t>
      </w:r>
    </w:p>
    <w:p>
      <w:pPr>
        <w:spacing w:after="0" w:line="134"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information regarding asset impairments.</w:t>
      </w:r>
    </w:p>
    <w:p>
      <w:pPr>
        <w:spacing w:after="0" w:line="18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depletion expense, including for assets recorded as financing leases, consisted of the following for the year ended December 31 (in millions):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58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09"/>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depletion expense</w:t>
            </w: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0"/>
        </w:trPr>
        <w:tc>
          <w:tcPr>
            <w:tcW w:w="4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 for information regarding amortization of our intangible assets.</w:t>
      </w:r>
    </w:p>
    <w:p>
      <w:pPr>
        <w:spacing w:after="0" w:line="194" w:lineRule="exact"/>
        <w:rPr>
          <w:sz w:val="20"/>
          <w:szCs w:val="20"/>
          <w:color w:val="auto"/>
        </w:rPr>
      </w:pPr>
    </w:p>
    <w:p>
      <w:pPr>
        <w:ind w:left="360" w:hanging="310"/>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Goodwill was $13.9 billion and $13.4 billion as of December 31, 2025 and 2024, respectively. As discussed in Note 2, we perform our annual impairment test of goodwill balances for our reporting units using a measurement date of October 1. We will also perform interim tests if an impairment indicator exists. The $442 million increase in goodwill during 2025 is primarily related to our solid waste and recycling acquisitions. This increase was offset by a $16 million goodwill impairment charge to a business engaged in oil recovery and sludge processing services. This charge is reflected in Other Ancillary within our Collection and Disposal businesses. There were no impairments of goodwill or other intangible assets for the year ended December 31, 2024. See Notes 11 and 17 for additional information.</w:t>
      </w:r>
    </w:p>
    <w:p>
      <w:pPr>
        <w:spacing w:after="0" w:line="14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Goodwill is included within each segment’s total assets. For segment reporting purposes, our recycling facilities and recycling brokerage services are included within our Recycling Processing and Sales segment. In 2025, we finalized the determination of our reporting units related to the Stericycle acquisition and allocated the goodwill balance to two reporting units within our Healthcare Solutions segment using a relative fair value allocation method. The following table presents changes in goodwill during the reported periods (in millions):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7"/>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Collection and Disposal</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Recycling</w:t>
            </w:r>
          </w:p>
        </w:tc>
        <w:tc>
          <w:tcPr>
            <w:tcW w:w="100" w:type="dxa"/>
            <w:vAlign w:val="bottom"/>
          </w:tcPr>
          <w:p>
            <w:pPr>
              <w:spacing w:after="0"/>
              <w:rPr>
                <w:sz w:val="13"/>
                <w:szCs w:val="13"/>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Borders>
              <w:bottom w:val="single" w:sz="8" w:color="auto"/>
            </w:tcBorders>
            <w:gridSpan w:val="7"/>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​​​East Tier</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​​​West Tier</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​​​Other Ancillary</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​​​and Sales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Solutions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$ 5,094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$ 5,615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$ 3,792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$ 5,894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Healthcare Solutions segment, this amount includes a $131 million purchase price allocation adjustment. See Note 17 for additional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other intangible assets consisted of the following as of December 31 (in millions):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Trade names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Licenses,</w:t>
            </w:r>
          </w:p>
        </w:tc>
        <w:tc>
          <w:tcPr>
            <w:tcW w:w="30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5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and Supplier</w:t>
            </w:r>
          </w:p>
        </w:tc>
        <w:tc>
          <w:tcPr>
            <w:tcW w:w="3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Not-to-</w:t>
            </w:r>
          </w:p>
        </w:tc>
        <w:tc>
          <w:tcPr>
            <w:tcW w:w="3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Permits</w:t>
            </w:r>
          </w:p>
        </w:tc>
        <w:tc>
          <w:tcPr>
            <w:tcW w:w="30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20" w:type="dxa"/>
            <w:vAlign w:val="bottom"/>
            <w:gridSpan w:val="2"/>
            <w:vMerge w:val="continue"/>
          </w:tcPr>
          <w:p>
            <w:pPr>
              <w:spacing w:after="0"/>
              <w:rPr>
                <w:sz w:val="15"/>
                <w:szCs w:val="15"/>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Compete</w:t>
            </w:r>
          </w:p>
        </w:tc>
        <w:tc>
          <w:tcPr>
            <w:tcW w:w="320" w:type="dxa"/>
            <w:vAlign w:val="bottom"/>
            <w:gridSpan w:val="2"/>
            <w:vMerge w:val="continue"/>
          </w:tcPr>
          <w:p>
            <w:pPr>
              <w:spacing w:after="0"/>
              <w:rPr>
                <w:sz w:val="15"/>
                <w:szCs w:val="15"/>
                <w:color w:val="auto"/>
              </w:rPr>
            </w:pP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tcPr>
          <w:p>
            <w:pPr>
              <w:spacing w:after="0"/>
              <w:rPr>
                <w:sz w:val="18"/>
                <w:szCs w:val="18"/>
                <w:color w:val="auto"/>
              </w:rPr>
            </w:pP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18"/>
                <w:szCs w:val="18"/>
                <w:color w:val="auto"/>
              </w:rPr>
            </w:pP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Amortization expense for other intangible assets was $421 million, $180 million and $129 million for 2025, 2024 and 2023, respectively. Additional information related to other intangible assets acquired through business combinations is included in Note 17. As of December 31, 2025 and 2024, we had $956 million and $970 million, respectively, of indefinite lived trade names, licenses, permits and other intangible assets that are not subject to amortization because they do not have stated expirations or have routine, administrative renewal processes. As of December 31, 2025, we expect annual amortization expense related to other intangible assets to be $383 million in 2026, $307 million in 2027, $271 million in 2028, $223 million in 2029 and $189 million in 2030. See Note 17 for additional information related to intangibles acquired from our acquisitions.</w:t>
      </w:r>
    </w:p>
    <w:p>
      <w:pPr>
        <w:spacing w:after="0" w:line="215" w:lineRule="exact"/>
        <w:rPr>
          <w:sz w:val="20"/>
          <w:szCs w:val="20"/>
          <w:color w:val="auto"/>
        </w:rPr>
      </w:pPr>
    </w:p>
    <w:p>
      <w:pPr>
        <w:ind w:left="360" w:hanging="310"/>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60" w:type="dxa"/>
            <w:vAlign w:val="bottom"/>
          </w:tcPr>
          <w:p>
            <w:pPr>
              <w:ind w:left="67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68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4.1% as of</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4.7% as of December 31, 2024)</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1.15% to 7.75% (weighted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 of 4.3% as of December 31, 2025 and 4.2% as of December 31,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2055, fixed and variable interest rates ranging from</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0.70% to 4.60% (weighted average interest rate of 3.4% as of December 31, 2025 and 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2075 (weighted average interest rate of 4.8%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 and 4.9% as of December 31, 2024)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6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we had approximately $3.7 billion of debt maturing within the next 12 months, including</w:t>
      </w:r>
    </w:p>
    <w:p>
      <w:pPr>
        <w:spacing w:after="0" w:line="27" w:lineRule="exact"/>
        <w:rPr>
          <w:sz w:val="20"/>
          <w:szCs w:val="20"/>
          <w:color w:val="auto"/>
        </w:rPr>
      </w:pPr>
    </w:p>
    <w:p>
      <w:pPr>
        <w:ind w:left="260" w:hanging="210"/>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billion of tax-exempt bonds with term interest rate periods that expire within the next 12 months, which is prior to</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their scheduled maturities; (ii) $1.1 billion of short-term borrowings under our commercial paper program (net of related discount on issuance); (iii) $223 million of 7.1% senior notes that mature in August 2026; (iv) $364 million of 2.6% Canadian senior notes that mature in September 2026 and (v) $200 million of other debt with scheduled maturities within the next 12 months. As of December 31,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$711 million of debt maturing in the next 12 months is classified as current obligations.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December 31, 2025, we had no outstanding borrowings under this facility. We had $1.1 billion of outstanding borrowings (net of related discount on issuance) under our commercial paper program and $227 million of letters of credit issued, both supported by the facility, leaving unused and available credit capacity of $2.2 billion as of December 31, 2025.</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Inc. (“WM Holdings”), a wholly-owned subsidiary of WMI, guarantees all the obligations under the $3.5 billion revolving credit facility.</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December 31, 2025, we had $1.1 billion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December 31, 2025, we had utilized $920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extending through December 2029.</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year ended December 31, 2025, we made cash repayments of $20.4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partially offset by $20.2 billion of cash borrowings (net of related discount on issuance).</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We repaid $422 million of 3.125% senior notes in March 2025 and $500 million of 0.75%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November 2025, in both cases with available cash at their scheduled maturities.</w:t>
      </w:r>
    </w:p>
    <w:p>
      <w:pPr>
        <w:spacing w:after="0" w:line="13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Exchange Offer </w:t>
      </w:r>
      <w:r>
        <w:rPr>
          <w:rFonts w:ascii="Times New Roman" w:cs="Times New Roman" w:eastAsia="Times New Roman" w:hAnsi="Times New Roman"/>
          <w:sz w:val="18"/>
          <w:szCs w:val="18"/>
          <w:color w:val="auto"/>
        </w:rPr>
        <w:t>— On June 25, 2025, we completed an exchange offer pursuant to which we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$483 million of new notes (the “Registered Notes”) registered under the Securities Act of 1933, as amended, in exchange for a like amount of our outstanding unregistered 3.875% Senior Notes due 2029 (the “Restricted Notes”).</w:t>
      </w:r>
    </w:p>
    <w:p>
      <w:pPr>
        <w:sectPr>
          <w:pgSz w:w="11900" w:h="16838" w:orient="portrait"/>
          <w:cols w:equalWidth="0" w:num="1">
            <w:col w:w="9019"/>
          </w:cols>
          <w:pgMar w:left="1440" w:top="60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amount represents approximately 99% of the $485 million aggregate principal amount of Restricted Notes that were originally issued on November 8, 2024, in a private offer in exchange for notes of Stericycle. The terms of the Registered Notes are substantially identical in all material respects to the terms of the Restricted Notes, except that the Registered Notes are not subject to restrictions on transfer. The debt exchange is accounted for as a modification of debt, as the financial terms of the Registered Notes do not differ from the Restricted Notes, and there is no substantial difference between the present value of cash flows under each respective set of notes.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Tax-Exempt Bonds — </w:t>
      </w:r>
      <w:r>
        <w:rPr>
          <w:rFonts w:ascii="Times New Roman" w:cs="Times New Roman" w:eastAsia="Times New Roman" w:hAnsi="Times New Roman"/>
          <w:sz w:val="18"/>
          <w:szCs w:val="18"/>
          <w:color w:val="auto"/>
        </w:rPr>
        <w:t>We issued $252 million of tax-exempt bonds in 2025. The proceeds from the issuance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were deposited directly into a restricted trust fund to be used for the specific purpose for which the money was raised, which is generally to finance expenditures for solid waste disposal and recycling facility construction and development. We also repaid $298 million of tax-exempt bonds in 2025 at their respective scheduled maturities with available cash on hand.</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 </w:t>
      </w:r>
      <w:r>
        <w:rPr>
          <w:rFonts w:ascii="Times New Roman" w:cs="Times New Roman" w:eastAsia="Times New Roman" w:hAnsi="Times New Roman"/>
          <w:sz w:val="18"/>
          <w:szCs w:val="18"/>
          <w:color w:val="auto"/>
        </w:rPr>
        <w:t>The increase in our financing leases and other debt obligations in 2025 is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$248 million, primarily related to non-cash financing leases, partially offset by $153 million of cash repayments of debt at maturity.</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Scheduled Debt Payments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Principal payments of our debt for the next five years and thereafter, based on scheduled maturities are as follows: $1.8 billion in 2026, $2.0 billion in 2027, $2.0 billion in 2028, $2.1 billion in 2029, $1.7 billion in 2030 and $13.5 billion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our commercial paper borrowings on a long-term basis. See Note 7 below for further discussion of our financing lease arrangements.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our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our $3.5 billion revolving credit facility, and the Leverage Ratio must return to 3.75 to 1 for at least one fiscal quarter between Elevated Leverage Ratio Periods. The Company has not elected to increase the Leverage Ratio for an Elevated Leverage Ratio Period during the term of our $3.5 billion revolving credit facility. The calculation of all components used in the Leverage Ratio covenant are as defined in the $3.5 billion revolving credit facility. As of December 31, 2025 and 2024, we were in compliance with our Leverage Ratio covenant.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2025 and 2024, we were in compliance with all covenants and restrictions under our financing arrangements, in addition to our Leverage Ratio covenant, that may have a material effect on our Consolidated Financial Statements.</w:t>
      </w:r>
    </w:p>
    <w:p>
      <w:pPr>
        <w:spacing w:after="0" w:line="200" w:lineRule="exact"/>
        <w:rPr>
          <w:sz w:val="20"/>
          <w:szCs w:val="20"/>
          <w:color w:val="auto"/>
        </w:rPr>
      </w:pPr>
    </w:p>
    <w:p>
      <w:pPr>
        <w:spacing w:after="0" w:line="201" w:lineRule="exact"/>
        <w:rPr>
          <w:sz w:val="20"/>
          <w:szCs w:val="20"/>
          <w:color w:val="auto"/>
        </w:rPr>
      </w:pPr>
    </w:p>
    <w:p>
      <w:pPr>
        <w:ind w:left="360" w:hanging="310"/>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operating lease activities primarily consist of leases for real estate, landfills (as discussed further in Note 2), fleet vehicles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information for our leases as of December 31 is as follows (in millions):</w:t>
      </w:r>
    </w:p>
    <w:p>
      <w:pPr>
        <w:sectPr>
          <w:pgSz w:w="11900" w:h="16838" w:orient="portrait"/>
          <w:cols w:equalWidth="0" w:num="1">
            <w:col w:w="9019"/>
          </w:cols>
          <w:pgMar w:left="1440" w:top="607" w:right="1440" w:bottom="1440" w:gutter="0" w:footer="0" w:header="0"/>
        </w:sectPr>
      </w:pPr>
    </w:p>
    <w:p>
      <w:pPr>
        <w:spacing w:after="0" w:line="31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Financing</w:t>
      </w:r>
    </w:p>
    <w:p>
      <w:pPr>
        <w:spacing w:after="0" w:line="20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50"/>
        </w:trPr>
        <w:tc>
          <w:tcPr>
            <w:tcW w:w="16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5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1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0"/>
        </w:trPr>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0"/>
        </w:trPr>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-590550</wp:posOffset>
            </wp:positionV>
            <wp:extent cx="564896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-170815</wp:posOffset>
            </wp:positionV>
            <wp:extent cx="56489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-882015</wp:posOffset>
            </wp:positionV>
            <wp:extent cx="564896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6659"/>
          </w:cols>
          <w:pgMar w:left="1440" w:top="607" w:right="1440" w:bottom="1440" w:gutter="0" w:footer="0" w:header="0"/>
          <w:type w:val="continuous"/>
        </w:sectPr>
      </w:pP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4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22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Operating lease expense was $427 million, $264 million and $189 million during 2025, 2024 and 2023, respectively, and is included in operating and selling, general and administrative expenses in our Consolidated Statements of Operations. Financing lease expense was $96 million, $73 million and $58 million during 2025, 2024 and 2023, respectively, and is included in depreciation, depletion and amortization expense and interest expense, net in our Consolidated Statements of Operations.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contractual obligations for our leases (undiscounted) as of December 31, 2025 are as follows (in millions):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ind w:left="47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74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lease liabilities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Cash paid during 2025 for our operating and financing leases was $214 million and $101 million, respectively. Cash paid during 2024 for our operating and financing leases was $103 million and $90 million, respectively. Increases in cash paid for operating leases was primarily driven by activity within our Healthcare Solutions segment. During 2025, right-of-use assets obtained in exchange for lease obligations for our operating and financing leases were $132 million and $184 million, respectively. During 2024, right-of-use assets obtained in exchange for lease obligations for our operating and financing leases were $74 million and $118 million, respectively.</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2025, the weighted average remaining lease terms of our operating and financing leases were approximately 12 years and 10 years, respectively. The weighted average discount rates used to determine the lease liabilities as of December 31, 2025 for our operating and financing leases were approximately 4.4% and 4.9%,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income tax expense consisted of the following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8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U.S. federal statutory income tax rate is reconciled to the effective income tax rate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as follows (in millions, except percentages):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54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54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5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8"/>
        </w:trPr>
        <w:tc>
          <w:tcPr>
            <w:tcW w:w="20" w:type="dxa"/>
            <w:vAlign w:val="bottom"/>
          </w:tcPr>
          <w:p>
            <w:pPr>
              <w:spacing w:after="0"/>
              <w:rPr>
                <w:sz w:val="17"/>
                <w:szCs w:val="17"/>
                <w:color w:val="auto"/>
              </w:rPr>
            </w:pPr>
          </w:p>
        </w:tc>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State and local income tax, net of federal income tax</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 (a)</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tax credits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Low income housing tax credits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tax credits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Proportional amortization method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jc w:val="both"/>
        <w:ind w:left="720" w:right="79" w:hanging="319"/>
        <w:spacing w:after="0" w:line="266"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2024 and 2023, the states that make up a majority of the effect of the state and local income tax category include California, Florida, Illinois, New Jersey, New York and Oregon. Additionally, Georgia is included in the year ended December 31, 2024.</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comparability of our income tax expense for the reported periods has been primarily affected by (i) federal tax credits; (ii) variations in our income before income taxes; (iii) impacts of adopting Accounting Standards Updates (“ASU”) 2023-02 and (iv) the tax implications of impairments.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before income taxes by source for the year ended December 31 was as follows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1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9"/>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0"/>
        </w:trPr>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 </w:t>
      </w:r>
      <w:r>
        <w:rPr>
          <w:rFonts w:ascii="Times New Roman" w:cs="Times New Roman" w:eastAsia="Times New Roman" w:hAnsi="Times New Roman"/>
          <w:sz w:val="18"/>
          <w:szCs w:val="18"/>
          <w:color w:val="auto"/>
        </w:rPr>
        <w:t>Through our Renewable Energy segment, we have invested in building landfill gas-to-energy facilities in the U.S. and Canada that produce renewable electricity and RNG. We expect our new RNG facilities to qualify for federal tax credits and to realize those credits through 2027 under Section 48 of the Internal Revenue Code. We completed construction of seven RNG facilities in 2025, five RNG facilities in 2024 and one RNG facility in 2023, resulting in a reduction to our income tax expense of $184 million, $137 million and $8 million, respectively.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 </w:t>
      </w:r>
      <w:r>
        <w:rPr>
          <w:rFonts w:ascii="Times New Roman" w:cs="Times New Roman" w:eastAsia="Times New Roman" w:hAnsi="Times New Roman"/>
          <w:sz w:val="18"/>
          <w:szCs w:val="18"/>
          <w:color w:val="auto"/>
        </w:rPr>
        <w:t>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2036 under Section 42 and Section 45D of the Internal Revenue Code.</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a result of adopting ASU 2023-02 in 2024, we amortize our investments in these entities using the proportional amortization method. 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Consolidated Statements of Operations. Prior to 2024, we accounted for our investments in these entities using the equity method of accounting, recognizing our share of each entity’s results of operations and other reductions in the value of our investments in equity in net income (loss) of unconsolidated entities, within our Consolidated Statements of Operations.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2025 and 2024, we recognized income tax expense of $96 million and $78 million, respectively, related to amortization under ASU 2023-02 and a reduction in our income tax expense of $137 million and $104 million, respectively, primarily due to federal tax credits realized from these investments. For the year ended December 31, 2023, we recognized net losses of $66 million and a reduction in our income tax expense of $108 million primarily due to federal tax credits realized from these investments as well as the tax benefits from the pre-tax losses realized. In addition, during the years ended December 31, 2025, 2024 and 2023, we recognized interest expense of $33 million, $24 million and $15 million, respectively, associated with our investments in low-income housing properties. See Notes 2 and 18 for additional information related to these unconsolidated variable interest entities.</w:t>
      </w:r>
    </w:p>
    <w:p>
      <w:pPr>
        <w:spacing w:after="0" w:line="19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Arial" w:cs="Arial" w:eastAsia="Arial" w:hAnsi="Arial"/>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years ended December 31, 2024 and 2023, we recognized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$14 million and $50 million, respectively, due to non-cash impairment charges that were not deductible for tax purposes in the year of impairment. The non-cash impairment charges recognized during 2025 were deductible for tax purposes. See Note 11 for more information related to our impairment charges.</w:t>
      </w:r>
    </w:p>
    <w:p>
      <w:pPr>
        <w:spacing w:after="0" w:line="17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Audits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December 31, 2025 and 2024, the IRS deposit, net of reserve for uncertain tax positions, was classified as a component of other long-term assets in the Company’s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under IRS audits for the 2024 and 2025 tax years and expect the audits to be completed within the next 15 months. We are also currently undergoing audits by the Canada Revenue Agency for the 2021 tax year and various state and local jurisdictions for tax years that date back to 2018.</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On July 4, 2025, President Trump signed the One Big Beautiful Bill Act into law.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business tax provisions in the legislation, none of which had a material impact on our effective tax rate. However, we had a beneficial impact to cash taxes related to bonus depreciation.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net deferred tax liabilities as of December 31 are as follows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80" w:type="dxa"/>
            <w:vAlign w:val="bottom"/>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6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capital loss and tax credit carry-forwards</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and other reserves, net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4"/>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These net deferred tax liabilities are included as a component of other long-term assets, accrued liabilities and deferred income taxes in our Consolidated Balance Sheets. As of December 31, 2025, we had $114 million of international net operating loss carry-forwards with expiration dates through 2034 and $2.2 billion of state net operating loss carry-forwards with expiration dates through 2045. We also had $46 million of foreign interest expense carry-forwards that do not expire, $40 million of foreign tax credit carry-forwards with expiration dates through 2033 and $5 million of state tax credit carry-forwards with expiration dates through 2038.</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including accrued interest, is as follows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ind w:left="6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These liabilities are included as a component of other long-term liabilities or as an offset to other long-term assets in our Consolidated Balance Sheets. As of December 31, 2025, we had $36 million of net unrecognized tax benefits that, if recognized in future periods, would impact our effective income tax rate.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Times New Roman" w:cs="Times New Roman" w:eastAsia="Times New Roman" w:hAnsi="Times New Roman"/>
          <w:sz w:val="18"/>
          <w:szCs w:val="18"/>
          <w:color w:val="auto"/>
        </w:rPr>
        <w:t>The Company sponsors a 401(k) retirement savings plan that covers employees,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In connection with our acquisition of Stericycle in November 2024, we acquired a domestic defined contribution plan with attributes similar to our existing Waste Management 401(k) retirement savings plan. In January 2026, the Stericycle 401(k) plan was merged into the Waste Management 401(k) retirement savings plan.</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Certain U.S. employees who are subject to collective bargaining agreements may participate in the 401(k) retirement savings plan under terms specified in their collective bargaining agreement. Certain employees outside the U.S., including those in Canada and across Europe, participate in defined contribution plans maintained by the Company in compliance with laws of the appropriate jurisdiction. Charges to operating and selling, general and administrative expenses for our defined contribution plans totaled $157 million, $125 million and $118 million for the years ended December 31, 2025, 2024 and 2023, respectively.</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Benefit Plans (other than multiemployer defined benefit pension plans discussed below) — </w:t>
      </w:r>
      <w:r>
        <w:rPr>
          <w:rFonts w:ascii="Times New Roman" w:cs="Times New Roman" w:eastAsia="Times New Roman" w:hAnsi="Times New Roman"/>
          <w:sz w:val="18"/>
          <w:szCs w:val="18"/>
          <w:color w:val="auto"/>
        </w:rPr>
        <w:t>WM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2025, the combined benefit obligation of these pension plans was $118 million supported by $123 million of combined plan assets, resulting in a net plan asset for these plans of $5 million. As of December 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2024, the combined benefit obligation of these pension plans was $115 million supported by $117 million of combined plan assets, resulting in a net plan asset for these plans of $2 million.</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$6 million and $7 million as of December 31, 2025 and 2024, respectively.</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assets and accrued benefit liabilities for our defined benefit pension and other post-retirement plans are included as components of other long-term assets, accrued liabilities and other long-term liabilities in our Consolidated Balance Sheets.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We are a participating employer in a number of trustee-managed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EIN/</w:t>
            </w:r>
          </w:p>
        </w:tc>
        <w:tc>
          <w:tcPr>
            <w:tcW w:w="140" w:type="dxa"/>
            <w:vAlign w:val="bottom"/>
          </w:tcPr>
          <w:p>
            <w:pPr>
              <w:spacing w:after="0"/>
              <w:rPr>
                <w:sz w:val="11"/>
                <w:szCs w:val="11"/>
                <w:color w:val="auto"/>
              </w:rPr>
            </w:pPr>
          </w:p>
        </w:tc>
        <w:tc>
          <w:tcPr>
            <w:tcW w:w="13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Pension Protection Act</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of Collective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Pension Plan</w:t>
            </w:r>
          </w:p>
        </w:tc>
        <w:tc>
          <w:tcPr>
            <w:tcW w:w="140" w:type="dxa"/>
            <w:vAlign w:val="bottom"/>
          </w:tcPr>
          <w:p>
            <w:pPr>
              <w:spacing w:after="0"/>
              <w:rPr>
                <w:sz w:val="11"/>
                <w:szCs w:val="11"/>
                <w:color w:val="auto"/>
              </w:rPr>
            </w:pPr>
          </w:p>
        </w:tc>
        <w:tc>
          <w:tcPr>
            <w:tcW w:w="13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Reported Status(a)</w:t>
            </w:r>
          </w:p>
        </w:tc>
        <w:tc>
          <w:tcPr>
            <w:tcW w:w="140" w:type="dxa"/>
            <w:vAlign w:val="bottom"/>
          </w:tcPr>
          <w:p>
            <w:pPr>
              <w:spacing w:after="0"/>
              <w:rPr>
                <w:sz w:val="11"/>
                <w:szCs w:val="11"/>
                <w:color w:val="auto"/>
              </w:rPr>
            </w:pPr>
          </w:p>
        </w:tc>
        <w:tc>
          <w:tcPr>
            <w:tcW w:w="9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FIP/RP</w:t>
            </w:r>
          </w:p>
        </w:tc>
        <w:tc>
          <w:tcPr>
            <w:tcW w:w="420" w:type="dxa"/>
            <w:vAlign w:val="bottom"/>
          </w:tcPr>
          <w:p>
            <w:pPr>
              <w:spacing w:after="0"/>
              <w:rPr>
                <w:sz w:val="11"/>
                <w:szCs w:val="11"/>
                <w:color w:val="auto"/>
              </w:rPr>
            </w:pPr>
          </w:p>
        </w:tc>
        <w:tc>
          <w:tcPr>
            <w:tcW w:w="900" w:type="dxa"/>
            <w:vAlign w:val="bottom"/>
            <w:gridSpan w:val="6"/>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Contributions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Bargaining</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Pension Fund</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Number</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2025</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2024</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​​​Status(b)(c)  ​​​</w:t>
            </w:r>
          </w:p>
        </w:tc>
        <w:tc>
          <w:tcPr>
            <w:tcW w:w="420" w:type="dxa"/>
            <w:vAlign w:val="bottom"/>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3"/>
                <w:szCs w:val="13"/>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Agreement(s)</w:t>
            </w:r>
          </w:p>
        </w:tc>
        <w:tc>
          <w:tcPr>
            <w:tcW w:w="0" w:type="dxa"/>
            <w:vAlign w:val="bottom"/>
          </w:tcPr>
          <w:p>
            <w:pPr>
              <w:spacing w:after="0"/>
              <w:rPr>
                <w:sz w:val="1"/>
                <w:szCs w:val="1"/>
                <w:color w:val="auto"/>
              </w:rPr>
            </w:pPr>
          </w:p>
        </w:tc>
      </w:tr>
      <w:tr>
        <w:trPr>
          <w:trHeight w:val="110"/>
        </w:trPr>
        <w:tc>
          <w:tcPr>
            <w:tcW w:w="2600" w:type="dxa"/>
            <w:vAlign w:val="bottom"/>
            <w:tcBorders>
              <w:top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Automotive Industries Pension Plan</w:t>
            </w: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EIN: 94-</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Implemented</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4</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2030</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1133245;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Declining</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w w:val="98"/>
              </w:rPr>
              <w:t>Midwest Operating Engineers Pension Trust Fund</w:t>
            </w:r>
          </w:p>
        </w:tc>
        <w:tc>
          <w:tcPr>
            <w:tcW w:w="120" w:type="dxa"/>
            <w:vAlign w:val="bottom"/>
          </w:tcPr>
          <w:p>
            <w:pPr>
              <w:spacing w:after="0"/>
              <w:rPr>
                <w:sz w:val="10"/>
                <w:szCs w:val="10"/>
                <w:color w:val="auto"/>
              </w:rPr>
            </w:pPr>
          </w:p>
        </w:tc>
        <w:tc>
          <w:tcPr>
            <w:tcW w:w="8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EIN: 36-</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tcPr>
          <w:p>
            <w:pPr>
              <w:spacing w:after="0"/>
              <w:rPr>
                <w:sz w:val="10"/>
                <w:szCs w:val="10"/>
                <w:color w:val="auto"/>
              </w:rPr>
            </w:pPr>
          </w:p>
        </w:tc>
        <w:tc>
          <w:tcPr>
            <w:tcW w:w="960" w:type="dxa"/>
            <w:vAlign w:val="bottom"/>
            <w:gridSpan w:val="3"/>
          </w:tcPr>
          <w:p>
            <w:pPr>
              <w:jc w:val="center"/>
              <w:ind w:right="200"/>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6140097;</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as of</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as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3/31/2025</w:t>
            </w:r>
          </w:p>
        </w:tc>
        <w:tc>
          <w:tcPr>
            <w:tcW w:w="7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3/31/2024</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Suburban Teamsters of Northern Illinois Pension</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EIN: 36-</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shd w:val="clear" w:color="auto" w:fill="CCEEFF"/>
          </w:tcPr>
          <w:p>
            <w:pPr>
              <w:spacing w:after="0"/>
              <w:rPr>
                <w:sz w:val="10"/>
                <w:szCs w:val="10"/>
                <w:color w:val="auto"/>
              </w:rPr>
            </w:pPr>
          </w:p>
        </w:tc>
        <w:tc>
          <w:tcPr>
            <w:tcW w:w="960" w:type="dxa"/>
            <w:vAlign w:val="bottom"/>
            <w:gridSpan w:val="3"/>
            <w:shd w:val="clear" w:color="auto" w:fill="CCEEFF"/>
          </w:tcPr>
          <w:p>
            <w:pPr>
              <w:jc w:val="center"/>
              <w:ind w:right="200"/>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35"/>
        </w:trPr>
        <w:tc>
          <w:tcPr>
            <w:tcW w:w="26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Plan (d)</w:t>
            </w:r>
          </w:p>
        </w:tc>
        <w:tc>
          <w:tcPr>
            <w:tcW w:w="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6155778;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2030</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 Pension Plan</w:t>
            </w:r>
          </w:p>
        </w:tc>
        <w:tc>
          <w:tcPr>
            <w:tcW w:w="120" w:type="dxa"/>
            <w:vAlign w:val="bottom"/>
          </w:tcPr>
          <w:p>
            <w:pPr>
              <w:spacing w:after="0"/>
              <w:rPr>
                <w:sz w:val="10"/>
                <w:szCs w:val="10"/>
                <w:color w:val="auto"/>
              </w:rPr>
            </w:pPr>
          </w:p>
        </w:tc>
        <w:tc>
          <w:tcPr>
            <w:tcW w:w="8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EIN: 91-</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140" w:type="dxa"/>
            <w:vAlign w:val="bottom"/>
          </w:tcPr>
          <w:p>
            <w:pPr>
              <w:spacing w:after="0"/>
              <w:rPr>
                <w:sz w:val="10"/>
                <w:szCs w:val="10"/>
                <w:color w:val="auto"/>
              </w:rPr>
            </w:pPr>
          </w:p>
        </w:tc>
        <w:tc>
          <w:tcPr>
            <w:tcW w:w="960" w:type="dxa"/>
            <w:vAlign w:val="bottom"/>
            <w:gridSpan w:val="3"/>
          </w:tcPr>
          <w:p>
            <w:pPr>
              <w:jc w:val="center"/>
              <w:ind w:right="180"/>
              <w:spacing w:after="0" w:line="117" w:lineRule="exact"/>
              <w:rPr>
                <w:sz w:val="20"/>
                <w:szCs w:val="20"/>
                <w:color w:val="auto"/>
              </w:rPr>
            </w:pPr>
            <w:r>
              <w:rPr>
                <w:rFonts w:ascii="Times New Roman" w:cs="Times New Roman" w:eastAsia="Times New Roman" w:hAnsi="Times New Roman"/>
                <w:sz w:val="13"/>
                <w:szCs w:val="13"/>
                <w:color w:val="auto"/>
              </w:rPr>
              <w:t>Not</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6145047;</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Endangered</w:t>
            </w:r>
          </w:p>
        </w:tc>
        <w:tc>
          <w:tcPr>
            <w:tcW w:w="140" w:type="dxa"/>
            <w:vAlign w:val="bottom"/>
          </w:tcPr>
          <w:p>
            <w:pPr>
              <w:spacing w:after="0"/>
              <w:rPr>
                <w:sz w:val="11"/>
                <w:szCs w:val="11"/>
                <w:color w:val="auto"/>
              </w:rPr>
            </w:pPr>
          </w:p>
        </w:tc>
        <w:tc>
          <w:tcPr>
            <w:tcW w:w="9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2031</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Pension Plan Private Sanitation Union, Local 813</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EIN: 13-</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Critical</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Red and</w:t>
            </w:r>
          </w:p>
        </w:tc>
        <w:tc>
          <w:tcPr>
            <w:tcW w:w="140" w:type="dxa"/>
            <w:vAlign w:val="bottom"/>
            <w:shd w:val="clear" w:color="auto" w:fill="CCEEFF"/>
          </w:tcPr>
          <w:p>
            <w:pPr>
              <w:spacing w:after="0"/>
              <w:rPr>
                <w:sz w:val="10"/>
                <w:szCs w:val="10"/>
                <w:color w:val="auto"/>
              </w:rPr>
            </w:pPr>
          </w:p>
        </w:tc>
        <w:tc>
          <w:tcPr>
            <w:tcW w:w="960" w:type="dxa"/>
            <w:vAlign w:val="bottom"/>
            <w:gridSpan w:val="3"/>
            <w:shd w:val="clear" w:color="auto" w:fill="CCEEFF"/>
          </w:tcPr>
          <w:p>
            <w:pPr>
              <w:jc w:val="center"/>
              <w:ind w:right="200"/>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35"/>
        </w:trPr>
        <w:tc>
          <w:tcPr>
            <w:tcW w:w="26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IBT</w:t>
            </w:r>
          </w:p>
        </w:tc>
        <w:tc>
          <w:tcPr>
            <w:tcW w:w="9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1975659;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Critical</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Plan Number:</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Contributions to other Multiemployer Pension</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Total contributions to Multiemployer Pension</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tcPr>
          <w:p>
            <w:pPr>
              <w:spacing w:after="0"/>
              <w:rPr>
                <w:sz w:val="8"/>
                <w:szCs w:val="8"/>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Plans (e)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in the table above, the most recent Pension Protection Act zone status available in 2025 and 2024 is for the plan’s year-end as of December 31, 2024 and 2023,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generally in critical and declining status if it (i) is certified to be in critical status pursuant to the Pension Protection Act of 2006 and (ii) is projected to be insolvent within the next 15 years or, in certain circumstances, 20 years.</w:t>
      </w:r>
    </w:p>
    <w:p>
      <w:pPr>
        <w:spacing w:after="0" w:line="54" w:lineRule="exact"/>
        <w:rPr>
          <w:sz w:val="20"/>
          <w:szCs w:val="20"/>
          <w:color w:val="auto"/>
        </w:rPr>
      </w:pPr>
    </w:p>
    <w:p>
      <w:pPr>
        <w:ind w:left="380" w:right="79" w:hanging="330"/>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“FIP/RP Status” column indicates plans for which a Funding Improvement Plan (“FIP”) or a Rehabilitation Plan (“RP”) has been implemented.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2025 and 2024.</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contributions to Multiemployer Pension Plans exclude contributions related to withdrawal liabilities, if any.</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Plan Benefits Other Than Pensions — </w:t>
      </w:r>
      <w:r>
        <w:rPr>
          <w:rFonts w:ascii="Times New Roman" w:cs="Times New Roman" w:eastAsia="Times New Roman" w:hAnsi="Times New Roman"/>
          <w:sz w:val="18"/>
          <w:szCs w:val="18"/>
          <w:color w:val="auto"/>
        </w:rPr>
        <w:t>During the years ended December 31, 2025, 2024 and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made contributions of $76 million, $62 million and $56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 effective sources of financial assurance.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$138 million and $111 million as of December 31, 2025 and 2024, respectively. The changes to our insurance reserves for the year ended December 31 are summarized below (in millions):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000" w:type="dxa"/>
            <w:vAlign w:val="bottom"/>
          </w:tcPr>
          <w:p>
            <w:pPr>
              <w:ind w:left="49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2025(a)</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Self-insurance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Assumed liabilities from acquisitions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Current portion as of December 31</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2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portion as of December 31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current estimates, we anticipate that most of our insurance reserves will be settled in cash over the next six years.</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Unconditional Purchase Obligations </w:t>
      </w:r>
      <w:r>
        <w:rPr>
          <w:rFonts w:ascii="Times New Roman" w:cs="Times New Roman" w:eastAsia="Times New Roman" w:hAnsi="Times New Roman"/>
          <w:sz w:val="18"/>
          <w:szCs w:val="18"/>
          <w:color w:val="auto"/>
        </w:rPr>
        <w:t>— Our unconditional purchase obligations are generally established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our business and are structured in a manner that provides us with access to important resources at competitive, market-driven rates and consist primarily of the following:</w:t>
      </w:r>
    </w:p>
    <w:p>
      <w:pPr>
        <w:spacing w:after="0" w:line="65" w:lineRule="exact"/>
        <w:rPr>
          <w:sz w:val="20"/>
          <w:szCs w:val="20"/>
          <w:color w:val="auto"/>
        </w:rPr>
      </w:pPr>
    </w:p>
    <w:p>
      <w:pPr>
        <w:jc w:val="both"/>
        <w:ind w:left="720" w:right="79" w:hanging="319"/>
        <w:spacing w:after="0" w:line="258"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Disposal — </w:t>
      </w:r>
      <w:r>
        <w:rPr>
          <w:rFonts w:ascii="Times New Roman" w:cs="Times New Roman" w:eastAsia="Times New Roman" w:hAnsi="Times New Roman"/>
          <w:sz w:val="18"/>
          <w:szCs w:val="18"/>
          <w:color w:val="auto"/>
        </w:rPr>
        <w:t>We have several agreements expiring at various dates through 2052 that require us to dispose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We are party to certain multi-year service agreements, including various contracts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segment, such as interconnection agreements, expiring at various dates through 2046 requiring minimum annual payments.</w:t>
      </w:r>
    </w:p>
    <w:p>
      <w:pPr>
        <w:spacing w:after="0" w:line="6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our estimated minimum obligations associated with unconditional purchase obligations were $269 million in 2026, $234 million in 2027, $130 million in 2028, $78 million in 2029, $63 million in 2030 and $594 million thereafter. We may also establish unconditional purchase obligations in conjunction with acquisitions or divestitures. Our future minimum obligations under these outstanding purchase agreements are generally quantity driven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as a result, our associated financial obligations are not fixed as of December 31, 2025.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 </w:t>
      </w:r>
      <w:r>
        <w:rPr>
          <w:rFonts w:ascii="Times New Roman" w:cs="Times New Roman" w:eastAsia="Times New Roman" w:hAnsi="Times New Roman"/>
          <w:sz w:val="18"/>
          <w:szCs w:val="18"/>
          <w:color w:val="auto"/>
        </w:rPr>
        <w:t>We have various arrangements that require us to make royalty payments to third parties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landowners,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Renewable Energy segment related to the transfer of landfill gas to our Renewable Energy segment from our active and closed landfills. All royalties between our Renewable Energy segment and Collection and Disposal and Corporate and Other businesses are eliminated in consolidation.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We have entered into the following guarantee agreements associated with our operations:</w:t>
      </w:r>
    </w:p>
    <w:p>
      <w:pPr>
        <w:spacing w:after="0" w:line="119" w:lineRule="exact"/>
        <w:rPr>
          <w:sz w:val="20"/>
          <w:szCs w:val="20"/>
          <w:color w:val="auto"/>
        </w:rPr>
      </w:pPr>
    </w:p>
    <w:p>
      <w:pPr>
        <w:jc w:val="both"/>
        <w:ind w:left="720" w:right="79" w:hanging="319"/>
        <w:spacing w:after="0" w:line="255"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WM Holdings has fully and unconditionally guaranteed all of WMI’s senior indebtedness, including its senior notes which mature through 2054,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2025, we have agreements guaranteeing certain market value losses for certain properties adjacent to or near 18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will have a material adverse effect on the Company’s business, financial condition, results of operations or cash flows.</w:t>
      </w:r>
    </w:p>
    <w:p>
      <w:pPr>
        <w:spacing w:after="0" w:line="54" w:lineRule="exact"/>
        <w:rPr>
          <w:sz w:val="20"/>
          <w:szCs w:val="20"/>
          <w:color w:val="auto"/>
        </w:rPr>
      </w:pPr>
    </w:p>
    <w:p>
      <w:pPr>
        <w:jc w:val="both"/>
        <w:ind w:left="720" w:right="79" w:hanging="319"/>
        <w:spacing w:after="0" w:line="255"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been notified by the government that we are a PRP in connection with 75 locations listed on the EPA’s Superfund National Priorities List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that was approved by the EPA in September 2025. It is expected that the EPA will issue a Unilateral Administrative Order for the site cleanup in the first quarter of 2026. The recorded liability as of December 31, 2025 and 2024, was approximately $100 million and $97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MIMC’s ultimate liability could be materially different from current estimates, including potential increases resulting from MIMC’s continued engagement with the EPA regarding a final remedial design for the site.</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We are not aware of any matters as of year end 2025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November 4, 2024, the Company acquired Stericycle. At the time of the acquisition, Stericycle was subject to the following legal matter, which is now a legal matter of our wholly-owned subsidiary.</w:t>
      </w:r>
    </w:p>
    <w:p>
      <w:pPr>
        <w:spacing w:after="0" w:line="162" w:lineRule="exact"/>
        <w:rPr>
          <w:sz w:val="20"/>
          <w:szCs w:val="20"/>
          <w:color w:val="auto"/>
        </w:rPr>
      </w:pPr>
    </w:p>
    <w:p>
      <w:pPr>
        <w:jc w:val="both"/>
        <w:ind w:left="380" w:right="59"/>
        <w:spacing w:after="0" w:line="253" w:lineRule="auto"/>
        <w:rPr>
          <w:sz w:val="20"/>
          <w:szCs w:val="20"/>
          <w:color w:val="auto"/>
        </w:rPr>
      </w:pPr>
      <w:r>
        <w:rPr>
          <w:rFonts w:ascii="Times New Roman" w:cs="Times New Roman" w:eastAsia="Times New Roman" w:hAnsi="Times New Roman"/>
          <w:sz w:val="18"/>
          <w:szCs w:val="18"/>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59"/>
        <w:spacing w:after="0" w:line="282" w:lineRule="auto"/>
        <w:rPr>
          <w:sz w:val="20"/>
          <w:szCs w:val="20"/>
          <w:color w:val="auto"/>
        </w:rPr>
      </w:pPr>
      <w:r>
        <w:rPr>
          <w:rFonts w:ascii="Times New Roman" w:cs="Times New Roman" w:eastAsia="Times New Roman" w:hAnsi="Times New Roman"/>
          <w:sz w:val="18"/>
          <w:szCs w:val="18"/>
          <w:color w:val="auto"/>
        </w:rPr>
        <w:t>2020. While the ultimate disposition of this matter remains uncertain, we do not currently believe that it will have a material adverse effect on the Company’s business, financial condition, results of operations or cash flows.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was appointed and an amended complaint was filed in January 2023. The amended complaint sought damages on behalf of a putative class of secondary market purchasers of our senior notes with a special mandatory redemption feature issued in May 2019, asserting claims under the Securities Exchange Act of 1934, as amended, based on alleged misrepresentations and omissions concerning the anticipated time for completion of our acquisition of Advanced Disposal. On December 18, 2025, the court granted final approval of a settlement that will be covered by insurance. This settlement will not have a material adverse effect on the Company’s business, financial condition, results of operations or cash flows.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15%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expect to litigate any denial of the claim for refund. As of December 31, 2025 and 2024, the IRS deposit, net of reserve for uncertain tax positions, was classified as a component of other long-term assets in the Company’s Consolidated Balance Sheets.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Asset Impairments and Unusual Items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8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3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3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During the year ended December 31, 2025, we recognized $248 million of net charges primarily consisting of (i) a $160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(iii) a $16 million goodwill impairment charge related to a business engaged in oil recovery and sludge processing services reflected in Other Ancillary within our Collection and Disposal businesses and (iv) an $11 million negotiated payment for early termination of a contract in our Renewable Energy segment. Refer to Note 5 for further information.</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During the year ended December 31, 2024, we recognized $82 million of net charges primarily consisting of (i) a $54 million charge required to increase the estimated fair value of a liability associated with the expected disposition of an investment the Company holds in a waste diversion technology business within Corporate and Other; (ii) a $14 million loss associated with the divestiture of a minority investment in a medical waste company within Corporate and Other, in connection with our acquisition of Stericycle and (iii) a $13 million charge pertaining to reserves for loss contingencies in our Corporate and Other to adjust an indirect wholly-owned subsidiary’s estimated potential share of the liability for a proposed environmental remediation plan at a closed site</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 owned subsidiary’s estimated potential share of the liability for a proposed environmental remediation plan at a closed site.</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Income (Loss) of Unconsolidated Entities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These financial statement impacts are largely related to our noncontrolling interests in entities established to invest in and manage low-income housing properties. In 2024, we adopted ASU 2023-02, and, as a result, beginning in 2024, the amortization of these investments is recognized as a component of income tax expense. We generate tax credits and other tax benefits from the losses incurred from these investments. The losses are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18"/>
          <w:szCs w:val="18"/>
          <w:i w:val="1"/>
          <w:iCs w:val="1"/>
          <w:color w:val="auto"/>
        </w:rPr>
        <w:t>(Gain) Loss from Divestitures, Asset Impairments and Unusual Items, Net</w:t>
      </w:r>
      <w:r>
        <w:rPr>
          <w:rFonts w:ascii="Times New Roman" w:cs="Times New Roman" w:eastAsia="Times New Roman" w:hAnsi="Times New Roman"/>
          <w:sz w:val="18"/>
          <w:szCs w:val="18"/>
          <w:color w:val="auto"/>
        </w:rPr>
        <w:t xml:space="preserve"> above for more information on the impairment of an equity method investment.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 ​​Securities(a) ​​Adjustments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Obligations</w:t>
            </w:r>
          </w:p>
        </w:tc>
        <w:tc>
          <w:tcPr>
            <w:tcW w:w="2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 expense (benefit) of $5, $(4), $0 and $2,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$(1), $0, $0 and $0, respectively</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 expense (benefit) of $10, $3, $0 and $0,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$1, $0, $0 and $0, respectively</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 expense (benefit) of $1, $5, $0 and $0,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 (expense) benefit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$(2), $0, $0 and $0, respectively</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a $23 million unrealized loss, net of a deferred tax benefit of $8 million, associated with our investment in redeemable preferred stock due to the estimated fair value being less than the remaining carrying value.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Capital Stock, Dividends and Common Stock Repurchase Program</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1.5 billion shares of authorized common stock with a par value of $0.01 per common share. As of December 31, 2025, we had 402.9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quarterly dividends have been declared by our Board of Directors. Cash dividends declared and paid were $1.3 billion in 2025, or $3.30 per common share, $1.2 billion in 2024, or $3.00 per common share, and $1.1 billion in 2023, or $2.80 per common share.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December 2025, we announced that our Board of Directors expects to increase the quarterly dividend from $0.825 to $0.945 per share for dividends declared in 2026.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2025(a)</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2024(b)</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2023(c)</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(in thousands)</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 (in millions)</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common stock repurchases for the year ended December 31, 2025.</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one ASR agreement during 2024 to repurchase $250 million of our common stock and received 1.2 million shares in connection with this ASR agreement. In February 2024, we also received 0.2 million shares pursuant to our October 2023 ASR agreement based on a final weighted average price of $175.29.</w:t>
      </w:r>
    </w:p>
    <w:p>
      <w:pPr>
        <w:spacing w:after="0" w:line="67" w:lineRule="exact"/>
        <w:rPr>
          <w:rFonts w:ascii="Times New Roman" w:cs="Times New Roman" w:eastAsia="Times New Roman" w:hAnsi="Times New Roman"/>
          <w:sz w:val="18"/>
          <w:szCs w:val="18"/>
          <w:color w:val="auto"/>
        </w:rPr>
      </w:pPr>
    </w:p>
    <w:p>
      <w:pPr>
        <w:jc w:val="both"/>
        <w:ind w:left="380" w:right="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repurchased an additional 0.1 million shares of our common stock in open market transactions in compliance with Rule 10b5-1 and Rule 10b 18 of the Securities Exchange Act of 1934 (“Exchange Act”) for $12 million, inclusive of per-share commission.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380" w:right="79" w:hanging="330"/>
        <w:spacing w:after="0" w:line="25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79" w:lineRule="exact"/>
        <w:rPr>
          <w:rFonts w:ascii="Times New Roman" w:cs="Times New Roman" w:eastAsia="Times New Roman" w:hAnsi="Times New Roman"/>
          <w:sz w:val="18"/>
          <w:szCs w:val="18"/>
          <w:color w:val="auto"/>
        </w:rPr>
      </w:pPr>
    </w:p>
    <w:p>
      <w:pPr>
        <w:jc w:val="both"/>
        <w:ind w:left="380" w:right="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repurchased an additional 0.3 million shares of our common stock in open market transactions in compliance with Rule 10b5-1 and Rule 10b 18 of the Securities Exchange Act of 1934 (“Exchange Act”) for $52 million, inclusive of per-share commissions.</w:t>
      </w:r>
    </w:p>
    <w:p>
      <w:pPr>
        <w:spacing w:after="0" w:line="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announced in December 2025 that our Board of Directors has authorized up to $3.0 billion in future share repurchases, exclusive of fees, commissions and taxes. This new authorization supersedes and replaces remaining authority under the prior Board of Directors’ authorization for share repurchases announced in December 2023.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2025, 2024 and 2023 was approximately 438,000, 408,000 and 473,000, respectively. After the January 2026 issuance of shares associated with the July to December 2025 offering period, 0.9 million shares remain available for issuance under the ESPP.</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Annual compensation expense resulting from our ESPP was $13 million, or $10 million net of tax expense, for 2025, $11 million, or $8 million net of tax expense, for 2024 and $14 million, or $11 million net of tax expense, for 2023.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May 2023, our stockholders approved our 2023 Stock Incentive Plan (the “2023 Plan”) to replace our 2014 Stock Incentive Plan (the “2014 Plan”). Upon approval of the 2023 Plan, no further awards could be granted under the 2014 Plan, and the 15.2 million shares of our common stock that were previously available for issuance under the 2014 Plan became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2025, approximately 12.9 million shares were available for future grants under the 2023 Plan. Our equity-based compensation awards described herein have been made pursuant to our 2023 Plan or our 2014 Plan (collectively, the “Incentive Plans”). We currently utilize treasury shares to meet the needs of our equity-based compensation programs.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2025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2025. The Company also periodically grants equity awards, primarily consisting of RSUs, to employees working on key initiatives, in connection with new hires and promotions and to field and corporate managers.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A summary of our RSUs is presented in the table below (units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580" w:type="dxa"/>
            <w:vAlign w:val="bottom"/>
            <w:vMerge w:val="restart"/>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fair market value of RSUs that vested during the years ended December 31, 2025, 2024 and 2023 was $50 million, $25 million and $15 million, respectively. During the year ended December 31, 2025, we issued approximately 149,000 shares of common stock for these vested RSUs, net of approximately 71,000 units deferred or used for payment of associated taxes.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RSUs may not be voted or sold by award recipients until time-based vesting restrictions have lapsed. RSUs currently outstanding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 </w:t>
      </w:r>
      <w:r>
        <w:rPr>
          <w:rFonts w:ascii="Times New Roman" w:cs="Times New Roman" w:eastAsia="Times New Roman" w:hAnsi="Times New Roman"/>
          <w:sz w:val="18"/>
          <w:szCs w:val="18"/>
          <w:color w:val="auto"/>
        </w:rPr>
        <w:t>There are primarily two types of PSUs currently outstanding: (i) PSUs for which payout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dependent on 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200% of the targeted amount, depending on the performance against the pre-established targets. A summary of our PSUs, at 100% of the targeted amount, is presented in the table below (units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gridSpan w:val="2"/>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60" w:type="dxa"/>
            <w:vAlign w:val="bottom"/>
            <w:gridSpan w:val="2"/>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7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1, 2025</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determination of achievement of performance results and corresponding vesting of PSUs for the three-year performance period ended December 31, 2025 was performed by the Management Development and Compensation Committee of our Board of Directors in January 2026. Accordingly, vesting information for such awards is not included in the table above as of December 31, 2025. The “vested” PSUs are for the three-year performance period ended December 31, 2024, as achievement of performance results and corresponding vesting was determined in January 2025. The performance of the Company’s common stock for purposes of the TSR PSUs and the Cash Flow PSUs exceeded maximum performance criteria. Accordingly, recipients of the PSU awards received a payout of 167.22% of the vested TSR PSUs and 135.56% of the vested Cash Flow PSUs. In February 2025, approximately 398,000 PSUs vested and we issued approximately 261,000 shares of common stock for these vested PSUs, net of units deferred or used for payment of associated taxes. The shares of common stock that were issued or deferred during the years ended December 31, 2025, 2024 and 2023 for prior PSU award grants had a fair market value of $87 million, $121 million and $74 million, respectively.</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applicable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Units — </w:t>
      </w:r>
      <w:r>
        <w:rPr>
          <w:rFonts w:ascii="Times New Roman" w:cs="Times New Roman" w:eastAsia="Times New Roman" w:hAnsi="Times New Roman"/>
          <w:sz w:val="18"/>
          <w:szCs w:val="18"/>
          <w:color w:val="auto"/>
        </w:rPr>
        <w:t>Certain employees can elect to defer some or all of the vested RSU or PSU awards for payout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2025, we had approximately 176,000 vested deferred units outstanding.</w:t>
      </w:r>
    </w:p>
    <w:p>
      <w:pPr>
        <w:spacing w:after="0" w:line="18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Stock option awards vest ratably in three annual increments, beginning on the first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The exercise price of the options is the average of the high and low market value of our common stock</w:t>
      </w:r>
    </w:p>
    <w:p>
      <w:pPr>
        <w:sectPr>
          <w:pgSz w:w="11900" w:h="16838" w:orient="portrait"/>
          <w:cols w:equalWidth="0" w:num="1">
            <w:col w:w="9019"/>
          </w:cols>
          <w:pgMar w:left="1440" w:top="607"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the date of grant, and the options have a term of 10 years. A summary of our stock options is presented in the table below (options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36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60" w:type="dxa"/>
            <w:vAlign w:val="bottom"/>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 (b)</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 (c)</w:t>
            </w: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0" w:type="dxa"/>
            <w:vAlign w:val="bottom"/>
          </w:tcPr>
          <w:p>
            <w:pPr>
              <w:spacing w:after="0" w:line="20" w:lineRule="exact"/>
              <w:rPr>
                <w:sz w:val="1"/>
                <w:szCs w:val="1"/>
                <w:color w:val="auto"/>
              </w:rPr>
            </w:pPr>
          </w:p>
        </w:tc>
      </w:tr>
      <w:tr>
        <w:trPr>
          <w:trHeight w:val="197"/>
        </w:trPr>
        <w:tc>
          <w:tcPr>
            <w:tcW w:w="660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1,310</w:t>
            </w:r>
          </w:p>
        </w:tc>
        <w:tc>
          <w:tcPr>
            <w:tcW w:w="2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110,000 stock options exercised pursuant to written trading plans that provided for net share settlement, resulting in the Company withholding approximately 81,000 shares of our common stock to cover the associated stock option exercise price and taxes.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outstanding as of December 31, 2025 have a weighted average remaining contractual term of 5.6 years and an aggregate intrinsic value of $141 million based on the market value of our common stock on December 31, 2025.</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exercisable as of December 31, 2025 have an aggregate intrinsic value of $128 million based on the market value of our common stock on December 31, 2025.</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2025, 2024 and 2023, we received cash proceeds of $61 million, $53 million and $44 million, respectively, from the exercise of 676,000, 693,000 and 597,000 of employee stock options. The aggregate intrinsic value of stock options exercised during 2025, 2024 and 2023 was $79 million, $75 million and $44 million,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 options exercisable as of December 31, 2025 were as follows (options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gridSpan w:val="2"/>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Options</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Remaining Years</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$56.24</w:t>
            </w:r>
          </w:p>
        </w:tc>
        <w:tc>
          <w:tcPr>
            <w:tcW w:w="49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$98.90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$98.91</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$145.67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$145.68 - $231.20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$56.24</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$231.20</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2025, 2024 and 2023 was $47.45, $43.00 and $32.82,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gridSpan w:val="2"/>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years</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years</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years</w:t>
            </w: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7"/>
              </w:rPr>
              <w:t>19.2 %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20.7 %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22.3 %</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$154 million, $99 million and $78 million, respectively, of compensation expense associated with RSU, PSU and stock option awards as a component of selling, general and administrative expenses in our Consolidated Statements of Operations. Our income tax expense for the years ended December 31, 2025, 2024 and 2023 includes related income tax benefits of $29 million, $18 million and $15 million, respectively. We have not capitalized any equity-based compensation costs during the reported periods.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estimate that $66 million of currently unrecognized compensation expense will be recognized over a weighted average period of 1.5 years for our unvested RSU, PSU and stock option awards issued and outstanding.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directors receive annual grants of shares of our common stock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earnings per share were computed using the following common share data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(shares 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198"/>
        </w:trPr>
        <w:tc>
          <w:tcPr>
            <w:tcW w:w="6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Consolidated Statements of Operations for net income attributable to Waste Management,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0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management’s estimate of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participants would use in pricing the asset or liability.</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Pr>
          <w:p>
            <w:pPr>
              <w:ind w:left="6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9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Equivalents and Money Market Funds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Cash equivalents primarily include short-term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net in our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available-for-sale securities include restricted trust funds and investments in unconsolidated entities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carrying value of our debt was $22.9 billion and $23.9 billion, respectively. The estimated fair value of our debt was approximately $22.5 billion and $22.9 billion as of December 31, 2025 and 2024, respectively.</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2025 and 2024. These amounts have not been revalued since those dates, and current estimates of fair value could differ significantly from the amounts presented.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11 for information related to our nonrecurring fair value measurements. See Note 17 for information related to the nonrecurring fair value measurement of assets and liabilities acquired in connection with our acquisition of Stericycle.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Acquisitions and Divestitures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completed solid waste and recycling acquisitions primarily in Virginia, Maryland and Washington D.C. for total consideration of $440 million. Total consideration included $399 million in net cash paid and $41 million in non-cash consideration, primarily related to purchase price holdbacks. In addition, we paid $9 million of holdbacks, of which $8 million related to prior year acquisitions.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2025 acquisitions was primarily allocated to $92 million of property and equipment, $45 million of other intangible assets, primarily customer relationships, and $315 million of goodwill. Other intangible assets included $39 million of customer relationships and $6 million of covenants not-to-compete.</w:t>
      </w:r>
    </w:p>
    <w:p>
      <w:pPr>
        <w:spacing w:after="0" w:line="176" w:lineRule="exact"/>
        <w:rPr>
          <w:sz w:val="20"/>
          <w:szCs w:val="20"/>
          <w:color w:val="auto"/>
        </w:rPr>
      </w:pPr>
    </w:p>
    <w:p>
      <w:pPr>
        <w:jc w:val="both"/>
        <w:ind w:left="60" w:right="79" w:firstLine="162"/>
        <w:spacing w:after="0" w:line="282" w:lineRule="auto"/>
        <w:rPr>
          <w:sz w:val="20"/>
          <w:szCs w:val="20"/>
          <w:color w:val="auto"/>
        </w:rPr>
      </w:pPr>
      <w:r>
        <w:rPr>
          <w:rFonts w:ascii="Times New Roman" w:cs="Times New Roman" w:eastAsia="Times New Roman" w:hAnsi="Times New Roman"/>
          <w:sz w:val="18"/>
          <w:szCs w:val="18"/>
          <w:color w:val="auto"/>
        </w:rPr>
        <w:t>The goodwill related to our 2025 acquisitions was primarily a result of expected synergies from combining the acquired businesses with our existing operations and substantially all was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acquisition of Stericycle, during the year ended December 31, 2024, we completed solid waste and recycling acquisitions primarily in New York, Florida, North Carolina and Arizona for total consideration of $790 million. Total consideration included $783 million in net cash paid and $7 million in non-cash consideration, primarily related to purchase price holdbacks. In addition, we paid $23 million of holdbacks, of which $16 million related to prior year acquisitions.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2024 acquisitions, exclusive of Stericycle, was primarily allocated to $160 million of property and equipment, $79 million of other intangible assets and $588 million of goodwill. Other intangible assets included $63 million of customer relationships and $14 million of covenants not-to-compete.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goodwill related to our other 2024 acquisitions was primarily a result of expected synergies from combining the acquired businesses with our existing operations, a significant portion of which was tax deductible.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2024, we paid $41 million to acquire the remaining minority interests in a business engaged in accelerating film and plastic wrap recycling capabilities that is included in our Recycling Processing and Sales segment.</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Stericycle Acquisition — </w:t>
      </w:r>
      <w:r>
        <w:rPr>
          <w:rFonts w:ascii="Times New Roman" w:cs="Times New Roman" w:eastAsia="Times New Roman" w:hAnsi="Times New Roman"/>
          <w:sz w:val="18"/>
          <w:szCs w:val="18"/>
          <w:color w:val="auto"/>
        </w:rPr>
        <w:t>On June 3, 2024, we entered into an Agreement and Plan of Merger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RWCS and SID services that protect people and brands, promote health and well-being and safeguard the environment. The transaction closed on November 4, 2024 and was funded using $5.2 billion of borrowings under a term credit agreement, our commercial paper program and available cash on hand. Shortly thereafter, we repaid all outstanding borrowings under the term credit agreement with net proceeds from our November 2024 issuance of $5.2 billion of senior notes.</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we incurred acquisition and integration related costs of $120 million, comprised of $89 million of selling, general and administrative costs and $31 million of restructuring costs. For the year ended December 31, 2024, we incurred acquisition and integration related costs of $160 million, which were primarily classified as selling, general and administrative expenses. The post-closing operating results of Stericycle have been included in our consolidated financial statements within our Healthcare Solutions segment. Post-closing through December 31, 2024, Stericycle recognized $403 million, $244 million and $155 million of operating revenue, operating expenses and selling, general and administrative expenses, respectively, which are net of intercompany transactions and included in our Consolidated Statements of Operations.</w:t>
      </w:r>
    </w:p>
    <w:p>
      <w:pPr>
        <w:spacing w:after="0" w:line="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not been retroactively restated to include Stericycle’s historical financial position or results of operations. The acquisition was accounted for as a business combination. In accordance with the acquisition method of accounting, the purchase price paid has been allocated to the assets and liabilities acquired based upon their estimated fair values as of the acquisition date, with the excess of the purchase price over the net assets acquired recorded as goodwill. The allocation of the purchase price was finalized in November 2025.</w:t>
      </w:r>
    </w:p>
    <w:p>
      <w:pPr>
        <w:spacing w:after="0" w:line="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used the following valuation techniques for the following significant accounts in which carrying value did not approximate fair value: (i) property and equipment were valued primarily using the cost approach with significant assumptions including replacement cost, trend indices, and normal useful lives; (ii) customer relationship assets were valued using the multi-period excess earnings method with significant assumptions including projected revenue, attrition rate, operating expense, selling and general administrative expenses, and discount rate; (iii) indefinite trade name assets were valued using the relief from royalty method with significant assumptions including revenue attributable to the trade names and royalty rates and (iv) permit assets were valued using the cost to recreate method with significant assumptions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including costs required to obtain the permits and the opportunity costs if the permits were not in place on the acquisition date.</w:t>
      </w:r>
    </w:p>
    <w:p>
      <w:pPr>
        <w:spacing w:after="0" w:line="54"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property and equipment and intangibles were based on significant inputs that are not observable in the market and thus represent a Level 3 measurement in the fair value hierarchy. The Restricted Notes were valued using observable market prices which represent a Level 1 measurement in the fair value hierarchy.</w:t>
      </w:r>
    </w:p>
    <w:p>
      <w:pPr>
        <w:spacing w:after="0" w:line="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Goodwill of $3.8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Goodwill has been assigned to two reporting units within our Healthcare Solutions segment using a relative fair value allocation method. Substantially all of the goodwill is not deductible for income tax purposes.</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purchase price allocation as of the date acquired and adjustments made through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4, 2025 (in 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November 4, 2024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November 4, 2025</w:t>
            </w:r>
          </w:p>
        </w:tc>
      </w:tr>
      <w:tr>
        <w:trPr>
          <w:trHeight w:val="209"/>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 (a)</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tcPr>
          <w:p>
            <w:pPr>
              <w:spacing w:after="0"/>
              <w:rPr>
                <w:sz w:val="18"/>
                <w:szCs w:val="18"/>
                <w:color w:val="auto"/>
              </w:rPr>
            </w:pP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(b)</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held for sale (b)</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3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purchase price</w:t>
            </w:r>
          </w:p>
        </w:tc>
        <w:tc>
          <w:tcPr>
            <w:tcW w:w="7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r>
    </w:tbl>
    <w:p>
      <w:pPr>
        <w:spacing w:after="0" w:line="76" w:lineRule="exact"/>
        <w:rPr>
          <w:sz w:val="20"/>
          <w:szCs w:val="20"/>
          <w:color w:val="auto"/>
        </w:rPr>
      </w:pPr>
    </w:p>
    <w:p>
      <w:pPr>
        <w:ind w:left="720" w:right="79" w:hanging="481"/>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allowance for doubtful accounts of $144 million as of close of the measurement period. See Note 2 for further discussion.</w:t>
      </w:r>
    </w:p>
    <w:p>
      <w:pPr>
        <w:spacing w:after="0" w:line="161" w:lineRule="exact"/>
        <w:rPr>
          <w:rFonts w:ascii="Times New Roman" w:cs="Times New Roman" w:eastAsia="Times New Roman" w:hAnsi="Times New Roman"/>
          <w:sz w:val="18"/>
          <w:szCs w:val="18"/>
          <w:color w:val="auto"/>
        </w:rPr>
      </w:pPr>
    </w:p>
    <w:p>
      <w:pPr>
        <w:ind w:left="720" w:hanging="481"/>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Stericycle’s Spain and Portugal subsidiaries. See “Divestitures” for additional information.</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final allocation of $3.5 billion for other intangible assets includes $2.3 billion for customer relationships with a weighted average amortization period of 15 years, $610 million for indefinite lived trade names, $319 million for indefinite lived permits, $114 million for definite lived trade names with a weighted average amortization period of 2.9 years, $138 million for ERP software with a weighted average amortization period of 4.7 years and $5 million for developed technology with an amortization period of 17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Waste Management and Stericycle as though the companies had been combined as of January 1, 2023. Examples of adjustments made to arrive at the pro forma amounts include, but are not limited to, the following:</w:t>
      </w:r>
    </w:p>
    <w:p>
      <w:pPr>
        <w:spacing w:after="0" w:line="176" w:lineRule="exact"/>
        <w:rPr>
          <w:sz w:val="20"/>
          <w:szCs w:val="20"/>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incurred by us and Stericycle;</w:t>
      </w:r>
    </w:p>
    <w:p>
      <w:pPr>
        <w:spacing w:after="0" w:line="27"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revenue and expenses between us and Stericycle;</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depreciation and amortization expense due to step-up in fair value of the acquired assets;</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adjustments;</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policy alignment adjustments; and</w:t>
      </w:r>
    </w:p>
    <w:p>
      <w:pPr>
        <w:spacing w:after="0" w:line="9" w:lineRule="exact"/>
        <w:rPr>
          <w:rFonts w:ascii="Times New Roman" w:cs="Times New Roman" w:eastAsia="Times New Roman" w:hAnsi="Times New Roman"/>
          <w:sz w:val="18"/>
          <w:szCs w:val="18"/>
          <w:color w:val="auto"/>
        </w:rPr>
      </w:pPr>
    </w:p>
    <w:p>
      <w:pPr>
        <w:ind w:left="700" w:hanging="481"/>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adjustments.</w:t>
      </w:r>
    </w:p>
    <w:p>
      <w:pPr>
        <w:spacing w:after="0" w:line="9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is for informational purposes only and is not necessarily indicative of the results of operations that would have been achieved as if the acquisition had taken place as January 1, 2023 for the year ended December 31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20" w:type="dxa"/>
            <w:vAlign w:val="bottom"/>
            <w:tcBorders>
              <w:bottom w:val="single" w:sz="8" w:color="CCEEFF"/>
            </w:tcBorders>
          </w:tcPr>
          <w:p>
            <w:pPr>
              <w:ind w:left="70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24,258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bl>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goodwill related to our 2023 acquisitions was primarily a result of expected synergies from combining the acquired businesses with our existing operations and substantially all was tax deductible.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were $121 million, $158 million and $78 million in 2025, 2024 and 2023, respectively. Proceeds in 2025 primarily related to the January 2025 sale of our Healthcare Solutions segment’s Spain and Portugal subsidiaries. As the fair value of consideration transferred was equal to the carrying value of the divested subsidiaries, no gain or loss was recognized. The remaining 2025, 2024, and 2023 proceeds were from the sale of certain non-strategic assets.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entities. Our aggregate investment balance in these entities was $624 million and $707 million as of December 31, 2025 and 2024, respectively. The debt balance related to our investments in low-income housing properties was $616 million and $670 million as of December 31, 2025 and 2024, respectively. Additional information related to these investments is discussed in Note 8.</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$127 million and $111 million as of December 31, 2025 and 2024,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$140 million and $128 million as of December 31, 2025 and 2024, respectively.</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Segment and Related Information</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Renewable Energy and (v) Healthcare Solutions. Our East and West Tiers, along with Other Ancillary services, form our “Collection and Disposal” businesses. We also provide additional services not managed through our five reportable segments, which are presented as Corporate and Other.</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Southern and Central U.S., including the upper Midwest region, and British Columbia, Canada. Additionally, we provide Other Ancillary services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19 third-party power generating facilities converting our landfill gas to fuel electricity generators; (ii) 17 third-party RNG facilities processing landfill gas to be sold to natural gas suppliers and (iii) nine third-party projects delivering our landfill gas by pipeline to industrial customers as a direct substitute for fossil fuels in industrial processes. In return for providing our landfill gas, we receive royalties from each facility, including the benefit of a 15% royalty from our Renewable Energy segment based on net operating revenue generated through the sale of RNG, RINs, electricity and capacity, RECs and related environmental attributes from the 86 landfill beneficial use renewable energy projects owned by Renewable Energy on our active landfills, which is eliminated in consolidation.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Renewable Energy converts landfill gas into several sources of renewable energy which include RNG, electricity and capacity, heat and/or steam.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we had 103 landfill gas beneficial use projects producing commercial quantities of methane gas at owned or operated landfills. For 62 of these projects, the processed gas is used to fuel electricity generators. The electricity is then sold to public utilities, municipal utilities or power cooperatives. For 24 of these projects, the gas is used at the landfill or delivered by pipeline to industrial customers as a direct substitute for fossil fuels in industrial processes. For 17 of these projects, the landfill gas is processed to pipeline quality RNG and then sold to natural gas suppliers. Additionally, three projects are on third-party landfills. The revenues from these facilities are primarily generated through the sale of RNG, RINs, electricity and capacity, heat and/or steam, RECs and related environmental attributes. Renewable Energy is charged a 15% royalty on net operating revenue from these facilities residing on our active and closed landfills from our Collection and Disposal and Corporate and Other businesses, which is eliminated in consolidation. Additionally, Renewable Energy operates and maintains six third-party landfill beneficial gas use projects in return for service revenue. Our Collection and Disposal and Corporate and Other businesses benefit from these projects as well as 54 additional third-party landfill beneficial gas use projects in the form of royalties.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Healthcare Solutions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Healthcare Solutions segment includes (i) RWCS, which provide compliance programs and collection, processing and disposal of regulated and specialized waste, including medical, pharmaceutical and hazardous waste and (ii) SID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services, which provide for the collection of personal and confidential information for secure destruction and recycling of sorted office paper. RWCS are provided to customers in the U.S., Canada, Ireland and the United Kingdom (“U.K.”). SID services are provided to customers in the U.S., Canada, Belgium, France, Germany, Ireland, Luxembourg, the Netherlands and the U.K.</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Healthcare Solutions customers are primarily in the following industries: enterprise healthcare (i.e., hospitals, health systems and national and corporate healthcare), practices and care providers (i.e., physician offices, surgery centers, veterinary clinics, nursing and long-term care facilities, dental clinics, clinics and urgent care, dialysis centers and home health organizations), and pharmacy labs and research centers. Our Healthcare Solutions businesses also provide services to airports and seaports, education institutions, funeral homes and crematories, government and military, banks and professional services, and other businesses. While the Healthcare Solutions businesses manage large volumes of waste and other materials, the average volume per customer site is relatively small.</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Healthcare Solutions customers typically enter into a contract for the provision of services on a scheduled basis including weekly, monthly or on an as-needed basis over the contract term. Under the contract terms, the Healthcare Solutions businesses receive fees based on a monthly, quarterly or annual rate and/or fees based on contractual rates depending upon measures including the type and volume or weight of waste. Operating revenues are invoiced based on the terms of the underlying contract either on a regular basis, or as services are performed and are generally due within a short period of time after invoicing based upon normal terms and conditions for our business type and the geography of the services performed.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our Healthcare Solutions segment operates out of approximately 307 leased and owned facilities worldwide with 51 autoclaves or other alternative medical waste treatment facilities, 17 medical waste incinerator facilities, 99 SID processing facilities, and 140 transfer stations.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closed sites are (i) five third-party power generating facilities converting our landfill gas to fuel electricity generators; (ii) two third-party projects delivering our landfill gas by pipeline to industrial customers as a direct substitute for fossil fuels in industrial processes and (iii) two third-party RNG facilities processing landfill gas to be sold to natural gas suppliers in return for a royalty. Additionally, Corporate and Other benefits from a 15% royalty from our Renewable Energy segment based on net operating revenue generated through the sale of RNG, RINs, electricity and capacity, RECs and related environmental attributes from the 17 landfill beneficial use renewable energy projects owned by Renewable Energy on our closed sites, which is eliminated in consolidation.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the chief executive officer. The CODM regularly reviews financial results, operating performance, and capital expenditures of our five reportable segments. Our CODM uses income from operations for each segment predominantly in the annual budget and forecasting process and considers budget-to-actual variances on a monthly basis when making decisions about the allocation of operating and capital resources to each segment. Our CODM also uses segment income from operations to assess the performance of each segment by comparing the results of each segment with one another. Summarized financial information concerning our reportable segments as of December 31 and for the year then ended is shown in the following table (in millions):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Intercompany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80" w:type="dxa"/>
            <w:vAlign w:val="bottom"/>
          </w:tcPr>
          <w:p>
            <w:pPr>
              <w:spacing w:after="0"/>
              <w:rPr>
                <w:sz w:val="12"/>
                <w:szCs w:val="12"/>
                <w:color w:val="auto"/>
              </w:rPr>
            </w:pPr>
          </w:p>
        </w:tc>
        <w:tc>
          <w:tcPr>
            <w:tcW w:w="64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0" w:type="dxa"/>
            <w:vAlign w:val="bottom"/>
          </w:tcPr>
          <w:p>
            <w:pPr>
              <w:spacing w:after="0"/>
              <w:rPr>
                <w:sz w:val="12"/>
                <w:szCs w:val="12"/>
                <w:color w:val="auto"/>
              </w:rPr>
            </w:pPr>
          </w:p>
        </w:tc>
        <w:tc>
          <w:tcPr>
            <w:tcW w:w="7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66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0" w:type="dxa"/>
            <w:vAlign w:val="bottom"/>
          </w:tcPr>
          <w:p>
            <w:pPr>
              <w:spacing w:after="0"/>
              <w:rPr>
                <w:sz w:val="11"/>
                <w:szCs w:val="11"/>
                <w:color w:val="auto"/>
              </w:rPr>
            </w:pPr>
          </w:p>
        </w:tc>
        <w:tc>
          <w:tcPr>
            <w:tcW w:w="7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70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80" w:type="dxa"/>
            <w:vAlign w:val="bottom"/>
          </w:tcPr>
          <w:p>
            <w:pPr>
              <w:spacing w:after="0"/>
              <w:rPr>
                <w:sz w:val="11"/>
                <w:szCs w:val="11"/>
                <w:color w:val="auto"/>
              </w:rPr>
            </w:pPr>
          </w:p>
        </w:tc>
        <w:tc>
          <w:tcPr>
            <w:tcW w:w="64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Depletion and</w:t>
            </w:r>
          </w:p>
        </w:tc>
        <w:tc>
          <w:tcPr>
            <w:tcW w:w="80" w:type="dxa"/>
            <w:vAlign w:val="bottom"/>
          </w:tcPr>
          <w:p>
            <w:pPr>
              <w:spacing w:after="0"/>
              <w:rPr>
                <w:sz w:val="11"/>
                <w:szCs w:val="11"/>
                <w:color w:val="auto"/>
              </w:rPr>
            </w:pPr>
          </w:p>
        </w:tc>
        <w:tc>
          <w:tcPr>
            <w:tcW w:w="740" w:type="dxa"/>
            <w:vAlign w:val="bottom"/>
            <w:gridSpan w:val="2"/>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from</w:t>
            </w:r>
          </w:p>
        </w:tc>
        <w:tc>
          <w:tcPr>
            <w:tcW w:w="8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Revenues(a)</w:t>
            </w:r>
          </w:p>
        </w:tc>
        <w:tc>
          <w:tcPr>
            <w:tcW w:w="6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 Expenses</w:t>
            </w: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8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0" w:type="dxa"/>
            <w:vAlign w:val="bottom"/>
          </w:tcPr>
          <w:p>
            <w:pPr>
              <w:spacing w:after="0"/>
              <w:rPr>
                <w:sz w:val="1"/>
                <w:szCs w:val="1"/>
                <w:color w:val="auto"/>
              </w:rPr>
            </w:pPr>
          </w:p>
        </w:tc>
      </w:tr>
      <w:tr>
        <w:trPr>
          <w:trHeight w:val="115"/>
        </w:trPr>
        <w:tc>
          <w:tcPr>
            <w:tcW w:w="192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9,037</w:t>
            </w:r>
          </w:p>
        </w:tc>
        <w:tc>
          <w:tcPr>
            <w:tcW w:w="1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2,445</w:t>
            </w:r>
          </w:p>
        </w:tc>
        <w:tc>
          <w:tcPr>
            <w:tcW w:w="18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11,482</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920" w:type="dxa"/>
            <w:vAlign w:val="bottom"/>
            <w:gridSpan w:val="2"/>
          </w:tcPr>
          <w:p>
            <w:pPr>
              <w:ind w:left="320"/>
              <w:spacing w:after="0" w:line="97" w:lineRule="exact"/>
              <w:rPr>
                <w:sz w:val="20"/>
                <w:szCs w:val="20"/>
                <w:color w:val="auto"/>
              </w:rPr>
            </w:pPr>
            <w:r>
              <w:rPr>
                <w:rFonts w:ascii="Times New Roman" w:cs="Times New Roman" w:eastAsia="Times New Roman" w:hAnsi="Times New Roman"/>
                <w:sz w:val="10"/>
                <w:szCs w:val="10"/>
                <w:color w:val="auto"/>
              </w:rPr>
              <w:t>Collection and Disposal(e)(f)</w:t>
            </w: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(g)</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Renewable Energy(f)</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Healthcare Solutions(g)(h)</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(1,436)</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25,204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30,895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20,680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2,745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2,863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4,308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(5,691)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(5,668)</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15,012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4,308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6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20" w:type="dxa"/>
            <w:vAlign w:val="bottom"/>
          </w:tcPr>
          <w:p>
            <w:pPr>
              <w:spacing w:after="0"/>
              <w:rPr>
                <w:sz w:val="11"/>
                <w:szCs w:val="11"/>
                <w:color w:val="auto"/>
              </w:rPr>
            </w:pPr>
          </w:p>
        </w:tc>
        <w:tc>
          <w:tcPr>
            <w:tcW w:w="6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Depletion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20" w:type="dxa"/>
            <w:vAlign w:val="bottom"/>
          </w:tcPr>
          <w:p>
            <w:pPr>
              <w:spacing w:after="0"/>
              <w:rPr>
                <w:sz w:val="11"/>
                <w:szCs w:val="11"/>
                <w:color w:val="auto"/>
              </w:rPr>
            </w:pPr>
          </w:p>
        </w:tc>
        <w:tc>
          <w:tcPr>
            <w:tcW w:w="7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Revenues(a)</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Expenses</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15"/>
        </w:trPr>
        <w:tc>
          <w:tcPr>
            <w:tcW w:w="1880" w:type="dxa"/>
            <w:vAlign w:val="bottom"/>
            <w:tcBorders>
              <w:top w:val="single" w:sz="8" w:color="CCEEFF"/>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42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42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9"/>
                <w:szCs w:val="9"/>
                <w:color w:val="auto"/>
              </w:rPr>
            </w:pPr>
          </w:p>
        </w:tc>
        <w:tc>
          <w:tcPr>
            <w:tcW w:w="1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9"/>
                <w:szCs w:val="9"/>
                <w:color w:val="auto"/>
              </w:rPr>
            </w:pPr>
          </w:p>
        </w:tc>
        <w:tc>
          <w:tcPr>
            <w:tcW w:w="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Collection and Disposal:</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8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2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8,703</w:t>
            </w:r>
          </w:p>
        </w:tc>
        <w:tc>
          <w:tcPr>
            <w:tcW w:w="1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10,955</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60" w:type="dxa"/>
            <w:vAlign w:val="bottom"/>
          </w:tcPr>
          <w:p>
            <w:pPr>
              <w:spacing w:after="0"/>
              <w:rPr>
                <w:sz w:val="11"/>
                <w:szCs w:val="11"/>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w:t>
            </w:r>
          </w:p>
        </w:tc>
        <w:tc>
          <w:tcPr>
            <w:tcW w:w="40" w:type="dxa"/>
            <w:vAlign w:val="bottom"/>
          </w:tcPr>
          <w:p>
            <w:pPr>
              <w:spacing w:after="0"/>
              <w:rPr>
                <w:sz w:val="11"/>
                <w:szCs w:val="11"/>
                <w:color w:val="auto"/>
              </w:rPr>
            </w:pP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w:t>
            </w:r>
          </w:p>
        </w:tc>
        <w:tc>
          <w:tcPr>
            <w:tcW w:w="40" w:type="dxa"/>
            <w:vAlign w:val="bottom"/>
          </w:tcPr>
          <w:p>
            <w:pPr>
              <w:spacing w:after="0"/>
              <w:rPr>
                <w:sz w:val="11"/>
                <w:szCs w:val="11"/>
                <w:color w:val="auto"/>
              </w:rPr>
            </w:pP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8,285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6,430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2,693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880" w:type="dxa"/>
            <w:vAlign w:val="bottom"/>
            <w:tcBorders>
              <w:top w:val="single" w:sz="8" w:color="CCEEFF"/>
              <w:left w:val="single" w:sz="8" w:color="CCEEFF"/>
            </w:tcBorders>
            <w:gridSpan w:val="2"/>
            <w:shd w:val="clear" w:color="auto" w:fill="CCEEFF"/>
          </w:tcPr>
          <w:p>
            <w:pPr>
              <w:ind w:left="340"/>
              <w:spacing w:after="0" w:line="97" w:lineRule="exact"/>
              <w:rPr>
                <w:sz w:val="20"/>
                <w:szCs w:val="20"/>
                <w:color w:val="auto"/>
              </w:rPr>
            </w:pPr>
            <w:r>
              <w:rPr>
                <w:rFonts w:ascii="Times New Roman" w:cs="Times New Roman" w:eastAsia="Times New Roman" w:hAnsi="Times New Roman"/>
                <w:sz w:val="10"/>
                <w:szCs w:val="10"/>
                <w:color w:val="auto"/>
              </w:rPr>
              <w:t>Collection and Disposal(e)(f)</w:t>
            </w: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880" w:type="dxa"/>
            <w:vAlign w:val="bottom"/>
            <w:tcBorders>
              <w:lef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Renewable Energy(f)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Healthcare Solutions(g)(h)</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8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22,063</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4,874</w:t>
            </w:r>
          </w:p>
        </w:tc>
        <w:tc>
          <w:tcPr>
            <w:tcW w:w="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26,937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18,236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2,285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420" w:type="dxa"/>
            <w:vAlign w:val="bottom"/>
            <w:tcBorders>
              <w:lef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(4,874)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(4,853)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Borders>
              <w:top w:val="single" w:sz="8" w:color="CCEEFF"/>
              <w:left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22,063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4,063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2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General,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20" w:type="dxa"/>
            <w:vAlign w:val="bottom"/>
          </w:tcPr>
          <w:p>
            <w:pPr>
              <w:spacing w:after="0"/>
              <w:rPr>
                <w:sz w:val="11"/>
                <w:szCs w:val="11"/>
                <w:color w:val="auto"/>
              </w:rPr>
            </w:pPr>
          </w:p>
        </w:tc>
        <w:tc>
          <w:tcPr>
            <w:tcW w:w="7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Revenues(a)</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Revenues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Expenses</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5"/>
              </w:rPr>
              <w:t>​Administrative</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​Expenses(b)</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​Operations(c)</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15"/>
        </w:trPr>
        <w:tc>
          <w:tcPr>
            <w:tcW w:w="1880" w:type="dxa"/>
            <w:vAlign w:val="bottom"/>
            <w:tcBorders>
              <w:top w:val="single" w:sz="8" w:color="CCEEFF"/>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42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42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9"/>
                <w:szCs w:val="9"/>
                <w:color w:val="auto"/>
              </w:rPr>
            </w:pPr>
          </w:p>
        </w:tc>
        <w:tc>
          <w:tcPr>
            <w:tcW w:w="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Collection and Disposal:</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8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2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8,412</w:t>
            </w:r>
          </w:p>
        </w:tc>
        <w:tc>
          <w:tcPr>
            <w:tcW w:w="1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10,533</w:t>
            </w:r>
          </w:p>
        </w:tc>
        <w:tc>
          <w:tcPr>
            <w:tcW w:w="40" w:type="dxa"/>
            <w:vAlign w:val="bottom"/>
          </w:tcPr>
          <w:p>
            <w:pPr>
              <w:spacing w:after="0"/>
              <w:rPr>
                <w:sz w:val="11"/>
                <w:szCs w:val="11"/>
                <w:color w:val="auto"/>
              </w:rPr>
            </w:pPr>
          </w:p>
        </w:tc>
        <w:tc>
          <w:tcPr>
            <w:tcW w:w="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6,747</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986</w:t>
            </w:r>
          </w:p>
        </w:tc>
        <w:tc>
          <w:tcPr>
            <w:tcW w:w="1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2,446</w:t>
            </w:r>
          </w:p>
        </w:tc>
        <w:tc>
          <w:tcPr>
            <w:tcW w:w="40" w:type="dxa"/>
            <w:vAlign w:val="bottom"/>
          </w:tcPr>
          <w:p>
            <w:pPr>
              <w:spacing w:after="0"/>
              <w:rPr>
                <w:sz w:val="11"/>
                <w:szCs w:val="11"/>
                <w:color w:val="auto"/>
              </w:rPr>
            </w:pP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7,935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9,897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880" w:type="dxa"/>
            <w:vAlign w:val="bottom"/>
            <w:tcBorders>
              <w:top w:val="single" w:sz="8" w:color="CCEEFF"/>
              <w:left w:val="single" w:sz="8" w:color="CCEEFF"/>
            </w:tcBorders>
            <w:gridSpan w:val="2"/>
            <w:shd w:val="clear" w:color="auto" w:fill="CCEEFF"/>
          </w:tcPr>
          <w:p>
            <w:pPr>
              <w:ind w:left="340"/>
              <w:spacing w:after="0" w:line="97" w:lineRule="exact"/>
              <w:rPr>
                <w:sz w:val="20"/>
                <w:szCs w:val="20"/>
                <w:color w:val="auto"/>
              </w:rPr>
            </w:pPr>
            <w:r>
              <w:rPr>
                <w:rFonts w:ascii="Times New Roman" w:cs="Times New Roman" w:eastAsia="Times New Roman" w:hAnsi="Times New Roman"/>
                <w:sz w:val="10"/>
                <w:szCs w:val="10"/>
                <w:color w:val="auto"/>
              </w:rPr>
              <w:t>Collection and Disposal(e)(f)</w:t>
            </w: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880" w:type="dxa"/>
            <w:vAlign w:val="bottom"/>
            <w:tcBorders>
              <w:lef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18,865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Renewable Energy(f)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Borders>
              <w:top w:val="single" w:sz="8" w:color="CCEEFF"/>
              <w:left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20,426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25,039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17,204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3,575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(4,613)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(4,598)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20,426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3,575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right="79" w:hanging="330"/>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2.</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businesses. The amounts in income from operations for the years ended December 31, 2025, 2024 and 2023 are $75 million, $100 million and $61 million, respectively.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Renewable Energy for the years ended December 31, 2025, 2024 and 2023 are $72 million, $48 million and $41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Disposal business records intercompany operating revenue for collection and disposal services provided to Healthcare Solutions. The total amount of intercompany operating revenues reflected in our Collection and Disposal businesses and in operating expenses for Healthcare Solutions for the years ended December 31, 2025 and 2024, are $55 million and $8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years ended December 31, 2025 and 2024 activity were made to properly reflect intra-segment activity for both periods. Intra-segment operating revenues and operating expenses within Healthcare Solutions for the years ended December 31, 2025 and 2024 are $425 million and $58 million, respectively.</w:t>
      </w:r>
    </w:p>
    <w:p>
      <w:pPr>
        <w:spacing w:after="0" w:line="8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as of December 31 are as follows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0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East Tier</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 Tier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Consolidated Balance Sheets</w:t>
            </w:r>
          </w:p>
        </w:tc>
        <w:tc>
          <w:tcPr>
            <w:tcW w:w="2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900" w:type="dxa"/>
            <w:vAlign w:val="bottom"/>
            <w:vMerge w:val="restart"/>
          </w:tcPr>
          <w:p>
            <w:pPr>
              <w:jc w:val="right"/>
              <w:ind w:right="2376"/>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year ended December 31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1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4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40" w:type="dxa"/>
            <w:vAlign w:val="bottom"/>
          </w:tcPr>
          <w:p>
            <w:pPr>
              <w:spacing w:after="0"/>
              <w:rPr>
                <w:sz w:val="15"/>
                <w:szCs w:val="15"/>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80" w:type="dxa"/>
            <w:vAlign w:val="bottom"/>
            <w:gridSpan w:val="2"/>
            <w:vMerge w:val="continue"/>
          </w:tcPr>
          <w:p>
            <w:pPr>
              <w:spacing w:after="0"/>
              <w:rPr>
                <w:sz w:val="15"/>
                <w:szCs w:val="15"/>
                <w:color w:val="auto"/>
              </w:rPr>
            </w:pPr>
          </w:p>
        </w:tc>
        <w:tc>
          <w:tcPr>
            <w:tcW w:w="12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540" w:type="dxa"/>
            <w:vAlign w:val="bottom"/>
            <w:gridSpan w:val="2"/>
            <w:vMerge w:val="continue"/>
          </w:tcPr>
          <w:p>
            <w:pPr>
              <w:spacing w:after="0"/>
              <w:rPr>
                <w:sz w:val="15"/>
                <w:szCs w:val="15"/>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4200" w:type="dxa"/>
            <w:vAlign w:val="bottom"/>
            <w:gridSpan w:val="3"/>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3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left="720" w:right="79" w:hanging="319"/>
        <w:spacing w:after="0" w:line="266"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12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2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2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operating revenues relating to operations for the year ended December 31 are as follows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21,107</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Europe(a)(b)</w:t>
            </w:r>
          </w:p>
        </w:tc>
        <w:tc>
          <w:tcPr>
            <w:tcW w:w="4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720" w:right="79" w:hanging="319"/>
        <w:spacing w:after="0" w:line="282"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and 2024 primarily relates to the impact of operations from the U.K., Ireland, Belgium, France, Germany, Luxembourg, and the Netherlands as a result of the November 2024 Stericycle acquisition.</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primarily relates to an acquired smaller recycling-related operations in the Netherlands.</w:t>
      </w:r>
    </w:p>
    <w:p>
      <w:pPr>
        <w:spacing w:after="0" w:line="21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of accumulated depreciation and depletion, relating to operations as of December 31 are as follows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86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 and other(a)</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w:t>
            </w:r>
          </w:p>
        </w:tc>
      </w:tr>
      <w:tr>
        <w:trPr>
          <w:trHeight w:val="20"/>
        </w:trPr>
        <w:tc>
          <w:tcPr>
            <w:tcW w:w="2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and 2024 asset balances primarily relate to Healthcare Solutions’ operations in the U.K., Ireland, Belgium, France, Germany, Luxembourg, and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2025 (the end of the period covered by this Annual Report on Form 10-K)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92" w:lineRule="exact"/>
        <w:rPr>
          <w:sz w:val="20"/>
          <w:szCs w:val="20"/>
          <w:color w:val="auto"/>
        </w:rPr>
      </w:pPr>
    </w:p>
    <w:p>
      <w:pPr>
        <w:ind w:left="720" w:right="79" w:hanging="319"/>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of the Company assessed the effectiveness of our internal control over financial reporting as of December 31, 2025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2025.</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December 31, 2025. During this period, we completed the integration of the internal control over financial reporting of Stericycle, which we acquired in November 2024 and is now referred to herein as our Healthcare Solutions business, with the Company’s overall internal control over financial reporting process. Other than this integration, management determined that there were no changes in our internal control over financial reporting during the quarter ended December 31, 2025 that have materially affected, or are reasonably likely to materially affect, our internal control over financial reporting.</w:t>
      </w:r>
    </w:p>
    <w:p>
      <w:pPr>
        <w:spacing w:after="0" w:line="18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November 17, 2025, Donald J. Smith, Senior Vice President – Operations, adopted a stock trading plan (the “Smith Plan”) intended to satisfy the affirmative defense of Rule 10b5-1(c) under the Exchange Act. The Smith Plan will commence on February 17, 2026, and will automatically terminate on the earlier of February 17, 2027, and the completion of all the contemplated transactions set forth therein. The Smith Plan provides for (i) the potential cashless exercise and sale of up to 4,842 stock options, pursuant to which shares of our common stock will be withheld or sold to cover the option exercise price, tax obligations, commission and fees; and (ii) the potential sale of all net after-tax shares of our common stock received from the payout of performance share unit (“PSU”) equity compensation awards for the performance period ended December 31, 2025. Each of the contemplated transactions will occur upon our common stock reaching specified market prices. Mr. Smith received a target grant of 10,526 PSU awards with a performance period ended December 31, 2025; the number of shares to be paid out to Mr. Smith on account of these PSU awards can range from zero to 200% of the initial target grant. As a result, the number of shares of common stock to potentially be sold pursuant to the Smith Plan will be determined in the first quarter of 2026 based on certification by the Management Development and Compensation Committee of the Board of Directors of the Company’s achievement relative to applicable performance measures for the underlying PSU awards.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30, 2025, Tara J. Hemmer, Senior Vice President and Chief Sustainability Officer, adopted a stock trading plan (the “Hemmer Plan”) intended to satisfy the affirmative defense of Rule 10b5-1(c) under the Exchange Act. The Hemmer Plan will commence on March 2, 2026, and will automatically terminate on the earlier of May 29, 2026, and the completion of all the contemplated transactions set forth therein. The Hemmer Plan provides for the potential sale of up to 66% of net after-tax shares of our common stock received from the payout of PSU equity compensation awards, for the performance period ended December 31, 2025, upon our common stock reaching specified market prices. Ms. Hemmer received a target grant of 9,474 PSU awards with a performance period ended December 31, 2025; the number of shares to be paid out to Ms. Hemmer on account of these PSU awards can range from zero to 200% of the initial target grant. As a result, as described above in connection with the Smith Plan, the number of shares of common stock to potentially be sold pursuant to the Hemmer Plan will be determined in the first quarter of 2026.</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30, 2025, Michael J. Watson, Senior Vice President and Chief Customer Officer, adopted a stock trading plan (the “Watson Plan”) intended to satisfy the affirmative defense of Rule 10b5-1(c) under the Exchange Act. The Watson Plan will commence on March 2, 2026, and will automatically terminate on the earlier of February 26, 2027, and the completion of all the contemplated transactions set forth therein. The Watson Plan provides for (i) the potential cashless exercise and sale of up to 12,642 stock options, pursuant to which shares of our common stock will be withheld or sold to cover the option exercise price, tax obligations, commission and fees; and (ii) the potential sale of all net after-tax shares of our common stock received from the payout of PSU equity compensation awards for the performance period ended December 31, 2025. Each of the contemplated transactions will occur upon our common stock reaching specified market prices. Mr. Watson received a target grant of 7,474 PSU awards with a performance period ended December 31, 2025; the number of shares to be paid out to Mr. Watson on account of these PSU awards can range from zero to 200% of the initial target grant. As a result, as described above in connection with the Smith Plan, the number of shares of common stock to potentially be sold pursuant to the Watson Plan will be determined in the first quarter of 2026.</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4, 2025, John J. Morris, Jr., President and Chief Operating Officer, adopted a stock trading plan (the “Morris Plan”) intended to satisfy the affirmative defense of Rule 10b5-1(c) under the Exchange Act. The Morris Plan will commence on March 6, 2026, and will automatically terminate on the earlier of February 2, 2027, and the completion of all the contemplated transactions set forth therein. The Morris Plan provides for (i) the potential cashless exercise of up to 5,484 stock options, pursuant to which shares of our common stock will be withheld or sold to cover the option exercise price, tax obligations, commission and fees, and Mr. Morris will then receive all remaining shares of common stock after the settlement; and (ii) the potential sale of up to 75% of net after-tax shares of our common stock received from the payout of PSU equity compensation awards for the performance period ended December 31, 2025. Each of the contemplated transactions will occur upon our common stock reaching specified market prices. Mr. Morris received a target grant of 14,210 PSU awards with a performance period ended December 31, 2025; the number of shares to be paid out to Mr. Morris on account of these PSU awards can range from zero to 200% of the initial target grant. As a result, as described above in connection with the Smith Plan, the number of shares of common stock to potentially be sold pursuant to the Morris Plan will be determined in the first quarter of 2026.</w:t>
      </w:r>
    </w:p>
    <w:p>
      <w:pPr>
        <w:spacing w:after="0" w:line="183"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that applies to our CEO, President and COO, CFO and Chief Accounting Officer, as well as other officers, directors and employees of the Company. The code of ethics, entitled “Code of Conduct,” is available online at investors.wm.com in the tab “Sustainability &amp; Governance — Corporate Governance” (investors.wm.com/sustainability-governance/governance). We intend to post any amendments to the Code of Conduct that apply to our officers and directors, and any required disclosure of waivers from the Code of Conduct, to the “Sustainability &amp; Governance — Corporate Governance” tab at investors.wm.com.</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Company securities by directors, officers, employees, contractors and consultants providing services to the Company, as well as by the Company itself, that we believe is reasonably designed to promote compliance with insider trading laws, rules and regulations and New York Stock Exchange listing standards. The foregoing summary of the Insider Trading Policy does not purport to be complete and is qualified in its entirety by reference to the full text of the Insider Trading Policy filed as Exhibit 19.1 to this Annual Report.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All other information required by this Item will be included in the Company’s definitive proxy statement for its 2026 Annual Meeting of Stockholders (the “2026 Proxy Statement”) to be filed with SEC within 120 days of the end of our fiscal year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(1) Consolidated Financial Statements:</w:t>
      </w:r>
    </w:p>
    <w:p>
      <w:pPr>
        <w:spacing w:after="0" w:line="225" w:lineRule="exact"/>
        <w:rPr>
          <w:sz w:val="20"/>
          <w:szCs w:val="20"/>
          <w:color w:val="auto"/>
        </w:rPr>
      </w:pPr>
    </w:p>
    <w:p>
      <w:pPr>
        <w:ind w:left="380" w:right="3999"/>
        <w:spacing w:after="0" w:line="276" w:lineRule="auto"/>
        <w:rPr>
          <w:sz w:val="20"/>
          <w:szCs w:val="20"/>
          <w:color w:val="auto"/>
        </w:rPr>
      </w:pPr>
      <w:r>
        <w:rPr>
          <w:rFonts w:ascii="Times New Roman" w:cs="Times New Roman" w:eastAsia="Times New Roman" w:hAnsi="Times New Roman"/>
          <w:sz w:val="17"/>
          <w:szCs w:val="17"/>
          <w:color w:val="auto"/>
        </w:rPr>
        <w:t>Reports of Independent Registered Public Accounting Firm Consolidated Balance Sheets as of December 31, 2025 and 2024</w:t>
      </w:r>
    </w:p>
    <w:p>
      <w:pPr>
        <w:spacing w:after="0" w:line="1" w:lineRule="exact"/>
        <w:rPr>
          <w:sz w:val="20"/>
          <w:szCs w:val="20"/>
          <w:color w:val="auto"/>
        </w:rPr>
      </w:pPr>
    </w:p>
    <w:p>
      <w:pPr>
        <w:ind w:left="380" w:right="879"/>
        <w:spacing w:after="0" w:line="253" w:lineRule="auto"/>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 Consolidated Statements of Comprehensive Income for the years ended December 31, 2025, 2024 and 2023 Consolidated Statements of Cash Flows for the years ended December 31, 2025, 2024 and 2023 Consolidated Statements of Changes in Equity for the years ended December 31, 2025, 2024 and 2023 Notes to Consolidated Financial Statements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(2) Consolidated Financial Statement Schedules:</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significant or is included in the financial statements or notes thereto, or is not applicable.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(3) Exhibits:</w:t>
      </w:r>
    </w:p>
    <w:p>
      <w:pPr>
        <w:spacing w:after="0" w:line="219" w:lineRule="exact"/>
        <w:rPr>
          <w:sz w:val="20"/>
          <w:szCs w:val="20"/>
          <w:color w:val="auto"/>
        </w:rPr>
      </w:pPr>
    </w:p>
    <w:p>
      <w:pPr>
        <w:ind w:left="60"/>
        <w:spacing w:after="0"/>
        <w:tabs>
          <w:tab w:leader="none" w:pos="47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7620</wp:posOffset>
            </wp:positionV>
            <wp:extent cx="4869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ind w:left="960" w:right="399" w:hanging="122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EE"/>
          </w:rPr>
          <w:t>Fourth Restated Certificate of Incorporation of Waste Management, Inc. [incorporated by reference to</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EE"/>
          </w:rPr>
          <w:t>Exhibit 3.2 to Form 8-K dated May 14, 2024].</w:t>
        </w:r>
      </w:hyperlink>
    </w:p>
    <w:p>
      <w:pPr>
        <w:spacing w:after="0" w:line="1" w:lineRule="exact"/>
        <w:rPr>
          <w:sz w:val="20"/>
          <w:szCs w:val="20"/>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EE"/>
          </w:rPr>
          <w:t>Amended and Restated By-laws of Waste Management, Inc. [incorporated by reference to Exhibit 3.2 to</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EE"/>
          </w:rPr>
          <w:t>Form 8-K dated November 6, 2023].</w:t>
        </w:r>
      </w:hyperlink>
    </w:p>
    <w:p>
      <w:pPr>
        <w:spacing w:after="0" w:line="1" w:lineRule="exact"/>
        <w:rPr>
          <w:sz w:val="20"/>
          <w:szCs w:val="20"/>
          <w:color w:val="auto"/>
        </w:rPr>
      </w:pPr>
    </w:p>
    <w:p>
      <w:pPr>
        <w:ind w:left="960" w:right="3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EE"/>
          </w:rPr>
          <w:t>Specimen Stock Certificate [incorporated by reference to Exhibit 4.1 to Form 10-K for the year ended</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EE"/>
          </w:rPr>
          <w:t>December 31, 1998].</w:t>
        </w:r>
      </w:hyperlink>
    </w:p>
    <w:p>
      <w:pPr>
        <w:spacing w:after="0" w:line="1" w:lineRule="exact"/>
        <w:rPr>
          <w:sz w:val="20"/>
          <w:szCs w:val="20"/>
          <w:color w:val="auto"/>
        </w:rPr>
      </w:pPr>
    </w:p>
    <w:p>
      <w:pPr>
        <w:ind w:left="960" w:right="6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Third Restated Certificate of Incorporation of Waste Management Holdings, Inc. [incorporated by</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reference to Exhibit 4.2 to Form 10-K for the year ended December 31, 2014].</w:t>
        </w:r>
      </w:hyperlink>
    </w:p>
    <w:p>
      <w:pPr>
        <w:spacing w:after="0" w:line="1" w:lineRule="exact"/>
        <w:rPr>
          <w:sz w:val="20"/>
          <w:szCs w:val="20"/>
          <w:color w:val="auto"/>
        </w:rPr>
      </w:pPr>
    </w:p>
    <w:p>
      <w:pPr>
        <w:ind w:left="960" w:right="55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EE"/>
          </w:rPr>
          <w:t>Amended and Restated By-laws of Waste Management Holdings, Inc. [incorporated by reference to</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EE"/>
          </w:rPr>
          <w:t>Exhibit 4.3 to Form 10-Q for the quarter ended June 30, 2014].</w:t>
        </w:r>
      </w:hyperlink>
    </w:p>
    <w:p>
      <w:pPr>
        <w:spacing w:after="0" w:line="1" w:lineRule="exact"/>
        <w:rPr>
          <w:sz w:val="20"/>
          <w:szCs w:val="20"/>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EE"/>
          </w:rPr>
          <w:t>Indenture for Subordinated Debt Securities dated February 1, 1997, among the Registrant and The Bank</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EE"/>
          </w:rPr>
          <w:t>of New York Mellon Trust Company, N.A. (the current successor to Texas Commerce Bank National</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Association), as trustee [incorporated by reference to Exhibit 4.1 to Form 8-K dated February 7, 1997].</w:t>
        </w:r>
      </w:hyperlink>
    </w:p>
    <w:p>
      <w:pPr>
        <w:spacing w:after="0" w:line="1" w:lineRule="exact"/>
        <w:rPr>
          <w:rFonts w:ascii="Times New Roman" w:cs="Times New Roman" w:eastAsia="Times New Roman" w:hAnsi="Times New Roman"/>
          <w:sz w:val="18"/>
          <w:szCs w:val="18"/>
          <w:color w:val="auto"/>
        </w:rPr>
      </w:pPr>
    </w:p>
    <w:p>
      <w:pPr>
        <w:ind w:left="960" w:right="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EE"/>
          </w:rPr>
          <w:t>Indenture for Senior Debt Securities dated September 10, 1997, among the Registrant and The Bank of</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EE"/>
          </w:rPr>
          <w:t>New York Mellon Trust Company, N.A. (the current successor to Texas Commerce Bank National</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Association), as trustee [incorporated by reference to Exhibit 4.1 to Form 8-K dated September 10, 1997].</w:t>
        </w:r>
      </w:hyperlink>
    </w:p>
    <w:p>
      <w:pPr>
        <w:spacing w:after="0" w:line="1" w:lineRule="exact"/>
        <w:rPr>
          <w:rFonts w:ascii="Times New Roman" w:cs="Times New Roman" w:eastAsia="Times New Roman" w:hAnsi="Times New Roman"/>
          <w:sz w:val="18"/>
          <w:szCs w:val="18"/>
          <w:color w:val="auto"/>
        </w:rPr>
      </w:pPr>
    </w:p>
    <w:p>
      <w:pPr>
        <w:ind w:left="960" w:right="41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Description of Waste Management, Inc.’s Common Stock [incorporated by reference to Exhibit 4.6 to</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Form 10-K for the year ended December 31, 2024].</w:t>
        </w:r>
      </w:hyperlink>
    </w:p>
    <w:p>
      <w:pPr>
        <w:spacing w:after="0" w:line="1" w:lineRule="exact"/>
        <w:rPr>
          <w:sz w:val="20"/>
          <w:szCs w:val="20"/>
          <w:color w:val="auto"/>
        </w:rPr>
      </w:pPr>
    </w:p>
    <w:p>
      <w:pPr>
        <w:ind w:left="960" w:right="119" w:hanging="1227"/>
        <w:spacing w:after="0" w:line="250" w:lineRule="auto"/>
        <w:tabs>
          <w:tab w:leader="none" w:pos="9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Schedule of Officers’ Certificates delivered pursuant to Section 301 of the Indenture dated September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1997 establishing the terms and form of Waste Management, Inc.’s Senior Notes. Waste Management and its subsidiaries are parties to debt instruments that have not been filed with the SEC under which the total amount of securities authorized under any single instrument does not exceed 10% of the total assets of Waste Management and its subsidiaries on a consolidated basis. Pursuant to paragraph 4(iii)(A) of</w:t>
      </w:r>
    </w:p>
    <w:p>
      <w:pPr>
        <w:spacing w:after="0" w:line="2" w:lineRule="exact"/>
        <w:rPr>
          <w:sz w:val="20"/>
          <w:szCs w:val="20"/>
          <w:color w:val="auto"/>
        </w:rPr>
      </w:pPr>
    </w:p>
    <w:p>
      <w:pPr>
        <w:ind w:left="1280" w:right="339"/>
        <w:spacing w:after="0" w:line="260" w:lineRule="auto"/>
        <w:rPr>
          <w:sz w:val="20"/>
          <w:szCs w:val="20"/>
          <w:color w:val="auto"/>
        </w:rPr>
      </w:pPr>
      <w:r>
        <w:rPr>
          <w:rFonts w:ascii="Times New Roman" w:cs="Times New Roman" w:eastAsia="Times New Roman" w:hAnsi="Times New Roman"/>
          <w:sz w:val="18"/>
          <w:szCs w:val="18"/>
          <w:u w:val="single" w:color="auto"/>
          <w:color w:val="0000EE"/>
        </w:rPr>
        <w:t>Item 601(b) of Regulation S-K, Waste Management agrees to furnish a copy of such instruments to the SEC upon request.</w:t>
      </w:r>
    </w:p>
    <w:p>
      <w:pPr>
        <w:sectPr>
          <w:pgSz w:w="11900" w:h="16838" w:orient="portrait"/>
          <w:cols w:equalWidth="0" w:num="1">
            <w:col w:w="9019"/>
          </w:cols>
          <w:pgMar w:left="1440" w:top="60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right="579" w:hanging="122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Officers’ Certificate delivered pursuant to Section 301 of the Indenture dated September 10, 1997</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establishing the terms and form of the 4.500% Senior Notes due 2028 [incorporated by reference to</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Exhibit 4.8 to Form 10-K for the year ended December 31, 2024].</w:t>
        </w:r>
      </w:hyperlink>
    </w:p>
    <w:p>
      <w:pPr>
        <w:spacing w:after="0" w:line="1" w:lineRule="exact"/>
        <w:rPr>
          <w:rFonts w:ascii="Times New Roman" w:cs="Times New Roman" w:eastAsia="Times New Roman" w:hAnsi="Times New Roman"/>
          <w:sz w:val="18"/>
          <w:szCs w:val="18"/>
          <w:color w:val="auto"/>
        </w:rPr>
      </w:pPr>
    </w:p>
    <w:p>
      <w:pPr>
        <w:jc w:val="both"/>
        <w:ind w:left="960" w:right="2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EE"/>
          </w:rPr>
          <w:t>Guarantee Agreement by Waste Management Holdings, Inc. in favor of The Bank of New York Mellon</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EE"/>
          </w:rPr>
          <w:t>Trust Company, N.A., as Trustee for the holders of the 4.500% Senior Notes due 2028 [incorporated by</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reference to Exhibit 4.13 to Form 10-K for the year ended December 31, 2024].</w:t>
        </w:r>
      </w:hyperlink>
    </w:p>
    <w:p>
      <w:pPr>
        <w:spacing w:after="0" w:line="1"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1">
        <w:r>
          <w:rPr>
            <w:rFonts w:ascii="Times New Roman" w:cs="Times New Roman" w:eastAsia="Times New Roman" w:hAnsi="Times New Roman"/>
            <w:sz w:val="18"/>
            <w:szCs w:val="18"/>
            <w:u w:val="single" w:color="auto"/>
            <w:color w:val="0000EE"/>
          </w:rPr>
          <w:t>2023 Stock Incentive Plan [incorporated by reference to Exhibit 10.1 to Form 8-K dated May 9, 2023].</w:t>
        </w:r>
      </w:hyperlink>
    </w:p>
    <w:p>
      <w:pPr>
        <w:spacing w:after="0" w:line="9"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2">
        <w:r>
          <w:rPr>
            <w:rFonts w:ascii="Times New Roman" w:cs="Times New Roman" w:eastAsia="Times New Roman" w:hAnsi="Times New Roman"/>
            <w:sz w:val="17"/>
            <w:szCs w:val="17"/>
            <w:u w:val="single" w:color="auto"/>
            <w:color w:val="0000EE"/>
          </w:rPr>
          <w:t>2014 Stock Incentive Plan [incorporated by reference to Exhibit 10.1 to Form 8-K dated May 13, 2014].</w:t>
        </w:r>
      </w:hyperlink>
    </w:p>
    <w:p>
      <w:pPr>
        <w:spacing w:after="0" w:line="9" w:lineRule="exact"/>
        <w:rPr>
          <w:rFonts w:ascii="Times New Roman" w:cs="Times New Roman" w:eastAsia="Times New Roman" w:hAnsi="Times New Roman"/>
          <w:sz w:val="18"/>
          <w:szCs w:val="18"/>
          <w:color w:val="auto"/>
        </w:rPr>
      </w:pPr>
    </w:p>
    <w:p>
      <w:pPr>
        <w:ind w:left="960" w:right="3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First Amendment to 2014 Stock Incentive Plan [incorporated by reference to Exhibit 10.2 to Form 8-K</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dated May 12, 2020].</w:t>
        </w:r>
      </w:hyperlink>
    </w:p>
    <w:p>
      <w:pPr>
        <w:spacing w:after="0" w:line="1" w:lineRule="exact"/>
        <w:rPr>
          <w:sz w:val="20"/>
          <w:szCs w:val="20"/>
          <w:color w:val="auto"/>
        </w:rPr>
      </w:pPr>
    </w:p>
    <w:p>
      <w:pPr>
        <w:ind w:left="960" w:right="1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EE"/>
          </w:rPr>
          <w:t>Second Amendment to 2014 Stock Incentive Plan [incorporated by reference to Exhibit 10.3 to Form 10-</w:t>
        </w:r>
      </w:hyperlink>
      <w:hyperlink r:id="rId164">
        <w:r>
          <w:rPr>
            <w:rFonts w:ascii="Times New Roman" w:cs="Times New Roman" w:eastAsia="Times New Roman" w:hAnsi="Times New Roman"/>
            <w:sz w:val="18"/>
            <w:szCs w:val="18"/>
            <w:u w:val="single" w:color="auto"/>
            <w:color w:val="0000EE"/>
          </w:rPr>
          <w:t>Q for the quarter ended June 30, 2022].</w:t>
        </w:r>
      </w:hyperlink>
    </w:p>
    <w:p>
      <w:pPr>
        <w:spacing w:after="0" w:line="1" w:lineRule="exact"/>
        <w:rPr>
          <w:sz w:val="20"/>
          <w:szCs w:val="20"/>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5">
        <w:r>
          <w:rPr>
            <w:rFonts w:ascii="Times New Roman" w:cs="Times New Roman" w:eastAsia="Times New Roman" w:hAnsi="Times New Roman"/>
            <w:sz w:val="17"/>
            <w:szCs w:val="17"/>
            <w:u w:val="single" w:color="auto"/>
            <w:color w:val="0000EE"/>
          </w:rPr>
          <w:t>Waste Management, Inc. Employee Stock Purchase Plan (As Amended and Restated effective May 12,</w:t>
        </w:r>
      </w:hyperlink>
    </w:p>
    <w:p>
      <w:pPr>
        <w:spacing w:after="0" w:line="9"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2020) [incorporated by reference to Exhibit 10.1 to Form 8-K dated May 12, 2020].</w:t>
        </w:r>
      </w:hyperlink>
    </w:p>
    <w:p>
      <w:pPr>
        <w:spacing w:after="0" w:line="9" w:lineRule="exact"/>
        <w:rPr>
          <w:sz w:val="20"/>
          <w:szCs w:val="20"/>
          <w:color w:val="auto"/>
        </w:rPr>
      </w:pPr>
    </w:p>
    <w:p>
      <w:pPr>
        <w:jc w:val="center"/>
        <w:ind w:left="60" w:right="65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  </w:t>
      </w:r>
      <w:hyperlink r:id="rId166">
        <w:r>
          <w:rPr>
            <w:rFonts w:ascii="Times New Roman" w:cs="Times New Roman" w:eastAsia="Times New Roman" w:hAnsi="Times New Roman"/>
            <w:sz w:val="18"/>
            <w:szCs w:val="18"/>
            <w:u w:val="single" w:color="auto"/>
            <w:color w:val="0000EE"/>
          </w:rPr>
          <w:t>First Amendment to the Waste Management, Inc. Employee Stock Purchase Plan [incorporated by</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reference to Exhibit 10.8 to Form 10-K for the year ended December 31, 2023].</w:t>
        </w:r>
      </w:hyperlink>
    </w:p>
    <w:p>
      <w:pPr>
        <w:spacing w:after="0" w:line="1" w:lineRule="exact"/>
        <w:rPr>
          <w:sz w:val="20"/>
          <w:szCs w:val="20"/>
          <w:color w:val="auto"/>
        </w:rPr>
      </w:pPr>
    </w:p>
    <w:p>
      <w:pPr>
        <w:ind w:left="960" w:right="11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Waste Management, Inc. 409A Deferral Savings Plan as Amended and Restated effective January 1, 2014</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[incorporated by reference to Exhibit 10.2 to Form 10-Q for the quarter ended March 31, 2014].</w:t>
        </w:r>
      </w:hyperlink>
    </w:p>
    <w:p>
      <w:pPr>
        <w:spacing w:after="0" w:line="1" w:lineRule="exact"/>
        <w:rPr>
          <w:sz w:val="20"/>
          <w:szCs w:val="20"/>
          <w:color w:val="auto"/>
        </w:rPr>
      </w:pPr>
    </w:p>
    <w:p>
      <w:pPr>
        <w:ind w:left="960" w:right="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EE"/>
          </w:rPr>
          <w:t>$3.5 Billion Seventh Amended and Restated Revolving Credit Agreement dated as of May 8, 2024 by and</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EE"/>
          </w:rPr>
          <w:t>among Waste Management, Inc., Waste Management of Canada Corporation, WM Quebec Inc. and Waste</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Management Holdings, Inc., certain banks party thereto, and Bank of America, N.A., as administrative</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agent [incorporated by reference to Exhibit 10.1 to Form 8-K dated May 8, 2024].</w:t>
        </w:r>
      </w:hyperlink>
    </w:p>
    <w:p>
      <w:pPr>
        <w:spacing w:after="0" w:line="2" w:lineRule="exact"/>
        <w:rPr>
          <w:rFonts w:ascii="Times New Roman" w:cs="Times New Roman" w:eastAsia="Times New Roman" w:hAnsi="Times New Roman"/>
          <w:sz w:val="18"/>
          <w:szCs w:val="18"/>
          <w:u w:val="single" w:color="auto"/>
          <w:color w:val="0000EE"/>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69">
        <w:r>
          <w:rPr>
            <w:rFonts w:ascii="Times New Roman" w:cs="Times New Roman" w:eastAsia="Times New Roman" w:hAnsi="Times New Roman"/>
            <w:sz w:val="17"/>
            <w:szCs w:val="17"/>
            <w:u w:val="single" w:color="auto"/>
            <w:color w:val="0000EE"/>
          </w:rPr>
          <w:t>Amendment No. 1 to Seventh Amended and Restated Revolving Credit Agreement dated as of November</w:t>
        </w:r>
      </w:hyperlink>
    </w:p>
    <w:p>
      <w:pPr>
        <w:spacing w:after="0" w:line="9" w:lineRule="exact"/>
        <w:rPr>
          <w:rFonts w:ascii="Times New Roman" w:cs="Times New Roman" w:eastAsia="Times New Roman" w:hAnsi="Times New Roman"/>
          <w:sz w:val="18"/>
          <w:szCs w:val="18"/>
          <w:u w:val="single" w:color="auto"/>
          <w:color w:val="0000EE"/>
        </w:rPr>
      </w:pPr>
    </w:p>
    <w:p>
      <w:pPr>
        <w:ind w:left="1280"/>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22, 2024 [incorporated by reference to Exhibit 10.10 to Form 10-K for the year ended December 31,</w:t>
        </w:r>
      </w:hyperlink>
    </w:p>
    <w:p>
      <w:pPr>
        <w:spacing w:after="0" w:line="9" w:lineRule="exact"/>
        <w:rPr>
          <w:rFonts w:ascii="Times New Roman" w:cs="Times New Roman" w:eastAsia="Times New Roman" w:hAnsi="Times New Roman"/>
          <w:sz w:val="18"/>
          <w:szCs w:val="18"/>
          <w:u w:val="single" w:color="auto"/>
          <w:color w:val="0000EE"/>
        </w:rPr>
      </w:pPr>
    </w:p>
    <w:p>
      <w:pPr>
        <w:ind w:left="1280"/>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2024].</w:t>
        </w:r>
      </w:hyperlink>
    </w:p>
    <w:p>
      <w:pPr>
        <w:spacing w:after="0" w:line="9" w:lineRule="exact"/>
        <w:rPr>
          <w:rFonts w:ascii="Times New Roman" w:cs="Times New Roman" w:eastAsia="Times New Roman" w:hAnsi="Times New Roman"/>
          <w:sz w:val="18"/>
          <w:szCs w:val="18"/>
          <w:u w:val="single" w:color="auto"/>
          <w:color w:val="0000EE"/>
        </w:rPr>
      </w:pPr>
    </w:p>
    <w:p>
      <w:pPr>
        <w:ind w:left="960" w:right="99" w:hanging="1227"/>
        <w:spacing w:after="0" w:line="253"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Commercial Paper Dealer Agreement, substantially in the form as executed with each of Mizuho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Securities USA LLC, BofA Securities, Inc., J.P. Morgan Securities LLC, MUFG Securities Americas Inc.,</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Wells Fargo Securities, LLC, RBC Capital Markets, LLC, Siebert Williams Shank &amp; Co., LLC, and</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Barclays Capital Inc. as Dealer [incorporated by reference to Exhibit 10.11 to Form 10-K for the year</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ended December 31, 2016].</w:t>
        </w:r>
      </w:hyperlink>
    </w:p>
    <w:p>
      <w:pPr>
        <w:spacing w:after="0" w:line="207" w:lineRule="exact"/>
        <w:rPr>
          <w:rFonts w:ascii="Times New Roman" w:cs="Times New Roman" w:eastAsia="Times New Roman" w:hAnsi="Times New Roman"/>
          <w:sz w:val="18"/>
          <w:szCs w:val="18"/>
          <w:u w:val="single" w:color="auto"/>
          <w:color w:val="0000EE"/>
        </w:rPr>
      </w:pPr>
    </w:p>
    <w:p>
      <w:pPr>
        <w:jc w:val="both"/>
        <w:ind w:left="960" w:right="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Commercial Paper Issuing and Paying Agent Agreement between Waste Management, Inc. and U.S. Bank</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Trust Company, National Association dated October 28, 2022. [incorporated by reference to Exhibit 10.11</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to Form 10-K for the year ended December 31, 2022].</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First Amended and Restated Employment Agreement between USA Waste-Management Resources, LLC</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and James C. Fish, Jr. dated December 22, 2017 [incorporated by reference to Exhibit 10.2 to Form 8-K</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dated December 22, 2017].</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6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EE"/>
          </w:rPr>
          <w:t>Compensation Relinquishment Agreement between USA Waste-Management Resources, LLC and James</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EE"/>
          </w:rPr>
          <w:t>C. Fish, Jr. [incorporated by reference to Exhibit 10.14 to Form 10-K for the year ended December 31,</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2023].</w:t>
        </w:r>
      </w:hyperlink>
    </w:p>
    <w:p>
      <w:pPr>
        <w:spacing w:after="0" w:line="200" w:lineRule="exact"/>
        <w:rPr>
          <w:rFonts w:ascii="Times New Roman" w:cs="Times New Roman" w:eastAsia="Times New Roman" w:hAnsi="Times New Roman"/>
          <w:sz w:val="18"/>
          <w:szCs w:val="18"/>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First Amendment to Compensation Relinquishment Agreement between USA Waste-Management</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Resources, LLC and James C. Fish, Jr. [incorporated by reference to Exhibit 10.15 to Form 10-K for the</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year ended December 31, 2023].</w:t>
        </w:r>
      </w:hyperlink>
    </w:p>
    <w:p>
      <w:pPr>
        <w:spacing w:after="0" w:line="1" w:lineRule="exact"/>
        <w:rPr>
          <w:rFonts w:ascii="Times New Roman" w:cs="Times New Roman" w:eastAsia="Times New Roman" w:hAnsi="Times New Roman"/>
          <w:sz w:val="18"/>
          <w:szCs w:val="18"/>
          <w:color w:val="auto"/>
        </w:rPr>
      </w:pPr>
    </w:p>
    <w:p>
      <w:pPr>
        <w:ind w:left="960" w:right="1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Employment Agreement between USA Waste-Management Resources, LLC and Devina A. Rankin dated</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December 22, 2017 [incorporated by reference to Exhibit 10.3 to Form 8-K dated December 22, 2017].</w:t>
        </w:r>
      </w:hyperlink>
    </w:p>
    <w:p>
      <w:pPr>
        <w:spacing w:after="0" w:line="1" w:lineRule="exact"/>
        <w:rPr>
          <w:sz w:val="20"/>
          <w:szCs w:val="20"/>
          <w:color w:val="auto"/>
        </w:rPr>
      </w:pPr>
    </w:p>
    <w:p>
      <w:pPr>
        <w:jc w:val="right"/>
        <w:ind w:left="60" w:right="11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  </w:t>
      </w:r>
      <w:hyperlink r:id="rId176">
        <w:r>
          <w:rPr>
            <w:rFonts w:ascii="Times New Roman" w:cs="Times New Roman" w:eastAsia="Times New Roman" w:hAnsi="Times New Roman"/>
            <w:sz w:val="18"/>
            <w:szCs w:val="18"/>
            <w:u w:val="single" w:color="auto"/>
            <w:color w:val="0000EE"/>
          </w:rPr>
          <w:t>First Amended and Restated Employment Agreement between USA Waste-Management Resources, LLC</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and John J. Morris, Jr. [incorporated by reference to Exhibit 10.4 to Form 8-K dated December 22, 2017].</w:t>
        </w:r>
      </w:hyperlink>
    </w:p>
    <w:p>
      <w:pPr>
        <w:spacing w:after="0" w:line="1" w:lineRule="exact"/>
        <w:rPr>
          <w:sz w:val="20"/>
          <w:szCs w:val="20"/>
          <w:color w:val="auto"/>
        </w:rPr>
      </w:pPr>
    </w:p>
    <w:p>
      <w:pPr>
        <w:ind w:left="960" w:right="25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First Amendment to First Amended and Restated Employment Agreement between USA Waste-</w:t>
        </w:r>
      </w:hyperlink>
      <w:hyperlink r:id="rId177">
        <w:r>
          <w:rPr>
            <w:rFonts w:ascii="Times New Roman" w:cs="Times New Roman" w:eastAsia="Times New Roman" w:hAnsi="Times New Roman"/>
            <w:sz w:val="18"/>
            <w:szCs w:val="18"/>
            <w:u w:val="single" w:color="auto"/>
            <w:color w:val="0000EE"/>
          </w:rPr>
          <w:t>Management Resources, LLC and John J. Morris, Jr. [incorporated by reference to Exhibit 10.1 to Form</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10-Q for the quarter ended June 30, 2025].</w:t>
        </w:r>
      </w:hyperlink>
    </w:p>
    <w:p>
      <w:pPr>
        <w:spacing w:after="0" w:line="1" w:lineRule="exact"/>
        <w:rPr>
          <w:rFonts w:ascii="Times New Roman" w:cs="Times New Roman" w:eastAsia="Times New Roman" w:hAnsi="Times New Roman"/>
          <w:sz w:val="18"/>
          <w:szCs w:val="18"/>
          <w:color w:val="auto"/>
        </w:rPr>
      </w:pPr>
    </w:p>
    <w:p>
      <w:pPr>
        <w:jc w:val="both"/>
        <w:ind w:left="960" w:right="339" w:hanging="1227"/>
        <w:spacing w:after="0" w:line="255"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EE"/>
          </w:rPr>
          <w:t>Employment Agreement between USA Waste-Management Resources, LLC and Charles C. Boettcher</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EE"/>
          </w:rPr>
          <w:t>dated December 22, 2017 [incorporated by reference to Exhibit 10.23 to Form 10-K for the year ended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December 31, 2017].</w:t>
        </w:r>
      </w:hyperlink>
    </w:p>
    <w:p>
      <w:pPr>
        <w:sectPr>
          <w:pgSz w:w="11900" w:h="16838" w:orient="portrait"/>
          <w:cols w:equalWidth="0" w:num="1">
            <w:col w:w="9019"/>
          </w:cols>
          <w:pgMar w:left="1440" w:top="60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180" w:type="dxa"/>
            <w:vAlign w:val="bottom"/>
            <w:gridSpan w:val="3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0000EE"/>
                </w:rPr>
                <w:t>Form of Director and Executive Officer Indemnity Agreement [incorporated by reference to Exhibit 10.43</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to Form 10-K for the year ended December 31, 2012].</w:t>
              </w:r>
            </w:hyperlink>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EE"/>
                </w:rPr>
                <w:t>Waste Management Holdings, Inc. Executive Severance Plan [incorporated by reference to Exhibit 10.1 to</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Form 8-K dated December 22, 2017].</w:t>
              </w:r>
            </w:hyperlink>
          </w:p>
        </w:tc>
        <w:tc>
          <w:tcPr>
            <w:tcW w:w="4940" w:type="dxa"/>
            <w:vAlign w:val="bottom"/>
            <w:tcBorders>
              <w:top w:val="single" w:sz="8" w:color="0000EE"/>
            </w:tcBorders>
            <w:gridSpan w:val="25"/>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color w:val="0000EE"/>
                </w:rPr>
                <w:t>Form of 2022 Long Term Incentive Compensation Award Agreement for Senior Leadership Team</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[incorporated by reference to Exhibit 10.1 to Form 8-K dated March 1, 2022].</w:t>
              </w:r>
            </w:hyperlink>
          </w:p>
        </w:tc>
        <w:tc>
          <w:tcPr>
            <w:tcW w:w="1440" w:type="dxa"/>
            <w:vAlign w:val="bottom"/>
            <w:tcBorders>
              <w:top w:val="single" w:sz="8" w:color="0000EE"/>
            </w:tcBorders>
            <w:gridSpan w:val="6"/>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color w:val="0000EE"/>
                </w:rPr>
                <w:t>Form of 2022 Long Term Incentive Compensation RSU Award Agreement [incorporated by reference to</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Exhibit 10.2 to Form 8-K dated March 1, 2022].</w:t>
              </w:r>
            </w:hyperlink>
          </w:p>
        </w:tc>
        <w:tc>
          <w:tcPr>
            <w:tcW w:w="406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color w:val="0000EE"/>
                </w:rPr>
                <w:t>Form of 2023 Long Term Incentive Compensation Award Agreement for Senior Leadership Team</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[incorporated by reference to Exhibit 10.1 to Form 8-K dated March 7, 2023].</w:t>
              </w:r>
            </w:hyperlink>
          </w:p>
        </w:tc>
        <w:tc>
          <w:tcPr>
            <w:tcW w:w="1440" w:type="dxa"/>
            <w:vAlign w:val="bottom"/>
            <w:tcBorders>
              <w:top w:val="single" w:sz="8" w:color="0000EE"/>
            </w:tcBorders>
            <w:gridSpan w:val="6"/>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EE"/>
                </w:rPr>
                <w:t>Form of 2024 Long Term Incentive Compensation Award Agreement for Senior Leadership Team</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[incorporated by reference to Exhibit 10.1 to Form 8-K dated March 1, 2024].</w:t>
              </w:r>
            </w:hyperlink>
          </w:p>
        </w:tc>
        <w:tc>
          <w:tcPr>
            <w:tcW w:w="1440" w:type="dxa"/>
            <w:vAlign w:val="bottom"/>
            <w:tcBorders>
              <w:top w:val="single" w:sz="8" w:color="0000EE"/>
            </w:tcBorders>
            <w:gridSpan w:val="6"/>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EE"/>
                </w:rPr>
                <w:t>Form of 2024 Executive Officer Annual Incentive Award Agreement for Senior Leadership Team</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[incorporated by reference to Exhibit 10.2 to Form 8-K dated March 1, 2024].</w:t>
              </w:r>
            </w:hyperlink>
          </w:p>
        </w:tc>
        <w:tc>
          <w:tcPr>
            <w:tcW w:w="1400" w:type="dxa"/>
            <w:vAlign w:val="bottom"/>
            <w:tcBorders>
              <w:top w:val="single" w:sz="8" w:color="0000EE"/>
            </w:tcBorders>
            <w:gridSpan w:val="5"/>
          </w:tcPr>
          <w:p>
            <w:pPr>
              <w:spacing w:after="0"/>
              <w:rPr>
                <w:sz w:val="17"/>
                <w:szCs w:val="17"/>
                <w:color w:val="auto"/>
              </w:rPr>
            </w:pPr>
          </w:p>
        </w:tc>
        <w:tc>
          <w:tcPr>
            <w:tcW w:w="640" w:type="dxa"/>
            <w:vAlign w:val="bottom"/>
            <w:gridSpan w:val="11"/>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EE"/>
                </w:rPr>
                <w:t>Form of 2024 Long Term Incentive Compensation Award Agreement for Leadership Tier (Chief</w:t>
              </w:r>
            </w:hyperlink>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60" w:type="dxa"/>
            <w:vAlign w:val="bottom"/>
            <w:gridSpan w:val="3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Accounting Officer) [incorporated by reference to Exhibit 10.3 to Form 10-Q for the quarter ended March</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87">
              <w:r>
                <w:rPr>
                  <w:rFonts w:ascii="Times New Roman" w:cs="Times New Roman" w:eastAsia="Times New Roman" w:hAnsi="Times New Roman"/>
                  <w:sz w:val="18"/>
                  <w:szCs w:val="18"/>
                  <w:color w:val="0000EE"/>
                  <w:w w:val="97"/>
                </w:rPr>
                <w:t>31, 2024].</w:t>
              </w:r>
            </w:hyperlink>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88">
              <w:r>
                <w:rPr>
                  <w:rFonts w:ascii="Times New Roman" w:cs="Times New Roman" w:eastAsia="Times New Roman" w:hAnsi="Times New Roman"/>
                  <w:sz w:val="18"/>
                  <w:szCs w:val="18"/>
                  <w:color w:val="0000EE"/>
                  <w:w w:val="99"/>
                </w:rPr>
                <w:t>Form of 2024 Long Term Incentive Compensation Award Agreement RSU Award (U.S.)(Three-Year Step</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Vest) [incorporated by reference to Exhibit 10.2 to Form 10-Q for the quarter ended September 30, 2024].</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EE"/>
                </w:rPr>
                <w:t>Form of 2025 Long Term Incentive Compensation PSU Award Agreement [incorporated by reference to</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Exhibit 10.1 to Form 8-K dated February 25, 2025].</w:t>
              </w:r>
            </w:hyperlink>
          </w:p>
        </w:tc>
        <w:tc>
          <w:tcPr>
            <w:tcW w:w="140" w:type="dxa"/>
            <w:vAlign w:val="bottom"/>
            <w:gridSpan w:val="4"/>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EE"/>
                </w:rPr>
                <w:t>Form of 2025 Long Term Incentive Compensation Stock Option Award Agreement [incorporated by</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reference to Exhibit 10.2 to Form 8-K dated February 25, 2025].</w:t>
              </w:r>
            </w:hyperlink>
          </w:p>
        </w:tc>
        <w:tc>
          <w:tcPr>
            <w:tcW w:w="420" w:type="dxa"/>
            <w:vAlign w:val="bottom"/>
            <w:gridSpan w:val="7"/>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color w:val="0000EE"/>
                </w:rPr>
                <w:t>Form of 2025 Executive Officer Annual Incentive Award Agreement [incorporated by reference to</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Exhibit 10.3 to Form 8-K dated February 25, 2025].</w:t>
              </w:r>
            </w:hyperlink>
          </w:p>
        </w:tc>
        <w:tc>
          <w:tcPr>
            <w:tcW w:w="560" w:type="dxa"/>
            <w:vAlign w:val="bottom"/>
            <w:gridSpan w:val="8"/>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EE"/>
                </w:rPr>
                <w:t>Form of 2025 Long Term Incentive Compensation RSU Award Agreement [incorporated by reference to</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Exhibit 10.4 to Form 10-Q for the quarter ended March 31, 2025].</w:t>
              </w:r>
            </w:hyperlink>
          </w:p>
        </w:tc>
        <w:tc>
          <w:tcPr>
            <w:tcW w:w="2760" w:type="dxa"/>
            <w:vAlign w:val="bottom"/>
            <w:tcBorders>
              <w:top w:val="single" w:sz="8" w:color="0000EE"/>
            </w:tcBorders>
            <w:gridSpan w:val="1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color w:val="0000EE"/>
                </w:rPr>
                <w:t>Form of 2025 Long Term Incentive Compensation RSU Award Agreement for Tara Hemmer Retention</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Award [incorporated by reference to Exhibit 10.1 to Form 8-K dated August 21, 2025].</w:t>
              </w:r>
            </w:hyperlink>
          </w:p>
        </w:tc>
        <w:tc>
          <w:tcPr>
            <w:tcW w:w="1160" w:type="dxa"/>
            <w:vAlign w:val="bottom"/>
            <w:tcBorders>
              <w:top w:val="single" w:sz="8" w:color="0000EE"/>
            </w:tcBorders>
            <w:gridSpan w:val="10"/>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8180" w:type="dxa"/>
            <w:vAlign w:val="bottom"/>
            <w:gridSpan w:val="33"/>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color w:val="0000EE"/>
                </w:rPr>
                <w:t>Insider Trading Policy [incorporated by reference to Exhibit 19.1 to Form 10-K for the year ended</w:t>
              </w:r>
            </w:hyperlink>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December 31, 2024].</w:t>
              </w:r>
            </w:hyperlink>
          </w:p>
        </w:tc>
        <w:tc>
          <w:tcPr>
            <w:tcW w:w="580" w:type="dxa"/>
            <w:vAlign w:val="bottom"/>
            <w:gridSpan w:val="9"/>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Subsidiaries of the Registrant.</w:t>
            </w: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5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Guarantor Subsidiary.</w:t>
            </w:r>
          </w:p>
        </w:tc>
        <w:tc>
          <w:tcPr>
            <w:tcW w:w="5480" w:type="dxa"/>
            <w:vAlign w:val="bottom"/>
            <w:gridSpan w:val="26"/>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Independent Registered Public Accounting Firm.</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James C. Fish, Jr., Chief Executive Officer.</w:t>
            </w:r>
          </w:p>
        </w:tc>
        <w:tc>
          <w:tcPr>
            <w:tcW w:w="4240" w:type="dxa"/>
            <w:vAlign w:val="bottom"/>
            <w:tcBorders>
              <w:top w:val="single" w:sz="8" w:color="0000EE"/>
            </w:tcBorders>
            <w:gridSpan w:val="18"/>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David L. Reed, Executive Vice President and Chief Financial Officer.</w:t>
            </w:r>
          </w:p>
        </w:tc>
        <w:tc>
          <w:tcPr>
            <w:tcW w:w="2340" w:type="dxa"/>
            <w:vAlign w:val="bottom"/>
            <w:tcBorders>
              <w:top w:val="single" w:sz="8" w:color="0000EE"/>
            </w:tcBorders>
            <w:gridSpan w:val="11"/>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James C. Fish, Jr., Chief Executive Officer.</w:t>
            </w: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560" w:type="dxa"/>
            <w:vAlign w:val="bottom"/>
            <w:gridSpan w:val="1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180" w:type="dxa"/>
            <w:vAlign w:val="bottom"/>
            <w:gridSpan w:val="33"/>
          </w:tcPr>
          <w:p>
            <w:pPr>
              <w:ind w:left="2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David L. Reed, Executive Vice President and Chief</w:t>
            </w: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5680" w:type="dxa"/>
            <w:vAlign w:val="bottom"/>
            <w:tcBorders>
              <w:top w:val="single" w:sz="8" w:color="0000EE"/>
            </w:tcBorders>
            <w:gridSpan w:val="18"/>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5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840" w:type="dxa"/>
            <w:vAlign w:val="bottom"/>
            <w:gridSpan w:val="27"/>
          </w:tcPr>
          <w:p>
            <w:pPr>
              <w:spacing w:after="0"/>
              <w:rPr>
                <w:sz w:val="17"/>
                <w:szCs w:val="17"/>
                <w:color w:val="auto"/>
              </w:rPr>
            </w:pPr>
          </w:p>
        </w:tc>
      </w:tr>
    </w:tbl>
    <w:p>
      <w:pPr>
        <w:spacing w:after="0" w:line="9" w:lineRule="exact"/>
        <w:rPr>
          <w:sz w:val="20"/>
          <w:szCs w:val="20"/>
          <w:color w:val="auto"/>
        </w:rPr>
      </w:pPr>
    </w:p>
    <w:p>
      <w:pPr>
        <w:ind w:left="960" w:hanging="904"/>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EE"/>
          </w:rPr>
          <w:t>Waste Management, Inc. Clawback Policy [incorporated by refence to Exhibit 97 to Form 10-K for the</w:t>
        </w:r>
      </w:hyperlink>
    </w:p>
    <w:p>
      <w:pPr>
        <w:spacing w:after="0" w:line="27"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year ended December 31, 2023].</w:t>
        </w:r>
      </w:hyperlink>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101.INS*</w:t>
        <w:tab/>
        <w:t>—</w:t>
        <w:tab/>
        <w:t>Inline XBRL Instance.</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101.SCH*</w:t>
        <w:tab/>
        <w:t>—</w:t>
      </w:r>
      <w:r>
        <w:rPr>
          <w:sz w:val="20"/>
          <w:szCs w:val="20"/>
          <w:color w:val="auto"/>
        </w:rPr>
        <w:tab/>
      </w:r>
      <w:r>
        <w:rPr>
          <w:rFonts w:ascii="Times New Roman" w:cs="Times New Roman" w:eastAsia="Times New Roman" w:hAnsi="Times New Roman"/>
          <w:sz w:val="17"/>
          <w:szCs w:val="17"/>
          <w:color w:val="auto"/>
        </w:rPr>
        <w:t>Inline XBRL Taxonomy Extension Schema.</w:t>
      </w:r>
    </w:p>
    <w:p>
      <w:pPr>
        <w:spacing w:after="0" w:line="9"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101.CAL*  —</w:t>
      </w:r>
      <w:r>
        <w:rPr>
          <w:sz w:val="20"/>
          <w:szCs w:val="20"/>
          <w:color w:val="auto"/>
        </w:rPr>
        <w:tab/>
      </w:r>
      <w:r>
        <w:rPr>
          <w:rFonts w:ascii="Times New Roman" w:cs="Times New Roman" w:eastAsia="Times New Roman" w:hAnsi="Times New Roman"/>
          <w:sz w:val="17"/>
          <w:szCs w:val="17"/>
          <w:color w:val="auto"/>
        </w:rPr>
        <w:t>Inline XBRL Taxonomy Extension Calculation.</w:t>
      </w:r>
    </w:p>
    <w:p>
      <w:pPr>
        <w:spacing w:after="0" w:line="9"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101.LAB*  —</w:t>
      </w:r>
      <w:r>
        <w:rPr>
          <w:sz w:val="20"/>
          <w:szCs w:val="20"/>
          <w:color w:val="auto"/>
        </w:rPr>
        <w:tab/>
      </w:r>
      <w:r>
        <w:rPr>
          <w:rFonts w:ascii="Times New Roman" w:cs="Times New Roman" w:eastAsia="Times New Roman" w:hAnsi="Times New Roman"/>
          <w:sz w:val="17"/>
          <w:szCs w:val="17"/>
          <w:color w:val="auto"/>
        </w:rPr>
        <w:t>Inline XBRL Taxonomy Extension Labels.</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101.PRE*</w:t>
        <w:tab/>
        <w:t>—</w:t>
      </w:r>
      <w:r>
        <w:rPr>
          <w:sz w:val="20"/>
          <w:szCs w:val="20"/>
          <w:color w:val="auto"/>
        </w:rPr>
        <w:tab/>
      </w:r>
      <w:r>
        <w:rPr>
          <w:rFonts w:ascii="Times New Roman" w:cs="Times New Roman" w:eastAsia="Times New Roman" w:hAnsi="Times New Roman"/>
          <w:sz w:val="17"/>
          <w:szCs w:val="17"/>
          <w:color w:val="auto"/>
        </w:rPr>
        <w:t>Inline XBRL Taxonomy Extension Presentation.</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101.DEF*</w:t>
        <w:tab/>
        <w:t>—</w:t>
      </w:r>
      <w:r>
        <w:rPr>
          <w:sz w:val="20"/>
          <w:szCs w:val="20"/>
          <w:color w:val="auto"/>
        </w:rPr>
        <w:tab/>
      </w:r>
      <w:r>
        <w:rPr>
          <w:rFonts w:ascii="Times New Roman" w:cs="Times New Roman" w:eastAsia="Times New Roman" w:hAnsi="Times New Roman"/>
          <w:sz w:val="17"/>
          <w:szCs w:val="17"/>
          <w:color w:val="auto"/>
        </w:rPr>
        <w:t>Inline XBRL Taxonomy Extension Definition.</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7" w:lineRule="exact"/>
        <w:rPr>
          <w:sz w:val="20"/>
          <w:szCs w:val="20"/>
          <w:color w:val="auto"/>
        </w:rPr>
      </w:pPr>
    </w:p>
    <w:p>
      <w:pPr>
        <w:ind w:left="360" w:hanging="310"/>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ind w:left="360" w:hanging="310"/>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FISH, JR.</w:t>
            </w:r>
          </w:p>
        </w:tc>
      </w:tr>
      <w:tr>
        <w:trPr>
          <w:trHeight w:val="189"/>
        </w:trPr>
        <w:tc>
          <w:tcPr>
            <w:tcW w:w="32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8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/s/</w:t>
            </w:r>
          </w:p>
        </w:tc>
        <w:tc>
          <w:tcPr>
            <w:tcW w:w="218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3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DAVID L. REED</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191"/>
        </w:trPr>
        <w:tc>
          <w:tcPr>
            <w:tcW w:w="880" w:type="dxa"/>
            <w:vAlign w:val="bottom"/>
          </w:tcPr>
          <w:p>
            <w:pPr>
              <w:spacing w:after="0"/>
              <w:rPr>
                <w:sz w:val="16"/>
                <w:szCs w:val="16"/>
                <w:color w:val="auto"/>
              </w:rPr>
            </w:pPr>
          </w:p>
        </w:tc>
        <w:tc>
          <w:tcPr>
            <w:tcW w:w="2180" w:type="dxa"/>
            <w:vAlign w:val="bottom"/>
          </w:tcPr>
          <w:p>
            <w:pPr>
              <w:jc w:val="center"/>
              <w:ind w:right="791"/>
              <w:spacing w:after="0" w:line="191" w:lineRule="exact"/>
              <w:rPr>
                <w:sz w:val="20"/>
                <w:szCs w:val="20"/>
                <w:color w:val="auto"/>
              </w:rPr>
            </w:pPr>
            <w:r>
              <w:rPr>
                <w:rFonts w:ascii="Times New Roman" w:cs="Times New Roman" w:eastAsia="Times New Roman" w:hAnsi="Times New Roman"/>
                <w:sz w:val="18"/>
                <w:szCs w:val="18"/>
                <w:color w:val="auto"/>
              </w:rPr>
              <w:t>David L. Reed</w:t>
            </w:r>
          </w:p>
        </w:tc>
        <w:tc>
          <w:tcPr>
            <w:tcW w:w="280" w:type="dxa"/>
            <w:vAlign w:val="bottom"/>
          </w:tcPr>
          <w:p>
            <w:pPr>
              <w:spacing w:after="0"/>
              <w:rPr>
                <w:sz w:val="16"/>
                <w:szCs w:val="16"/>
                <w:color w:val="auto"/>
              </w:rPr>
            </w:pPr>
          </w:p>
        </w:tc>
        <w:tc>
          <w:tcPr>
            <w:tcW w:w="3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3"/>
              </w:rPr>
              <w:t>/s/</w:t>
            </w: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JOHN CARROLL</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John Carroll</w:t>
            </w:r>
          </w:p>
        </w:tc>
        <w:tc>
          <w:tcPr>
            <w:tcW w:w="2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t>
            </w: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THOMAS L. BENÉ</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8"/>
              </w:rPr>
              <w:t>Thomas L. Bené</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w w:val="98"/>
              </w:rPr>
              <w:t>BRUCE E. CHINN</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8"/>
              </w:rPr>
              <w:t>Bruce E. Chinn</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3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ANDRÉS R. GLUSKI</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w:t>
            </w: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w w:val="97"/>
              </w:rPr>
              <w:t>VICTORIA M. HOLT</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7"/>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3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KATHLEEN M. MAZZARELLA</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Board and 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3"/>
              </w:rPr>
              <w:t>/s/</w:t>
            </w: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color w:val="auto"/>
              </w:rPr>
              <w:t>SEAN E. MENKE</w:t>
            </w:r>
          </w:p>
        </w:tc>
        <w:tc>
          <w:tcPr>
            <w:tcW w:w="2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880" w:type="dxa"/>
            <w:vAlign w:val="bottom"/>
          </w:tcPr>
          <w:p>
            <w:pPr>
              <w:spacing w:after="0"/>
              <w:rPr>
                <w:sz w:val="19"/>
                <w:szCs w:val="19"/>
                <w:color w:val="auto"/>
              </w:rPr>
            </w:pPr>
          </w:p>
        </w:tc>
        <w:tc>
          <w:tcPr>
            <w:tcW w:w="218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rPr>
              <w:t>Sean E. Menke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B. PLUMMER</w:t>
            </w:r>
          </w:p>
        </w:tc>
        <w:tc>
          <w:tcPr>
            <w:tcW w:w="34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B. Plummer</w:t>
            </w:r>
          </w:p>
        </w:tc>
        <w:tc>
          <w:tcPr>
            <w:tcW w:w="34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MARYROSE T. SYLVESTER</w:t>
            </w:r>
          </w:p>
        </w:tc>
        <w:tc>
          <w:tcPr>
            <w:tcW w:w="34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28"/>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Maryrose T. Sylvester</w:t>
            </w:r>
          </w:p>
        </w:tc>
        <w:tc>
          <w:tcPr>
            <w:tcW w:w="34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5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6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141</w:t>
            </w:r>
          </w:p>
        </w:tc>
        <w:tc>
          <w:tcPr>
            <w:tcW w:w="23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41" w:name="page142"/>
    <w:bookmarkEnd w:id="1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Schedule of Officers’ Certificates</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delivered pursuant to Section 301 of the Indenture dated September 10, 1997</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by and between Waste Management, Inc. and The Bank of New York Mellon Trust Company, N.A., as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 establishing the terms and form of Waste Management, Inc.’s Outstanding Senior Notes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4"/>
                <w:szCs w:val="14"/>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jc w:val="center"/>
              <w:ind w:left="136"/>
              <w:spacing w:after="0" w:line="141" w:lineRule="exact"/>
              <w:rPr>
                <w:sz w:val="20"/>
                <w:szCs w:val="20"/>
                <w:color w:val="auto"/>
              </w:rPr>
            </w:pPr>
            <w:r>
              <w:rPr>
                <w:rFonts w:ascii="Times New Roman" w:cs="Times New Roman" w:eastAsia="Times New Roman" w:hAnsi="Times New Roman"/>
                <w:sz w:val="13"/>
                <w:szCs w:val="13"/>
                <w:b w:val="1"/>
                <w:bCs w:val="1"/>
                <w:color w:val="auto"/>
              </w:rPr>
              <w:t>Payment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40" w:type="dxa"/>
            <w:vAlign w:val="bottom"/>
          </w:tcPr>
          <w:p>
            <w:pPr>
              <w:spacing w:after="0"/>
              <w:rPr>
                <w:sz w:val="17"/>
                <w:szCs w:val="17"/>
                <w:color w:val="auto"/>
              </w:rPr>
            </w:pP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3"/>
                <w:szCs w:val="13"/>
                <w:b w:val="1"/>
                <w:bCs w:val="1"/>
                <w:color w:val="auto"/>
              </w:rPr>
              <w:t>(per annum)</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3"/>
                <w:szCs w:val="13"/>
                <w:b w:val="1"/>
                <w:bCs w:val="1"/>
                <w:color w:val="auto"/>
              </w:rPr>
              <w:t>Issue Date</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4"/>
                <w:szCs w:val="14"/>
                <w:b w:val="1"/>
                <w:bCs w:val="1"/>
                <w:color w:val="auto"/>
              </w:rPr>
              <w:t xml:space="preserve">   ​​</w:t>
            </w:r>
          </w:p>
        </w:tc>
        <w:tc>
          <w:tcPr>
            <w:tcW w:w="10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rPr>
              <w:t>Dates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8"/>
              </w:rPr>
              <w:t>600 million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258 million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ind w:right="24"/>
              <w:spacing w:after="0" w:line="188" w:lineRule="exact"/>
              <w:rPr>
                <w:sz w:val="20"/>
                <w:szCs w:val="20"/>
                <w:color w:val="auto"/>
              </w:rPr>
            </w:pPr>
            <w:r>
              <w:rPr>
                <w:rFonts w:ascii="Times New Roman" w:cs="Times New Roman" w:eastAsia="Times New Roman" w:hAnsi="Times New Roman"/>
                <w:sz w:val="17"/>
                <w:szCs w:val="17"/>
                <w:color w:val="auto"/>
              </w:rPr>
              <w:t>7.00%</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7/17/1998</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7/15/2028*</w:t>
            </w: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902917AH6</w:t>
            </w: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left="136"/>
              <w:spacing w:after="0" w:line="188" w:lineRule="exact"/>
              <w:rPr>
                <w:sz w:val="20"/>
                <w:szCs w:val="20"/>
                <w:color w:val="auto"/>
              </w:rPr>
            </w:pPr>
            <w:r>
              <w:rPr>
                <w:rFonts w:ascii="Times New Roman" w:cs="Times New Roman" w:eastAsia="Times New Roman" w:hAnsi="Times New Roman"/>
                <w:sz w:val="17"/>
                <w:szCs w:val="17"/>
                <w:color w:val="auto"/>
                <w:w w:val="99"/>
              </w:rPr>
              <w:t>January 15; July 15</w:t>
            </w: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7.375%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1/21/2000</w:t>
            </w:r>
          </w:p>
        </w:tc>
        <w:tc>
          <w:tcPr>
            <w:tcW w:w="12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5/15/2029*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94106LAG4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May 15; November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144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7.75%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1/3/2003</w:t>
            </w:r>
          </w:p>
        </w:tc>
        <w:tc>
          <w:tcPr>
            <w:tcW w:w="12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5/15/2032*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94106LAN9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May 15; November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246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6.125%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11/17/2009</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11/30/2039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94106LAV1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May 30; November 30</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450 million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297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3.90%</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2/26/2015</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3/1/2035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94106LBB4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750 million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416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4.10%</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2/26/2015</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3/1/2045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94106LBC2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750 million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3.15%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11/8/2017</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11/15/2027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94106LBE8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May 15; November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1 billion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684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4.15%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5/22/2019</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7/15/2049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94106LBK4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9"/>
              </w:rPr>
              <w:t>January 15; July 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1.15%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11/17/2020</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94106LBN8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1.50%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11/17/2020</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94106LBP3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2.50%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11/17/2020</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11/15/2050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94106LBM0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May 15; November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475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475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2.00%</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5/12/2021</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6/1/2029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94106LBQ1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475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475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2.95%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5/12/2021</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6/1/2041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94106LBR9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4.15%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5/12/2022</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4/15/2032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94106LBS7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April 15; October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4.625%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2/15/2023</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2/15/2030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94106LBT5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February 15; August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4.625%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2/15/2023</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2/15/2033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94106LBU2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February 15; August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4.875%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8/3/2023</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2/15/2029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94106LBV0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February 15; August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1.25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4.875%</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8/3/2023</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2/15/2034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94106LBW8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February 15; August 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4.950%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7/3/2024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7/3/2027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94106LBX6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rPr>
              <w:t>January 3; July 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4.950%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7/3/2024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9"/>
              </w:rPr>
              <w:t>7/3/2031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94106LBY4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rPr>
              <w:t>January 3; July 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1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4.500%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11/4/2024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94106LCB3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700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4.650%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11/4/2024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94106LCC1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750 million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750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4.800%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11/4/2024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94106LCD9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1.5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4.950%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11/4/2024</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3/15/2035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94106LCE7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1.25 billion</w:t>
            </w:r>
          </w:p>
        </w:tc>
        <w:tc>
          <w:tcPr>
            <w:tcW w:w="14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 billion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5.350%</w:t>
            </w:r>
          </w:p>
        </w:tc>
        <w:tc>
          <w:tcPr>
            <w:tcW w:w="116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11/4/2024</w:t>
            </w:r>
          </w:p>
        </w:tc>
        <w:tc>
          <w:tcPr>
            <w:tcW w:w="12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10/15/2054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94106LCF4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April 15; October 15</w:t>
            </w:r>
          </w:p>
        </w:tc>
        <w:tc>
          <w:tcPr>
            <w:tcW w:w="0" w:type="dxa"/>
            <w:vAlign w:val="bottom"/>
          </w:tcPr>
          <w:p>
            <w:pPr>
              <w:spacing w:after="0"/>
              <w:rPr>
                <w:sz w:val="1"/>
                <w:szCs w:val="1"/>
                <w:color w:val="auto"/>
              </w:rPr>
            </w:pPr>
          </w:p>
        </w:tc>
      </w:tr>
      <w:tr>
        <w:trPr>
          <w:trHeight w:val="249"/>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483 million</w:t>
            </w:r>
          </w:p>
        </w:tc>
        <w:tc>
          <w:tcPr>
            <w:tcW w:w="140" w:type="dxa"/>
            <w:vAlign w:val="bottom"/>
          </w:tcPr>
          <w:p>
            <w:pPr>
              <w:spacing w:after="0"/>
              <w:rPr>
                <w:sz w:val="21"/>
                <w:szCs w:val="21"/>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483 million</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3.875%</w:t>
            </w:r>
          </w:p>
        </w:tc>
        <w:tc>
          <w:tcPr>
            <w:tcW w:w="116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w w:val="99"/>
              </w:rPr>
              <w:t>6/25/2025**</w:t>
            </w:r>
          </w:p>
        </w:tc>
        <w:tc>
          <w:tcPr>
            <w:tcW w:w="124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color w:val="auto"/>
                <w:w w:val="98"/>
              </w:rPr>
              <w:t>1/15/2029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94106LBZ1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9"/>
              </w:rPr>
              <w:t>January 15; July 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78105</wp:posOffset>
            </wp:positionV>
            <wp:extent cx="1414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7" w:lineRule="exact"/>
        <w:rPr>
          <w:sz w:val="20"/>
          <w:szCs w:val="20"/>
          <w:color w:val="auto"/>
        </w:rPr>
      </w:pPr>
    </w:p>
    <w:p>
      <w:pPr>
        <w:jc w:val="both"/>
        <w:ind w:left="360" w:right="59" w:hanging="316"/>
        <w:spacing w:after="0" w:line="257" w:lineRule="auto"/>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these series of Senior Notes do not contain a Change of Control Offer covenant. Such covenant provides that, if a change of control triggering event occurs, each holder of the notes may require us to purchase all or a portion of such holder’s notes at a price equal to 101% of the principal amount, plus accrued interest, if any, to the date of purchase.</w:t>
      </w:r>
    </w:p>
    <w:p>
      <w:pPr>
        <w:spacing w:after="0" w:line="1" w:lineRule="exact"/>
        <w:rPr>
          <w:sz w:val="20"/>
          <w:szCs w:val="20"/>
          <w:color w:val="auto"/>
        </w:rPr>
      </w:pPr>
    </w:p>
    <w:p>
      <w:pPr>
        <w:jc w:val="both"/>
        <w:ind w:left="360" w:right="59" w:hanging="316"/>
        <w:spacing w:after="0" w:line="249" w:lineRule="auto"/>
        <w:tabs>
          <w:tab w:leader="none" w:pos="3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2025, we completed an exchange offer pursuant to which we issued approximately $483 million in new notes (the “Registered Notes”) registered under the Securities Act of 1933, as amended, in exchange for a like amount of our outstanding unregistered 3.875% Senior Notes due 2029 (the “Restricted Notes”). This amount represented approximately 99% of the $485 million aggregate principal amount of Restricted Notes that were originally issued on November 8, 2024, in a private offer in exchange for notes of Stericycle, Inc. The terms of the Registered Notes are substantially identical in all material respects to the terms of the Restricted Notes, except that the Registered Notes are not subject to restrictions on transfer. The portion of Restricted Notes not exchanged remains an outstanding obligation and is not a material debt obligation of Waste Management, Inc.</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This schedule is provided in accordance with Instruction 2 to Regulation S-K Item 601, as each of the series of Senior Notes, other than the WM Notes, is governed by an instrument that differs only in the material respects set forth in the schedule above from the Officers’ Certificate identified as Exhibit 4.8 to this Form 10-K.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2" w:name="page143"/>
    <w:bookmarkEnd w:id="142"/>
    <w:tbl>
      <w:tblPr>
        <w:tblLayout w:type="fixed"/>
        <w:tblInd w:w="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59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Entity Name</w:t>
            </w: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 / Incorporation</w:t>
            </w:r>
          </w:p>
        </w:tc>
      </w:tr>
      <w:tr>
        <w:trPr>
          <w:trHeight w:val="142"/>
        </w:trPr>
        <w:tc>
          <w:tcPr>
            <w:tcW w:w="53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635952 Ontario Inc.</w:t>
            </w:r>
          </w:p>
        </w:tc>
        <w:tc>
          <w:tcPr>
            <w:tcW w:w="24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Stones Throw,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Wolf Creek,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Solid Waste of NJ,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Acquisition Sub,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Atlanta,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Gulf Coast,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Holdings,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Biloxi MRF,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Birmingham,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Blackfoot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Blue Ridge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Carolinas,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Cedar Hill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Central Florida,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Cobb County Recycling Facility,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Cranberry Creek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Cypress Acres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East,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Evergreen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Grand Bahama Limited</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Providence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Hancock County,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Jones Road,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Lancaster Landfill,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Magnolia Ridge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Maple Hill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Midwest,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Holdings,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Morehead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Holdings,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North Alabama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Oak Ridge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Orchard Hills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Pasco County,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Pecan Row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Pontiac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Renewable Energy,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Rogers Lake,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Leasing Corp.</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Midwest,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Southeast,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South,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Star Ridge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Sumner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Taylor County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Tennessee Holdings,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Transport,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Meadows Landfill,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View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Rubbish Removal,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Solid Waste,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Wayne County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Subsidiary Holding Company,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Environmental Technical Services,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Agri Service Recycling,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Akron Regional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Alabama Waste Disposal Solutions,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Alliance Sanitary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Alpharetta Transfer Station,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American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Ameriwaste,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8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Anderson Landfill, Inc.</w:t>
            </w: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521"/>
        </w:trPr>
        <w:tc>
          <w:tcPr>
            <w:tcW w:w="5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3" w:name="page144"/>
    <w:bookmarkEnd w:id="14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Antelope Valley Recycling and Disposal Facility, Inc.</w:t>
            </w:r>
          </w:p>
        </w:tc>
        <w:tc>
          <w:tcPr>
            <w:tcW w:w="4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3"/>
                <w:szCs w:val="13"/>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Arden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Artech Reduction Technologies Limited</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Atlantic Waste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Automated Salvage Transport Co.,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Avalon South,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Azusa Land Reclamation,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B&amp;B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Baton Rouge Renewable Energy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Big Dipper Enterprises,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Blackwood Land Development,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Bluegrass Containment,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Bluesky Resource,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Transfer Station,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Burney Disposal,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Burnsville Sanitary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 Newco,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Cal Sierra Disposal</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Caldwell Partnership,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California Asbestos Monofill,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Canadian Waste Services Holdings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Sanitation Company</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Capitol Disposal,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Alaska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Carolina Grading,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Caruthers Mill C&amp;D Landfill,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Ridge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Central Disposal Systems,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CGS Leasing,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CGS Services,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Chadwick Road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Clearview Environmental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Company,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of Ohio,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Georgia,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Mississippi,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Indiana,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the Northwest,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Chesser Island Road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City Environmental Services, Inc. of Waters</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Cleburne Landfill Company Corp.</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 Waste Management,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Coastal Distribution,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Coastal Recyclers Landfill,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Community Refuse Service,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Connecticut Valley Sanitary Waste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Conservation Services,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Waste Industries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District of Columbia</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Group,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HoldCo,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Intellectual Property,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Fairless Hills,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Iowa,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PA,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Coshocton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Cougar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Countryside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 Group,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Curtis Creek Recovery Systems,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Cuyahoga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CWM Chemical Services,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Dauphin Meadows,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Deep Valley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Deer Track Park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Group Holdings,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Industries,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of Arkansas,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Recycling Company,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 Almo Landfill,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44" w:name="page145"/>
    <w:bookmarkEnd w:id="14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 Basin Landfills, LLC</w:t>
            </w:r>
          </w:p>
        </w:tc>
        <w:tc>
          <w:tcPr>
            <w:tcW w:w="474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Delaware Recyclable Products,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Dickinson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Disposal Service, Incorporated</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DLD Limited Partnership</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 Services &amp; Chemicals,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Dolphin-One,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EarthCare of Nevada,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Earthmovers Landfill,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East Liverpool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Eastern One Land Corporation</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Eco-Safe Systems,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Eco-Vista,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eCycling Services,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ELDA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Elk River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Energy Injection Services of Mississippi,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Envirofil of Illinois,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Dulles,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Holdings,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Real Property Holdings,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Recycling and Disposal Facility,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Farm Properties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FDS Disposal II,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Firetower Landfill,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Fred J. Eckert Sanitary Service,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Furnace Associates,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 Industries</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 Landfills,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Gallia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Garnet of Maryland,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Gateway Transfer Station,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Georgia Waste Systems,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Giordano Recycling,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Glades Landfill,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Glen's Sanitary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Central Sanitary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Greenbow,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Allentown,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Mid-America,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Paterson,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Pittsburgh,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Mines Mutual Water Company</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Rubbish Disposal Co.,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 Lake Haulers,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Harmony Landfill, LP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 Sanitation,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Harwood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Hedco Landfill Limited</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II,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Holyoke Sanitary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HWStar Holdings Corp.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 Landfills,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IWStar Waste Holdings Corp.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Jahner Sanitation,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Jay County Landfill,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Jones Road Landfill and Recycling, Ltd.</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 and W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Keene Road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Kelly Run Sanitation,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King George Landfill Properties,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King George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L&amp;K Group Holdings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Lakeville Recycling, L.P.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Land South Holdings,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Landfill Services of Charleston,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Landsouth, Inc.</w:t>
            </w:r>
          </w:p>
        </w:tc>
        <w:tc>
          <w:tcPr>
            <w:tcW w:w="472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6"/>
                <w:szCs w:val="16"/>
                <w:color w:val="auto"/>
              </w:rPr>
            </w:pPr>
          </w:p>
        </w:tc>
      </w:tr>
      <w:tr>
        <w:trPr>
          <w:trHeight w:val="521"/>
        </w:trPr>
        <w:tc>
          <w:tcPr>
            <w:tcW w:w="41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45" w:name="page146"/>
    <w:bookmarkEnd w:id="1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Laurel Highlands Landfill, Inc.</w:t>
            </w:r>
          </w:p>
        </w:tc>
        <w:tc>
          <w:tcPr>
            <w:tcW w:w="4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3"/>
                <w:szCs w:val="13"/>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Lawrence Street Industry,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LCS Services,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Liberty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Liquid Waste Management,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Longleaf C&amp;D Disposal Facility,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Looney Bins,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Mac Land Disposal, Inc. II</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Mahoning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Maine Regional Conversion Facility,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Mass Gravel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Mc Ginnes Industrial Maintenance Corporation</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McDaniel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McGill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Meadowfill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Michigan Environs,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Midwest One Land Corporation</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Mobile Shredding Luxembourg</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Luxembourg</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Modesto Garbage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Moor Refuse,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Moretown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Mostoller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 Indemnity Insurance Company</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Mountainview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County Landfill,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National Guaranty Insurance Company of Vermont</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Vermont</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 PCR,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England CR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 Milford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Orleans Landfill,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MA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Mid-Atlantic Holdings,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North East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NEWStar Waste Holdings Corp.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Services,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Transport,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Manatee Recycling and Disposal Facility,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Northwestern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Nu-Way Live Oak Reclamation,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 Grove Disposal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Global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Waste Management,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Oakridge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Oakwood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OGH Acquisition Corporation</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Okeechobee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Solid Waste,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Olive Street Processing,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One World Recycling,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Orla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Ozark Ridge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 &amp; R Environmental Industries,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Waste Management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Pappy,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Parker Sanitation II,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Pasco Lakes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PDC Disposal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Peltz H.C.,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Pen-Rob,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People's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Peterson Demolition,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DeWitt-Hohn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Disposal GP,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Environmental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Holdings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Howard County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McMullen County Disposal Facility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Pecos County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Reagan County Disposal Facility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0"/>
        </w:trPr>
        <w:tc>
          <w:tcPr>
            <w:tcW w:w="4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46" w:name="page147"/>
    <w:bookmarkEnd w:id="1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Phoenix Resources, Inc.</w:t>
            </w:r>
          </w:p>
        </w:tc>
        <w:tc>
          <w:tcPr>
            <w:tcW w:w="46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Pennsylvania</w:t>
            </w: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Grove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Tree Acres,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Prime Westport,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Quail Hollow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Questquill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 &amp; B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RAA Colorado,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RAA Trucking,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RCI Hudson,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1 C&amp;D Processing,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Co.,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Holdings,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Benelux B.V.</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Redwood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Services,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Reliable Landfill,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Remote Landfill Services,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Reno Disposal Co.</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Resco Holdings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Composting,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Richland County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Riverbend Landfill Co.</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RTS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Engineering &amp; Construction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International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J Landfill Limited Partnership</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S Grading,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Sanifill de Mexico (US),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Sanitation Services Company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SC Holdings,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Shade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Shamrock Logistics of Long Island,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Shawnee Rock Company</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Belgium</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France</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GmbH</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Insurance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Barbados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Limited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Netherlands B.V.</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Shred-it ROI Limited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Sierra Estrella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Sister's Sanitation Services,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Skinquarter Land,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Hadley Landfill,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Suburban,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One Land Corporation</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Waste Services,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Spruce Ridge,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Square 3942 Associates Limited Partnership</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District of Columbia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Cyprus Ltd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Cyprus</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Ireland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Limited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SRCL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SSI Southland Holdings,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 Johnsbury Transfer Station,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 Paul Haulers,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BV</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Environmental Services Group Limited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England and Wales</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Holdings Canada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Holdings Limited</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International,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IT Services Portugal, Unipessoal Lda.</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of Puerto Rico,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Puerto Rico</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of Washington,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Panama S de RL</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Panama</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Stericycle,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Stericycle, ULC</w:t>
            </w:r>
          </w:p>
        </w:tc>
        <w:tc>
          <w:tcPr>
            <w:tcW w:w="46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British Columbia</w:t>
            </w:r>
          </w:p>
        </w:tc>
        <w:tc>
          <w:tcPr>
            <w:tcW w:w="20" w:type="dxa"/>
            <w:vAlign w:val="bottom"/>
          </w:tcPr>
          <w:p>
            <w:pPr>
              <w:spacing w:after="0"/>
              <w:rPr>
                <w:sz w:val="16"/>
                <w:szCs w:val="16"/>
                <w:color w:val="auto"/>
              </w:rPr>
            </w:pPr>
          </w:p>
        </w:tc>
      </w:tr>
      <w:tr>
        <w:trPr>
          <w:trHeight w:val="521"/>
        </w:trPr>
        <w:tc>
          <w:tcPr>
            <w:tcW w:w="42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47" w:name="page148"/>
    <w:bookmarkEnd w:id="14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SteriVentures, LLC</w:t>
            </w:r>
          </w:p>
        </w:tc>
        <w:tc>
          <w:tcPr>
            <w:tcW w:w="4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Stony Hollow Landfill,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Suburban Landfill,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Disposal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Superior Waste Services of New York City,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T2L Trucking,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Team Transport,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Texarkana Landfill,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Goode Companies,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The Peltz Group,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Waste Management Charitable Foundation</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Woodlands of Van Buren,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TN'T Sands,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Trail Ridge Landfill,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Transamerican Waste Central Landfill,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Trash Hunters,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TW PWE GP,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Twin Bridges Golf Club, L.P.</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TX Newco,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Waste Systems Leasing,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Urban Sanitation Limited</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South Hills Landfill,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Valley Facility,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Geneva Landfill,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Landfill Operations and Transfer,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California,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Texas Landfills,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Virginia Landfills,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Services of NYC,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Waste-Management Resources,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USA-Crinc,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 Fund 2010-1,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2018-2,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2019-1,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2022-1,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2023-1, LLC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2024-1,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UWS Barre,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Valley Garbage and Rubbish Company,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Vermont Hauling,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Vern's Refuse Service,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Vickery Environmental,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Vista Landfill,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Voyageur Disposal Processing,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Waitsfield Transfer Station,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Warner Company</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Away Group,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Arizona Landfills,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Collection and Recycling,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Colorado,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Maine,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Maryland,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Massachusetts,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Oregon,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Pennsylvania,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Virginia,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Energy Services of Texas,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Holdings,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Florida</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International,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Milam Property, LLC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Services,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Transportation Services,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Alameda County,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Alaska,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Arizona,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Arkansas, Inc.</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California,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Canada Corporation</w:t>
            </w:r>
          </w:p>
        </w:tc>
        <w:tc>
          <w:tcPr>
            <w:tcW w:w="434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Nova Scotia</w:t>
            </w:r>
          </w:p>
        </w:tc>
        <w:tc>
          <w:tcPr>
            <w:tcW w:w="20" w:type="dxa"/>
            <w:vAlign w:val="bottom"/>
          </w:tcPr>
          <w:p>
            <w:pPr>
              <w:spacing w:after="0"/>
              <w:rPr>
                <w:sz w:val="12"/>
                <w:szCs w:val="12"/>
                <w:color w:val="auto"/>
              </w:rPr>
            </w:pPr>
          </w:p>
        </w:tc>
      </w:tr>
      <w:tr>
        <w:trPr>
          <w:trHeight w:val="148"/>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Carolinas, Inc.</w:t>
            </w:r>
          </w:p>
        </w:tc>
        <w:tc>
          <w:tcPr>
            <w:tcW w:w="4340" w:type="dxa"/>
            <w:vAlign w:val="bottom"/>
            <w:shd w:val="clear" w:color="auto" w:fill="CCEEFF"/>
          </w:tcPr>
          <w:p>
            <w:pPr>
              <w:ind w:left="102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560"/>
        </w:trPr>
        <w:tc>
          <w:tcPr>
            <w:tcW w:w="45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48" w:name="page149"/>
    <w:bookmarkEnd w:id="14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Waste Management of Colorado, Inc.</w:t>
            </w:r>
          </w:p>
        </w:tc>
        <w:tc>
          <w:tcPr>
            <w:tcW w:w="40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Colorado</w:t>
            </w: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Connecticut,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Delaware,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Fairless,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Five Oaks Recycling and Disposal Facility,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Georgia,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Hawaii,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Idaho,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Idaho</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Illinois,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Holdings One,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Iowa,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Kansas,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Holdings,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Leon County,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Londonderry,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Holdings One,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Maine,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Maryland,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Massachusetts,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Metro Atlanta,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Michigan,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Minnesota,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Mississippi,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Missouri,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Montana,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Nebraska,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Nevada,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Hampshire,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Connecticut</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Jersey,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Mexico,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York,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North Dakota,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Ohio,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Oklahoma,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Oregon,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Gas Recovery,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Rhode Island,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Carolina,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Dakota,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South Dakota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Holdings,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Tunica Landfill,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Utah,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Virginia,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Washington,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West Virginia,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Wisconsin,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Wyoming,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Partners,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and Disposal Services of California,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of New Jersey,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Service Center,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WRT Holdings,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Tennessee</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Management-Green Ridge RDF,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WB Recycling Solutions DC,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District of Columbia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WB Recycling Solutions,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WB Waste Solutions,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WBLF Acquisition Company,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One Land Corporation</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Industries</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of Texas,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Westminster Land Acquisition,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Wheelabrator Technologies International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White Lake Landfill,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Willow Oak Landfill,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8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Winters 147 Peconic, LLC</w:t>
            </w:r>
          </w:p>
        </w:tc>
        <w:tc>
          <w:tcPr>
            <w:tcW w:w="4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6"/>
                <w:szCs w:val="16"/>
                <w:color w:val="auto"/>
              </w:rPr>
            </w:pPr>
          </w:p>
        </w:tc>
      </w:tr>
      <w:tr>
        <w:trPr>
          <w:trHeight w:val="521"/>
        </w:trPr>
        <w:tc>
          <w:tcPr>
            <w:tcW w:w="4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49" w:name="page150"/>
    <w:bookmarkEnd w:id="1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Winters 151 Peconic, LLC</w:t>
            </w:r>
          </w:p>
        </w:tc>
        <w:tc>
          <w:tcPr>
            <w:tcW w:w="3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3"/>
                <w:szCs w:val="13"/>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82A Old Dock,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971 Waverly,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Brookhaven MRF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Hauling of Long Island,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Recycling of Long Island,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Transportation of Long Island,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Holdings,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Intermediate Holdings,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Long Island,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Bros. Waste Systems of NYC,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Winters Lindenhurst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Avon,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Bagco,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Billerica,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Hauling,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Transfer Station,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Boston CORE,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CCP Solutions,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Compactor Solutions,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Corporate Services,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Curbside,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Dutch Holdings B.V.</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Emergency Employee Support Fund,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Resources,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Services Holdings,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Solutions,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European Holdings,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 Squad,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GreenOps,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GTL,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Healthcare Solutions,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Illinois Renewable Energy,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Intellectual Property Holdings,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International Holdings,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LampTracker,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Ohio,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Tennessee,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Arizona,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Texas, L.P.</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Services of Texas,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LNG,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Logistics,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Mark II Holdings,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Middle Tennessee Environmental Center,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Mobile Bay Environmental Center,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National Field Services,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Nevada Renewable Energy,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North Broward,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of California Organics,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 Growth,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Organics,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 Holdings,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Partnership Holdings,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Propane,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Quebec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RA Canada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America,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Europe,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Refined Coal,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(Quebec)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Canada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Renewables International,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 Recovery &amp; Recycling Center,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Safety Services,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Security Services, Inc.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Storage, Inc.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Transport of Indiana, LLC</w:t>
            </w:r>
          </w:p>
        </w:tc>
        <w:tc>
          <w:tcPr>
            <w:tcW w:w="39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Trash Monitor Plus, L.L.C.</w:t>
            </w:r>
          </w:p>
        </w:tc>
        <w:tc>
          <w:tcPr>
            <w:tcW w:w="398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0"/>
        </w:trPr>
        <w:tc>
          <w:tcPr>
            <w:tcW w:w="4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50" w:name="page151"/>
    <w:bookmarkEnd w:id="1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WM Universal Solutions Private Limited</w:t>
            </w:r>
          </w:p>
        </w:tc>
        <w:tc>
          <w:tcPr>
            <w:tcW w:w="494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India</w:t>
            </w: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Waste, Inc.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WMI Mexico Holdings, Inc.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WMNA Container Recycling, L.L.C.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Holdings, Inc.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Kentucky, LLC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Michigan, LLC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 LLC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Ohio-American, LLC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WMSALSA, Inc.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WMWC, LLC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Wolf Creek Landfill, LLC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WSI Medical Waste Systems, Inc.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WSI of New York, Inc.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WTI Air Pollution Control Inc.</w:t>
            </w:r>
          </w:p>
        </w:tc>
        <w:tc>
          <w:tcPr>
            <w:tcW w:w="492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39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WTI Rust Holdings Inc.</w:t>
            </w:r>
          </w:p>
        </w:tc>
        <w:tc>
          <w:tcPr>
            <w:tcW w:w="4920" w:type="dxa"/>
            <w:vAlign w:val="bottom"/>
            <w:shd w:val="clear" w:color="auto" w:fill="CCEEFF"/>
          </w:tcPr>
          <w:p>
            <w:pPr>
              <w:ind w:left="16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777"/>
        </w:trPr>
        <w:tc>
          <w:tcPr>
            <w:tcW w:w="39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54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tcPr>
          <w:p>
            <w:pPr>
              <w:spacing w:after="0"/>
              <w:rPr>
                <w:sz w:val="13"/>
                <w:szCs w:val="13"/>
                <w:color w:val="auto"/>
              </w:rPr>
            </w:pP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540" w:type="dxa"/>
            <w:vAlign w:val="bottom"/>
          </w:tcPr>
          <w:p>
            <w:pPr>
              <w:jc w:val="center"/>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154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40" w:type="dxa"/>
            <w:vAlign w:val="bottom"/>
            <w:vMerge w:val="continue"/>
          </w:tcPr>
          <w:p>
            <w:pPr>
              <w:spacing w:after="0"/>
              <w:rPr>
                <w:sz w:val="15"/>
                <w:szCs w:val="15"/>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4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billion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billion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million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million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billion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billion</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million*</w:t>
            </w: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6/25/2025</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pursuant to an offer to exchange up to $485 million of outstanding unregistered notes previously issued by WMI in a private exchange offer in connection with WMI’s acquisition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2" w:name="page153"/>
    <w:bookmarkEnd w:id="1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282" w:lineRule="auto"/>
        <w:tabs>
          <w:tab w:leader="none" w:pos="5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333-240211) of Waste Management, Inc. pertaining to the issuance of shares of common stock pursuant to the Waste Management, Inc. Employee Stock Purchase Plan,</w:t>
      </w:r>
    </w:p>
    <w:p>
      <w:pPr>
        <w:spacing w:after="0" w:line="161" w:lineRule="exact"/>
        <w:rPr>
          <w:rFonts w:ascii="Times New Roman" w:cs="Times New Roman" w:eastAsia="Times New Roman" w:hAnsi="Times New Roman"/>
          <w:sz w:val="18"/>
          <w:szCs w:val="18"/>
          <w:color w:val="auto"/>
        </w:rPr>
      </w:pPr>
    </w:p>
    <w:p>
      <w:pPr>
        <w:jc w:val="both"/>
        <w:ind w:left="280" w:right="59" w:hanging="9"/>
        <w:spacing w:after="0" w:line="266" w:lineRule="auto"/>
        <w:tabs>
          <w:tab w:leader="none" w:pos="5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333-195980 and Post-Effective Amendment No. 1 thereto) of Waste Management, Inc. pertaining to the issuance of shares of common stock pursuant to the 2014 Stock Incentive Plan or the 2023 Stock Incentive Plan,</w:t>
      </w:r>
    </w:p>
    <w:p>
      <w:pPr>
        <w:spacing w:after="0" w:line="175" w:lineRule="exact"/>
        <w:rPr>
          <w:rFonts w:ascii="Times New Roman" w:cs="Times New Roman" w:eastAsia="Times New Roman" w:hAnsi="Times New Roman"/>
          <w:sz w:val="18"/>
          <w:szCs w:val="18"/>
          <w:color w:val="auto"/>
        </w:rPr>
      </w:pPr>
    </w:p>
    <w:p>
      <w:pPr>
        <w:ind w:left="280" w:right="59" w:hanging="9"/>
        <w:spacing w:after="0" w:line="282" w:lineRule="auto"/>
        <w:tabs>
          <w:tab w:leader="none" w:pos="5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333-253683) of Waste Management, Inc. pertaining to the issuance of shares of common stock pursuant to the Waste Management Retirement Savings Plan,</w:t>
      </w:r>
    </w:p>
    <w:p>
      <w:pPr>
        <w:spacing w:after="0" w:line="161" w:lineRule="exact"/>
        <w:rPr>
          <w:rFonts w:ascii="Times New Roman" w:cs="Times New Roman" w:eastAsia="Times New Roman" w:hAnsi="Times New Roman"/>
          <w:sz w:val="18"/>
          <w:szCs w:val="18"/>
          <w:color w:val="auto"/>
        </w:rPr>
      </w:pPr>
    </w:p>
    <w:p>
      <w:pPr>
        <w:ind w:left="280" w:right="59" w:hanging="9"/>
        <w:spacing w:after="0" w:line="282" w:lineRule="auto"/>
        <w:tabs>
          <w:tab w:leader="none" w:pos="59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333-32805 and Post-Effective Amendment No. 1 thereto) of Waste Management, Inc., and</w:t>
      </w:r>
    </w:p>
    <w:p>
      <w:pPr>
        <w:spacing w:after="0" w:line="161" w:lineRule="exact"/>
        <w:rPr>
          <w:rFonts w:ascii="Times New Roman" w:cs="Times New Roman" w:eastAsia="Times New Roman" w:hAnsi="Times New Roman"/>
          <w:sz w:val="18"/>
          <w:szCs w:val="18"/>
          <w:color w:val="auto"/>
        </w:rPr>
      </w:pPr>
    </w:p>
    <w:p>
      <w:pPr>
        <w:ind w:left="520" w:hanging="249"/>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Automatic Shelf Registration No. 333-289140) of Waste Management, Inc.,</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our reports dated February 9, 2026, with respect to the consolidated financial statements of Waste Management, Inc. and the effectiveness of internal control over financial reporting of Waste Management, Inc. included in this Annual Report (Form 10-K) of Waste Management, Inc. for the year ended December 31, 2025.</w:t>
      </w: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531495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3" w:name="page154"/>
    <w:bookmarkEnd w:id="1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9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8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4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24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ind w:left="60"/>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4" w:name="page155"/>
    <w:bookmarkEnd w:id="1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L. Reed, certify that:</w:t>
      </w:r>
    </w:p>
    <w:p>
      <w:pPr>
        <w:spacing w:after="0" w:line="185" w:lineRule="exact"/>
        <w:rPr>
          <w:sz w:val="20"/>
          <w:szCs w:val="20"/>
          <w:color w:val="auto"/>
        </w:rPr>
      </w:pPr>
    </w:p>
    <w:p>
      <w:pPr>
        <w:ind w:left="760" w:hanging="269"/>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9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8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4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24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L. REED</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David L. Reed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ind w:left="60"/>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5" w:name="page156"/>
    <w:bookmarkEnd w:id="1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2025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6" w:name="page157"/>
    <w:bookmarkEnd w:id="1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2025 as filed with the Securities and Exchange Commission on the date hereof (the “Report”), I, David L. Reed, Chief Financial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210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L. REED</w:t>
            </w:r>
          </w:p>
        </w:tc>
      </w:tr>
      <w:tr>
        <w:trPr>
          <w:trHeight w:val="189"/>
        </w:trPr>
        <w:tc>
          <w:tcPr>
            <w:tcW w:w="420" w:type="dxa"/>
            <w:vAlign w:val="bottom"/>
          </w:tcPr>
          <w:p>
            <w:pPr>
              <w:spacing w:after="0"/>
              <w:rPr>
                <w:sz w:val="16"/>
                <w:szCs w:val="16"/>
                <w:color w:val="auto"/>
              </w:rPr>
            </w:pPr>
          </w:p>
        </w:tc>
        <w:tc>
          <w:tcPr>
            <w:tcW w:w="6360" w:type="dxa"/>
            <w:vAlign w:val="bottom"/>
          </w:tcPr>
          <w:p>
            <w:pPr>
              <w:ind w:left="2680"/>
              <w:spacing w:after="0" w:line="189" w:lineRule="exact"/>
              <w:rPr>
                <w:sz w:val="20"/>
                <w:szCs w:val="20"/>
                <w:color w:val="auto"/>
              </w:rPr>
            </w:pPr>
            <w:r>
              <w:rPr>
                <w:rFonts w:ascii="Times New Roman" w:cs="Times New Roman" w:eastAsia="Times New Roman" w:hAnsi="Times New Roman"/>
                <w:sz w:val="18"/>
                <w:szCs w:val="18"/>
                <w:color w:val="auto"/>
              </w:rPr>
              <w:t>​David​ L. Reed</w:t>
            </w:r>
          </w:p>
        </w:tc>
      </w:tr>
      <w:tr>
        <w:trPr>
          <w:trHeight w:val="236"/>
        </w:trPr>
        <w:tc>
          <w:tcPr>
            <w:tcW w:w="420" w:type="dxa"/>
            <w:vAlign w:val="bottom"/>
          </w:tcPr>
          <w:p>
            <w:pPr>
              <w:spacing w:after="0"/>
              <w:rPr>
                <w:sz w:val="20"/>
                <w:szCs w:val="20"/>
                <w:color w:val="auto"/>
              </w:rPr>
            </w:pPr>
          </w:p>
        </w:tc>
        <w:tc>
          <w:tcPr>
            <w:tcW w:w="6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ind w:left="140"/>
        <w:spacing w:after="0"/>
        <w:rPr>
          <w:sz w:val="20"/>
          <w:szCs w:val="20"/>
          <w:color w:val="auto"/>
        </w:rPr>
      </w:pPr>
      <w:r>
        <w:rPr>
          <w:rFonts w:ascii="Times New Roman" w:cs="Times New Roman" w:eastAsia="Times New Roman" w:hAnsi="Times New Roman"/>
          <w:sz w:val="18"/>
          <w:szCs w:val="18"/>
          <w:color w:val="auto"/>
        </w:rPr>
        <w:t>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7" w:name="page158"/>
    <w:bookmarkEnd w:id="1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year ended December 31, 2025,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1)"/>
      <w:numFmt w:val="lowerRoman"/>
      <w:start w:val="2"/>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lowerRoman"/>
      <w:start w:val="1"/>
    </w:lvl>
  </w:abstractNum>
  <w:abstractNum w:abstractNumId="6">
    <w:nsid w:val="7644A45C"/>
    <w:multiLevelType w:val="hybridMultilevel"/>
    <w:lvl w:ilvl="0">
      <w:lvlJc w:val="left"/>
      <w:lvlText w:val="(%1)"/>
      <w:numFmt w:val="lowerRoman"/>
      <w:start w:val="3"/>
    </w:lvl>
  </w:abstractNum>
  <w:abstractNum w:abstractNumId="7">
    <w:nsid w:val="32FFF902"/>
    <w:multiLevelType w:val="hybridMultilevel"/>
    <w:lvl w:ilvl="0">
      <w:lvlJc w:val="left"/>
      <w:lvlText w:val="(%1)"/>
      <w:numFmt w:val="lowerRoman"/>
      <w:start w:val="3"/>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Roman"/>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lowerRoman"/>
      <w:start w:val="1"/>
    </w:lvl>
  </w:abstractNum>
  <w:abstractNum w:abstractNumId="19">
    <w:nsid w:val="4F4EF005"/>
    <w:multiLevelType w:val="hybridMultilevel"/>
    <w:lvl w:ilvl="0">
      <w:lvlJc w:val="left"/>
      <w:lvlText w:val="(%1)"/>
      <w:numFmt w:val="lowerRoman"/>
      <w:start w:val="8"/>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lvl w:ilvl="1">
      <w:lvlJc w:val="left"/>
      <w:lvlText w:val="(%2)"/>
      <w:numFmt w:val="lowerRoman"/>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lowerRoman"/>
      <w:start w:val="2"/>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2"/>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lvl w:ilvl="1">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3"/>
    </w:lvl>
  </w:abstractNum>
  <w:abstractNum w:abstractNumId="49">
    <w:nsid w:val="15014ACB"/>
    <w:multiLevelType w:val="hybridMultilevel"/>
    <w:lvl w:ilvl="0">
      <w:lvlJc w:val="left"/>
      <w:lvlText w:val="%1."/>
      <w:numFmt w:val="decimal"/>
      <w:start w:val="4"/>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2"/>
    </w:lvl>
  </w:abstractNum>
  <w:abstractNum w:abstractNumId="52">
    <w:nsid w:val="799D0247"/>
    <w:multiLevelType w:val="hybridMultilevel"/>
    <w:lvl w:ilvl="0">
      <w:lvlJc w:val="left"/>
      <w:lvlText w:val="%1."/>
      <w:numFmt w:val="decimal"/>
      <w:start w:val="5"/>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decimal"/>
      <w:start w:val="6"/>
    </w:lvl>
  </w:abstractNum>
  <w:abstractNum w:abstractNumId="55">
    <w:nsid w:val="168E121F"/>
    <w:multiLevelType w:val="hybridMultilevel"/>
    <w:lvl w:ilvl="0">
      <w:lvlJc w:val="left"/>
      <w:lvlText w:val="(%1)"/>
      <w:numFmt w:val="lowerRoman"/>
      <w:start w:val="1"/>
    </w:lvl>
  </w:abstractNum>
  <w:abstractNum w:abstractNumId="56">
    <w:nsid w:val="1EBA5D23"/>
    <w:multiLevelType w:val="hybridMultilevel"/>
    <w:lvl w:ilvl="0">
      <w:lvlJc w:val="left"/>
      <w:lvlText w:val="%1."/>
      <w:numFmt w:val="decimal"/>
      <w:start w:val="7"/>
    </w:lvl>
  </w:abstractNum>
  <w:abstractNum w:abstractNumId="57">
    <w:nsid w:val="661E3F1E"/>
    <w:multiLevelType w:val="hybridMultilevel"/>
    <w:lvl w:ilvl="0">
      <w:lvlJc w:val="left"/>
      <w:lvlText w:val="%1."/>
      <w:numFmt w:val="decimal"/>
      <w:start w:val="8"/>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2"/>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3"/>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3"/>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1"/>
      <w:numFmt w:val="decimal"/>
      <w:start w:val="97"/>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8" Type="http://schemas.openxmlformats.org/officeDocument/2006/relationships/image" Target="media/image142.png"/><Relationship Id="rId179"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49" Type="http://schemas.openxmlformats.org/officeDocument/2006/relationships/hyperlink" Target="https://www.sec.gov/ix?doc=/Archives/edgar/data/823768/000155837025001132/wm-20241231x10k.htm#Item7ManagementsDiscussion_595297" TargetMode="External"/><Relationship Id="rId150" Type="http://schemas.openxmlformats.org/officeDocument/2006/relationships/hyperlink" Target="https://www.sec.gov/Archives/edgar/data/823768/000110465924063047/tm2412128d3_ex3-2.htm" TargetMode="External"/><Relationship Id="rId151" Type="http://schemas.openxmlformats.org/officeDocument/2006/relationships/hyperlink" Target="https://www.sec.gov/Archives/edgar/data/823768/000110465923115047/tm2329883d1_ex3-2.htm" TargetMode="External"/><Relationship Id="rId152" Type="http://schemas.openxmlformats.org/officeDocument/2006/relationships/hyperlink" Target="http://www.sec.gov/Archives/edgar/data/823768/0000950129-99-001268.txt" TargetMode="External"/><Relationship Id="rId153" Type="http://schemas.openxmlformats.org/officeDocument/2006/relationships/hyperlink" Target="http://www.sec.gov/Archives/edgar/data/823768/000095012315002550/d793975dex42.htm" TargetMode="External"/><Relationship Id="rId154" Type="http://schemas.openxmlformats.org/officeDocument/2006/relationships/hyperlink" Target="http://www.sec.gov/Archives/edgar/data/823768/000119312514283972/d740524dex43.htm" TargetMode="External"/><Relationship Id="rId155" Type="http://schemas.openxmlformats.org/officeDocument/2006/relationships/hyperlink" Target="http://www.sec.gov/Archives/edgar/data/823768/0000950129-97-000380.txt" TargetMode="External"/><Relationship Id="rId156" Type="http://schemas.openxmlformats.org/officeDocument/2006/relationships/hyperlink" Target="http://www.sec.gov/Archives/edgar/data/823768/0000950129-97-003909.txt" TargetMode="External"/><Relationship Id="rId157" Type="http://schemas.openxmlformats.org/officeDocument/2006/relationships/hyperlink" Target="https://www.sec.gov/Archives/edgar/data/823768/000155837025001132/wm-20241231xex4d6.htm" TargetMode="External"/><Relationship Id="rId159" Type="http://schemas.openxmlformats.org/officeDocument/2006/relationships/hyperlink" Target="https://www.sec.gov/Archives/edgar/data/823768/000155837025001132/wm-20241231xex4d8.htm" TargetMode="External"/><Relationship Id="rId160" Type="http://schemas.openxmlformats.org/officeDocument/2006/relationships/hyperlink" Target="https://www.sec.gov/Archives/edgar/data/823768/000155837025001132/wm-20241231xex4d13.htm" TargetMode="External"/><Relationship Id="rId161" Type="http://schemas.openxmlformats.org/officeDocument/2006/relationships/hyperlink" Target="https://www.sec.gov/Archives/edgar/data/823768/000110465923058503/tm2315236d1_ex10-1.htm" TargetMode="External"/><Relationship Id="rId162" Type="http://schemas.openxmlformats.org/officeDocument/2006/relationships/hyperlink" Target="http://www.sec.gov/Archives/edgar/data/823768/000119312514200494/d726417dex101.htm" TargetMode="External"/><Relationship Id="rId163" Type="http://schemas.openxmlformats.org/officeDocument/2006/relationships/hyperlink" Target="https://www.sec.gov/Archives/edgar/data/823768/000110465920062449/tm2018602d2_ex10-2.htm" TargetMode="External"/><Relationship Id="rId164" Type="http://schemas.openxmlformats.org/officeDocument/2006/relationships/hyperlink" Target="https://www.sec.gov/Archives/edgar/data/823768/000155837022011119/wm-20220630xex10d3.htm" TargetMode="External"/><Relationship Id="rId165" Type="http://schemas.openxmlformats.org/officeDocument/2006/relationships/hyperlink" Target="https://www.sec.gov/Archives/edgar/data/823768/000110465920062449/tm2018602d2_ex10-1.htm" TargetMode="External"/><Relationship Id="rId166" Type="http://schemas.openxmlformats.org/officeDocument/2006/relationships/hyperlink" Target="https://www.sec.gov/Archives/edgar/data/823768/000155837024001049/wm-20231231xex10d8.htm" TargetMode="External"/><Relationship Id="rId167" Type="http://schemas.openxmlformats.org/officeDocument/2006/relationships/hyperlink" Target="http://www.sec.gov/Archives/edgar/data/823768/000119312514156430/d690567dex102.htm" TargetMode="External"/><Relationship Id="rId168" Type="http://schemas.openxmlformats.org/officeDocument/2006/relationships/hyperlink" Target="https://www.sec.gov/Archives/edgar/data/823768/000110465924059949/tm2412128d2_ex10-1.htm" TargetMode="External"/><Relationship Id="rId169" Type="http://schemas.openxmlformats.org/officeDocument/2006/relationships/hyperlink" Target="https://www.sec.gov/Archives/edgar/data/823768/000155837025001132/wm-20241231xex10d10.htm" TargetMode="External"/><Relationship Id="rId170" Type="http://schemas.openxmlformats.org/officeDocument/2006/relationships/hyperlink" Target="https://www.sec.gov/Archives/edgar/data/823768/000119312517046480/d252547dex1011.htm" TargetMode="External"/><Relationship Id="rId171" Type="http://schemas.openxmlformats.org/officeDocument/2006/relationships/hyperlink" Target="https://www.sec.gov/Archives/edgar/data/823768/000155837023000964/wm-20221231xex10d11.htm" TargetMode="External"/><Relationship Id="rId172" Type="http://schemas.openxmlformats.org/officeDocument/2006/relationships/hyperlink" Target="http://www.sec.gov/Archives/edgar/data/823768/000110465917075030/a17-28786_1ex10d2.htm" TargetMode="External"/><Relationship Id="rId173" Type="http://schemas.openxmlformats.org/officeDocument/2006/relationships/hyperlink" Target="https://www.sec.gov/Archives/edgar/data/823768/000155837024001049/wm-20231231xex10d14.htm" TargetMode="External"/><Relationship Id="rId174" Type="http://schemas.openxmlformats.org/officeDocument/2006/relationships/hyperlink" Target="https://www.sec.gov/Archives/edgar/data/823768/000155837024001049/wm-20231231xex10d15.htm" TargetMode="External"/><Relationship Id="rId175" Type="http://schemas.openxmlformats.org/officeDocument/2006/relationships/hyperlink" Target="http://www.sec.gov/Archives/edgar/data/823768/000110465917075030/a17-28786_1ex10d3.htm" TargetMode="External"/><Relationship Id="rId176" Type="http://schemas.openxmlformats.org/officeDocument/2006/relationships/hyperlink" Target="http://www.sec.gov/Archives/edgar/data/823768/000110465917075030/a17-28786_1ex10d4.htm" TargetMode="External"/><Relationship Id="rId177" Type="http://schemas.openxmlformats.org/officeDocument/2006/relationships/hyperlink" Target="https://www.sec.gov/Archives/edgar/data/823768/000155837025009726/wm-20250630xex10d1.htm" TargetMode="External"/><Relationship Id="rId178" Type="http://schemas.openxmlformats.org/officeDocument/2006/relationships/hyperlink" Target="http://www.sec.gov/Archives/edgar/data/823768/000155837018000716/wm-20171231ex10236fa05.htm" TargetMode="External"/><Relationship Id="rId180" Type="http://schemas.openxmlformats.org/officeDocument/2006/relationships/hyperlink" Target="http://www.sec.gov/Archives/edgar/data/823768/000119312513058892/d413187dex1043.htm" TargetMode="External"/><Relationship Id="rId181" Type="http://schemas.openxmlformats.org/officeDocument/2006/relationships/hyperlink" Target="http://www.sec.gov/Archives/edgar/data/823768/000110465917075030/a17-28786_1ex10d1.htm" TargetMode="External"/><Relationship Id="rId182" Type="http://schemas.openxmlformats.org/officeDocument/2006/relationships/hyperlink" Target="https://www.sec.gov/Archives/edgar/data/823768/000110465922030973/tm228341d1_ex10-1.htm" TargetMode="External"/><Relationship Id="rId183" Type="http://schemas.openxmlformats.org/officeDocument/2006/relationships/hyperlink" Target="https://www.sec.gov/Archives/edgar/data/823768/000110465922030973/tm228341d1_ex10-2.htm" TargetMode="External"/><Relationship Id="rId184" Type="http://schemas.openxmlformats.org/officeDocument/2006/relationships/hyperlink" Target="https://www.sec.gov/Archives/edgar/data/823768/000110465923030666/tm238966d1_ex10-1.htm" TargetMode="External"/><Relationship Id="rId185" Type="http://schemas.openxmlformats.org/officeDocument/2006/relationships/hyperlink" Target="https://www.sec.gov/Archives/edgar/data/823768/000110465924031504/tm247937d1_ex10-1.htm" TargetMode="External"/><Relationship Id="rId186" Type="http://schemas.openxmlformats.org/officeDocument/2006/relationships/hyperlink" Target="https://www.sec.gov/Archives/edgar/data/823768/000110465924031504/tm247937d1_ex10-2.htm" TargetMode="External"/><Relationship Id="rId187" Type="http://schemas.openxmlformats.org/officeDocument/2006/relationships/hyperlink" Target="https://www.sec.gov/Archives/edgar/data/823768/000155837024005734/wm-20240331xex10d3.htm" TargetMode="External"/><Relationship Id="rId188" Type="http://schemas.openxmlformats.org/officeDocument/2006/relationships/hyperlink" Target="https://www.sec.gov/Archives/edgar/data/823768/000155837024013762/wm-20240930xex10d2.htm" TargetMode="External"/><Relationship Id="rId189" Type="http://schemas.openxmlformats.org/officeDocument/2006/relationships/hyperlink" Target="https://www.sec.gov/Archives/edgar/data/823768/000110465925019125/tm257911d1_ex10-1.htm" TargetMode="External"/><Relationship Id="rId190" Type="http://schemas.openxmlformats.org/officeDocument/2006/relationships/hyperlink" Target="https://www.sec.gov/Archives/edgar/data/823768/000110465925019125/tm257911d1_ex10-2.htm" TargetMode="External"/><Relationship Id="rId191" Type="http://schemas.openxmlformats.org/officeDocument/2006/relationships/hyperlink" Target="https://www.sec.gov/Archives/edgar/data/823768/000110465925019125/tm257911d1_ex10-3.htm" TargetMode="External"/><Relationship Id="rId192" Type="http://schemas.openxmlformats.org/officeDocument/2006/relationships/hyperlink" Target="https://www.sec.gov/Archives/edgar/data/823768/000155837025005805/wm-20250331xex10d4.htm" TargetMode="External"/><Relationship Id="rId193" Type="http://schemas.openxmlformats.org/officeDocument/2006/relationships/hyperlink" Target="https://www.sec.gov/Archives/edgar/data/823768/000110465925084026/tm2524148d2_ex10-1.htm" TargetMode="External"/><Relationship Id="rId194" Type="http://schemas.openxmlformats.org/officeDocument/2006/relationships/hyperlink" Target="https://www.sec.gov/Archives/edgar/data/823768/000155837025001132/wm-20241231xex19d1.htm" TargetMode="External"/><Relationship Id="rId195" Type="http://schemas.openxmlformats.org/officeDocument/2006/relationships/hyperlink" Target="https://www.sec.gov/Archives/edgar/data/823768/000155837024001049/wm-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2026-02-09T15:22:15Z</dcterms:created>
  <dcterms:modified xsi:type="dcterms:W3CDTF">2026-02-09T15:22:15Z</dcterms:modified>
</cp:coreProperties>
</file>