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360"/>
          </w:cols>
          <w:pgMar w:left="240" w:top="381" w:right="29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38" w:lineRule="exact"/>
        <w:rPr>
          <w:sz w:val="24"/>
          <w:szCs w:val="24"/>
          <w:color w:val="auto"/>
        </w:rPr>
      </w:pPr>
    </w:p>
    <w:p>
      <w:pPr>
        <w:sectPr>
          <w:pgSz w:w="11900" w:h="16838" w:orient="portrait"/>
          <w:cols w:equalWidth="0" w:num="2">
            <w:col w:w="3420" w:space="620"/>
            <w:col w:w="7320"/>
          </w:cols>
          <w:pgMar w:left="240" w:top="381"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Waste Management, Inc.</w:t>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360"/>
          </w:cols>
          <w:pgMar w:left="240" w:top="381" w:right="299" w:bottom="1440" w:gutter="0" w:footer="0" w:header="0"/>
          <w:type w:val="continuous"/>
        </w:sectPr>
      </w:pPr>
    </w:p>
    <w:p>
      <w:pPr>
        <w:spacing w:after="0" w:line="187" w:lineRule="exact"/>
        <w:rPr>
          <w:sz w:val="24"/>
          <w:szCs w:val="24"/>
          <w:color w:val="auto"/>
        </w:rPr>
      </w:pPr>
    </w:p>
    <w:p>
      <w:pPr>
        <w:ind w:left="24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600" w:space="720"/>
            <w:col w:w="3040"/>
          </w:cols>
          <w:pgMar w:left="240" w:top="381" w:right="299" w:bottom="1440" w:gutter="0" w:footer="0" w:header="0"/>
          <w:type w:val="continuous"/>
        </w:sectPr>
      </w:pPr>
    </w:p>
    <w:p>
      <w:pPr>
        <w:ind w:left="202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120"/>
        <w:spacing w:after="0"/>
        <w:rPr>
          <w:sz w:val="20"/>
          <w:szCs w:val="20"/>
          <w:color w:val="auto"/>
        </w:rPr>
      </w:pPr>
      <w:r>
        <w:rPr>
          <w:rFonts w:ascii="Arial" w:cs="Arial" w:eastAsia="Arial" w:hAnsi="Arial"/>
          <w:sz w:val="12"/>
          <w:szCs w:val="12"/>
          <w:i w:val="1"/>
          <w:iCs w:val="1"/>
          <w:color w:val="auto"/>
        </w:rPr>
        <w:t>Identification No.)</w:t>
      </w:r>
    </w:p>
    <w:p>
      <w:pPr>
        <w:spacing w:after="0" w:line="171" w:lineRule="exact"/>
        <w:rPr>
          <w:sz w:val="24"/>
          <w:szCs w:val="24"/>
          <w:color w:val="auto"/>
        </w:rPr>
      </w:pPr>
    </w:p>
    <w:p>
      <w:pPr>
        <w:sectPr>
          <w:pgSz w:w="11900" w:h="16838" w:orient="portrait"/>
          <w:cols w:equalWidth="0" w:num="2">
            <w:col w:w="7520" w:space="720"/>
            <w:col w:w="3120"/>
          </w:cols>
          <w:pgMar w:left="240" w:top="381"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1001 Fannin</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43"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81" w:right="29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160"/>
        <w:spacing w:after="0"/>
        <w:rPr>
          <w:sz w:val="20"/>
          <w:szCs w:val="20"/>
          <w:color w:val="auto"/>
        </w:rPr>
      </w:pPr>
      <w:r>
        <w:rPr>
          <w:rFonts w:ascii="Arial" w:cs="Arial" w:eastAsia="Arial" w:hAnsi="Arial"/>
          <w:sz w:val="16"/>
          <w:szCs w:val="16"/>
          <w:color w:val="auto"/>
        </w:rPr>
        <w:t>(Do not check if a smaller reporting company)</w:t>
      </w:r>
    </w:p>
    <w:p>
      <w:pPr>
        <w:spacing w:after="0" w:line="148" w:lineRule="exact"/>
        <w:rPr>
          <w:sz w:val="24"/>
          <w:szCs w:val="24"/>
          <w:color w:val="auto"/>
        </w:rPr>
      </w:pPr>
    </w:p>
    <w:p>
      <w:pPr>
        <w:sectPr>
          <w:pgSz w:w="11900" w:h="16838" w:orient="portrait"/>
          <w:cols w:equalWidth="0" w:num="6">
            <w:col w:w="1580" w:space="100"/>
            <w:col w:w="140" w:space="260"/>
            <w:col w:w="1180" w:space="140"/>
            <w:col w:w="160" w:space="260"/>
            <w:col w:w="1480" w:space="100"/>
            <w:col w:w="5960"/>
          </w:cols>
          <w:pgMar w:left="240" w:top="381" w:right="29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7700" w:space="160"/>
            <w:col w:w="260" w:space="80"/>
            <w:col w:w="160" w:space="180"/>
            <w:col w:w="2820"/>
          </w:cols>
          <w:pgMar w:left="240" w:top="381" w:right="299" w:bottom="1440" w:gutter="0" w:footer="0" w:header="0"/>
          <w:type w:val="continuous"/>
        </w:sectPr>
      </w:pPr>
    </w:p>
    <w:p>
      <w:pPr>
        <w:ind w:right="240"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April 20, 2012 was 462,909,315 (excluding treasury shares of 167,373,146).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381"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8520" w:type="dxa"/>
            <w:vAlign w:val="bottom"/>
          </w:tcPr>
          <w:p>
            <w:pPr>
              <w:jc w:val="center"/>
              <w:ind w:left="1623"/>
              <w:spacing w:after="0"/>
              <w:rPr>
                <w:sz w:val="20"/>
                <w:szCs w:val="20"/>
                <w:color w:val="auto"/>
              </w:rPr>
            </w:pPr>
            <w:r>
              <w:rPr>
                <w:rFonts w:ascii="Arial" w:cs="Arial" w:eastAsia="Arial" w:hAnsi="Arial"/>
                <w:sz w:val="18"/>
                <w:szCs w:val="18"/>
                <w:b w:val="1"/>
                <w:bCs w:val="1"/>
                <w:color w:val="auto"/>
                <w:w w:val="96"/>
              </w:rPr>
              <w:t>PART I.</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52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Financial Statements.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8520" w:type="dxa"/>
            <w:vAlign w:val="bottom"/>
          </w:tcPr>
          <w:p>
            <w:pPr>
              <w:jc w:val="center"/>
              <w:ind w:left="1623"/>
              <w:spacing w:after="0"/>
              <w:rPr>
                <w:sz w:val="20"/>
                <w:szCs w:val="20"/>
                <w:color w:val="auto"/>
              </w:rPr>
            </w:pPr>
            <w:r>
              <w:rPr>
                <w:rFonts w:ascii="Arial" w:cs="Arial" w:eastAsia="Arial" w:hAnsi="Arial"/>
                <w:sz w:val="18"/>
                <w:szCs w:val="18"/>
                <w:b w:val="1"/>
                <w:bCs w:val="1"/>
                <w:color w:val="auto"/>
                <w:w w:val="97"/>
              </w:rPr>
              <w:t>WASTE MANAGEMENT, INC.</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0" w:type="dxa"/>
            <w:vAlign w:val="bottom"/>
          </w:tcPr>
          <w:p>
            <w:pPr>
              <w:spacing w:after="0"/>
              <w:rPr>
                <w:sz w:val="24"/>
                <w:szCs w:val="24"/>
                <w:color w:val="auto"/>
              </w:rPr>
            </w:pPr>
          </w:p>
        </w:tc>
        <w:tc>
          <w:tcPr>
            <w:tcW w:w="8520" w:type="dxa"/>
            <w:vAlign w:val="bottom"/>
          </w:tcPr>
          <w:p>
            <w:pPr>
              <w:jc w:val="center"/>
              <w:ind w:left="1623"/>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8520" w:type="dxa"/>
            <w:vAlign w:val="bottom"/>
          </w:tcPr>
          <w:p>
            <w:pPr>
              <w:jc w:val="center"/>
              <w:ind w:left="1623"/>
              <w:spacing w:after="0"/>
              <w:rPr>
                <w:sz w:val="20"/>
                <w:szCs w:val="20"/>
                <w:color w:val="auto"/>
              </w:rPr>
            </w:pPr>
            <w:r>
              <w:rPr>
                <w:rFonts w:ascii="Arial" w:cs="Arial" w:eastAsia="Arial" w:hAnsi="Arial"/>
                <w:sz w:val="18"/>
                <w:szCs w:val="18"/>
                <w:b w:val="1"/>
                <w:bCs w:val="1"/>
                <w:color w:val="auto"/>
                <w:w w:val="89"/>
              </w:rPr>
              <w:t>(In Millions, Except Share and Par Value Amounts)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shd w:val="clear" w:color="auto" w:fill="CCEEFF"/>
          </w:tcPr>
          <w:p>
            <w:pPr>
              <w:spacing w:after="0"/>
              <w:rPr>
                <w:sz w:val="12"/>
                <w:szCs w:val="12"/>
                <w:color w:val="auto"/>
              </w:rPr>
            </w:pPr>
          </w:p>
        </w:tc>
        <w:tc>
          <w:tcPr>
            <w:tcW w:w="8520" w:type="dxa"/>
            <w:vAlign w:val="bottom"/>
            <w:shd w:val="clear" w:color="auto" w:fill="CCEEFF"/>
          </w:tcPr>
          <w:p>
            <w:pPr>
              <w:ind w:left="4820"/>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20" w:type="dxa"/>
            <w:vAlign w:val="bottom"/>
            <w:gridSpan w:val="2"/>
          </w:tcPr>
          <w:p>
            <w:pPr>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49"/>
        </w:trPr>
        <w:tc>
          <w:tcPr>
            <w:tcW w:w="9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Accounts receivable, net of allowance for doubtful accounts of $28 and $29, respectively</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1,580</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receivables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9"/>
        </w:trPr>
        <w:tc>
          <w:tcPr>
            <w:tcW w:w="9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Parts and supplies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56"/>
        </w:trPr>
        <w:tc>
          <w:tcPr>
            <w:tcW w:w="9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w:t>
            </w:r>
          </w:p>
        </w:tc>
        <w:tc>
          <w:tcPr>
            <w:tcW w:w="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2,285</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2,379</w:t>
            </w:r>
          </w:p>
        </w:tc>
        <w:tc>
          <w:tcPr>
            <w:tcW w:w="0" w:type="dxa"/>
            <w:vAlign w:val="bottom"/>
          </w:tcPr>
          <w:p>
            <w:pPr>
              <w:spacing w:after="0"/>
              <w:rPr>
                <w:sz w:val="1"/>
                <w:szCs w:val="1"/>
                <w:color w:val="auto"/>
              </w:rPr>
            </w:pPr>
          </w:p>
        </w:tc>
      </w:tr>
      <w:tr>
        <w:trPr>
          <w:trHeight w:val="149"/>
        </w:trPr>
        <w:tc>
          <w:tcPr>
            <w:tcW w:w="912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 of accumulated depreciation and amortization of $15,545 and $15,308, respectively</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12,299</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12,242</w:t>
            </w:r>
          </w:p>
        </w:tc>
        <w:tc>
          <w:tcPr>
            <w:tcW w:w="0" w:type="dxa"/>
            <w:vAlign w:val="bottom"/>
          </w:tcPr>
          <w:p>
            <w:pPr>
              <w:spacing w:after="0"/>
              <w:rPr>
                <w:sz w:val="1"/>
                <w:szCs w:val="1"/>
                <w:color w:val="auto"/>
              </w:rPr>
            </w:pPr>
          </w:p>
        </w:tc>
      </w:tr>
      <w:tr>
        <w:trPr>
          <w:trHeight w:val="149"/>
        </w:trPr>
        <w:tc>
          <w:tcPr>
            <w:tcW w:w="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6,234</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6,215</w:t>
            </w:r>
          </w:p>
        </w:tc>
        <w:tc>
          <w:tcPr>
            <w:tcW w:w="0" w:type="dxa"/>
            <w:vAlign w:val="bottom"/>
          </w:tcPr>
          <w:p>
            <w:pPr>
              <w:spacing w:after="0"/>
              <w:rPr>
                <w:sz w:val="1"/>
                <w:szCs w:val="1"/>
                <w:color w:val="auto"/>
              </w:rPr>
            </w:pPr>
          </w:p>
        </w:tc>
      </w:tr>
      <w:tr>
        <w:trPr>
          <w:trHeight w:val="149"/>
        </w:trPr>
        <w:tc>
          <w:tcPr>
            <w:tcW w:w="912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 in unconsolidated entities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56"/>
        </w:trPr>
        <w:tc>
          <w:tcPr>
            <w:tcW w:w="9120" w:type="dxa"/>
            <w:vAlign w:val="bottom"/>
            <w:gridSpan w:val="2"/>
          </w:tcPr>
          <w:p>
            <w:pPr>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621</w:t>
            </w:r>
          </w:p>
        </w:tc>
        <w:tc>
          <w:tcPr>
            <w:tcW w:w="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0" w:type="dxa"/>
            <w:vAlign w:val="bottom"/>
            <w:shd w:val="clear" w:color="auto" w:fill="CCEEFF"/>
          </w:tcPr>
          <w:p>
            <w:pPr>
              <w:spacing w:after="0"/>
              <w:rPr>
                <w:sz w:val="12"/>
                <w:szCs w:val="12"/>
                <w:color w:val="auto"/>
              </w:rPr>
            </w:pPr>
          </w:p>
        </w:tc>
        <w:tc>
          <w:tcPr>
            <w:tcW w:w="85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22,535</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22,569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520" w:type="dxa"/>
            <w:vAlign w:val="bottom"/>
            <w:vMerge w:val="restart"/>
          </w:tcPr>
          <w:p>
            <w:pPr>
              <w:ind w:left="4220"/>
              <w:spacing w:after="0"/>
              <w:rPr>
                <w:sz w:val="20"/>
                <w:szCs w:val="20"/>
                <w:color w:val="auto"/>
              </w:rPr>
            </w:pPr>
            <w:r>
              <w:rPr>
                <w:rFonts w:ascii="Arial" w:cs="Arial" w:eastAsia="Arial" w:hAnsi="Arial"/>
                <w:sz w:val="14"/>
                <w:szCs w:val="14"/>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0" w:type="dxa"/>
            <w:vAlign w:val="bottom"/>
          </w:tcPr>
          <w:p>
            <w:pPr>
              <w:spacing w:after="0"/>
              <w:rPr>
                <w:sz w:val="24"/>
                <w:szCs w:val="24"/>
                <w:color w:val="auto"/>
              </w:rPr>
            </w:pPr>
          </w:p>
        </w:tc>
        <w:tc>
          <w:tcPr>
            <w:tcW w:w="8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662</w:t>
            </w:r>
          </w:p>
        </w:tc>
        <w:tc>
          <w:tcPr>
            <w:tcW w:w="7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49"/>
        </w:trPr>
        <w:tc>
          <w:tcPr>
            <w:tcW w:w="9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Deferred revenues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465</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860</w:t>
            </w:r>
          </w:p>
        </w:tc>
        <w:tc>
          <w:tcPr>
            <w:tcW w:w="7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12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3,047</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3,068</w:t>
            </w: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8,989</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9,125</w:t>
            </w:r>
          </w:p>
        </w:tc>
        <w:tc>
          <w:tcPr>
            <w:tcW w:w="0" w:type="dxa"/>
            <w:vAlign w:val="bottom"/>
          </w:tcPr>
          <w:p>
            <w:pPr>
              <w:spacing w:after="0"/>
              <w:rPr>
                <w:sz w:val="1"/>
                <w:szCs w:val="1"/>
                <w:color w:val="auto"/>
              </w:rPr>
            </w:pPr>
          </w:p>
        </w:tc>
      </w:tr>
      <w:tr>
        <w:trPr>
          <w:trHeight w:val="149"/>
        </w:trPr>
        <w:tc>
          <w:tcPr>
            <w:tcW w:w="912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1,889</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Landfill and environmental remediation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56"/>
        </w:trPr>
        <w:tc>
          <w:tcPr>
            <w:tcW w:w="912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703</w:t>
            </w:r>
          </w:p>
        </w:tc>
        <w:tc>
          <w:tcPr>
            <w:tcW w:w="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16,054</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16,179</w:t>
            </w:r>
          </w:p>
        </w:tc>
        <w:tc>
          <w:tcPr>
            <w:tcW w:w="0" w:type="dxa"/>
            <w:vAlign w:val="bottom"/>
          </w:tcPr>
          <w:p>
            <w:pPr>
              <w:spacing w:after="0"/>
              <w:rPr>
                <w:sz w:val="1"/>
                <w:szCs w:val="1"/>
                <w:color w:val="auto"/>
              </w:rPr>
            </w:pPr>
          </w:p>
        </w:tc>
      </w:tr>
      <w:tr>
        <w:trPr>
          <w:trHeight w:val="156"/>
        </w:trPr>
        <w:tc>
          <w:tcPr>
            <w:tcW w:w="912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8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Waste Management, Inc. stockholders’ equity:</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 stock, $0.01 par value; 1,500,000,000 shares authorized; 630,282,461 shares issued</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1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4,540</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4,561</w:t>
            </w: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Retained earnings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6,727</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6,721</w:t>
            </w:r>
          </w:p>
        </w:tc>
        <w:tc>
          <w:tcPr>
            <w:tcW w:w="0" w:type="dxa"/>
            <w:vAlign w:val="bottom"/>
          </w:tcPr>
          <w:p>
            <w:pPr>
              <w:spacing w:after="0"/>
              <w:rPr>
                <w:sz w:val="1"/>
                <w:szCs w:val="1"/>
                <w:color w:val="auto"/>
              </w:rPr>
            </w:pPr>
          </w:p>
        </w:tc>
      </w:tr>
      <w:tr>
        <w:trPr>
          <w:trHeight w:val="149"/>
        </w:trPr>
        <w:tc>
          <w:tcPr>
            <w:tcW w:w="91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Accumulated other comprehensive income</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Treasury stock at cost, 167,540,175 and 169,749,709 shares, respectively</w:t>
            </w: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(5,320)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(5,390)</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8520" w:type="dxa"/>
            <w:vAlign w:val="bottom"/>
          </w:tcPr>
          <w:p>
            <w:pPr>
              <w:ind w:left="60"/>
              <w:spacing w:after="0" w:line="155" w:lineRule="exact"/>
              <w:rPr>
                <w:sz w:val="20"/>
                <w:szCs w:val="20"/>
                <w:color w:val="auto"/>
              </w:rPr>
            </w:pPr>
            <w:r>
              <w:rPr>
                <w:rFonts w:ascii="Arial" w:cs="Arial" w:eastAsia="Arial" w:hAnsi="Arial"/>
                <w:sz w:val="14"/>
                <w:szCs w:val="14"/>
                <w:color w:val="auto"/>
              </w:rPr>
              <w:t>Total Waste Management, Inc. stockholders’ equity</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6,159</w:t>
            </w:r>
          </w:p>
        </w:tc>
        <w:tc>
          <w:tcPr>
            <w:tcW w:w="7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7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8520" w:type="dxa"/>
            <w:vAlign w:val="bottom"/>
          </w:tcPr>
          <w:p>
            <w:pPr>
              <w:ind w:left="60"/>
              <w:spacing w:after="0" w:line="155" w:lineRule="exact"/>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6,481</w:t>
            </w: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 w:type="dxa"/>
            <w:vAlign w:val="bottom"/>
            <w:shd w:val="clear" w:color="auto" w:fill="CCEEFF"/>
          </w:tcPr>
          <w:p>
            <w:pPr>
              <w:spacing w:after="0"/>
              <w:rPr>
                <w:sz w:val="12"/>
                <w:szCs w:val="12"/>
                <w:color w:val="auto"/>
              </w:rPr>
            </w:pPr>
          </w:p>
        </w:tc>
        <w:tc>
          <w:tcPr>
            <w:tcW w:w="85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Total liabilities and equity</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22,535</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22,569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2,166</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8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(129)</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460" w:type="dxa"/>
            <w:vAlign w:val="bottom"/>
          </w:tcPr>
          <w:p>
            <w:pPr>
              <w:spacing w:after="0"/>
              <w:rPr>
                <w:sz w:val="18"/>
                <w:szCs w:val="18"/>
                <w:color w:val="auto"/>
              </w:rPr>
            </w:pPr>
          </w:p>
        </w:tc>
        <w:tc>
          <w:tcPr>
            <w:tcW w:w="6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0.355</w:t>
            </w:r>
          </w:p>
        </w:tc>
        <w:tc>
          <w:tcPr>
            <w:tcW w:w="460" w:type="dxa"/>
            <w:vAlign w:val="bottom"/>
          </w:tcPr>
          <w:p>
            <w:pPr>
              <w:spacing w:after="0"/>
              <w:rPr>
                <w:sz w:val="18"/>
                <w:szCs w:val="18"/>
                <w:color w:val="auto"/>
              </w:rPr>
            </w:pPr>
          </w:p>
        </w:tc>
        <w:tc>
          <w:tcPr>
            <w:tcW w:w="6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10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taxes: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gains (losses) on derivative instruments: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w w:val="94"/>
              </w:rPr>
              <w:t>Unrealized gains (losses), resulting from changes in fair value, net of tax expense (benefit) of $2 and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$(3), respectively</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108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 losses included in net income, net of tax expense of $2 and $5,</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108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Unrealized gains (losses) on available-for-sale securities, net of tax expense (benefit) of $1 and $(1),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8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funded status of post-retirement benefit obligation, net of tax benefit of $0 and (1),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net of taxes</w:t>
            </w: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108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217</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8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205</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178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1020" w:type="dxa"/>
            <w:vAlign w:val="bottom"/>
          </w:tcPr>
          <w:p>
            <w:pPr>
              <w:spacing w:after="0"/>
              <w:rPr>
                <w:sz w:val="12"/>
                <w:szCs w:val="12"/>
                <w:color w:val="auto"/>
              </w:rPr>
            </w:pPr>
          </w:p>
        </w:tc>
        <w:tc>
          <w:tcPr>
            <w:tcW w:w="580" w:type="dxa"/>
            <w:vAlign w:val="bottom"/>
          </w:tcPr>
          <w:p>
            <w:pPr>
              <w:jc w:val="right"/>
              <w:ind w:right="464"/>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(benefit) provision</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Interest accretion on landfill liabilities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accretion on and discount rate adjustments to environmental remediation liabilities and recovery assets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Equity-based compensation expense</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Net gain from disposal of assets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(4)</w:t>
            </w:r>
          </w:p>
        </w:tc>
        <w:tc>
          <w:tcPr>
            <w:tcW w:w="5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(8)</w:t>
            </w: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Equity in net losses of unconsolidated entities, net of dividends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420"/>
              <w:spacing w:after="0" w:line="149" w:lineRule="exact"/>
              <w:rPr>
                <w:sz w:val="20"/>
                <w:szCs w:val="20"/>
                <w:color w:val="auto"/>
              </w:rPr>
            </w:pPr>
            <w:r>
              <w:rPr>
                <w:rFonts w:ascii="Arial" w:cs="Arial" w:eastAsia="Arial" w:hAnsi="Arial"/>
                <w:sz w:val="14"/>
                <w:szCs w:val="14"/>
                <w:color w:val="auto"/>
              </w:rPr>
              <w:t>Receivables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(33)</w:t>
            </w: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(99)</w:t>
            </w: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revenues and other liabilities</w:t>
            </w:r>
          </w:p>
        </w:tc>
        <w:tc>
          <w:tcPr>
            <w:tcW w:w="1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(10)</w:t>
            </w:r>
          </w:p>
        </w:tc>
        <w:tc>
          <w:tcPr>
            <w:tcW w:w="580" w:type="dxa"/>
            <w:vAlign w:val="bottom"/>
          </w:tcPr>
          <w:p>
            <w:pPr>
              <w:spacing w:after="0"/>
              <w:rPr>
                <w:sz w:val="13"/>
                <w:szCs w:val="13"/>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220" w:type="dxa"/>
            <w:vAlign w:val="bottom"/>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1020" w:type="dxa"/>
            <w:vAlign w:val="bottom"/>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85"/>
              </w:rPr>
              <w:t>(129)</w:t>
            </w: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85"/>
              </w:rPr>
              <w:t>(379)</w:t>
            </w:r>
          </w:p>
        </w:tc>
        <w:tc>
          <w:tcPr>
            <w:tcW w:w="5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divestitures of businesses (net of cash divested) and other sales of assets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in unconsolidated entities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(13)</w:t>
            </w: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85"/>
              </w:rPr>
              <w:t>(503)</w:t>
            </w: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(462)</w:t>
            </w:r>
          </w:p>
        </w:tc>
        <w:tc>
          <w:tcPr>
            <w:tcW w:w="0" w:type="dxa"/>
            <w:vAlign w:val="bottom"/>
          </w:tcPr>
          <w:p>
            <w:pPr>
              <w:spacing w:after="0"/>
              <w:rPr>
                <w:sz w:val="1"/>
                <w:szCs w:val="1"/>
                <w:color w:val="auto"/>
              </w:rPr>
            </w:pPr>
          </w:p>
        </w:tc>
      </w:tr>
      <w:tr>
        <w:trPr>
          <w:trHeight w:val="156"/>
        </w:trPr>
        <w:tc>
          <w:tcPr>
            <w:tcW w:w="74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2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 borrowings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Debt repayments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85"/>
              </w:rPr>
              <w:t>(205)</w:t>
            </w:r>
          </w:p>
        </w:tc>
        <w:tc>
          <w:tcPr>
            <w:tcW w:w="5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85"/>
              </w:rPr>
              <w:t>(164)</w:t>
            </w: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Common stock repurchases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common stock options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(9)</w:t>
            </w: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(42)</w:t>
            </w: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3"/>
        </w:trPr>
        <w:tc>
          <w:tcPr>
            <w:tcW w:w="7420" w:type="dxa"/>
            <w:vAlign w:val="bottom"/>
            <w:gridSpan w:val="2"/>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122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020" w:type="dxa"/>
            <w:vAlign w:val="bottom"/>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(69)</w:t>
            </w: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12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258</w:t>
            </w:r>
          </w:p>
        </w:tc>
        <w:tc>
          <w:tcPr>
            <w:tcW w:w="10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year</w:t>
            </w:r>
          </w:p>
        </w:tc>
        <w:tc>
          <w:tcPr>
            <w:tcW w:w="178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64"/>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0"/>
          </w:tcPr>
          <w:p>
            <w:pPr>
              <w:jc w:val="right"/>
              <w:ind w:right="340"/>
              <w:spacing w:after="0"/>
              <w:rPr>
                <w:sz w:val="20"/>
                <w:szCs w:val="20"/>
                <w:color w:val="auto"/>
              </w:rPr>
            </w:pPr>
            <w:r>
              <w:rPr>
                <w:rFonts w:ascii="Arial" w:cs="Arial" w:eastAsia="Arial" w:hAnsi="Arial"/>
                <w:sz w:val="14"/>
                <w:szCs w:val="14"/>
                <w:b w:val="1"/>
                <w:bCs w:val="1"/>
                <w:color w:val="auto"/>
                <w:w w:val="88"/>
              </w:rPr>
              <w:t>Waste Management, Inc. Stockholders’ Equity</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89"/>
              </w:rPr>
              <w:t>Common Stock</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0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3"/>
          </w:tcPr>
          <w:p>
            <w:pPr>
              <w:jc w:val="right"/>
              <w:ind w:right="200"/>
              <w:spacing w:after="0" w:line="148" w:lineRule="exact"/>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0"/>
              </w:rPr>
              <w:t>Other</w:t>
            </w:r>
          </w:p>
        </w:tc>
        <w:tc>
          <w:tcPr>
            <w:tcW w:w="16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Retained</w:t>
            </w:r>
          </w:p>
        </w:tc>
        <w:tc>
          <w:tcPr>
            <w:tcW w:w="124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5"/>
              </w:rPr>
              <w:t>Amounts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Income</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2011</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$6,390</w:t>
            </w:r>
          </w:p>
        </w:tc>
        <w:tc>
          <w:tcPr>
            <w:tcW w:w="3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3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4,561</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6,721</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w:t>
            </w:r>
          </w:p>
        </w:tc>
        <w:tc>
          <w:tcPr>
            <w:tcW w:w="3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(169,750)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(5,390)</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w:t>
            </w:r>
          </w:p>
        </w:tc>
        <w:tc>
          <w:tcPr>
            <w:tcW w:w="34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171</w:t>
            </w:r>
          </w:p>
        </w:tc>
        <w:tc>
          <w:tcPr>
            <w:tcW w:w="8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taxes</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7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(164)</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(164)</w:t>
            </w:r>
          </w:p>
        </w:tc>
        <w:tc>
          <w:tcPr>
            <w:tcW w:w="8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w:t>
            </w: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dividend equivalents, net of taxes</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w:t>
            </w:r>
          </w:p>
        </w:tc>
        <w:tc>
          <w:tcPr>
            <w:tcW w:w="3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2,208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7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Balance, March 31, 2012</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vMerge w:val="continue"/>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6,481</w:t>
            </w:r>
          </w:p>
        </w:tc>
        <w:tc>
          <w:tcPr>
            <w:tcW w:w="340" w:type="dxa"/>
            <w:vAlign w:val="bottom"/>
          </w:tcPr>
          <w:p>
            <w:pPr>
              <w:spacing w:after="0"/>
              <w:rPr>
                <w:sz w:val="13"/>
                <w:szCs w:val="13"/>
                <w:color w:val="auto"/>
              </w:rPr>
            </w:pPr>
          </w:p>
        </w:tc>
        <w:tc>
          <w:tcPr>
            <w:tcW w:w="8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4"/>
              </w:rPr>
              <w:t>630,282</w:t>
            </w:r>
          </w:p>
        </w:tc>
        <w:tc>
          <w:tcPr>
            <w:tcW w:w="3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4,540</w:t>
            </w:r>
          </w:p>
        </w:tc>
        <w:tc>
          <w:tcPr>
            <w:tcW w:w="30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6,727</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206</w:t>
            </w: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3"/>
              </w:rPr>
              <w:t>(167,540)</w:t>
            </w:r>
          </w:p>
        </w:tc>
        <w:tc>
          <w:tcPr>
            <w:tcW w:w="2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9"/>
              </w:rPr>
              <w:t>(5,320)</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12.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currently manage and evaluate our principal operations through five Groups. Our four geographic operating Groups, which are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We also provide additional services that are not managed through our five Groups, including the operations of Oakleaf Global Holdings acquired on July 28, 2011 (“Oakleaf”), which are presented in this report as “Other.” Additional information related to our segments and to our acquisition of Oakleaf can be found in Note 8 and in Note 9, respectively.</w:t>
      </w:r>
    </w:p>
    <w:p>
      <w:pPr>
        <w:spacing w:after="0" w:line="6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Condensed Consolidated Financial Statements as of March 31, 2012 and for the three months ended March 31, 2012 and 2011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2011.</w:t>
      </w:r>
    </w:p>
    <w:p>
      <w:pPr>
        <w:spacing w:after="0" w:line="3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 In May 2011, the Financial Accounting Standards Board (“FASB”) amended authoritative guidance associated with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This amended guidance defines certain requirements for measuring fair value and for disclosing information about fair value measurements in accordance with U.S. generally accepted accounting principles. The amendments to authoritative guidance associated with fair value measurements were effective for the Company on January 1, 2012 and have been applied prospectively. The adoption of this guidance did not have a material impact on our consolidated financial statements.</w:t>
      </w:r>
    </w:p>
    <w:p>
      <w:pPr>
        <w:spacing w:after="0" w:line="6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 In June 2011, the FASB issued amended authoritative guidance associated with comprehensive income, which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to present the total of comprehensive income, the components of net income, and the components of other comprehensive income either in a single continuous statement of comprehensive income or in two separate but consecutive statements. This update eliminates the option to present the components of other comprehensive income as part of the statement of changes in equity.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December 2011, the FASB deferred the effective date of the specific requirement to present items that are reclassified out of accumulated other comprehensive income to net income alongside their respective components of net income and other comprehensive income. The amendments to authoritative guidance associated with comprehensive income were effective for the Company on January 1, 2012 and have been applied retrospectively. The adoption of this guidance did not have a material impact on our consolidated financial statements.</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Landfill and Environmental Remediation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March 31, 2012</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8"/>
              </w:rPr>
              <w:t>December 31, 2011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Environmental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3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Landfill</w:t>
            </w:r>
          </w:p>
        </w:tc>
        <w:tc>
          <w:tcPr>
            <w:tcW w:w="24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c>
          <w:tcPr>
            <w:tcW w:w="8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Total</w:t>
            </w:r>
          </w:p>
        </w:tc>
        <w:tc>
          <w:tcPr>
            <w:tcW w:w="4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4"/>
                <w:szCs w:val="14"/>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5"/>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1,426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1,404</w:t>
            </w:r>
          </w:p>
        </w:tc>
        <w:tc>
          <w:tcPr>
            <w:tcW w:w="100" w:type="dxa"/>
            <w:vAlign w:val="bottom"/>
          </w:tcPr>
          <w:p>
            <w:pPr>
              <w:spacing w:after="0"/>
              <w:rPr>
                <w:sz w:val="18"/>
                <w:szCs w:val="18"/>
                <w:color w:val="auto"/>
              </w:rPr>
            </w:pPr>
          </w:p>
        </w:tc>
      </w:tr>
      <w:tr>
        <w:trPr>
          <w:trHeight w:val="27"/>
        </w:trPr>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1,319</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1,586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1,292</w:t>
            </w:r>
          </w:p>
        </w:tc>
        <w:tc>
          <w:tcPr>
            <w:tcW w:w="64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1,565</w:t>
            </w:r>
          </w:p>
        </w:tc>
        <w:tc>
          <w:tcPr>
            <w:tcW w:w="10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2011 and the three months ended March 31, 2012 are reflected in the table below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Landfill</w:t>
            </w:r>
          </w:p>
        </w:tc>
        <w:tc>
          <w:tcPr>
            <w:tcW w:w="40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Remediation</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2010</w:t>
            </w:r>
          </w:p>
        </w:tc>
        <w:tc>
          <w:tcPr>
            <w:tcW w:w="1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$1,266</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9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9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March 31, 2012</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1,319</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and we are the sole beneficiary of the restricted balances. However, certain of the funds have been established for the benefit of both the Company and the host community in which we operate.</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fair value of trust funds and escrow accounts for which we are the sole beneficiary was $124 million at March 31, 2012 and is included in long-term “Other assets” in our Condensed Consolidated Balance Sheet. Our portion of the trusts that have been established for the benefit of both the Company and the host community in which we operate had an aggregate carrying value of $110 million at March 31, 2012 and are included in “Other receivables,” “Investments in unconsolidated entities” and long-term “Other assets” in our Condensed Consolidated Balance Sheet, as appropriate. See Note 12 for additional information related to these trusts.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Debt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March 31, 2012:</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9"/>
              </w:rPr>
              <w:t>March 31,</w:t>
            </w:r>
          </w:p>
        </w:tc>
        <w:tc>
          <w:tcPr>
            <w:tcW w:w="7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8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(interest rate of 1.4% at March 31, 2012 and 1.5% at December 31,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Letter of credit facilities</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w w:val="99"/>
              </w:rPr>
              <w:t>Canadian credit facility (weighted average effective interest rate of 1.6% at March 31, 2012 and 1.8% at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r>
      <w:tr>
        <w:trPr>
          <w:trHeight w:val="208"/>
        </w:trPr>
        <w:tc>
          <w:tcPr>
            <w:tcW w:w="8240" w:type="dxa"/>
            <w:vAlign w:val="bottom"/>
          </w:tcPr>
          <w:p>
            <w:pPr>
              <w:spacing w:after="0"/>
              <w:rPr>
                <w:sz w:val="20"/>
                <w:szCs w:val="20"/>
                <w:color w:val="auto"/>
              </w:rPr>
            </w:pPr>
            <w:r>
              <w:rPr>
                <w:rFonts w:ascii="Arial" w:cs="Arial" w:eastAsia="Arial" w:hAnsi="Arial"/>
                <w:sz w:val="18"/>
                <w:szCs w:val="18"/>
                <w:color w:val="auto"/>
              </w:rPr>
              <w:t>Senior notes and debentures, maturing through 2039, interest rates ranging from 2.60% to 7.75%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240" w:type="dxa"/>
            <w:vAlign w:val="bottom"/>
          </w:tcPr>
          <w:p>
            <w:pPr>
              <w:ind w:left="220"/>
              <w:spacing w:after="0"/>
              <w:rPr>
                <w:sz w:val="20"/>
                <w:szCs w:val="20"/>
                <w:color w:val="auto"/>
              </w:rPr>
            </w:pPr>
            <w:r>
              <w:rPr>
                <w:rFonts w:ascii="Arial" w:cs="Arial" w:eastAsia="Arial" w:hAnsi="Arial"/>
                <w:sz w:val="18"/>
                <w:szCs w:val="18"/>
                <w:color w:val="auto"/>
              </w:rPr>
              <w:t>(weighted average interest rate of 6.0% at March 31, 2012 and December 31, 2011)</w:t>
            </w:r>
          </w:p>
        </w:tc>
        <w:tc>
          <w:tcPr>
            <w:tcW w:w="12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6,223</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19"/>
                <w:szCs w:val="19"/>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Tax-exempt bonds, maturing through 2041, fixed and variable interest rates ranging from 0.2% to 7.4%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interest rate of 3.1% at March 31, 2012 and December 31, 2011)</w:t>
            </w: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2,736</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9"/>
                <w:szCs w:val="19"/>
                <w:color w:val="auto"/>
              </w:rPr>
            </w:pPr>
          </w:p>
        </w:tc>
      </w:tr>
      <w:tr>
        <w:trPr>
          <w:trHeight w:val="208"/>
        </w:trPr>
        <w:tc>
          <w:tcPr>
            <w:tcW w:w="8240" w:type="dxa"/>
            <w:vAlign w:val="bottom"/>
          </w:tcPr>
          <w:p>
            <w:pPr>
              <w:spacing w:after="0"/>
              <w:rPr>
                <w:sz w:val="20"/>
                <w:szCs w:val="20"/>
                <w:color w:val="auto"/>
              </w:rPr>
            </w:pPr>
            <w:r>
              <w:rPr>
                <w:rFonts w:ascii="Arial" w:cs="Arial" w:eastAsia="Arial" w:hAnsi="Arial"/>
                <w:sz w:val="18"/>
                <w:szCs w:val="18"/>
                <w:color w:val="auto"/>
                <w:w w:val="98"/>
              </w:rPr>
              <w:t>Tax-exempt project bonds, maturing through 2029, fixed and variable interest rates ranging from 0.2% to</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240" w:type="dxa"/>
            <w:vAlign w:val="bottom"/>
          </w:tcPr>
          <w:p>
            <w:pPr>
              <w:ind w:left="220"/>
              <w:spacing w:after="0"/>
              <w:rPr>
                <w:sz w:val="20"/>
                <w:szCs w:val="20"/>
                <w:color w:val="auto"/>
              </w:rPr>
            </w:pPr>
            <w:r>
              <w:rPr>
                <w:rFonts w:ascii="Arial" w:cs="Arial" w:eastAsia="Arial" w:hAnsi="Arial"/>
                <w:sz w:val="18"/>
                <w:szCs w:val="18"/>
                <w:color w:val="auto"/>
              </w:rPr>
              <w:t>3.4% (weighted average interest rate of 1.4% at March 31, 2012 and 1.3% at December 31, 2011)</w:t>
            </w:r>
          </w:p>
        </w:tc>
        <w:tc>
          <w:tcPr>
            <w:tcW w:w="12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r>
      <w:tr>
        <w:trPr>
          <w:trHeight w:val="218"/>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r>
      <w:tr>
        <w:trPr>
          <w:trHeight w:val="221"/>
        </w:trPr>
        <w:tc>
          <w:tcPr>
            <w:tcW w:w="8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9,849</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9,756</w:t>
            </w:r>
          </w:p>
        </w:tc>
        <w:tc>
          <w:tcPr>
            <w:tcW w:w="100" w:type="dxa"/>
            <w:vAlign w:val="bottom"/>
          </w:tcPr>
          <w:p>
            <w:pPr>
              <w:spacing w:after="0"/>
              <w:rPr>
                <w:sz w:val="19"/>
                <w:szCs w:val="19"/>
                <w:color w:val="auto"/>
              </w:rPr>
            </w:pPr>
          </w:p>
        </w:tc>
      </w:tr>
      <w:tr>
        <w:trPr>
          <w:trHeight w:val="218"/>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r>
      <w:tr>
        <w:trPr>
          <w:trHeight w:val="222"/>
        </w:trPr>
        <w:tc>
          <w:tcPr>
            <w:tcW w:w="8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8,989</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of March 31, 2012, we had $1,005 million of debt maturing within the next twelve months, including $300 million of borrowings outstanding under the revolving credit facility, U.S. $115 million of advances outstanding under our Canadian credit facility, $400 million of 6.375% senior notes that mature in November 2012 and $134 million of tax-exempt bonds. We have classified $145 million of these borrowings as long-term as of March 31, 2012 based on our intent and ability to refinance these borrowings on a long-term basis. We also had $429 million of fixed-rate tax-exempt borrowings subject to repricing within the next twelve months, which were classified as long-term based on our intent and ability to fund any failed remarketings with available capacity under our revolving credit facility.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and Letter of Credit Facilities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31, 2012, we had an aggregate committed capacity of $2.5 billion for letters of credit under various credit facilities. In May 2011, we amended and restated our $2.0 billion revolving credit facility as a result of changes in market conditions, which significantly reduced the cost of the facility. We also extended the term through May 2016. Our revolving credit facility is our primary source of letter of credit capacity. Our remaining letter of credit capacity is provided under facilities with terms that extend from June 2013 to June 2015. As of March 31, 2012, we had an aggregate of $1.5 billion of letters of credit outstanding under various credit facilities. Approximately $1.0 billion of these letters of credit have been issued under our revolving credit facility. We had $300 million of outstanding borrowings under our revolving credit facility as of March 31, 2012.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first quarter of 2012, we borrowed $150 million under our revolving credit facility for general corporate purposes. We also repaid $25 million of net advances under our Canadian credit facility and $35 million of tax-exempt bonds with available cash during the three months ended March 31, 2012.</w:t>
      </w:r>
    </w:p>
    <w:p>
      <w:pPr>
        <w:spacing w:after="0" w:line="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Derivative Instruments and Hedging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fair values of derivative instruments recorded in our Condensed Consolidated Balance Sheet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Designated as Hedging Instruments</w:t>
            </w:r>
          </w:p>
        </w:tc>
        <w:tc>
          <w:tcPr>
            <w:tcW w:w="2040" w:type="dxa"/>
            <w:vAlign w:val="bottom"/>
          </w:tcPr>
          <w:p>
            <w:pPr>
              <w:spacing w:after="0"/>
              <w:rPr>
                <w:sz w:val="14"/>
                <w:szCs w:val="14"/>
                <w:color w:val="auto"/>
              </w:rPr>
            </w:pPr>
          </w:p>
        </w:tc>
        <w:tc>
          <w:tcPr>
            <w:tcW w:w="3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Balance Sheet Location</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auto"/>
            </w:tcBorders>
            <w:vMerge w:val="continue"/>
          </w:tcPr>
          <w:p>
            <w:pPr>
              <w:spacing w:after="0"/>
              <w:rPr>
                <w:sz w:val="14"/>
                <w:szCs w:val="14"/>
                <w:color w:val="auto"/>
              </w:rPr>
            </w:pPr>
          </w:p>
        </w:tc>
        <w:tc>
          <w:tcPr>
            <w:tcW w:w="2040" w:type="dxa"/>
            <w:vAlign w:val="bottom"/>
          </w:tcPr>
          <w:p>
            <w:pPr>
              <w:spacing w:after="0"/>
              <w:rPr>
                <w:sz w:val="14"/>
                <w:szCs w:val="14"/>
                <w:color w:val="auto"/>
              </w:rPr>
            </w:pPr>
          </w:p>
        </w:tc>
        <w:tc>
          <w:tcPr>
            <w:tcW w:w="3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5"/>
              <w:spacing w:after="0" w:line="148" w:lineRule="exact"/>
              <w:rPr>
                <w:sz w:val="20"/>
                <w:szCs w:val="20"/>
                <w:color w:val="auto"/>
              </w:rPr>
            </w:pPr>
            <w:r>
              <w:rPr>
                <w:rFonts w:ascii="Arial" w:cs="Arial" w:eastAsia="Arial" w:hAnsi="Arial"/>
                <w:sz w:val="14"/>
                <w:szCs w:val="14"/>
                <w:b w:val="1"/>
                <w:bCs w:val="1"/>
                <w:color w:val="auto"/>
                <w:w w:val="89"/>
              </w:rPr>
              <w:t>2012</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Electricity commodity contracts</w:t>
            </w:r>
          </w:p>
        </w:tc>
        <w:tc>
          <w:tcPr>
            <w:tcW w:w="204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Current other assets</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204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Long-term other assets</w:t>
            </w: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derivative assets</w:t>
            </w:r>
          </w:p>
        </w:tc>
        <w:tc>
          <w:tcPr>
            <w:tcW w:w="20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Interest rate contracts</w:t>
            </w:r>
          </w:p>
        </w:tc>
        <w:tc>
          <w:tcPr>
            <w:tcW w:w="2040" w:type="dxa"/>
            <w:vAlign w:val="bottom"/>
          </w:tcPr>
          <w:p>
            <w:pPr>
              <w:spacing w:after="0" w:line="20" w:lineRule="exact"/>
              <w:rPr>
                <w:sz w:val="1"/>
                <w:szCs w:val="1"/>
                <w:color w:val="auto"/>
              </w:rPr>
            </w:pPr>
          </w:p>
        </w:tc>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Current accrued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2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33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20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accrued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204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Long-term accrued liabilities</w:t>
            </w: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derivative liabilities</w:t>
            </w:r>
          </w:p>
        </w:tc>
        <w:tc>
          <w:tcPr>
            <w:tcW w:w="20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We have not offset fair value amounts recognized for our derivative instruments. For information related to the inputs used to measure our derivative assets and liabilities at fair value, refer to Note 11.</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Derivatives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We use interest rate swaps to maintain a portion of our debt obligations at variable market interest rates. As of March 31, 2012 and December 31, 2011, we had approximately $6.1 billion in fixed-rate senior notes outstanding. As of March 31, 2012 and December 31, 2011, the interest payments on $1 billion, or 16%, of these senior notes have been swapped to variable interest rates to protect the debt against changes in fair value due to changes in benchmark interest rates.</w:t>
      </w:r>
    </w:p>
    <w:p>
      <w:pPr>
        <w:spacing w:after="0" w:line="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have designated our interest rate swaps as fair value hedges of our fixed-rate senior notes. Fair value hedge accounting for interest rate swap contracts has increased the carrying value of our debt instruments by $97 million as of March 31, 2012 and $102 million as of December 31, 2011.</w:t>
      </w:r>
    </w:p>
    <w:p>
      <w:pPr>
        <w:spacing w:after="0" w:line="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fair value adjustments from interest rate swaps and the underlying hedged items on our results of operations (in millions):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Three Months Ended March 31,</w:t>
            </w:r>
          </w:p>
        </w:tc>
        <w:tc>
          <w:tcPr>
            <w:tcW w:w="1220" w:type="dxa"/>
            <w:vAlign w:val="bottom"/>
          </w:tcPr>
          <w:p>
            <w:pPr>
              <w:spacing w:after="0"/>
              <w:rPr>
                <w:sz w:val="14"/>
                <w:szCs w:val="14"/>
                <w:color w:val="auto"/>
              </w:rPr>
            </w:pPr>
          </w:p>
        </w:tc>
        <w:tc>
          <w:tcPr>
            <w:tcW w:w="378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86"/>
              </w:rPr>
              <w:t>Statement of Operations Classification</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Gain (Loss) on</w:t>
            </w:r>
          </w:p>
        </w:tc>
        <w:tc>
          <w:tcPr>
            <w:tcW w:w="0" w:type="dxa"/>
            <w:vAlign w:val="bottom"/>
          </w:tcPr>
          <w:p>
            <w:pPr>
              <w:spacing w:after="0"/>
              <w:rPr>
                <w:sz w:val="1"/>
                <w:szCs w:val="1"/>
                <w:color w:val="auto"/>
              </w:rPr>
            </w:pPr>
          </w:p>
        </w:tc>
      </w:tr>
      <w:tr>
        <w:trPr>
          <w:trHeight w:val="153"/>
        </w:trPr>
        <w:tc>
          <w:tcPr>
            <w:tcW w:w="380" w:type="dxa"/>
            <w:vAlign w:val="bottom"/>
          </w:tcPr>
          <w:p>
            <w:pPr>
              <w:spacing w:after="0"/>
              <w:rPr>
                <w:sz w:val="12"/>
                <w:szCs w:val="12"/>
                <w:color w:val="auto"/>
              </w:rPr>
            </w:pPr>
          </w:p>
        </w:tc>
        <w:tc>
          <w:tcPr>
            <w:tcW w:w="1980" w:type="dxa"/>
            <w:vAlign w:val="bottom"/>
            <w:tcBorders>
              <w:bottom w:val="single" w:sz="8" w:color="auto"/>
            </w:tcBorders>
            <w:vMerge w:val="continue"/>
          </w:tcPr>
          <w:p>
            <w:pPr>
              <w:spacing w:after="0"/>
              <w:rPr>
                <w:sz w:val="12"/>
                <w:szCs w:val="12"/>
                <w:color w:val="auto"/>
              </w:rPr>
            </w:pPr>
          </w:p>
        </w:tc>
        <w:tc>
          <w:tcPr>
            <w:tcW w:w="1220" w:type="dxa"/>
            <w:vAlign w:val="bottom"/>
          </w:tcPr>
          <w:p>
            <w:pPr>
              <w:spacing w:after="0"/>
              <w:rPr>
                <w:sz w:val="12"/>
                <w:szCs w:val="12"/>
                <w:color w:val="auto"/>
              </w:rPr>
            </w:pPr>
          </w:p>
        </w:tc>
        <w:tc>
          <w:tcPr>
            <w:tcW w:w="3780" w:type="dxa"/>
            <w:vAlign w:val="bottom"/>
            <w:gridSpan w:val="2"/>
            <w:vMerge w:val="continue"/>
          </w:tcPr>
          <w:p>
            <w:pPr>
              <w:spacing w:after="0"/>
              <w:rPr>
                <w:sz w:val="12"/>
                <w:szCs w:val="12"/>
                <w:color w:val="auto"/>
              </w:rPr>
            </w:pPr>
          </w:p>
        </w:tc>
        <w:tc>
          <w:tcPr>
            <w:tcW w:w="20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Gain (Loss) on Swap</w:t>
            </w:r>
          </w:p>
        </w:tc>
        <w:tc>
          <w:tcPr>
            <w:tcW w:w="10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5"/>
              </w:rPr>
              <w:t>Fixed-Rate Debt</w:t>
            </w:r>
          </w:p>
        </w:tc>
        <w:tc>
          <w:tcPr>
            <w:tcW w:w="0" w:type="dxa"/>
            <w:vAlign w:val="bottom"/>
          </w:tcPr>
          <w:p>
            <w:pPr>
              <w:spacing w:after="0"/>
              <w:rPr>
                <w:sz w:val="1"/>
                <w:szCs w:val="1"/>
                <w:color w:val="auto"/>
              </w:rPr>
            </w:pPr>
          </w:p>
        </w:tc>
      </w:tr>
      <w:tr>
        <w:trPr>
          <w:trHeight w:val="20"/>
        </w:trPr>
        <w:tc>
          <w:tcPr>
            <w:tcW w:w="2360" w:type="dxa"/>
            <w:vAlign w:val="bottom"/>
            <w:gridSpan w:val="2"/>
            <w:vMerge w:val="restart"/>
            <w:shd w:val="clear" w:color="auto" w:fill="CCEEFF"/>
          </w:tcPr>
          <w:p>
            <w:pPr>
              <w:jc w:val="center"/>
              <w:ind w:left="292"/>
              <w:spacing w:after="0"/>
              <w:rPr>
                <w:sz w:val="20"/>
                <w:szCs w:val="20"/>
                <w:color w:val="auto"/>
              </w:rPr>
            </w:pPr>
            <w:r>
              <w:rPr>
                <w:rFonts w:ascii="Arial" w:cs="Arial" w:eastAsia="Arial" w:hAnsi="Arial"/>
                <w:sz w:val="18"/>
                <w:szCs w:val="18"/>
                <w:color w:val="auto"/>
                <w:w w:val="84"/>
              </w:rPr>
              <w:t>2012</w:t>
            </w:r>
          </w:p>
        </w:tc>
        <w:tc>
          <w:tcPr>
            <w:tcW w:w="1220" w:type="dxa"/>
            <w:vAlign w:val="bottom"/>
            <w:vMerge w:val="restart"/>
            <w:shd w:val="clear" w:color="auto" w:fill="CCEEFF"/>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gridSpan w:val="2"/>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2960" w:type="dxa"/>
            <w:vAlign w:val="bottom"/>
            <w:shd w:val="clear" w:color="auto" w:fill="CCEEFF"/>
          </w:tcPr>
          <w:p>
            <w:pPr>
              <w:jc w:val="right"/>
              <w:ind w:right="859"/>
              <w:spacing w:after="0" w:line="203" w:lineRule="exact"/>
              <w:rPr>
                <w:sz w:val="20"/>
                <w:szCs w:val="20"/>
                <w:color w:val="auto"/>
              </w:rPr>
            </w:pPr>
            <w:r>
              <w:rPr>
                <w:rFonts w:ascii="Arial" w:cs="Arial" w:eastAsia="Arial" w:hAnsi="Arial"/>
                <w:sz w:val="18"/>
                <w:szCs w:val="18"/>
                <w:color w:val="auto"/>
              </w:rPr>
              <w:t>Interest expense</w:t>
            </w:r>
          </w:p>
        </w:tc>
        <w:tc>
          <w:tcPr>
            <w:tcW w:w="82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line="203" w:lineRule="exact"/>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60" w:type="dxa"/>
            <w:vAlign w:val="bottom"/>
            <w:gridSpan w:val="2"/>
          </w:tcPr>
          <w:p>
            <w:pPr>
              <w:jc w:val="center"/>
              <w:ind w:left="292"/>
              <w:spacing w:after="0"/>
              <w:rPr>
                <w:sz w:val="20"/>
                <w:szCs w:val="20"/>
                <w:color w:val="auto"/>
              </w:rPr>
            </w:pPr>
            <w:r>
              <w:rPr>
                <w:rFonts w:ascii="Arial" w:cs="Arial" w:eastAsia="Arial" w:hAnsi="Arial"/>
                <w:sz w:val="18"/>
                <w:szCs w:val="18"/>
                <w:color w:val="auto"/>
                <w:w w:val="84"/>
              </w:rPr>
              <w:t>2011</w:t>
            </w:r>
          </w:p>
        </w:tc>
        <w:tc>
          <w:tcPr>
            <w:tcW w:w="1220" w:type="dxa"/>
            <w:vAlign w:val="bottom"/>
          </w:tcPr>
          <w:p>
            <w:pPr>
              <w:spacing w:after="0"/>
              <w:rPr>
                <w:sz w:val="19"/>
                <w:szCs w:val="19"/>
                <w:color w:val="auto"/>
              </w:rPr>
            </w:pPr>
          </w:p>
        </w:tc>
        <w:tc>
          <w:tcPr>
            <w:tcW w:w="3780" w:type="dxa"/>
            <w:vAlign w:val="bottom"/>
            <w:gridSpan w:val="2"/>
          </w:tcPr>
          <w:p>
            <w:pPr>
              <w:jc w:val="center"/>
              <w:ind w:right="840"/>
              <w:spacing w:after="0"/>
              <w:rPr>
                <w:sz w:val="20"/>
                <w:szCs w:val="20"/>
                <w:color w:val="auto"/>
              </w:rPr>
            </w:pPr>
            <w:r>
              <w:rPr>
                <w:rFonts w:ascii="Arial" w:cs="Arial" w:eastAsia="Arial" w:hAnsi="Arial"/>
                <w:sz w:val="18"/>
                <w:szCs w:val="18"/>
                <w:color w:val="auto"/>
                <w:w w:val="85"/>
              </w:rPr>
              <w:t>Interest expense</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180" w:type="dxa"/>
            <w:vAlign w:val="bottom"/>
            <w:gridSpan w:val="2"/>
          </w:tcPr>
          <w:p>
            <w:pPr>
              <w:jc w:val="right"/>
              <w:ind w:right="1119"/>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also recognize the impacts of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1"/>
              </w:rPr>
              <w:t>Decrease to Interest Expense Due to Hedge Accounting for Interest Rate Swaps</w:t>
            </w:r>
          </w:p>
        </w:tc>
        <w:tc>
          <w:tcPr>
            <w:tcW w:w="2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gridSpan w:val="3"/>
            <w:vMerge w:val="continue"/>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20"/>
              <w:spacing w:after="0" w:line="129" w:lineRule="exact"/>
              <w:rPr>
                <w:sz w:val="20"/>
                <w:szCs w:val="20"/>
                <w:color w:val="auto"/>
              </w:rPr>
            </w:pPr>
            <w:r>
              <w:rPr>
                <w:rFonts w:ascii="Arial" w:cs="Arial" w:eastAsia="Arial" w:hAnsi="Arial"/>
                <w:sz w:val="14"/>
                <w:szCs w:val="14"/>
                <w:b w:val="1"/>
                <w:bCs w:val="1"/>
                <w:color w:val="auto"/>
              </w:rPr>
              <w:t>2012</w:t>
            </w:r>
          </w:p>
        </w:tc>
        <w:tc>
          <w:tcPr>
            <w:tcW w:w="1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86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Periodic settlements of active swap agreements(a)</w:t>
            </w:r>
          </w:p>
        </w:tc>
        <w:tc>
          <w:tcPr>
            <w:tcW w:w="2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1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392"/>
              <w:spacing w:after="0" w:line="203"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Terminated swap agreements</w:t>
            </w:r>
          </w:p>
        </w:tc>
        <w:tc>
          <w:tcPr>
            <w:tcW w:w="2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amounts represent the net of our periodic variable-rate interest obligations and the swap counterparties’ fixed-rate interest obligations. Our variable-rate obligations are based on a spread from the three-month LIBOR.</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2009,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5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the first quarter of 2011, $150 million of these forward-starting interest rate swaps were terminated contemporaneously with the actual issuance of senior notes in February 2011, and we paid cash of $9 million to settle the liability related to these swap agreements. The ineffectiveness recognized upon termination of the hedges was immaterial and the related deferred loss continues to be recognized as a component of “Accumulated other comprehensive income.” The deferred loss is being amortized as an increase to interest expense over the ten-year life of the senior notes issued in February 2011 using the effective interest method. The incremental interest expense associated with these forward-starting interest rate swaps was immaterial during the three months ended March 31, 2012 and 2011 and is expected to be immaterial over the next twelve months.</w:t>
      </w:r>
    </w:p>
    <w:p>
      <w:pPr>
        <w:spacing w:after="0" w:line="39"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forward-starting interest rate swaps outstanding as of March 31, 2012 relate to anticipated debt issuances in November 2012 and March 2014. As of March 31, 2012, the fair value of these active interest rate derivatives was comprised of $40 million of current liabilities and $29 million of long-term liabilities compared with $42 million of current liabilities and $32 million of long-term liabilities as of December 31, 2011.</w:t>
      </w:r>
    </w:p>
    <w:p>
      <w:pPr>
        <w:spacing w:after="0" w:line="2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recognized pre-tax and after-tax gains of $5 million and $3 million, respectively, to other comprehensive income for changes in the fair value of our forward-starting interest rate swaps during the three months ended March 31, 2012. We recognized pre-tax and after-tax gains of $4 million and $2 million, respectively, to other comprehensive income for changes in the fair value of our forward-starting interest rate swaps during the three months ended March 31, 2011. There was no significant ineffectiveness associated with these hedges during the three months ended March 31, 2012 or 2011.</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Rate Locks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prior years, we used Treasury rate locks to secure underlying interest rates in anticipation of senior note issuances. These cash flow hedging agreements resulted in deferred losses, net of taxes, of $11 million at March 31, 2012 and $12 million at December 31, 2011, which are included in “Accumulated other comprehensive income.” These deferred losses are reclassified as an increase to interest expense over the life of the related senior note issuances, which extend through 2032. Pre-tax and after-tax amounts of $2 million and $1 million, respectively, for the three-month periods ended March 31, 2012 and 2011, were reclassified out of</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accumulated other comprehensive income and into interest expense. As of March 31, 2012, $5 million (on a pre-tax basis) is scheduled to be reclassified as an increase to interest expense over the next twelve months.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Credit-Risk-Related Contingent Features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Certain of our interest rate derivative instruments contain provisions related to the Company’s credit rating. If the Company’s credit rating were to fall to specified levels below investment grade, the counterparties have the ability to terminate the derivative agreements, resulting in settlement of all affected transactions. As of March 31, 2012, we had not experienced any credit events that would trigger these provisions, nor did we have any derivative instruments with credit-risk-related contingent features that were in a net liability position.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Derivatives</w:t>
      </w:r>
    </w:p>
    <w:p>
      <w:pPr>
        <w:spacing w:after="0" w:line="9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We use foreign currency exchange rate derivatives to hedge our exposure to fluctuations in exchange rates for anticipated intercompany cash transactions between Waste Management Holdings, Inc., a wholly-owned subsidiary (“WM Holdings”), and its Canadian subsidiaries. As of March 31, 2012, we had foreign currency forward contracts outstanding for all of the anticipated cash flows associated with a debt arrangement between these wholly-owned subsidiaries. The hedged cash flows as of March 31, 2012 include C$370 million of principal, which is scheduled for payment on October 31, 2013, and scheduled interest payments of C$11 million on November 30, 2012 and C$10 million on October 31, 2013. We designated the forward contracts as cash flow hedges.</w:t>
      </w:r>
    </w:p>
    <w:p>
      <w:pPr>
        <w:spacing w:after="0" w:line="1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Gains or losses on the underlying hedged items attributable to foreign currency exchange risk are recognized in current earnings. The gains or losses on our foreign currency forward contracts that are reclassified out of accumulated other comprehensive income are recognized as adjustments to other income and expense, which is the same financial statement line item where offsetting gains or losses on the related hedged items are recorded. The following table summarizes the pre-tax impacts of our foreign currency cash flow derivatives on our comprehensive income and results of operations (in millions):</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Derivative Gain or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Derivative Gain or</w:t>
            </w:r>
          </w:p>
        </w:tc>
        <w:tc>
          <w:tcPr>
            <w:tcW w:w="15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Statement of</w:t>
            </w:r>
          </w:p>
        </w:tc>
        <w:tc>
          <w:tcPr>
            <w:tcW w:w="218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(Loss) Reclassified</w:t>
            </w: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700" w:type="dxa"/>
            <w:vAlign w:val="bottom"/>
            <w:gridSpan w:val="3"/>
          </w:tcPr>
          <w:p>
            <w:pPr>
              <w:jc w:val="center"/>
              <w:ind w:right="640"/>
              <w:spacing w:after="0" w:line="135" w:lineRule="exact"/>
              <w:rPr>
                <w:sz w:val="20"/>
                <w:szCs w:val="20"/>
                <w:color w:val="auto"/>
              </w:rPr>
            </w:pPr>
            <w:r>
              <w:rPr>
                <w:rFonts w:ascii="Arial" w:cs="Arial" w:eastAsia="Arial" w:hAnsi="Arial"/>
                <w:sz w:val="14"/>
                <w:szCs w:val="14"/>
                <w:b w:val="1"/>
                <w:bCs w:val="1"/>
                <w:color w:val="auto"/>
                <w:w w:val="85"/>
              </w:rPr>
              <w:t>(Loss) Recognized</w:t>
            </w:r>
          </w:p>
        </w:tc>
        <w:tc>
          <w:tcPr>
            <w:tcW w:w="15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18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from AOCI into</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6"/>
              </w:rPr>
              <w:t>in OCI</w:t>
            </w:r>
          </w:p>
        </w:tc>
        <w:tc>
          <w:tcPr>
            <w:tcW w:w="1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Operations</w:t>
            </w:r>
          </w:p>
        </w:tc>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Ended March 31,</w:t>
            </w:r>
          </w:p>
        </w:tc>
        <w:tc>
          <w:tcPr>
            <w:tcW w:w="1540" w:type="dxa"/>
            <w:vAlign w:val="bottom"/>
          </w:tcPr>
          <w:p>
            <w:pPr>
              <w:spacing w:after="0"/>
              <w:rPr>
                <w:sz w:val="12"/>
                <w:szCs w:val="12"/>
                <w:color w:val="auto"/>
              </w:rPr>
            </w:pPr>
          </w:p>
        </w:tc>
        <w:tc>
          <w:tcPr>
            <w:tcW w:w="170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158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Classification</w:t>
            </w:r>
          </w:p>
        </w:tc>
        <w:tc>
          <w:tcPr>
            <w:tcW w:w="2180" w:type="dxa"/>
            <w:vAlign w:val="bottom"/>
          </w:tcPr>
          <w:p>
            <w:pPr>
              <w:spacing w:after="0"/>
              <w:rPr>
                <w:sz w:val="12"/>
                <w:szCs w:val="12"/>
                <w:color w:val="auto"/>
              </w:rPr>
            </w:pPr>
          </w:p>
        </w:tc>
        <w:tc>
          <w:tcPr>
            <w:tcW w:w="11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gridSpan w:val="2"/>
            <w:shd w:val="clear" w:color="auto" w:fill="CCEEFF"/>
          </w:tcPr>
          <w:p>
            <w:pPr>
              <w:jc w:val="center"/>
              <w:ind w:left="372"/>
              <w:spacing w:after="0" w:line="196" w:lineRule="exact"/>
              <w:rPr>
                <w:sz w:val="20"/>
                <w:szCs w:val="20"/>
                <w:color w:val="auto"/>
              </w:rPr>
            </w:pPr>
            <w:r>
              <w:rPr>
                <w:rFonts w:ascii="Arial" w:cs="Arial" w:eastAsia="Arial" w:hAnsi="Arial"/>
                <w:sz w:val="18"/>
                <w:szCs w:val="18"/>
                <w:color w:val="auto"/>
                <w:w w:val="89"/>
              </w:rPr>
              <w:t>2012</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(5)</w:t>
            </w:r>
          </w:p>
        </w:tc>
        <w:tc>
          <w:tcPr>
            <w:tcW w:w="2400" w:type="dxa"/>
            <w:vAlign w:val="bottom"/>
            <w:gridSpan w:val="2"/>
            <w:shd w:val="clear" w:color="auto" w:fill="CCEEFF"/>
          </w:tcPr>
          <w:p>
            <w:pPr>
              <w:ind w:left="560"/>
              <w:spacing w:after="0" w:line="196" w:lineRule="exact"/>
              <w:rPr>
                <w:sz w:val="20"/>
                <w:szCs w:val="20"/>
                <w:color w:val="auto"/>
              </w:rPr>
            </w:pPr>
            <w:r>
              <w:rPr>
                <w:rFonts w:ascii="Arial" w:cs="Arial" w:eastAsia="Arial" w:hAnsi="Arial"/>
                <w:sz w:val="18"/>
                <w:szCs w:val="18"/>
                <w:color w:val="auto"/>
                <w:w w:val="94"/>
              </w:rPr>
              <w:t>Other income (expense)</w:t>
            </w:r>
          </w:p>
        </w:tc>
        <w:tc>
          <w:tcPr>
            <w:tcW w:w="2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150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2011</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2400" w:type="dxa"/>
            <w:vAlign w:val="bottom"/>
            <w:gridSpan w:val="2"/>
          </w:tcPr>
          <w:p>
            <w:pPr>
              <w:ind w:left="560"/>
              <w:spacing w:after="0"/>
              <w:rPr>
                <w:sz w:val="20"/>
                <w:szCs w:val="20"/>
                <w:color w:val="auto"/>
              </w:rPr>
            </w:pPr>
            <w:r>
              <w:rPr>
                <w:rFonts w:ascii="Arial" w:cs="Arial" w:eastAsia="Arial" w:hAnsi="Arial"/>
                <w:sz w:val="18"/>
                <w:szCs w:val="18"/>
                <w:color w:val="auto"/>
                <w:w w:val="94"/>
              </w:rPr>
              <w:t>Other income (expense)</w:t>
            </w:r>
          </w:p>
        </w:tc>
        <w:tc>
          <w:tcPr>
            <w:tcW w:w="238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Amounts reported in other comprehensive income and accumulated other comprehensive income are reported net of tax. Adjustments to other comprehensive income for changes in the fair value of our foreign currency cash flow hedges resulted in the recognition of after-tax losses of $3 million and $6 million during the three-month periods ended March 31, 2012 and 2011, respectively. After-tax adjustments for the reclassification of losses from accumulated other comprehensive income into income were $6 million during the three month periods ended March 31, 2012 and 2011. Ineffectiveness has been included in other income and expense during each of the reported periods. There was no significant ineffectiveness associated with these hedges during the three months ended March 31, 2012 or 2011.</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Electricity Commodity Derivatives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short-term “receive fixed, pay variable” electricity commodity swaps to reduce the variability in our revenues and cash flows caused by fluctuations in the market prices for electricity. We hedged 1.55 million megawatt hours, or approximately 50%, of our Wheelabrator Group’s full year 2011 merchant electricity sales, and the swaps executed through March 31, 2012 are expected to hedge about 628,800 megawatt hours, or 19%, of the Wheelabrator Group’s full year 2012 merchant electricity sales. For the three-month periods ended March 31, 2012 and 2011, we hedged 31% and 54%, respectively, of our merchant electricity sales.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recognized pre-tax and after-tax gains of $6 million and $4 million, respectively, to other comprehensive income for changes in the fair value of our electricity commodity derivatives during the three months ended March 31, 2012. We recognized pre-tax and after-tax adjustments of $5 million and $3 million, respectively, for the reclassification of gains from accumulated other comprehensive income into income as a component of “Operating revenues” during the three months ended March 31, 2012. There was no significant ineffectiveness associated with these cash flow hedges during the three-month periods ended March 31, 2012 and 2011. All financial statement impacts associated with these derivatives were immaterial for the three months ended March 31, 2011.</w:t>
      </w:r>
    </w:p>
    <w:p>
      <w:pPr>
        <w:spacing w:after="0" w:line="1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effective income tax rate for the three months ended March 31, 2012 was 32.8% compared with 35.9% for the comparable prior year period. We evaluate our effective income tax rate at each interim period and adjust it accordingly as facts and circumstances warrant. The difference between federal income taxes computed at the federal statutory rate and reported income taxes for the three months ended March 31, 2012 was primarily due to the favorable impact of federal and state tax credits, offset in part by the unfavorable impact of state and local income taxes. The difference between federal income taxes computed at the federal statutory rate and reported income taxes for the three months ended March 31, 2011 was primarily due to the unfavorable impact of state and local income taxes, offset in part by the favorable impact of federal tax credits.</w:t>
      </w:r>
    </w:p>
    <w:p>
      <w:pPr>
        <w:spacing w:after="0" w:line="39"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January 2011, we acquired a noncontrolling interest in a limited liability company, which was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a refined coal facility in North Dakota. The facility’s refinement processes qualify for federal tax credits that are expected to be realized through 2019 in accordance with Section 45 of the Internal Revenue Code. Our initial consideration for this investment consisted of a cash payment of $48 million.</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account for our investment in this entity using the equity method of accounting, recognizing our share of the entity’s results and other reductions in “Equity in net losses of unconsolidated entities,” within our Condensed Consolidated Statement of Operations. During the three months ended March 31, 2012 and 2011, we recognized less than $1 million of net losses resulting from our share of the entity’s operating losses. Our tax provision for the three months ended March 31, 2012 and 2011 was reduced by $3 million, primarily as a result of tax credits realized from this investment. See Note 12 for additional information related to this investment.</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Investment in Federal Low-income Housing Tax Credits </w:t>
      </w:r>
      <w:r>
        <w:rPr>
          <w:rFonts w:ascii="Arial" w:cs="Arial" w:eastAsia="Arial" w:hAnsi="Arial"/>
          <w:sz w:val="18"/>
          <w:szCs w:val="18"/>
          <w:color w:val="auto"/>
        </w:rPr>
        <w:t>— In April 2010, we acquired a noncontrolling interest in a limited liability company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in and 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account for our investment in this entity using the equity method of accounting. We recognize our share of the entity’s results and reductions in the value of our investment in “Equity in net losses of unconsolidated entities,” within our Condensed Consolidated Statement of Operations. The value of our investment decreases as the tax credits are generated and utilized. During the three months ended March 31, 2012, we recognized $6 million of losses relating to our equity investment in this entity, $1 million of interest expense, and a reduction in our tax provision of $7 million (including $4 million of tax credits). During the three months ended March 31, 2011, we recognized $6 million of losses relating to our equity investment in this entity, $2 million of interest expense, and a reduction in our tax provision of $7 million (including $4 million of tax credits). See Note 12 for additional information related to this investment.</w:t>
      </w:r>
    </w:p>
    <w:p>
      <w:pPr>
        <w:spacing w:after="0" w:line="39"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 xml:space="preserve">Recent Legislation </w:t>
      </w:r>
      <w:r>
        <w:rPr>
          <w:rFonts w:ascii="Arial" w:cs="Arial" w:eastAsia="Arial" w:hAnsi="Arial"/>
          <w:sz w:val="16"/>
          <w:szCs w:val="16"/>
          <w:color w:val="auto"/>
        </w:rPr>
        <w:t>— The Tax Relief, Unemployment Insurance Reauthorization, and Job Creation Act, signed into law on December 17, 2010,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an extension of the bonus depreciation allowance through the end of 2012 and increased the amount of qualifying capital expenditures that can be depreciated immediately from 50% to 100%. The 100% depreciation deduction applied to qualifying property placed in service from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September 8, 2010 through December 31, 2011. The depreciation deduction for qualifying property placed in service in 2012 has been reduced to 50%. The acceleration of deductions on capital expenditures resulting from the bonus depreciation provisions has no impact on our effective tax rates, but reduces our cash taxes in the periods in which the deductions are taken.</w:t>
      </w:r>
    </w:p>
    <w:p>
      <w:pPr>
        <w:spacing w:after="0" w:line="59"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Subject to the finalization of our 2011 income tax return, we estimate that the acceleration of depreciation deductions related to qualifying property additions in 2011 decreased our full year 2011 cash taxes by approximately $190 million and, based on our current forecast of 2012 capital expenditures, we estimate a reduction in our full year 2012 cash taxes of approximately $90 million related to qualifying property additions in 2012. However, taking accelerated deductions results in increased cash taxes in subsequent periods when the accelerated deductions for these capital expenditures would have otherwise been taken.</w:t>
      </w:r>
    </w:p>
    <w:p>
      <w:pPr>
        <w:spacing w:after="0" w:line="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462.1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463.4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00" w:type="dxa"/>
            <w:vAlign w:val="bottom"/>
            <w:gridSpan w:val="2"/>
            <w:vMerge w:val="continue"/>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 outstanding</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performance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have available alternative financial assurance mechanisms.</w:t>
      </w:r>
    </w:p>
    <w:p>
      <w:pPr>
        <w:spacing w:after="0" w:line="39" w:lineRule="exact"/>
        <w:rPr>
          <w:sz w:val="20"/>
          <w:szCs w:val="20"/>
          <w:color w:val="auto"/>
        </w:rPr>
      </w:pPr>
    </w:p>
    <w:p>
      <w:pPr>
        <w:jc w:val="both"/>
        <w:ind w:right="400"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exposure to loss for insurance claims is generally limited to the per incident deductible under the related insurance policy. Our exposure, however, could increase if our insurers are unable to meet their commitments on a timely basis.</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the impact of any known casualty, property, environmental or other contingency to have a material impact on our financial condition, results of operations or cash flows.</w:t>
      </w:r>
    </w:p>
    <w:p>
      <w:pPr>
        <w:spacing w:after="0" w:line="6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have guaranteed the obligations of, and provided indemnification to, third parties in the ordinary course of business. Guarantee agreements outstanding as of March 31, 2012 include (i) guarantees of unconsolidated entities’ financial obligations maturing through 2020 for maximum future payments of $20 million; and (ii) agreements guaranteeing certain market value losses for approximately 850 homeowners’ properties adjacent to or near 20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are achieved post-closing and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3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$150 million higher than the $267 million recorded in the Condensed Consolidated Financial Statements as of March 31, 2012. Our ultimate responsibility may differ materially from current estimates. It is possible that technological, regulatory or enforcement developments, the results of environmental studies, the inability to identify other PRPs, the inability of other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March 31, 2012, we had been notified that we are a PRP in connection with 79 locations listed on the EPA’s Superfund National Priorities List, or NPL. Of the 79 sites at which claims have been made against us, 16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63 NPL sites, which we do not own, are at various procedural stages under the Comprehensive Environmental Response, Compensation and Liability Act of 1980, as amended, known as CERCLA or Superfund.</w:t>
      </w:r>
    </w:p>
    <w:p>
      <w:pPr>
        <w:spacing w:after="0" w:line="11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62" w:lineRule="exact"/>
        <w:rPr>
          <w:sz w:val="20"/>
          <w:szCs w:val="20"/>
          <w:color w:val="auto"/>
        </w:rPr>
      </w:pPr>
    </w:p>
    <w:p>
      <w:pPr>
        <w:ind w:left="460" w:right="40" w:firstLine="438"/>
        <w:spacing w:after="0" w:line="291" w:lineRule="auto"/>
        <w:rPr>
          <w:sz w:val="20"/>
          <w:szCs w:val="20"/>
          <w:color w:val="auto"/>
        </w:rPr>
      </w:pPr>
      <w:r>
        <w:rPr>
          <w:rFonts w:ascii="Arial" w:cs="Arial" w:eastAsia="Arial" w:hAnsi="Arial"/>
          <w:sz w:val="16"/>
          <w:szCs w:val="16"/>
          <w:color w:val="auto"/>
        </w:rPr>
        <w:t>On April 4, 2006, the EPA issued a Notice of Violation (“NOV”) to Waste Management of Hawaii, Inc., an indirect wholly-owned subsidiary of WM,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(“GCCS”) for the Waimanalo Gulch Sanitary Landfill on Oahu. The EPA has also indicated that it will seek penalties and injunctive relief as part of the NOV enforcement for elevated landfill temperatures that were recorded after installation of the GCCS. The parties have been in confidential settlement negotiations. Pursuant to an indemnity agreement, any penalty assessed will be paid by the Company, and not by the City and County of Honolulu.</w:t>
      </w:r>
    </w:p>
    <w:p>
      <w:pPr>
        <w:spacing w:after="0" w:line="39" w:lineRule="exact"/>
        <w:rPr>
          <w:sz w:val="20"/>
          <w:szCs w:val="20"/>
          <w:color w:val="auto"/>
        </w:rPr>
      </w:pPr>
    </w:p>
    <w:p>
      <w:pPr>
        <w:ind w:left="460" w:right="80" w:firstLine="438"/>
        <w:spacing w:after="0" w:line="298" w:lineRule="auto"/>
        <w:rPr>
          <w:sz w:val="20"/>
          <w:szCs w:val="20"/>
          <w:color w:val="auto"/>
        </w:rPr>
      </w:pPr>
      <w:r>
        <w:rPr>
          <w:rFonts w:ascii="Arial" w:cs="Arial" w:eastAsia="Arial" w:hAnsi="Arial"/>
          <w:sz w:val="16"/>
          <w:szCs w:val="16"/>
          <w:color w:val="auto"/>
        </w:rPr>
        <w:t>On November 16, 2011, the Regional Water Quality Control Board for the San Francisco Bay Region issued an Administrative Civil Liability (“ACL”) Complaint to Guadalupe Rubbish Disposal Company, Inc. (“GRDC”), an indirect wholly-owned subsidiary of WM. The ACL Complaint seeks penalties for alleged violations of California’s water pollution statutes and GRDC’s stormwater permit relating to handling of landfill gas condensate from an on-site landfill gas-to-energy facility owned and operated by a third party. GRDC has appealed the ACL Complaint.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left="460" w:right="100" w:firstLine="438"/>
        <w:spacing w:after="0" w:line="298" w:lineRule="auto"/>
        <w:rPr>
          <w:sz w:val="20"/>
          <w:szCs w:val="20"/>
          <w:color w:val="auto"/>
        </w:rPr>
      </w:pPr>
      <w:r>
        <w:rPr>
          <w:rFonts w:ascii="Arial" w:cs="Arial" w:eastAsia="Arial" w:hAnsi="Arial"/>
          <w:sz w:val="16"/>
          <w:szCs w:val="16"/>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pending in the District Court of Harris County, Texas alleges the mismanagement of certain waste pits that were operated from 1965 to 1966 by MIMC. In 1998, a predecessor of WM acquired the stock of the parent entity of MIMC.</w:t>
      </w:r>
    </w:p>
    <w:p>
      <w:pPr>
        <w:spacing w:after="0" w:line="32"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On January 13, 2012, the Pennsylvania Department of Environmental Protection (“Department”) informed Phoenix Resources, Inc. (“Phoenix”) landfill that it intended to seek civil penalties for alleged violations of Pennsylvania solid waste regulations during the third quarter of 2011 resulting from the acceptance of certain loads of industrial waste prior to the Department’s written approval. On March 26, 2012, the Department and Phoenix entered into a consent assessment of civil penalty, and Phoenix paid $114,000 to resolve such alleged violations. Phoenix is an indirect wholly-owned subsidiary of WM.</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Additionally, the United States Attorney’s Office for the District of Hawaii has commenced an investigation into allegations of violations of the federal Clean Water Act involving discharge of stormwater at the Waimanalo Gulch Sanitary Landfill, located on Oahu, in connection with three major storm events in December 2010 and January 2011. No formal enforcement action has been brought against the Company. While we could potentially be subject to sanctions, including requirements to pay monetary penalties, in connection with a future proceeding that may arise from the investigation, a range of loss cannot currently be estimated because no proceeding has yet commenced and significant factual and legal issues remain. We are cooperating with the U.S. Attorney’s Office.</w:t>
      </w:r>
    </w:p>
    <w:p>
      <w:pPr>
        <w:spacing w:after="0" w:line="3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April 2002, certain former participants in the ERISA plans of WM Holdings filed a lawsuit in the U.S. District Court for the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Columbia in a case entitled </w:t>
      </w:r>
      <w:r>
        <w:rPr>
          <w:rFonts w:ascii="Arial" w:cs="Arial" w:eastAsia="Arial" w:hAnsi="Arial"/>
          <w:sz w:val="18"/>
          <w:szCs w:val="18"/>
          <w:i w:val="1"/>
          <w:iCs w:val="1"/>
          <w:color w:val="auto"/>
        </w:rPr>
        <w:t>William S. Harris, et al. v. James E. Koenig, et al</w:t>
      </w:r>
      <w:r>
        <w:rPr>
          <w:rFonts w:ascii="Arial" w:cs="Arial" w:eastAsia="Arial" w:hAnsi="Arial"/>
          <w:sz w:val="18"/>
          <w:szCs w:val="18"/>
          <w:color w:val="auto"/>
        </w:rPr>
        <w:t>. The lawsuit attempts to increase the recovery of a class of ERISA plan participants on behalf of the plan based on allegations related to both the events alleged in, and the settlements relating to, the securities class action against WM Holdings that was settled in 1998, the litigation against WM in Texas that was settled in 2002, as well as the decision to offer WM common stock as an investment option within the plan beginning in 1990, despite alleged knowledge by at least two members of the investment committee of financial misstatement by WM during the relevant time period.</w:t>
      </w:r>
    </w:p>
    <w:p>
      <w:pPr>
        <w:spacing w:after="0" w:line="6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During the second quarter of 2010, the Court dismissed certain claims against individual defendants, including all claims against each of the current members of our Board of Directors. Previously, plaintiffs dismissed all claims related to the settlement of the securities class action against WM that was settled in 2002, and the court certified a limited class of participants who may bring claims on behalf of the plan, but not individually. During the third quarter of 2011, the Court ruled in favor of WM and two former employees dismissing all claims brought by the plaintiffs related to the decision to offer WM stock as an investment option within the plan. The Court still has under consideration additional motions that, if granted, would resolve the few remaining claims against WM and its Committees. Because these motions are still pending and other unresolved and legal factual issues remain, the viability of the plaintiff’s claims cannot be predicted and, as a result, a range of loss cannot currently be estimated.</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October 2011 and January 2012, we were named as a defendant in a purported class action in the Circuit Court of Sarasota County, Florida and the Circuit Court of Lawrence County Alabama, respectively. These cases primarily pertain to our fuel and environmental charges, generally alleging that such charges were not properly disclosed, were unfair and were contrary to the customer service contracts. The law firm that filed these lawsuits had filed, in 2008, a purported class action against subsidiaries of WM in Bullock County, Alabama, making similar allegations. The prior Alabama suit was removed to federal court, where the federal court ultimately dismissed the plaintiffs’ national class action claims. The plaintiffs then elected to dismiss the case without prejudice. We will vigorously defend against these new lawsuits. Given the inherent uncertainties of litigation, including the early stage of these cases, the unknown size of any potential class, and legal and factual issues in dispute, the outcome of these cases cannot be predicted and a range of loss cannot currently be estimated.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w:t>
      </w:r>
    </w:p>
    <w:p>
      <w:pPr>
        <w:spacing w:after="0" w:line="4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and the employment agreements between WM and its Chief Executive Officer, principal financial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3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Multiemployer Defined Benefit Pension Plans </w:t>
      </w:r>
      <w:r>
        <w:rPr>
          <w:rFonts w:ascii="Arial" w:cs="Arial" w:eastAsia="Arial" w:hAnsi="Arial"/>
          <w:sz w:val="18"/>
          <w:szCs w:val="18"/>
          <w:color w:val="auto"/>
        </w:rPr>
        <w:t>— About 20% of our workforce is covered by collective bargaining agreements with various union locals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United States and Canada. As a result of some of these agreements, certain of our subsidiaries are participating employers in a number of trustee-managed multiemployer, defined benefit pension plans for the affected employees.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w:t>
      </w:r>
    </w:p>
    <w:p>
      <w:pPr>
        <w:spacing w:after="0" w:line="6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withdrawals. In October 2011, employees at the last of our affiliates with active participants in the Central States Pension Plan voted to decertify the union that represented them, withdrawing themselves from the Central States Pension Plan.</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still negotiating and litigating final resolutions of our withdrawal liability for previous withdrawals, including our recent final withdrawal mentioned above, but we do not believe any additional liability above the charges we have already recognized for such previous withdrawals could be material to the Company’s business, financial condition, results of operations or cash flows. We also do not believe that any future withdrawals, individually or in the aggregate, from the multiemployer plans to which we contribute, could have a material adverse effect on our business, financial condition or liquidity. However, such withdrawals could have a material adverse effect on our results of operations for a particular reporting period, depending on the number of employees withdrawn in any future period and the financial condition of the multiemployer plan(s) at the time of such withdrawal(s).</w:t>
      </w:r>
    </w:p>
    <w:p>
      <w:pPr>
        <w:spacing w:after="0" w:line="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in the examination phase of IRS audits for the tax years 2011 and 2012 and expect these audits to be completed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next nine and 21 months, 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2000. We have finalized audits in Canada through the 2005 tax year and are not currently under audit for any subsequent tax years in Canada. On July 28, 2011, we acquired Oakleaf, which is subject to IRS examinations for years dating back to 2008 and state income tax examinations for years dating back to 2002. Pursuant to the terms of our acquisition of Oakleaf, we are entitled to indemnification for Oakleaf’s pre-acquisition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Segment and Related Information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currently manage and evaluate our operations primarily through our Eastern, Midwest, Southern, Western and Wheelabrator Groups. These five Groups are presented below as our reportable segments. Our four geographic operating Groups provide collection, transfer, disposal (in both solid waste and hazardous waste landfills) and recycling services. Our fifth Group is the Wheelabrator Group, which provides waste-to-energy services and manages waste-to-energy facilities and independent power production plants. We serve residential, commercial, industrial, and municipal customers throughout North America. The operations not managed through our five operating Groups, including the Oakleaf operations we acquired on July 28, 2011, are presented herein as “Other.” See Note 9 for additional information related to our acquisition of Oakleaf.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Summarized financial information concerning our reportable segments for the three months ended March 31 is shown in the following table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Gross</w:t>
            </w:r>
          </w:p>
        </w:tc>
        <w:tc>
          <w:tcPr>
            <w:tcW w:w="8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460" w:type="dxa"/>
            <w:vAlign w:val="bottom"/>
          </w:tcPr>
          <w:p>
            <w:pPr>
              <w:jc w:val="right"/>
              <w:ind w:right="113"/>
              <w:spacing w:after="0"/>
              <w:rPr>
                <w:sz w:val="20"/>
                <w:szCs w:val="20"/>
                <w:color w:val="auto"/>
              </w:rPr>
            </w:pPr>
            <w:r>
              <w:rPr>
                <w:rFonts w:ascii="Arial" w:cs="Arial" w:eastAsia="Arial" w:hAnsi="Arial"/>
                <w:sz w:val="14"/>
                <w:szCs w:val="14"/>
                <w:b w:val="1"/>
                <w:bCs w:val="1"/>
                <w:color w:val="auto"/>
              </w:rPr>
              <w:t>Net</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7"/>
              </w:rPr>
              <w:t>Operating</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8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Income from</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4"/>
              </w:rPr>
              <w:t>Revenues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84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March 31, 2012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Midwest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757</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646</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Western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796</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684</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469</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447</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3,295</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3,295</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March 31,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Midwest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622</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Western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682</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293</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288</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3,103</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3,103</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and operating segment and by general economic conditions. In addition, our revenues and income from operations typically reflect seasonal patterns. Our operating revenues normally tend to be somewhat higher in the summer months, primarily due to the traditional seasonal increase in the volume of construction and demolition waste. Historically, the volumes of industrial and residential waste in certain regions in which we operate have tended to increase during the summer months. Our second and third quarter revenues and results of operations typically reflect these seasonal trends.</w:t>
      </w:r>
    </w:p>
    <w:p>
      <w:pPr>
        <w:spacing w:after="0" w:line="3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Additionally, certain destructive weather conditions that tend to occur during the second half of the year, such as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0" w:name="page21"/>
    <w:bookmarkEnd w:id="2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Acquisitions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 xml:space="preserve">Oakleaf </w:t>
      </w:r>
      <w:r>
        <w:rPr>
          <w:rFonts w:ascii="Arial" w:cs="Arial" w:eastAsia="Arial" w:hAnsi="Arial"/>
          <w:sz w:val="15"/>
          <w:szCs w:val="15"/>
          <w:color w:val="auto"/>
        </w:rPr>
        <w:t>— On July 28, 2011, we paid $432 million, net of cash received of $4 million and inclusive of certain adjustments, to acquire Oakleaf. Oakleaf</w:t>
      </w:r>
      <w:r>
        <w:rPr>
          <w:rFonts w:ascii="Arial" w:cs="Arial" w:eastAsia="Arial" w:hAnsi="Arial"/>
          <w:sz w:val="15"/>
          <w:szCs w:val="15"/>
          <w:i w:val="1"/>
          <w:iCs w:val="1"/>
          <w:color w:val="auto"/>
        </w:rPr>
        <w:t xml:space="preserve"> </w:t>
      </w:r>
      <w:r>
        <w:rPr>
          <w:rFonts w:ascii="Arial" w:cs="Arial" w:eastAsia="Arial" w:hAnsi="Arial"/>
          <w:sz w:val="15"/>
          <w:szCs w:val="15"/>
          <w:color w:val="auto"/>
        </w:rPr>
        <w:t>provides outsourced waste and recycling services principally through a nationwide network of third-party haulers. The operations we acquired generated approximately $580 million in revenues in 2010. We acquired Oakleaf to advance our growth and transformation strategies and increase our national accounts customer base while enhancing our ability to provide comprehensive environmental solutions. For the year ended December 31, 2011, we incurred $1 million of acquisition-related costs, which were classified as “Selling, general and administrative” expenses. For the three-month period ended March 31, 2012, Oakleaf recognized revenues of $148 million and net losses of less than $1 million. These amounts are included in our Condensed Consolidated Statement of Operations.</w:t>
      </w:r>
    </w:p>
    <w:p>
      <w:pPr>
        <w:spacing w:after="0" w:line="1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shows adjustments since December 31, 2011 to the preliminary allocation of the purchase price of Oakleaf to tangible and intangible assets acquired and liabilities assumed based on their estimated fair value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r>
      <w:tr>
        <w:trPr>
          <w:trHeight w:val="210"/>
        </w:trPr>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and other receivables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580" w:type="dxa"/>
            <w:vAlign w:val="bottom"/>
            <w:gridSpan w:val="3"/>
          </w:tcPr>
          <w:p>
            <w:pPr>
              <w:jc w:val="right"/>
              <w:ind w:right="90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8"/>
                <w:szCs w:val="18"/>
                <w:color w:val="auto"/>
              </w:rPr>
            </w:pPr>
          </w:p>
        </w:tc>
        <w:tc>
          <w:tcPr>
            <w:tcW w:w="1580" w:type="dxa"/>
            <w:vAlign w:val="bottom"/>
            <w:gridSpan w:val="3"/>
          </w:tcPr>
          <w:p>
            <w:pPr>
              <w:jc w:val="right"/>
              <w:ind w:right="90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22"/>
        </w:trPr>
        <w:tc>
          <w:tcPr>
            <w:tcW w:w="636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purchase price allocation is still preliminary and may change. The following table presents the preliminary allocation of the purchase price to intangible assets (amounts in millions, except for amortization periods):</w:t>
      </w:r>
    </w:p>
    <w:p>
      <w:pPr>
        <w:spacing w:after="0" w:line="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Amortization</w:t>
            </w:r>
          </w:p>
        </w:tc>
      </w:tr>
      <w:tr>
        <w:trPr>
          <w:trHeight w:val="149"/>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Periods</w:t>
            </w:r>
          </w:p>
        </w:tc>
      </w:tr>
      <w:tr>
        <w:trPr>
          <w:trHeight w:val="161"/>
        </w:trPr>
        <w:tc>
          <w:tcPr>
            <w:tcW w:w="6380" w:type="dxa"/>
            <w:vAlign w:val="bottom"/>
          </w:tcPr>
          <w:p>
            <w:pPr>
              <w:spacing w:after="0"/>
              <w:rPr>
                <w:sz w:val="14"/>
                <w:szCs w:val="14"/>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w w:val="86"/>
              </w:rPr>
              <w:t>Amount</w:t>
            </w:r>
          </w:p>
        </w:tc>
        <w:tc>
          <w:tcPr>
            <w:tcW w:w="94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(in Years)</w:t>
            </w:r>
          </w:p>
        </w:tc>
      </w:tr>
      <w:tr>
        <w:trPr>
          <w:trHeight w:val="210"/>
        </w:trPr>
        <w:tc>
          <w:tcPr>
            <w:tcW w:w="6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9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Vendor relationships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r>
        <w:trPr>
          <w:trHeight w:val="222"/>
        </w:trPr>
        <w:tc>
          <w:tcPr>
            <w:tcW w:w="6380" w:type="dxa"/>
            <w:vAlign w:val="bottom"/>
          </w:tcPr>
          <w:p>
            <w:pPr>
              <w:ind w:left="220"/>
              <w:spacing w:after="0"/>
              <w:rPr>
                <w:sz w:val="20"/>
                <w:szCs w:val="20"/>
                <w:color w:val="auto"/>
              </w:rPr>
            </w:pPr>
            <w:r>
              <w:rPr>
                <w:rFonts w:ascii="Arial" w:cs="Arial" w:eastAsia="Arial" w:hAnsi="Arial"/>
                <w:sz w:val="18"/>
                <w:szCs w:val="18"/>
                <w:color w:val="auto"/>
              </w:rPr>
              <w:t>Total intangible assets subject to amortization</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Goodwill of $327 million was calculated as the excess of the consideration paid over the net assets recognized and represents the future economic benefits arising from other assets acquired that could not be individually identified and separately recognized. Goodwill is a result of expected synergies from combining the Company’s operations with Oakleaf’s national accounts customer base and vendor network. The vendor-hauler network expands our partnership with third-party service providers. In many cases we can provide vendor-haulers with opportunities to maintain and increase their business by utilizing our extensive post-collection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74"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network. We believe this will generate significant benefits for the Company and for the vendor-haulers. Based on our preliminary valuation, goodwill has been assigned to our four geographic Groups as they are expected to benefit from the synergies of the combination. Goodwill related to this acquisition is not deductible for income tax purposes.</w:t>
      </w:r>
    </w:p>
    <w:p>
      <w:pPr>
        <w:spacing w:after="0" w:line="5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for the three months ended March 31, 2011 have been prepared as if the acquisition of Oakleaf occurred at January 1, 2011 (in millions, except per share amounts):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$ 3,233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income attributable to Waste Management, Inc. .</w:t>
            </w:r>
          </w:p>
        </w:tc>
        <w:tc>
          <w:tcPr>
            <w:tcW w:w="3700" w:type="dxa"/>
            <w:vAlign w:val="bottom"/>
          </w:tcPr>
          <w:p>
            <w:pPr>
              <w:jc w:val="right"/>
              <w:ind w:right="12"/>
              <w:spacing w:after="0"/>
              <w:rPr>
                <w:sz w:val="20"/>
                <w:szCs w:val="20"/>
                <w:color w:val="auto"/>
              </w:rPr>
            </w:pPr>
            <w:r>
              <w:rPr>
                <w:rFonts w:ascii="Arial" w:cs="Arial" w:eastAsia="Arial" w:hAnsi="Arial"/>
                <w:sz w:val="18"/>
                <w:szCs w:val="18"/>
                <w:color w:val="auto"/>
              </w:rPr>
              <w:t>182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700" w:type="dxa"/>
            <w:vAlign w:val="bottom"/>
          </w:tcPr>
          <w:p>
            <w:pPr>
              <w:jc w:val="right"/>
              <w:ind w:right="12"/>
              <w:spacing w:after="0"/>
              <w:rPr>
                <w:sz w:val="20"/>
                <w:szCs w:val="20"/>
                <w:color w:val="auto"/>
              </w:rPr>
            </w:pPr>
            <w:r>
              <w:rPr>
                <w:rFonts w:ascii="Arial" w:cs="Arial" w:eastAsia="Arial" w:hAnsi="Arial"/>
                <w:sz w:val="18"/>
                <w:szCs w:val="18"/>
                <w:color w:val="auto"/>
              </w:rPr>
              <w:t>0.38</w:t>
            </w:r>
          </w:p>
        </w:tc>
      </w:tr>
    </w:tbl>
    <w:p>
      <w:pPr>
        <w:spacing w:after="0" w:line="14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During the first quarter of 2012, we paid $94 million for interests in oil and gas producing properties through two transactions. The purchase price</w:t>
      </w:r>
      <w:r>
        <w:rPr>
          <w:rFonts w:ascii="Arial" w:cs="Arial" w:eastAsia="Arial" w:hAnsi="Arial"/>
          <w:sz w:val="16"/>
          <w:szCs w:val="16"/>
          <w:i w:val="1"/>
          <w:iCs w:val="1"/>
          <w:color w:val="auto"/>
        </w:rPr>
        <w:t xml:space="preserve"> </w:t>
      </w:r>
      <w:r>
        <w:rPr>
          <w:rFonts w:ascii="Arial" w:cs="Arial" w:eastAsia="Arial" w:hAnsi="Arial"/>
          <w:sz w:val="16"/>
          <w:szCs w:val="16"/>
          <w:color w:val="auto"/>
        </w:rPr>
        <w:t>was allocated primarily to “Property and equipment.” Additionally, we acquired eight other businesses related to our collection and recycling operations.</w:t>
      </w:r>
    </w:p>
    <w:p>
      <w:pPr>
        <w:spacing w:after="0" w:line="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Restructuring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Beginning in July 2011, we took steps to streamline our organization as part of our cost savings programs. This reorganization eliminated over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700 employee positions throughout the Company, including approximately 300 open positions. Additionally, subsequent to our acquisition of Oakleaf,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charges in connection with restructuring that organization. During the year ended December 31, 2011, we recognized a total of $19 million of pre-tax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charges, of which $18 million were related to employee severance and benefit costs associated with these restructuring efforts.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charges were primarily related to operating lease obligations for property that will no longer be utilized.</w:t>
      </w:r>
    </w:p>
    <w:p>
      <w:pPr>
        <w:spacing w:after="0" w:line="8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During the three months ended March 31, 2012, we recognized additional employee severance and benefit restructuring charges, including $2 million associated with the reorganization of Oakleaf and $2 million associated with certain other actions taken by the Company in our Southern Group.</w:t>
      </w:r>
    </w:p>
    <w:p>
      <w:pPr>
        <w:spacing w:after="0" w:line="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Through March 31, 2012, we have paid approximately $13 million of the employee severance and benefit costs incurred as a result of these restructuring efforts.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center"/>
              <w:ind w:left="42"/>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left="62"/>
              <w:spacing w:after="0"/>
              <w:rPr>
                <w:sz w:val="20"/>
                <w:szCs w:val="20"/>
                <w:color w:val="auto"/>
              </w:rPr>
            </w:pPr>
            <w:r>
              <w:rPr>
                <w:rFonts w:ascii="Arial" w:cs="Arial" w:eastAsia="Arial" w:hAnsi="Arial"/>
                <w:sz w:val="14"/>
                <w:szCs w:val="14"/>
                <w:b w:val="1"/>
                <w:bCs w:val="1"/>
                <w:color w:val="auto"/>
                <w:w w:val="88"/>
              </w:rPr>
              <w:t>March 31, 2012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Quoted</w:t>
            </w:r>
          </w:p>
        </w:tc>
        <w:tc>
          <w:tcPr>
            <w:tcW w:w="54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Active</w:t>
            </w:r>
          </w:p>
        </w:tc>
        <w:tc>
          <w:tcPr>
            <w:tcW w:w="5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380" w:type="dxa"/>
            <w:vAlign w:val="bottom"/>
          </w:tcPr>
          <w:p>
            <w:pPr>
              <w:jc w:val="right"/>
              <w:spacing w:after="0"/>
              <w:rPr>
                <w:sz w:val="20"/>
                <w:szCs w:val="20"/>
                <w:color w:val="auto"/>
              </w:rPr>
            </w:pPr>
            <w:r>
              <w:rPr>
                <w:rFonts w:ascii="Arial" w:cs="Arial" w:eastAsia="Arial" w:hAnsi="Arial"/>
                <w:sz w:val="18"/>
                <w:szCs w:val="18"/>
                <w:color w:val="auto"/>
              </w:rPr>
              <w:t>$ 91</w:t>
            </w: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334</w:t>
            </w:r>
          </w:p>
        </w:tc>
        <w:tc>
          <w:tcPr>
            <w:tcW w:w="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76</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380" w:type="dxa"/>
            <w:vAlign w:val="bottom"/>
          </w:tcPr>
          <w:p>
            <w:pPr>
              <w:jc w:val="right"/>
              <w:spacing w:after="0"/>
              <w:rPr>
                <w:sz w:val="20"/>
                <w:szCs w:val="20"/>
                <w:color w:val="auto"/>
              </w:rPr>
            </w:pPr>
            <w:r>
              <w:rPr>
                <w:rFonts w:ascii="Arial" w:cs="Arial" w:eastAsia="Arial" w:hAnsi="Arial"/>
                <w:sz w:val="18"/>
                <w:szCs w:val="18"/>
                <w:color w:val="auto"/>
              </w:rPr>
              <w:t>$ 69</w:t>
            </w: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69</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$ 76</w:t>
            </w:r>
          </w:p>
        </w:tc>
        <w:tc>
          <w:tcPr>
            <w:tcW w:w="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76</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tcPr>
          <w:p>
            <w:pPr>
              <w:jc w:val="center"/>
              <w:ind w:left="42"/>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left="42"/>
              <w:spacing w:after="0"/>
              <w:rPr>
                <w:sz w:val="20"/>
                <w:szCs w:val="20"/>
                <w:color w:val="auto"/>
              </w:rPr>
            </w:pPr>
            <w:r>
              <w:rPr>
                <w:rFonts w:ascii="Arial" w:cs="Arial" w:eastAsia="Arial" w:hAnsi="Arial"/>
                <w:sz w:val="14"/>
                <w:szCs w:val="14"/>
                <w:b w:val="1"/>
                <w:bCs w:val="1"/>
                <w:color w:val="auto"/>
                <w:w w:val="85"/>
              </w:rPr>
              <w:t>December 31, 2011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Quoted</w:t>
            </w:r>
          </w:p>
        </w:tc>
        <w:tc>
          <w:tcPr>
            <w:tcW w:w="54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Active</w:t>
            </w:r>
          </w:p>
        </w:tc>
        <w:tc>
          <w:tcPr>
            <w:tcW w:w="5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$120</w:t>
            </w: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380" w:type="dxa"/>
            <w:vAlign w:val="bottom"/>
          </w:tcPr>
          <w:p>
            <w:pPr>
              <w:jc w:val="right"/>
              <w:spacing w:after="0"/>
              <w:rPr>
                <w:sz w:val="20"/>
                <w:szCs w:val="20"/>
                <w:color w:val="auto"/>
              </w:rPr>
            </w:pPr>
            <w:r>
              <w:rPr>
                <w:rFonts w:ascii="Arial" w:cs="Arial" w:eastAsia="Arial" w:hAnsi="Arial"/>
                <w:sz w:val="18"/>
                <w:szCs w:val="18"/>
                <w:color w:val="auto"/>
              </w:rPr>
              <w:t>73</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377</w:t>
            </w:r>
          </w:p>
        </w:tc>
        <w:tc>
          <w:tcPr>
            <w:tcW w:w="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380" w:type="dxa"/>
            <w:vAlign w:val="bottom"/>
          </w:tcPr>
          <w:p>
            <w:pPr>
              <w:jc w:val="right"/>
              <w:spacing w:after="0"/>
              <w:rPr>
                <w:sz w:val="20"/>
                <w:szCs w:val="20"/>
                <w:color w:val="auto"/>
              </w:rPr>
            </w:pPr>
            <w:r>
              <w:rPr>
                <w:rFonts w:ascii="Arial" w:cs="Arial" w:eastAsia="Arial" w:hAnsi="Arial"/>
                <w:sz w:val="18"/>
                <w:szCs w:val="18"/>
                <w:color w:val="auto"/>
              </w:rPr>
              <w:t>$ 74</w:t>
            </w: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$ 76</w:t>
            </w:r>
          </w:p>
        </w:tc>
        <w:tc>
          <w:tcPr>
            <w:tcW w:w="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76</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Fair Value of Available-for-sale Securities </w:t>
      </w:r>
      <w:r>
        <w:rPr>
          <w:rFonts w:ascii="Arial" w:cs="Arial" w:eastAsia="Arial" w:hAnsi="Arial"/>
          <w:sz w:val="18"/>
          <w:szCs w:val="18"/>
          <w:color w:val="auto"/>
        </w:rPr>
        <w:t>— The available-for-sale securities measured using Level 1 inputs are primarily included in long-term “Other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our Condensed Consolidated Balance Sheets. The fair value of available-for-sale securities measured using Level 3 inputs consists of redeemable preferred stock that was acquired in November 2011 and is included in “Investments in unconsolidated entities” in our Condensed Consolidated Balance Sheets. The redeemable preferred stock is recorded at fair value based on other</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80"/>
          </w:cols>
          <w:pgMar w:left="240" w:top="274" w:right="3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third-party investors’ recent or pending transactions in these securities, which are considered to be the best evidence of fair value currently available. When this evidence is not available, we use other valuation techniques as appropriate and available. These valuation methodologies may include transactions in similar instruments, discounted cash flow techniques, third-party appraisals or industry multiples and public comparables.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At March 31, 2012 and December 31, 2011, the carrying value of our debt was approximately $9.8 billion. The carrying value of our debt includes adjustments for both the unamortized fair value adjustments related to terminated hedge arrangements and fair value adjustments for debt instruments that are currently hedged.</w:t>
      </w:r>
    </w:p>
    <w:p>
      <w:pPr>
        <w:spacing w:after="0" w:line="59"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The estimated fair value of our debt was approximately $11.0 billion at March 31, 2012 and approximately $10.8 billion at December 31, 2011.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w:t>
      </w:r>
    </w:p>
    <w:p>
      <w:pPr>
        <w:spacing w:after="0" w:line="6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March 31, 2012 and December 31, 2011. These amounts have not been revalued since those dates, and current estimates of fair value could differ significantly from the amounts presented.</w:t>
      </w:r>
    </w:p>
    <w:p>
      <w:pPr>
        <w:spacing w:after="0" w:line="1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Variable Interest Entities</w:t>
      </w:r>
    </w:p>
    <w:p>
      <w:pPr>
        <w:spacing w:after="0" w:line="96"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Waste-to-Energy LLCs </w:t>
      </w:r>
      <w:r>
        <w:rPr>
          <w:rFonts w:ascii="Arial" w:cs="Arial" w:eastAsia="Arial" w:hAnsi="Arial"/>
          <w:sz w:val="18"/>
          <w:szCs w:val="18"/>
          <w:color w:val="auto"/>
        </w:rPr>
        <w:t>— In June 2000, two limited liability companies were established to purchase interests in existing leveraged lease financings at</w:t>
      </w:r>
      <w:r>
        <w:rPr>
          <w:rFonts w:ascii="Arial" w:cs="Arial" w:eastAsia="Arial" w:hAnsi="Arial"/>
          <w:sz w:val="18"/>
          <w:szCs w:val="18"/>
          <w:i w:val="1"/>
          <w:iCs w:val="1"/>
          <w:color w:val="auto"/>
        </w:rPr>
        <w:t xml:space="preserve"> </w:t>
      </w:r>
      <w:r>
        <w:rPr>
          <w:rFonts w:ascii="Arial" w:cs="Arial" w:eastAsia="Arial" w:hAnsi="Arial"/>
          <w:sz w:val="18"/>
          <w:szCs w:val="18"/>
          <w:color w:val="auto"/>
        </w:rPr>
        <w:t>three waste-to-energy facilities that we lease, operate and maintain. We own a 0.5% interest in one of the LLCs (“LLC I”) and a 0.25% interest in the second LLC (“LLC II”). John Hancock Life Insurance Company (“Hancock”) owns 99.5% of LLC I and 99.75% of LLC II is owned by LLC I and the CIT Group (“CIT”).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equity interests. All capital allocations made through March 31, 2012 have been based on initial capital account balances as the target returns have not yet been achieved.</w:t>
      </w:r>
    </w:p>
    <w:p>
      <w:pPr>
        <w:spacing w:after="0" w:line="6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5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31, 2012 and December 31, 2011, our Condensed Consolidated Balance Sheets included $305 million and $308 million, respectively, of net property and equipment associated with the LLCs’ waste-to-energy facilities and $249 million and $246 million, respectively, in noncontrolling interests associated with Hancock’s and CIT’s interests in the LLCs. As of March 31, 2012 and December 31, 2011, all debt obligations of the LLCs had been paid in full and, therefore, the LLCs had no liabilities. During each of the three months ended March 31, 2012 and 2011, we recognized expense of $13 million for Hancock’s and CIT’s noncontrolling interests in the LLCs’ earnings. The LLCs’ earnings relate to the rental income generated from leasing the facilities to our subsidiaries, reduced by depreciation expense. The LLCs’ rental income is eliminated in WM’s consolidation.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i w:val="1"/>
          <w:iCs w:val="1"/>
          <w:color w:val="auto"/>
        </w:rPr>
        <w:t xml:space="preserve">Investment in Waste-to-Energy and Recycling LLC — </w:t>
      </w:r>
      <w:r>
        <w:rPr>
          <w:rFonts w:ascii="Arial" w:cs="Arial" w:eastAsia="Arial" w:hAnsi="Arial"/>
          <w:sz w:val="16"/>
          <w:szCs w:val="16"/>
          <w:color w:val="auto"/>
        </w:rPr>
        <w:t>In the first quarter of 2012, we established a limited liability company (the “LLC”) along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joint venture partner, a commercial entity in the waste management industry, to develop, construct, operate and maintain a waste-to-energy and recycling facility in England. We own a 50% interest in this joint venture. The total cost of constructing this facility is expected to be £200 million, or $320 million based on the exchange rate as of March 31, 2012. The LLC will be funded primarily through loans from the joint venture partners and loans under the LLC’s credit facility agreements with third-party financial institutions. The funds loaned under the credit facility agreements will be used for the development and construction of the facility. We are committed to provide up to £57 million, or $91 million based on the exchange rate as of March 31, 2012, of funding to the LLC. Our actual commitment may be more or less depending on the actual cost of the facility. Through March 31, 2012, we had funded approximately £7 million, or $11 million, through loans and less than $1 million through equity contributions. These amounts are included in our Condensed Consolidated Balance Sheet as long-term “Other assets” and “Investments in unconsolidated entities,” respectively. We also have guaranteed the performance of certain management services for the project for which our maximum exposure under the guarantee is not material.</w:t>
      </w:r>
    </w:p>
    <w:p>
      <w:pPr>
        <w:spacing w:after="0" w:line="4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a wholly-owned subsidiary of the Company will be responsible for constructing the waste-to-energy facility for the LLC under a fixed-price construction contract. Once the facility is constructed, a majority-owned subsidiary of the Company will be responsible for operating and maintaining the facility for the LLC under a substantially fixed-price operating and maintenance contract. Under the operating and maintenance contract, we have guaranteed our ability to operate this facility at certain performance levels that we believe are within our control to achieve. We also will be jointly responsible, along with our LLC joint venture partner, for the performance of sales and marketing services for the LLC through a 50%-owned and unconsolidated entity. The fixed-price components of the above mentioned contracts were established based on estimates of expected construction, operation and maintenance costs. However, we are subject to variation in our expected profits or potential losses if the actual costs differ from the costs established in the contracts. Our maximum exposure to loss under these contracts cannot be quantified.</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determined that we are not the primary beneficiary of the LLC as all decision-making responsibility is shared jointly with our joint venture partner. As such, we do not have the power to individually direct the entity’s activities. Accordingly, we account for this investment under the equity method of accounting and do not consolidate this entity.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w:t>
      </w:r>
      <w:r>
        <w:rPr>
          <w:rFonts w:ascii="Arial" w:cs="Arial" w:eastAsia="Arial" w:hAnsi="Arial"/>
          <w:sz w:val="16"/>
          <w:szCs w:val="16"/>
          <w:color w:val="auto"/>
        </w:rPr>
        <w:t>— In January 2011, we acquired a noncontrolling interest in a limited liability company, which was established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and manage a refined coal facility. Along with the other equity investor, we support the operations of the entity in exchange for a pro-rata share of the tax credits it generates. Our initial consideration for this investment consisted of a cash payment of $48 million. As of March 31, 2012 and December 31, 2011, our investment balance was $34 million and $35 million, respectively, representing our current maximum pre-tax exposure to loss. Under the terms and conditions of the transaction, we do not believe that we have any material exposure to loss. Future contributions will commence once certain levels of tax credits have been generated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3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Investment in Federal Low-income Housing Tax Credits </w:t>
      </w:r>
      <w:r>
        <w:rPr>
          <w:rFonts w:ascii="Arial" w:cs="Arial" w:eastAsia="Arial" w:hAnsi="Arial"/>
          <w:sz w:val="18"/>
          <w:szCs w:val="18"/>
          <w:color w:val="auto"/>
        </w:rPr>
        <w:t>— In April 2010, we acquired a noncontrolling interest in a limited liability company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in 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As of March 31, 2012 and December 31, 2011, our investment balance was $172 million and $178 million, respectively, and our debt balance was $170 million and $176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Trusts for Final Capping, Closure, Post-Closure or Environmental Remediation Obligations </w:t>
      </w:r>
      <w:r>
        <w:rPr>
          <w:rFonts w:ascii="Arial" w:cs="Arial" w:eastAsia="Arial" w:hAnsi="Arial"/>
          <w:sz w:val="18"/>
          <w:szCs w:val="18"/>
          <w:color w:val="auto"/>
        </w:rPr>
        <w:t>— We have significant financial interests in trust funds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created to settle certain of our final capping, closure, post-closure or environmental remediation obligations. We have determined that we are not the primary beneficiary of certain of these trust funds because power over the trusts’ significant activities is shared.</w:t>
      </w:r>
    </w:p>
    <w:p>
      <w:pPr>
        <w:spacing w:after="0" w:line="5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interests in these variable interest entities are accounted for as investments in unconsolidated entities and receivables. These amounts are recorded in “Other receivables,” “Investments in unconsolidated entities” and long-term “Other assets” in our Condensed Consolidated Balance Sheet, as appropriate. Our investments and receivables related to the trusts had an aggregate carrying value of $110 million as of March 31, 2012 and $107 million as of December 31, 2011. We continue to reflect our interests in the unrealized gains and losses on available-for-sale securities held by these trusts as a component of “Accumulated other comprehensive income.”</w:t>
      </w:r>
    </w:p>
    <w:p>
      <w:pPr>
        <w:spacing w:after="0" w:line="6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1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Condensed Consolidating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WM Holdings has fully and unconditionally guaranteed all of WM’s senior indebtedness. WM has fully and unconditionally guaranteed all of</w:t>
      </w:r>
    </w:p>
    <w:p>
      <w:pPr>
        <w:spacing w:after="0" w:line="3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Non-</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WM</w:t>
            </w:r>
          </w:p>
        </w:tc>
        <w:tc>
          <w:tcPr>
            <w:tcW w:w="6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6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Subsidiaries</w:t>
            </w:r>
          </w:p>
        </w:tc>
        <w:tc>
          <w:tcPr>
            <w:tcW w:w="7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b w:val="1"/>
                <w:bCs w:val="1"/>
                <w:color w:val="auto"/>
                <w:w w:val="88"/>
              </w:rPr>
              <w:t>ASSETS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12,299</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12,229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15,886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(31,191)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12,438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15,898</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25,390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(31,191)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3060" w:type="dxa"/>
            <w:vAlign w:val="bottom"/>
            <w:gridSpan w:val="6"/>
          </w:tcPr>
          <w:p>
            <w:pPr>
              <w:jc w:val="right"/>
              <w:ind w:right="213"/>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560</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674</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2,368</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Equity:</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15,444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15,747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(31,191)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322</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15,444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16,069</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(31,191)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2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12,438</w:t>
            </w:r>
          </w:p>
        </w:tc>
        <w:tc>
          <w:tcPr>
            <w:tcW w:w="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15,898</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25,390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(31,191)</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22,535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WM</w:t>
            </w:r>
          </w:p>
        </w:tc>
        <w:tc>
          <w:tcPr>
            <w:tcW w:w="680" w:type="dxa"/>
            <w:vAlign w:val="bottom"/>
          </w:tcPr>
          <w:p>
            <w:pPr>
              <w:spacing w:after="0"/>
              <w:rPr>
                <w:sz w:val="12"/>
                <w:szCs w:val="12"/>
                <w:color w:val="auto"/>
              </w:rPr>
            </w:pPr>
          </w:p>
        </w:tc>
        <w:tc>
          <w:tcPr>
            <w:tcW w:w="14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6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420"/>
              <w:spacing w:after="0" w:line="196" w:lineRule="exact"/>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12,242</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14,905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3,033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7,816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12,251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14,917</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25,345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(29,944)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3040" w:type="dxa"/>
            <w:vAlign w:val="bottom"/>
            <w:gridSpan w:val="6"/>
          </w:tcPr>
          <w:p>
            <w:pPr>
              <w:jc w:val="center"/>
              <w:ind w:left="152"/>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2,633</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2,949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3,954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14,455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15,489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14,455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15,809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12,251</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14,917</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25,345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(29,944)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22,569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Non-</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WM</w:t>
            </w: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Costs and expenses</w:t>
            </w:r>
          </w:p>
        </w:tc>
        <w:tc>
          <w:tcPr>
            <w:tcW w:w="150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2,894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2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2500" w:type="dxa"/>
            <w:vAlign w:val="bottom"/>
            <w:gridSpan w:val="3"/>
          </w:tcPr>
          <w:p>
            <w:pPr>
              <w:jc w:val="right"/>
              <w:ind w:right="64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221</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5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2"/>
              </w:rPr>
              <w:t>Less: Net income attributable to noncontrolling interests</w:t>
            </w:r>
          </w:p>
        </w:tc>
        <w:tc>
          <w:tcPr>
            <w:tcW w:w="150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attributable to Waste Management, Inc.</w:t>
            </w:r>
          </w:p>
        </w:tc>
        <w:tc>
          <w:tcPr>
            <w:tcW w:w="25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w:t>
            </w:r>
          </w:p>
        </w:tc>
        <w:tc>
          <w:tcPr>
            <w:tcW w:w="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9"/>
              </w:rPr>
              <w:t>Three Months Ended March 31, 2011</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500" w:type="dxa"/>
            <w:vAlign w:val="bottom"/>
            <w:gridSpan w:val="3"/>
          </w:tcPr>
          <w:p>
            <w:pPr>
              <w:jc w:val="center"/>
              <w:ind w:left="55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Non-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WM</w:t>
            </w: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Costs and expenses</w:t>
            </w:r>
          </w:p>
        </w:tc>
        <w:tc>
          <w:tcPr>
            <w:tcW w:w="150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2,676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2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2500" w:type="dxa"/>
            <w:vAlign w:val="bottom"/>
            <w:gridSpan w:val="3"/>
          </w:tcPr>
          <w:p>
            <w:pPr>
              <w:jc w:val="right"/>
              <w:ind w:right="64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233</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5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2"/>
              </w:rPr>
              <w:t>Less: Net income attributable to noncontrolling interests</w:t>
            </w:r>
          </w:p>
        </w:tc>
        <w:tc>
          <w:tcPr>
            <w:tcW w:w="150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attributable to Waste Management, Inc.</w:t>
            </w:r>
          </w:p>
        </w:tc>
        <w:tc>
          <w:tcPr>
            <w:tcW w:w="25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242</w:t>
            </w:r>
          </w:p>
        </w:tc>
        <w:tc>
          <w:tcPr>
            <w:tcW w:w="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60" w:type="dxa"/>
            <w:vAlign w:val="bottom"/>
            <w:gridSpan w:val="2"/>
          </w:tcPr>
          <w:p>
            <w:pPr>
              <w:jc w:val="center"/>
              <w:ind w:left="1192"/>
              <w:spacing w:after="0"/>
              <w:rPr>
                <w:sz w:val="20"/>
                <w:szCs w:val="20"/>
                <w:color w:val="auto"/>
              </w:rPr>
            </w:pPr>
            <w:r>
              <w:rPr>
                <w:rFonts w:ascii="Arial" w:cs="Arial" w:eastAsia="Arial" w:hAnsi="Arial"/>
                <w:sz w:val="18"/>
                <w:szCs w:val="18"/>
                <w:color w:val="auto"/>
                <w:w w:val="89"/>
              </w:rPr>
              <w:t>29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Non-</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WM</w:t>
            </w:r>
          </w:p>
        </w:tc>
        <w:tc>
          <w:tcPr>
            <w:tcW w:w="6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1"/>
              </w:rPr>
              <w:t>Subsidiaries</w:t>
            </w:r>
          </w:p>
        </w:tc>
        <w:tc>
          <w:tcPr>
            <w:tcW w:w="6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Three Months Ended March 31, 2012</w:t>
            </w:r>
          </w:p>
        </w:tc>
        <w:tc>
          <w:tcPr>
            <w:tcW w:w="24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224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270</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(453)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gridSpan w:val="4"/>
            <w:vMerge w:val="continue"/>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224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258</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(453)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2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March 31, 2011</w:t>
            </w: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Comprehensive income</w:t>
            </w:r>
          </w:p>
        </w:tc>
        <w:tc>
          <w:tcPr>
            <w:tcW w:w="2420" w:type="dxa"/>
            <w:vAlign w:val="bottom"/>
            <w:tcBorders>
              <w:top w:val="single" w:sz="8" w:color="CCEEFF"/>
            </w:tcBorders>
            <w:gridSpan w:val="2"/>
          </w:tcPr>
          <w:p>
            <w:pPr>
              <w:spacing w:after="0"/>
              <w:rPr>
                <w:sz w:val="18"/>
                <w:szCs w:val="18"/>
                <w:color w:val="auto"/>
              </w:rPr>
            </w:pPr>
          </w:p>
        </w:tc>
        <w:tc>
          <w:tcPr>
            <w:tcW w:w="80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$190</w:t>
            </w:r>
          </w:p>
        </w:tc>
        <w:tc>
          <w:tcPr>
            <w:tcW w:w="74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237</w:t>
            </w:r>
          </w:p>
        </w:tc>
        <w:tc>
          <w:tcPr>
            <w:tcW w:w="46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275</w:t>
            </w:r>
          </w:p>
        </w:tc>
        <w:tc>
          <w:tcPr>
            <w:tcW w:w="90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(479)</w:t>
            </w:r>
          </w:p>
        </w:tc>
        <w:tc>
          <w:tcPr>
            <w:tcW w:w="60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gridSpan w:val="4"/>
            <w:vMerge w:val="continue"/>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237</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265</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(479)</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 w:type="dxa"/>
            <w:vAlign w:val="bottom"/>
            <w:gridSpan w:val="3"/>
          </w:tcPr>
          <w:p>
            <w:pPr>
              <w:jc w:val="right"/>
              <w:ind w:right="139"/>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224</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(379)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Proceeds from divestitures of businesses (net of cash divested)</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other sales of assets</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(164)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8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9"/>
                <w:szCs w:val="19"/>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$ 186</w:t>
            </w:r>
          </w:p>
        </w:tc>
        <w:tc>
          <w:tcPr>
            <w:tcW w:w="40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237</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w:t>
            </w:r>
          </w:p>
        </w:tc>
        <w:tc>
          <w:tcPr>
            <w:tcW w:w="38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(479)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Proceeds from divestitures of businesses (net of cash divested)</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other sales of assets</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129</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$ 538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19"/>
                <w:szCs w:val="19"/>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2011.</w:t>
      </w:r>
    </w:p>
    <w:p>
      <w:pPr>
        <w:spacing w:after="0" w:line="5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62" w:lineRule="exact"/>
        <w:rPr>
          <w:sz w:val="20"/>
          <w:szCs w:val="20"/>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the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6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Some of the risks that we believe could affect our financial statements for 2012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700" w:right="260" w:hanging="246"/>
        <w:spacing w:after="0" w:line="332"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4" w:lineRule="exact"/>
        <w:rPr>
          <w:rFonts w:ascii="Arial" w:cs="Arial" w:eastAsia="Arial" w:hAnsi="Arial"/>
          <w:sz w:val="16"/>
          <w:szCs w:val="16"/>
          <w:color w:val="auto"/>
        </w:rPr>
      </w:pPr>
    </w:p>
    <w:p>
      <w:pPr>
        <w:ind w:left="700" w:right="720" w:hanging="246"/>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in implementing our optimization and growth initiatives and overall business strategy, which could adversely impact our financial performance and growth;</w:t>
      </w:r>
    </w:p>
    <w:p>
      <w:pPr>
        <w:spacing w:after="0" w:line="50" w:lineRule="exact"/>
        <w:rPr>
          <w:rFonts w:ascii="Arial" w:cs="Arial" w:eastAsia="Arial" w:hAnsi="Arial"/>
          <w:sz w:val="18"/>
          <w:szCs w:val="18"/>
          <w:color w:val="auto"/>
        </w:rPr>
      </w:pPr>
    </w:p>
    <w:p>
      <w:pPr>
        <w:ind w:left="700" w:right="80" w:hanging="246"/>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700" w:right="600" w:hanging="246"/>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ind w:left="700" w:right="80" w:hanging="246"/>
        <w:spacing w:after="0" w:line="259"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59" w:lineRule="exact"/>
        <w:rPr>
          <w:rFonts w:ascii="Arial" w:cs="Arial" w:eastAsia="Arial" w:hAnsi="Arial"/>
          <w:sz w:val="18"/>
          <w:szCs w:val="18"/>
          <w:color w:val="auto"/>
        </w:rPr>
      </w:pPr>
    </w:p>
    <w:p>
      <w:pPr>
        <w:ind w:left="700" w:right="200" w:hanging="246"/>
        <w:spacing w:after="0" w:line="259"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59" w:lineRule="exact"/>
        <w:rPr>
          <w:rFonts w:ascii="Arial" w:cs="Arial" w:eastAsia="Arial" w:hAnsi="Arial"/>
          <w:sz w:val="18"/>
          <w:szCs w:val="18"/>
          <w:color w:val="auto"/>
        </w:rPr>
      </w:pPr>
    </w:p>
    <w:p>
      <w:pPr>
        <w:ind w:left="700" w:right="500" w:hanging="246"/>
        <w:spacing w:after="0" w:line="332"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3" w:name="page34"/>
    <w:bookmarkEnd w:id="33"/>
    <w:p>
      <w:pPr>
        <w:ind w:left="246" w:right="360" w:hanging="246"/>
        <w:spacing w:after="0" w:line="332" w:lineRule="auto"/>
        <w:tabs>
          <w:tab w:leader="none" w:pos="246"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4" w:lineRule="exact"/>
        <w:rPr>
          <w:rFonts w:ascii="Arial" w:cs="Arial" w:eastAsia="Arial" w:hAnsi="Arial"/>
          <w:sz w:val="16"/>
          <w:szCs w:val="16"/>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46" w:right="300" w:hanging="246"/>
        <w:spacing w:after="0" w:line="332" w:lineRule="auto"/>
        <w:tabs>
          <w:tab w:leader="none" w:pos="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4" w:lineRule="exact"/>
        <w:rPr>
          <w:rFonts w:ascii="Arial" w:cs="Arial" w:eastAsia="Arial" w:hAnsi="Arial"/>
          <w:sz w:val="16"/>
          <w:szCs w:val="16"/>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90" w:lineRule="exact"/>
        <w:rPr>
          <w:rFonts w:ascii="Arial" w:cs="Arial" w:eastAsia="Arial" w:hAnsi="Arial"/>
          <w:sz w:val="18"/>
          <w:szCs w:val="18"/>
          <w:color w:val="auto"/>
        </w:rPr>
      </w:pPr>
    </w:p>
    <w:p>
      <w:pPr>
        <w:ind w:left="246" w:right="200"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46" w:right="600"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and restrict our ability to operate;</w:t>
      </w:r>
    </w:p>
    <w:p>
      <w:pPr>
        <w:spacing w:after="0" w:line="90" w:lineRule="exact"/>
        <w:rPr>
          <w:rFonts w:ascii="Arial" w:cs="Arial" w:eastAsia="Arial" w:hAnsi="Arial"/>
          <w:sz w:val="18"/>
          <w:szCs w:val="18"/>
          <w:color w:val="auto"/>
        </w:rPr>
      </w:pPr>
    </w:p>
    <w:p>
      <w:pPr>
        <w:ind w:left="246" w:right="400"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ind w:left="246" w:right="20" w:hanging="246"/>
        <w:spacing w:after="0" w:line="259"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13" w:lineRule="exact"/>
        <w:rPr>
          <w:rFonts w:ascii="Arial" w:cs="Arial" w:eastAsia="Arial" w:hAnsi="Arial"/>
          <w:sz w:val="16"/>
          <w:szCs w:val="16"/>
          <w:color w:val="auto"/>
        </w:rPr>
      </w:pPr>
    </w:p>
    <w:p>
      <w:pPr>
        <w:ind w:left="246" w:hanging="246"/>
        <w:spacing w:after="0"/>
        <w:tabs>
          <w:tab w:leader="none" w:pos="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246" w:right="280"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246" w:right="340"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incur future indebtedness on terms we deem acceptable or to refinance our debt obligations, including near-term maturities, on acceptable terms and higher interest rates and market conditions may increase our expense;</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13" w:lineRule="exact"/>
        <w:rPr>
          <w:rFonts w:ascii="Arial" w:cs="Arial" w:eastAsia="Arial" w:hAnsi="Arial"/>
          <w:sz w:val="16"/>
          <w:szCs w:val="16"/>
          <w:color w:val="auto"/>
        </w:rPr>
      </w:pPr>
    </w:p>
    <w:p>
      <w:pPr>
        <w:ind w:left="246" w:right="480"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246" w:right="360"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6"/>
          </w:cols>
          <w:pgMar w:left="694" w:top="280" w:right="239" w:bottom="1440" w:gutter="0" w:footer="0" w:header="0"/>
        </w:sectPr>
      </w:pPr>
    </w:p>
    <w:bookmarkStart w:id="34" w:name="page35"/>
    <w:bookmarkEnd w:id="34"/>
    <w:p>
      <w:pPr>
        <w:ind w:left="700" w:right="16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700" w:right="22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Our Company is dedicated to three transformational goals that we believe will drive continued growth and leadership in a dynamic industry: know more about our customers and how to service them than anyone else; use conversion and processing technology to extract more value from the materials we manage; and continuously improve our operational efficiency. Our strategy supports diversion from landfills and converting waste into valuable products as customers seek more economically and environmentally sound alternatives. We intend to pursue achievement of our long-term goals in the short-term through efforts to:</w:t>
      </w:r>
    </w:p>
    <w:p>
      <w:pPr>
        <w:spacing w:after="0" w:line="17" w:lineRule="exact"/>
        <w:rPr>
          <w:sz w:val="20"/>
          <w:szCs w:val="20"/>
          <w:color w:val="auto"/>
        </w:rPr>
      </w:pPr>
    </w:p>
    <w:p>
      <w:pPr>
        <w:ind w:left="700" w:right="40" w:hanging="246"/>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our markets by implementing customer-focused growth, through customer segmentation and through strategic acquisitions, while maintaining our pricing discipline and increasing the amount of recyclable materials we manage each year;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our customer loyalty;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into new markets by investing in greener technologies;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initiatives that improve our operations and cost structure.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These efforts will be supported by ongoing improvements in information technologies. We believe that execution of our strategy will provide long-term value to our stockholders.</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first quarter of 2012 results of operations reflect the impact of a decrease in commodity prices; the impact of our continued investment in our strategic initiatives, including our July 28, 2011 acquisition of the primary operations of Oakleaf Global Holdings (“Oakleaf”); an improvement in volumes; and our discipline in pricing. Highlights of our financial results for the current quarter include:</w:t>
      </w:r>
    </w:p>
    <w:p>
      <w:pPr>
        <w:spacing w:after="0" w:line="59" w:lineRule="exact"/>
        <w:rPr>
          <w:sz w:val="20"/>
          <w:szCs w:val="20"/>
          <w:color w:val="auto"/>
        </w:rPr>
      </w:pPr>
    </w:p>
    <w:p>
      <w:pPr>
        <w:ind w:left="700" w:hanging="246"/>
        <w:spacing w:after="0" w:line="256"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of $3,295 million compared with $3,103 million in the first quarter of 2011, an increase of $192 million, or 6.2%. This increase in revenues is primarily attributable to acquisitions, driven in large part by our acquisition of Oakleaf; positive internal revenue growth from volume and from yield on our collection and disposal business; and increases from our fuel surcharge program. These increases were partially offset by lower pricing for recyclable commodities and electricity;</w:t>
      </w:r>
    </w:p>
    <w:p>
      <w:pPr>
        <w:spacing w:after="0" w:line="62" w:lineRule="exact"/>
        <w:rPr>
          <w:rFonts w:ascii="Arial" w:cs="Arial" w:eastAsia="Arial" w:hAnsi="Arial"/>
          <w:sz w:val="18"/>
          <w:szCs w:val="18"/>
          <w:color w:val="auto"/>
        </w:rPr>
      </w:pPr>
    </w:p>
    <w:p>
      <w:pPr>
        <w:ind w:left="700" w:right="160" w:hanging="246"/>
        <w:spacing w:after="0" w:line="298"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Operating expenses of $2,166 million, or 65.7% of revenues, compared with $1,995 million, or 64.3% of revenues, in the first quarter of 2011. This increase of $171 million, or 8.6%, is due primarily to increases in subcontractor costs, associated in large part with our acquisition of Oakleaf, and the impact of higher fuel prices on direct fuel costs and on our indirect fuel costs included in subcontractor costs, both of which have related revenue increases noted above, as well as increases in labor and maintenance and repairs;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35" w:name="page36"/>
    <w:bookmarkEnd w:id="35"/>
    <w:p>
      <w:pPr>
        <w:ind w:left="700" w:hanging="246"/>
        <w:spacing w:after="0" w:line="306"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general and administrative expenses increased by $25 million, or 6.5%, from $382 million in the first quarter of 2011 to $407 million in the first quarter of 2012, largely due to acquisitions and costs incurred to support our strategic growth plans and the implementation of our cost savings programs. We have begun to see the associated benefits of these programs and expect the benefits to increase throughout the remainder of the year;</w:t>
      </w:r>
    </w:p>
    <w:p>
      <w:pPr>
        <w:spacing w:after="0" w:line="25" w:lineRule="exact"/>
        <w:rPr>
          <w:rFonts w:ascii="Arial" w:cs="Arial" w:eastAsia="Arial" w:hAnsi="Arial"/>
          <w:sz w:val="16"/>
          <w:szCs w:val="16"/>
          <w:color w:val="auto"/>
        </w:rPr>
      </w:pPr>
    </w:p>
    <w:p>
      <w:pPr>
        <w:ind w:left="700" w:hanging="24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Income from operations of $401 million, or 12.2% of revenues, compared with $427 million, or 13.8% of revenues, in the first quarter of 2011; and</w:t>
      </w:r>
    </w:p>
    <w:p>
      <w:pPr>
        <w:spacing w:after="0" w:line="113" w:lineRule="exact"/>
        <w:rPr>
          <w:rFonts w:ascii="Arial" w:cs="Arial" w:eastAsia="Arial" w:hAnsi="Arial"/>
          <w:sz w:val="16"/>
          <w:szCs w:val="16"/>
          <w:color w:val="auto"/>
        </w:rPr>
      </w:pPr>
    </w:p>
    <w:p>
      <w:pPr>
        <w:jc w:val="both"/>
        <w:ind w:left="700" w:right="260" w:hanging="246"/>
        <w:spacing w:after="0" w:line="306"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income attributable to Waste Management, Inc. of $171 million, or $0.37 per diluted share, as compared with $186 million, or $0.39 per diluted share in the first quarter of 2011. The comparability of our diluted earnings per share has been affected by restructuring charges and integration costs associated with our acquisition of Oakleaf, which had a negative impact of $0.01 on our 2012 results.</w:t>
      </w:r>
    </w:p>
    <w:p>
      <w:pPr>
        <w:spacing w:after="0" w:line="2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Free Cash Flow — </w:t>
      </w:r>
      <w:r>
        <w:rPr>
          <w:rFonts w:ascii="Arial" w:cs="Arial" w:eastAsia="Arial" w:hAnsi="Arial"/>
          <w:sz w:val="16"/>
          <w:szCs w:val="16"/>
          <w:color w:val="auto"/>
        </w:rPr>
        <w:t>As is our practice, we are presenting free cash flow, which is a non-GAAP measure of liquidity, in our disclosures because we use this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greater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the same as similarly-titled measures presented by other companies: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(379)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2"/>
        </w:trPr>
        <w:tc>
          <w:tcPr>
            <w:tcW w:w="8540" w:type="dxa"/>
            <w:vAlign w:val="bottom"/>
          </w:tcPr>
          <w:p>
            <w:pPr>
              <w:spacing w:after="0"/>
              <w:rPr>
                <w:sz w:val="20"/>
                <w:szCs w:val="20"/>
                <w:color w:val="auto"/>
              </w:rPr>
            </w:pPr>
            <w:r>
              <w:rPr>
                <w:rFonts w:ascii="Arial" w:cs="Arial" w:eastAsia="Arial" w:hAnsi="Arial"/>
                <w:sz w:val="18"/>
                <w:szCs w:val="18"/>
                <w:color w:val="auto"/>
              </w:rPr>
              <w:t>Free cash flow</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When comparing our cash flow from operating activities for the reported periods, the change is primarily attributable to unfavorable impacts of working capital changes, particularly changes in our accounts payable and accrued liabilities, which are affected by both cost changes and timing of payments.</w:t>
      </w:r>
    </w:p>
    <w:p>
      <w:pPr>
        <w:spacing w:after="0" w:line="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increase in capital expenditures when comparing the first quarter of 2012 with the prior year period can generally be attributed to increased spending on fueling infrastructure and growth initiatives, and the impact of timing differences associated with cash payments for the previous years’ fourth quarter capital spending. We generally use a significant portion of our free cash flow on capital spending in the fourth quarter of each year. A more significant portion of our fourth quarter 2011 spending was paid in cash in 2012 than in the preceding year.</w:t>
      </w:r>
    </w:p>
    <w:p>
      <w:pPr>
        <w:spacing w:after="0" w:line="6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Acquisition of Oakleaf — </w:t>
      </w:r>
      <w:r>
        <w:rPr>
          <w:rFonts w:ascii="Arial" w:cs="Arial" w:eastAsia="Arial" w:hAnsi="Arial"/>
          <w:sz w:val="16"/>
          <w:szCs w:val="16"/>
          <w:color w:val="auto"/>
        </w:rPr>
        <w:t>On July 28, 2011, we paid $432 million, net of cash received of $4 million and inclusive of certain adjustments, to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Oakleaf. Oakleaf provides outsourced waste and recycling services principally through a nationwide network of third-party haulers. We acquired Oakleaf to advance our growth and transformation strategies and increase our national accounts customer base while enhancing our ability to provide comprehensive environmental solutions. For the three-month period ended March 31, 2012, Oakleaf recognized revenues of $148 million and net losses of less than $1 million. These amounts are included in our Condensed Consolidated Statement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36" w:name="page37"/>
    <w:bookmarkEnd w:id="36"/>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pro forma consolidated results of operations for the three months ended March 31, 2011 have been prepared as if the acquisition of Oakleaf occurred at January 1, 2011 (in millions, except per share amounts):</w:t>
      </w:r>
    </w:p>
    <w:p>
      <w:pPr>
        <w:spacing w:after="0" w:line="5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$3,233</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3280" w:type="dxa"/>
            <w:vAlign w:val="bottom"/>
          </w:tcPr>
          <w:p>
            <w:pPr>
              <w:jc w:val="right"/>
              <w:ind w:right="12"/>
              <w:spacing w:after="0"/>
              <w:rPr>
                <w:sz w:val="20"/>
                <w:szCs w:val="20"/>
                <w:color w:val="auto"/>
              </w:rPr>
            </w:pPr>
            <w:r>
              <w:rPr>
                <w:rFonts w:ascii="Arial" w:cs="Arial" w:eastAsia="Arial" w:hAnsi="Arial"/>
                <w:sz w:val="18"/>
                <w:szCs w:val="18"/>
                <w:color w:val="auto"/>
              </w:rPr>
              <w:t>182</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280" w:type="dxa"/>
            <w:vAlign w:val="bottom"/>
          </w:tcPr>
          <w:p>
            <w:pPr>
              <w:jc w:val="right"/>
              <w:ind w:right="12"/>
              <w:spacing w:after="0"/>
              <w:rPr>
                <w:sz w:val="20"/>
                <w:szCs w:val="20"/>
                <w:color w:val="auto"/>
              </w:rPr>
            </w:pPr>
            <w:r>
              <w:rPr>
                <w:rFonts w:ascii="Arial" w:cs="Arial" w:eastAsia="Arial" w:hAnsi="Arial"/>
                <w:sz w:val="18"/>
                <w:szCs w:val="18"/>
                <w:color w:val="auto"/>
              </w:rPr>
              <w:t>0.38</w:t>
            </w: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 In May 2011, the Financial Accounting Standards Board (“FASB”) amended authoritative guidance associated with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This amended guidance defines certain requirements for measuring fair value and for disclosing information about fair value measurements in accordance with U.S. generally accepted accounting principles. The amendments to authoritative guidance associated with fair value measurements were effective for the Company on January 1, 2012 and have been applied prospectively. The adoption of this guidance did not have a material impact on our consolidated financial statements.</w:t>
      </w:r>
    </w:p>
    <w:p>
      <w:pPr>
        <w:spacing w:after="0" w:line="6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 In June 2011, the FASB issued amended authoritative guidance associated with comprehensive income, which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to present the total of comprehensive income, the components of net income, and the components of other comprehensive income either in a single continuous statement of comprehensive income or in two separate but consecutive statements. This update eliminates the option to present the components of other comprehensive income as part of the statement of changes in equity. In December 2011, the FASB deferred the effective date of the specific requirement to present items that are reclassified out of accumulated other comprehensive income to net income alongside their respective components of net income and other comprehensive income. The amendments to authoritative guidance associated with comprehensive income were effective for the Company on January 1, 2012 and have been applied retrospectively. The adoption of this guidance did not have a material impact on our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2011. Actual results could differ materially from the estimates and assumptions that we use in the preparation of our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currently manage and evaluate our principal operations through five Groups. Our four geographic Groups, which are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These five Groups are our reportable segments.</w:t>
      </w:r>
    </w:p>
    <w:p>
      <w:pPr>
        <w:spacing w:after="0" w:line="6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also provide additional services that are not managed through our five Groups, including the Oakleaf operations we acquired on July 28, 2011, recycling brokerage services, electronic recycling services, in-plant services, landfill gas-to-energy services, integrated medical waste services and expanded service offerings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7" w:name="page38"/>
    <w:bookmarkEnd w:id="37"/>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solutions. Part of our expansion of services includes offering portable self-storage services and fluorescent bulb and universal waste mail-back through our LampTracker</w:t>
      </w:r>
      <w:r>
        <w:rPr>
          <w:rFonts w:ascii="Arial" w:cs="Arial" w:eastAsia="Arial" w:hAnsi="Arial"/>
          <w:sz w:val="11"/>
          <w:szCs w:val="11"/>
          <w:color w:val="auto"/>
        </w:rPr>
        <w:t>®</w:t>
      </w:r>
      <w:r>
        <w:rPr>
          <w:rFonts w:ascii="Arial" w:cs="Arial" w:eastAsia="Arial" w:hAnsi="Arial"/>
          <w:sz w:val="18"/>
          <w:szCs w:val="18"/>
          <w:color w:val="auto"/>
        </w:rPr>
        <w:t xml:space="preserve"> program. In addition, we have made investments that involve the acquisition and development of interests in oil and gas producing properties. These operations are presented as “Other” in the table below. Shown below (in millions) is the contribution to revenues during each period provided by our five Groups and our Other services: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Eastern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Midwest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3,295</w:t>
            </w: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3,103</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Collection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2,073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Wheelabrator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3,295</w:t>
            </w: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3,103</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along with an explanation of the significant components of the current period changes: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4"/>
              </w:rPr>
              <w:t>2012 vs. 2011</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70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1820" w:type="dxa"/>
            <w:vAlign w:val="bottom"/>
            <w:gridSpan w:val="3"/>
          </w:tcPr>
          <w:p>
            <w:pPr>
              <w:jc w:val="right"/>
              <w:ind w:right="2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($3,103 million) adjusted to exclude the impacts of divestitures for the current period.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80"/>
          </w:cols>
          <w:pgMar w:left="240" w:top="280" w:right="379" w:bottom="1440" w:gutter="0" w:footer="0" w:header="0"/>
        </w:sectPr>
      </w:pPr>
    </w:p>
    <w:bookmarkStart w:id="38" w:name="page39"/>
    <w:bookmarkEnd w:id="38"/>
    <w:p>
      <w:pPr>
        <w:ind w:left="460" w:right="12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7"/>
              </w:rPr>
              <w:t>Period-to-Period</w:t>
            </w: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Change for the</w:t>
            </w: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Three Months Ended</w:t>
            </w: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4"/>
              </w:rPr>
              <w:t>2012 vs. 2011</w:t>
            </w: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 of</w:t>
            </w:r>
          </w:p>
        </w:tc>
        <w:tc>
          <w:tcPr>
            <w:tcW w:w="26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Business(i)</w:t>
            </w:r>
          </w:p>
        </w:tc>
      </w:tr>
      <w:tr>
        <w:trPr>
          <w:trHeight w:val="196"/>
        </w:trPr>
        <w:tc>
          <w:tcPr>
            <w:tcW w:w="460" w:type="dxa"/>
            <w:vAlign w:val="bottom"/>
          </w:tcPr>
          <w:p>
            <w:pPr>
              <w:spacing w:after="0"/>
              <w:rPr>
                <w:sz w:val="17"/>
                <w:szCs w:val="17"/>
                <w:color w:val="auto"/>
              </w:rPr>
            </w:pPr>
          </w:p>
        </w:tc>
        <w:tc>
          <w:tcPr>
            <w:tcW w:w="7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tcPr>
          <w:p>
            <w:pPr>
              <w:ind w:left="220"/>
              <w:spacing w:after="0"/>
              <w:rPr>
                <w:sz w:val="20"/>
                <w:szCs w:val="20"/>
                <w:color w:val="auto"/>
              </w:rPr>
            </w:pPr>
            <w:r>
              <w:rPr>
                <w:rFonts w:ascii="Arial" w:cs="Arial" w:eastAsia="Arial" w:hAnsi="Arial"/>
                <w:sz w:val="18"/>
                <w:szCs w:val="18"/>
                <w:color w:val="auto"/>
              </w:rPr>
              <w:t>Collection, landfill and transfer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18"/>
                <w:szCs w:val="18"/>
                <w:color w:val="auto"/>
              </w:rPr>
            </w:pPr>
          </w:p>
        </w:tc>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Waste-to-energy disposal (ii)</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r>
      <w:tr>
        <w:trPr>
          <w:trHeight w:val="222"/>
        </w:trPr>
        <w:tc>
          <w:tcPr>
            <w:tcW w:w="46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Collection and disposal (ii)</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9"/>
                <w:szCs w:val="19"/>
                <w:color w:val="auto"/>
              </w:rPr>
            </w:pPr>
          </w:p>
        </w:tc>
      </w:tr>
      <w:tr>
        <w:trPr>
          <w:trHeight w:val="217"/>
        </w:trPr>
        <w:tc>
          <w:tcPr>
            <w:tcW w:w="4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r>
      <w:tr>
        <w:trPr>
          <w:trHeight w:val="216"/>
        </w:trPr>
        <w:tc>
          <w:tcPr>
            <w:tcW w:w="4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Electricity (ii)</w:t>
            </w: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(9.1)</w:t>
            </w:r>
          </w:p>
        </w:tc>
      </w:tr>
      <w:tr>
        <w:trPr>
          <w:trHeight w:val="216"/>
        </w:trPr>
        <w:tc>
          <w:tcPr>
            <w:tcW w:w="4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73" w:lineRule="exact"/>
        <w:rPr>
          <w:sz w:val="20"/>
          <w:szCs w:val="20"/>
          <w:color w:val="auto"/>
        </w:rPr>
      </w:pPr>
    </w:p>
    <w:p>
      <w:pPr>
        <w:jc w:val="both"/>
        <w:ind w:left="9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period by the prior period’s related business revenue, adjusted to exclude the impacts of divestitures for the current period. The table below summarizes the related business revenues for the three months ended March 31, 2011 adjusted to exclude the impacts of divestitures:</w:t>
      </w:r>
    </w:p>
    <w:p>
      <w:pPr>
        <w:sectPr>
          <w:pgSz w:w="11900" w:h="16838" w:orient="portrait"/>
          <w:cols w:equalWidth="0" w:num="1">
            <w:col w:w="11340"/>
          </w:cols>
          <w:pgMar w:left="240" w:top="28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Related business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Collection, landfill and transfer</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Waste-to-energy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Collection and disposal</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Recycling commodities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Electricity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Fuel surcharges and mandated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-107315</wp:posOffset>
            </wp:positionV>
            <wp:extent cx="608012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Company</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b w:val="1"/>
          <w:bCs w:val="1"/>
          <w:u w:val="single" w:color="auto"/>
          <w:color w:val="auto"/>
        </w:rPr>
        <w:t>Denominator</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w:t>
      </w:r>
    </w:p>
    <w:p>
      <w:pPr>
        <w:jc w:val="center"/>
        <w:ind w:right="940"/>
        <w:spacing w:after="0"/>
        <w:rPr>
          <w:sz w:val="20"/>
          <w:szCs w:val="20"/>
          <w:color w:val="auto"/>
        </w:rPr>
      </w:pPr>
      <w:r>
        <w:rPr>
          <w:rFonts w:ascii="Arial" w:cs="Arial" w:eastAsia="Arial" w:hAnsi="Arial"/>
          <w:sz w:val="14"/>
          <w:szCs w:val="14"/>
          <w:b w:val="1"/>
          <w:bCs w:val="1"/>
          <w:color w:val="auto"/>
        </w:rPr>
        <w:t>Ended</w:t>
      </w:r>
    </w:p>
    <w:p>
      <w:pPr>
        <w:jc w:val="center"/>
        <w:ind w:right="940"/>
        <w:spacing w:after="0"/>
        <w:rPr>
          <w:sz w:val="20"/>
          <w:szCs w:val="20"/>
          <w:color w:val="auto"/>
        </w:rPr>
      </w:pPr>
      <w:r>
        <w:rPr>
          <w:rFonts w:ascii="Arial" w:cs="Arial" w:eastAsia="Arial" w:hAnsi="Arial"/>
          <w:sz w:val="14"/>
          <w:szCs w:val="14"/>
          <w:b w:val="1"/>
          <w:bCs w:val="1"/>
          <w:color w:val="auto"/>
        </w:rPr>
        <w:t>March 31</w:t>
      </w:r>
    </w:p>
    <w:p>
      <w:pPr>
        <w:spacing w:after="0" w:line="194" w:lineRule="exact"/>
        <w:rPr>
          <w:sz w:val="20"/>
          <w:szCs w:val="20"/>
          <w:color w:val="auto"/>
        </w:rPr>
      </w:pPr>
    </w:p>
    <w:p>
      <w:pPr>
        <w:ind w:left="440" w:hanging="437"/>
        <w:spacing w:after="0"/>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2,417</w:t>
      </w:r>
    </w:p>
    <w:p>
      <w:pPr>
        <w:spacing w:after="0" w:line="49"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5232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44"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2,524</w:t>
      </w:r>
    </w:p>
    <w:p>
      <w:pPr>
        <w:spacing w:after="0" w:line="15"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378</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66</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5232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0" w:lineRule="exact"/>
        <w:rPr>
          <w:sz w:val="20"/>
          <w:szCs w:val="20"/>
          <w:color w:val="auto"/>
        </w:rPr>
      </w:pPr>
    </w:p>
    <w:p>
      <w:pPr>
        <w:ind w:left="440" w:hanging="437"/>
        <w:spacing w:after="0"/>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3,103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5232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5232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8860" w:space="720"/>
            <w:col w:w="1760"/>
          </w:cols>
          <w:pgMar w:left="240" w:top="280" w:right="319" w:bottom="1440" w:gutter="0" w:footer="0" w:header="0"/>
          <w:type w:val="continuous"/>
        </w:sectPr>
      </w:pPr>
    </w:p>
    <w:p>
      <w:pPr>
        <w:ind w:left="900" w:right="2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revenue growth from yield for “Collection and disposal” excludes all electricity-related revenues generated by our Wheelabrator Group, which are reported as “Electricity” revenues.</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revenues increased $192 million, or 6.2%, for the three months ended March 31, 2012 as compared with the three months ended March 31, 2011. The year-over-year change in revenues has been driven by (i) acquisitions, particularly the acquisition of Oakleaf, which increased consolidated revenues by</w:t>
      </w:r>
    </w:p>
    <w:p>
      <w:pPr>
        <w:ind w:right="80"/>
        <w:spacing w:after="0" w:line="253" w:lineRule="auto"/>
        <w:rPr>
          <w:sz w:val="20"/>
          <w:szCs w:val="20"/>
          <w:color w:val="auto"/>
        </w:rPr>
      </w:pPr>
      <w:r>
        <w:rPr>
          <w:rFonts w:ascii="Arial" w:cs="Arial" w:eastAsia="Arial" w:hAnsi="Arial"/>
          <w:sz w:val="18"/>
          <w:szCs w:val="18"/>
          <w:color w:val="auto"/>
        </w:rPr>
        <w:t>$131 million this quarter; (ii) revenue growth due to higher volumes primarily driven by our landfill line of business; (iii) revenue growth from average yield on our collection and disposal operations; and (iv) higher diesel fuel prices, which increase revenues provided by our fuel surcharge program. Offsetting these revenue increases were market factors, including lower recyclable commodity prices; lower electricity prices, which correlate with natural gas prices and cause fluctuations in the rates we receive for electricity under our power purchase contracts and merchant transactions; and foreign currency translation, which affects revenues from our Canadian operations.</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280" w:right="319" w:bottom="1440" w:gutter="0" w:footer="0" w:header="0"/>
          <w:type w:val="continuous"/>
        </w:sectPr>
      </w:pPr>
    </w:p>
    <w:bookmarkStart w:id="39" w:name="page40"/>
    <w:bookmarkEnd w:id="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disposal 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Revenue growth from collection and disposal average yield was $22 million, or 0.9%, for the three months ended March 31, 2012 as compared with the prior year period. This revenue increase from yield was driven by our collection operations, primarily in our commercial and industrial lines of business, each of which experienced positive growth from yield greater than 2.0%. We continued to experience downward pressure on our revenue growth from yield in our residential line of business, most notably in our Eastern and Southern Groups, where we experienced negative revenue growth from yield. Due to competition, it has become increasingly difficult to retain customers and to win new contracts at current average rates; as a result, in many instances, the Company has (i) offered price concessions to retain municipal work and (ii) offered increased services without a commensurate increase in pricing when bidding on or renewing residential contracts and pursuing residential subscription business. These increased services are principally recycling services, which are typically priced lower than our average rates. This combination of increased competition and bundling of complementary services, such as recycling, in the residential line of business has put added pressure on our revenue growth from yield. In our disposal operations, positive yield growth from our municipal solid waste stream was offset by negative yield from our special waste stream. Pricing for special waste can fluctuate significantly based on the nature of volume received from the related event work.</w:t>
      </w:r>
    </w:p>
    <w:p>
      <w:pPr>
        <w:spacing w:after="0" w:line="4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current quarter total collection and disposal revenue growth from yield was negatively affected by the expiration of a long-term contract in August 2011 at one of our waste-to-energy facilities in South Florida, which decreased revenues both in our waste-to-energy disposal line of business, by approximately $6 million, and in our collection line of business, by approximately $3 million. Certain of the franchise agreements serviced by our collection companies in South Florida contain specific language that ties a portion of their total rate to the disposal rate charged by this waste-to-energy facility to our collection companies. The expiration of this long-term contract in South Florida negatively impacted our total collection and disposal yield by approximately $9 million in the first quarter of 2012 as compared with the first quarter of 2011. We expect to experience further downward pressure on our revenue growth from yield beginning in April 2012 as a result of the expiration at the end of March 2012 of a similar long-term contract in South Florida.</w:t>
      </w:r>
    </w:p>
    <w:p>
      <w:pPr>
        <w:spacing w:after="0" w:line="3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Overall, we have found that increasing our revenue growth from yield in today’s market is a challenge given the highly competitive environment and the lingering economic slowdown. Despite these headwinds, we are committed to maintaining our price discipline in order to improve yield on our base business.</w:t>
      </w:r>
    </w:p>
    <w:p>
      <w:pPr>
        <w:spacing w:after="0" w:line="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Revenues from our environmental fee, which are included in average yield on collection and disposal, increased by $14 million for the first quarter of 2012 as compared with the same prior year period. These revenues were $77 million and $63 million during the three-month periods ended March 31, 2012 and 2011, respectively.</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Decreases in the prices of the recycling commodities we sold resulted in a decline in revenues of $74 million for the three-month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ended March 31, 2012. During the fourth quarter of 2011, we saw commodity prices decline 8% as compared with prior year. During the first quarter of 2012, we saw the downward trend continue as year-over-year commodity prices declined about 20%, driven by the continued increase in supply and lower demand.</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Fuel surcharges and mandated fees — </w:t>
      </w:r>
      <w:r>
        <w:rPr>
          <w:rFonts w:ascii="Arial" w:cs="Arial" w:eastAsia="Arial" w:hAnsi="Arial"/>
          <w:sz w:val="18"/>
          <w:szCs w:val="18"/>
          <w:color w:val="auto"/>
        </w:rPr>
        <w:t>These revenues, which are predominantly generated by our fuel surcharge program, increased by $18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three-month period ended March 31, 2012 as compared with the prior year period. This increase is directly attributable to higher national average prices for diesel fuel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0" w:name="page41"/>
    <w:bookmarkEnd w:id="40"/>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we use for our fuel surcharge program. The mandated fees included in this line item are primarily related to the pass-through of fees and taxes assessed by various state, county and municipal governmental agencies at our landfills and transfer stations.</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 Revenues increased $39 million, or 1.3%, over the comparable prior year period due to higher volumes. This is a notable improvement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2011, when lower volumes caused our revenue to decrease $51 million, or 1.7%, as compared with the three months ended March 31, 2010.</w:t>
      </w:r>
    </w:p>
    <w:p>
      <w:pPr>
        <w:spacing w:after="0" w:line="5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total landfill revenues increased $25 million for the three-month period ended March 31, 2012 due to higher third-party volumes as compared with the prior year, primarily driven by higher special waste volumes in our Eastern and Midwest geographic Groups. We also saw revenues increase $10 million primarily from year-over-year volume improvements in our recycling brokerage business and in our material recovery facilities. The addition of new single stream recycling facilities during 2011 as well as our continued pursuit of municipal volumes contributed to these increases in revenues due to volume.</w:t>
      </w:r>
    </w:p>
    <w:p>
      <w:pPr>
        <w:spacing w:after="0" w:line="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Revenue growth due to volume from our collection line of business was flat for the three-month period ended March 31, 2012 as compared with the prior year period. We experienced commercial and residential collection revenue declines due to lower volumes, which we attribute to the effects of pricing, competition and diversion of waste by consumers, as well as the overall continued weakness in the economy. However, we noted an improvement in the rates of volume decline in these particular collection lines of business relative to the volume declines experienced over the last few quarters. Revenue declines due to lower volumes in these two collection lines of business were offset, in part, by revenue increases in our industrial collection line of business, driven in large part by the growth of our oilfield services in our Eastern Group. Additionally, we saw revenue increases due to volume growth in our non-traditional collection business, primarily from our in-plant services.</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Acquisitions and divestitures </w:t>
      </w:r>
      <w:r>
        <w:rPr>
          <w:rFonts w:ascii="Arial" w:cs="Arial" w:eastAsia="Arial" w:hAnsi="Arial"/>
          <w:sz w:val="16"/>
          <w:szCs w:val="16"/>
          <w:color w:val="auto"/>
        </w:rPr>
        <w:t>— Revenues increased $196 million for the three months ended March 31, 2012 as compared with the prior year period due to</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This increase was principally associated with our acquisition of Oakleaf, which is reported in our “Other” line of business. Additionally, acquisitions increased our revenues in the current period in our collection line of business, due in part to our oilfield services in our Eastern Group, and in our recycling line of business. These acquisitions demonstrate our focus on identifying strategic growth opportunities in new, complementary lines of business.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operating expenses increased by $171 million, or 8.6%, for the three months ended March 31, 2012 as compared with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March 31, 2011. Our operating expenses as a percentage of revenues increased to 65.7% in the current period from 64.3% in the prior year period. The increases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can largely be attributed to the following:</w:t>
      </w:r>
    </w:p>
    <w:p>
      <w:pPr>
        <w:spacing w:after="0" w:line="84" w:lineRule="exact"/>
        <w:rPr>
          <w:sz w:val="20"/>
          <w:szCs w:val="20"/>
          <w:color w:val="auto"/>
        </w:rPr>
      </w:pPr>
    </w:p>
    <w:p>
      <w:pPr>
        <w:ind w:left="700" w:right="40" w:hanging="246"/>
        <w:spacing w:after="0" w:line="291"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and growth initiatives </w:t>
      </w:r>
      <w:r>
        <w:rPr>
          <w:rFonts w:ascii="Arial" w:cs="Arial" w:eastAsia="Arial" w:hAnsi="Arial"/>
          <w:sz w:val="16"/>
          <w:szCs w:val="16"/>
          <w:color w:val="auto"/>
        </w:rPr>
        <w:t>— We have experienced cost increases attributable to recently acquired businesses and, to a lesser extent, our</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growth and business development initiatives. The increase in operating expenses resulting from acquired businesses was more than offset by increased revenues from acquired businesses. Recent acquisitions include the purchase of Oakleaf and a number of collection and recycling operations. In particular, the acquisition of Oakleaf increased operating costs by $107 million in the current quarter, primarily increasing subcontractor costs and, to a lesser extent, the cost of goods sold and other categories. We estimate that these cost increases affected each of the operating cost categories identified in the table below and accounted for over 75% of our total $171 million increase in operating expenses;</w:t>
      </w:r>
    </w:p>
    <w:p>
      <w:pPr>
        <w:spacing w:after="0" w:line="39" w:lineRule="exact"/>
        <w:rPr>
          <w:rFonts w:ascii="Arial" w:cs="Arial" w:eastAsia="Arial" w:hAnsi="Arial"/>
          <w:sz w:val="16"/>
          <w:szCs w:val="16"/>
          <w:color w:val="auto"/>
        </w:rPr>
      </w:pPr>
    </w:p>
    <w:p>
      <w:pPr>
        <w:ind w:left="700" w:right="60" w:hanging="246"/>
        <w:spacing w:after="0" w:line="306"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Fuel cost increases — </w:t>
      </w:r>
      <w:r>
        <w:rPr>
          <w:rFonts w:ascii="Arial" w:cs="Arial" w:eastAsia="Arial" w:hAnsi="Arial"/>
          <w:sz w:val="16"/>
          <w:szCs w:val="16"/>
          <w:color w:val="auto"/>
        </w:rPr>
        <w:t>On average, diesel fuel prices increased 9.5% from $3.63 per gallon in the first quarter of 2011 to $3.97 per gallon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2012. Higher fuel costs caused increases in both our direct fuel costs and in the fuel component of our subcontractor costs for the first quarter of 2012. Increased revenues attributable to our fuel surcharge largely offset the unfavorable higher fuel costs in 2012; and</w:t>
      </w:r>
    </w:p>
    <w:p>
      <w:pPr>
        <w:spacing w:after="0" w:line="25" w:lineRule="exact"/>
        <w:rPr>
          <w:rFonts w:ascii="Arial" w:cs="Arial" w:eastAsia="Arial" w:hAnsi="Arial"/>
          <w:sz w:val="16"/>
          <w:szCs w:val="16"/>
          <w:color w:val="auto"/>
        </w:rPr>
      </w:pPr>
    </w:p>
    <w:p>
      <w:pPr>
        <w:ind w:left="700" w:right="120" w:hanging="246"/>
        <w:spacing w:after="0" w:line="25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Volume increases </w:t>
      </w:r>
      <w:r>
        <w:rPr>
          <w:rFonts w:ascii="Arial" w:cs="Arial" w:eastAsia="Arial" w:hAnsi="Arial"/>
          <w:sz w:val="18"/>
          <w:szCs w:val="18"/>
          <w:color w:val="auto"/>
        </w:rPr>
        <w:t>— During the first quarter of 2012, we experienced an increase in variable costs attributable to higher volumes in certain lines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particularly our recycling, industrial collection and non-traditional collection businesses, primarily from our in-plant services. We continue to manage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ind w:left="68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fixed costs and control growth in our variable costs as we experience volume increases. These cost increases have impacted each of the operating cost categories identified in the table below, offset in part by</w:t>
      </w:r>
    </w:p>
    <w:p>
      <w:pPr>
        <w:spacing w:after="0" w:line="51" w:lineRule="exact"/>
        <w:rPr>
          <w:sz w:val="20"/>
          <w:szCs w:val="20"/>
          <w:color w:val="auto"/>
        </w:rPr>
      </w:pPr>
    </w:p>
    <w:p>
      <w:pPr>
        <w:ind w:left="700" w:right="60" w:hanging="246"/>
        <w:spacing w:after="0" w:line="255"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Lower market prices for recyclable commodities — </w:t>
      </w:r>
      <w:r>
        <w:rPr>
          <w:rFonts w:ascii="Arial" w:cs="Arial" w:eastAsia="Arial" w:hAnsi="Arial"/>
          <w:sz w:val="18"/>
          <w:szCs w:val="18"/>
          <w:color w:val="auto"/>
        </w:rPr>
        <w:t>Overall, market prices for recyclable commodities decreased approximately 20% as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The year-over-year decrease is the result of the continued decrease in recyclable commodity market prices that began during late 2011 from the recent near-historic highs reached during the second and third quarters of 2011. This decrease in market prices was the primary driver of the current quarter decrease in cost of goods sold, primarily customer rebates, and has also resulted in decreased revenues and earnings during the current period.</w:t>
      </w:r>
    </w:p>
    <w:p>
      <w:pPr>
        <w:spacing w:after="0" w:line="6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operating expenses, which include the impact of foreign currency translation, for the three-month periods ended March 31 (dollars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89"/>
              </w:rPr>
              <w:t>Three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left="154"/>
              <w:spacing w:after="0" w:line="149" w:lineRule="exact"/>
              <w:rPr>
                <w:sz w:val="20"/>
                <w:szCs w:val="20"/>
                <w:color w:val="auto"/>
              </w:rPr>
            </w:pPr>
            <w:r>
              <w:rPr>
                <w:rFonts w:ascii="Arial" w:cs="Arial" w:eastAsia="Arial" w:hAnsi="Arial"/>
                <w:sz w:val="14"/>
                <w:szCs w:val="14"/>
                <w:b w:val="1"/>
                <w:bCs w:val="1"/>
                <w:color w:val="auto"/>
                <w:w w:val="87"/>
              </w:rPr>
              <w:t>Period-to-</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6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99"/>
              </w:rPr>
              <w:t>March 31,</w:t>
            </w:r>
          </w:p>
        </w:tc>
        <w:tc>
          <w:tcPr>
            <w:tcW w:w="4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2012</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10"/>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12"/>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Subcontractor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5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53.3</w:t>
            </w:r>
          </w:p>
        </w:tc>
        <w:tc>
          <w:tcPr>
            <w:tcW w:w="2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(8)</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Fuel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12.5</w:t>
            </w:r>
          </w:p>
        </w:tc>
        <w:tc>
          <w:tcPr>
            <w:tcW w:w="2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12"/>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(8.3)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14.3</w:t>
            </w:r>
          </w:p>
        </w:tc>
        <w:tc>
          <w:tcPr>
            <w:tcW w:w="20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significant changes in our operating expenses are discussed below.</w:t>
      </w:r>
    </w:p>
    <w:p>
      <w:pPr>
        <w:spacing w:after="0" w:line="90" w:lineRule="exact"/>
        <w:rPr>
          <w:sz w:val="20"/>
          <w:szCs w:val="20"/>
          <w:color w:val="auto"/>
        </w:rPr>
      </w:pPr>
    </w:p>
    <w:p>
      <w:pPr>
        <w:ind w:left="700" w:right="64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was largely due to higher hourly and salaried wages due to merit increases and additional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incurred from acquisitions and growth opportunities.</w:t>
      </w:r>
    </w:p>
    <w:p>
      <w:pPr>
        <w:spacing w:after="0" w:line="50" w:lineRule="exact"/>
        <w:rPr>
          <w:rFonts w:ascii="Arial" w:cs="Arial" w:eastAsia="Arial" w:hAnsi="Arial"/>
          <w:sz w:val="18"/>
          <w:szCs w:val="18"/>
          <w:color w:val="auto"/>
        </w:rPr>
      </w:pPr>
    </w:p>
    <w:p>
      <w:pPr>
        <w:ind w:left="700" w:right="140" w:hanging="246"/>
        <w:spacing w:after="0" w:line="294"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Maintenance and repairs </w:t>
      </w:r>
      <w:r>
        <w:rPr>
          <w:rFonts w:ascii="Arial" w:cs="Arial" w:eastAsia="Arial" w:hAnsi="Arial"/>
          <w:sz w:val="16"/>
          <w:szCs w:val="16"/>
          <w:color w:val="auto"/>
        </w:rPr>
        <w:t>— The increase was primarily due to higher costs in our geographic Groups, largely attributable to increased fleet</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costs, and to differences in the timing and scope of planned maintenance projects at our waste-to-energy facilities. Our fleet maintenance costs include services provided by third-parties, tires, parts and internal shop labor costs. The increase in expense for tires and parts reflects the worldwide increase in commodity prices. The increase in our Wheelabrator Group was offset, in part, by an increase in revenues related to the reimbursement of certain maintenance and repair costs by a municipality.</w:t>
      </w:r>
    </w:p>
    <w:p>
      <w:pPr>
        <w:spacing w:after="0" w:line="34" w:lineRule="exact"/>
        <w:rPr>
          <w:rFonts w:ascii="Arial" w:cs="Arial" w:eastAsia="Arial" w:hAnsi="Arial"/>
          <w:sz w:val="16"/>
          <w:szCs w:val="16"/>
          <w:color w:val="auto"/>
        </w:rPr>
      </w:pPr>
    </w:p>
    <w:p>
      <w:pPr>
        <w:ind w:left="700" w:right="20" w:hanging="246"/>
        <w:spacing w:after="0" w:line="256"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Subcontractor costs </w:t>
      </w:r>
      <w:r>
        <w:rPr>
          <w:rFonts w:ascii="Arial" w:cs="Arial" w:eastAsia="Arial" w:hAnsi="Arial"/>
          <w:sz w:val="18"/>
          <w:szCs w:val="18"/>
          <w:color w:val="auto"/>
        </w:rPr>
        <w:t>— The current quarter increase in subcontractor costs was primarily a result of the Oakleaf acquisition, increased diesel fuel prices,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recent acquisitions, our various growth and business development initiatives and additional costs associated with servicing our in-plant services customers. Oakleaf principally utilizes a nationwide network of third-party haulers to service its customers, which increased our subcontractor costs by $83 million during the first quarter of 2012.</w:t>
      </w:r>
    </w:p>
    <w:p>
      <w:pPr>
        <w:spacing w:after="0" w:line="62" w:lineRule="exact"/>
        <w:rPr>
          <w:rFonts w:ascii="Arial" w:cs="Arial" w:eastAsia="Arial" w:hAnsi="Arial"/>
          <w:sz w:val="18"/>
          <w:szCs w:val="18"/>
          <w:color w:val="auto"/>
        </w:rPr>
      </w:pPr>
    </w:p>
    <w:p>
      <w:pPr>
        <w:ind w:left="700" w:right="180" w:hanging="246"/>
        <w:spacing w:after="0" w:line="33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The current quarter increase was due to our Oakleaf acquisition, other recent acquisitions and our various growth and business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initiatives. The increase from our various initiatives is associated with the rental of facilities and equipment for these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selling, general and administrative expenses increased by $25 million, or 6.5% when comparing the three months ended March 31, 2012 with the same period of 2011. Our selling, general and administrative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42" w:name="page43"/>
    <w:bookmarkEnd w:id="4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as a percentage of revenues increased to 12.4% in the current period from 12.3% in the prior year period. The increases are largely due to (i) increased costs of $15 million associated with our acquisition of Oakleaf in July 2011; (ii) increased costs of $8 million incurred to support our sales and marketing initiatives, which include expenses associated with our customer focused growth initiative through segmentation; (iii) increased costs of $6 million for our provision for bad debts; and (iv) $4 million of additional costs, principally labor costs, associated with our efforts to implement our cost savings programs focusing on procurement, operational and back-office efficiency. These increases were partially offset by lower consulting costs of $10 million associated with the 2011 start-up phase of our costs savings programs. We experienced benefits associated with these cost savings programs during the three months ended March 31, 2012 and expect the benefits to increase throughout the remainder of the year.</w:t>
      </w:r>
    </w:p>
    <w:p>
      <w:pPr>
        <w:spacing w:after="0" w:line="3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three-month periods ended March 31 (dollars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7160" w:type="dxa"/>
            <w:vAlign w:val="bottom"/>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7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5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5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38"/>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$226</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1"/>
              </w:rPr>
              <w:t>$ 19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Professional fees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c>
          <w:tcPr>
            <w:tcW w:w="560" w:type="dxa"/>
            <w:vAlign w:val="bottom"/>
          </w:tcPr>
          <w:p>
            <w:pPr>
              <w:spacing w:after="0"/>
              <w:rPr>
                <w:sz w:val="18"/>
                <w:szCs w:val="18"/>
                <w:color w:val="auto"/>
              </w:rPr>
            </w:pP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14</w:t>
            </w: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r>
      <w:tr>
        <w:trPr>
          <w:trHeight w:val="27"/>
        </w:trPr>
        <w:tc>
          <w:tcPr>
            <w:tcW w:w="7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382</w:t>
            </w:r>
          </w:p>
        </w:tc>
        <w:tc>
          <w:tcPr>
            <w:tcW w:w="9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$ 25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r>
      <w:tr>
        <w:trPr>
          <w:trHeight w:val="20"/>
        </w:trPr>
        <w:tc>
          <w:tcPr>
            <w:tcW w:w="7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In 2012, our labor and related benefits costs increased primarily due to (i) higher compensation costs due to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headcount driven by our acquisition of Oakleaf, our sales and marketing initiatives, and the implementation of our cost savings programs; and (ii) higher salaries and hourly wages due to merit increases.</w:t>
      </w:r>
    </w:p>
    <w:p>
      <w:pPr>
        <w:spacing w:after="0" w:line="5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In 2012, our professional fees decreased primarily due to consulting fees incurred during 2011 associated with the start-up phase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cost savings programs.</w:t>
      </w:r>
    </w:p>
    <w:p>
      <w:pPr>
        <w:spacing w:after="0" w:line="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The increase in our provision for bad debts was driven in part by (i) increased collection risks resulting from work we are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performing in certain new businesses in our Eastern Group; (ii) collection issues we are experiencing in our Puerto Rico operations in our Southern Group; and (iii) increases due to our acquisition of Oakleaf.</w:t>
      </w:r>
    </w:p>
    <w:p>
      <w:pPr>
        <w:spacing w:after="0" w:line="5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We experienced increases in our (i) travel and entertainment costs to support our strategic efforts; (ii) building and equipment costs, which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rental and utilities; and (iii) computer and telecommunications costs due in part to improvements we are making to our information technology system.</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 month periods ended March 31 (dollars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319"/>
              <w:spacing w:after="0" w:line="149" w:lineRule="exact"/>
              <w:rPr>
                <w:sz w:val="20"/>
                <w:szCs w:val="20"/>
                <w:color w:val="auto"/>
              </w:rPr>
            </w:pPr>
            <w:r>
              <w:rPr>
                <w:rFonts w:ascii="Arial" w:cs="Arial" w:eastAsia="Arial" w:hAnsi="Arial"/>
                <w:sz w:val="14"/>
                <w:szCs w:val="14"/>
                <w:b w:val="1"/>
                <w:bCs w:val="1"/>
                <w:color w:val="auto"/>
                <w:w w:val="84"/>
              </w:rPr>
              <w:t>Ended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201"/>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2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34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line="20" w:lineRule="exact"/>
              <w:rPr>
                <w:sz w:val="1"/>
                <w:szCs w:val="1"/>
                <w:color w:val="auto"/>
              </w:rPr>
            </w:pPr>
          </w:p>
        </w:tc>
      </w:tr>
      <w:tr>
        <w:trPr>
          <w:trHeight w:val="221"/>
        </w:trPr>
        <w:tc>
          <w:tcPr>
            <w:tcW w:w="4300" w:type="dxa"/>
            <w:vAlign w:val="bottom"/>
          </w:tcPr>
          <w:p>
            <w:pPr>
              <w:spacing w:after="0"/>
              <w:rPr>
                <w:sz w:val="19"/>
                <w:szCs w:val="19"/>
                <w:color w:val="auto"/>
              </w:rPr>
            </w:pPr>
          </w:p>
        </w:tc>
        <w:tc>
          <w:tcPr>
            <w:tcW w:w="33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18</w:t>
            </w: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940" w:type="dxa"/>
            <w:vAlign w:val="bottom"/>
            <w:vMerge w:val="restart"/>
          </w:tcPr>
          <w:p>
            <w:pPr>
              <w:jc w:val="right"/>
              <w:ind w:right="1812"/>
              <w:spacing w:after="0"/>
              <w:rPr>
                <w:sz w:val="20"/>
                <w:szCs w:val="20"/>
                <w:color w:val="auto"/>
              </w:rPr>
            </w:pPr>
            <w:r>
              <w:rPr>
                <w:rFonts w:ascii="Arial" w:cs="Arial" w:eastAsia="Arial" w:hAnsi="Arial"/>
                <w:sz w:val="18"/>
                <w:szCs w:val="18"/>
                <w:color w:val="auto"/>
              </w:rPr>
              <w:t>43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3" w:name="page44"/>
    <w:bookmarkEnd w:id="4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increase in amortization expense of intangible assets in 2012 is due to our focus on the growth and development of our business through acquisitions and other investments. The increase is primarily related to the amortization of customer lists, which were acquired through our acquisition of Oakleaf and through our acquisition of collection and recycling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Beginning in July 2011, we took steps to streamline our organization as part of our cost savings programs. This reorganization eliminated over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700 employee positions throughout the Company, including approximately 300 open positions. Additionally, subsequent to our acquisition of Oakleaf,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incurred charges in connection with restructuring that organization.</w:t>
      </w:r>
    </w:p>
    <w:p>
      <w:pPr>
        <w:spacing w:after="0" w:line="8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year ended December 31, 2011, we recognized a total of $19 million of pre-tax restructuring charges, of which $18 million were related to employee severance and benefit costs associated with these restructuring efforts. The remaining charges were primarily related to operating lease obligations for property that will no longer be utilized.</w:t>
      </w:r>
    </w:p>
    <w:p>
      <w:pPr>
        <w:spacing w:after="0" w:line="59"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the three months ended March 31, 2012, we recognized additional employee severance and benefit restructuring charges, including $2 million associated with the reorganization of Oakleaf and $2 million associated with certain other actions taken by the Company in our Southern Group.</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income from operations by reportable segment for the three-month periods ended March 31 (dollars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Period-to-</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4"/>
                <w:szCs w:val="14"/>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March 31,</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Reportable segments: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Eastern</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$ 131</w:t>
            </w:r>
          </w:p>
        </w:tc>
        <w:tc>
          <w:tcPr>
            <w:tcW w:w="6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$ 120</w:t>
            </w:r>
          </w:p>
        </w:tc>
        <w:tc>
          <w:tcPr>
            <w:tcW w:w="1200" w:type="dxa"/>
            <w:vAlign w:val="bottom"/>
            <w:gridSpan w:val="3"/>
          </w:tcPr>
          <w:p>
            <w:pPr>
              <w:jc w:val="right"/>
              <w:ind w:right="552"/>
              <w:spacing w:after="0"/>
              <w:rPr>
                <w:sz w:val="20"/>
                <w:szCs w:val="20"/>
                <w:color w:val="auto"/>
              </w:rPr>
            </w:pPr>
            <w:r>
              <w:rPr>
                <w:rFonts w:ascii="Arial" w:cs="Arial" w:eastAsia="Arial" w:hAnsi="Arial"/>
                <w:sz w:val="18"/>
                <w:szCs w:val="18"/>
                <w:color w:val="auto"/>
              </w:rPr>
              <w:t>$ 11</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Midwest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18.6</w:t>
            </w: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Southern</w:t>
            </w:r>
          </w:p>
        </w:tc>
        <w:tc>
          <w:tcPr>
            <w:tcW w:w="42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192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140</w:t>
            </w:r>
          </w:p>
        </w:tc>
        <w:tc>
          <w:tcPr>
            <w:tcW w:w="120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Wheelabrator</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13</w:t>
            </w:r>
          </w:p>
        </w:tc>
        <w:tc>
          <w:tcPr>
            <w:tcW w:w="1200" w:type="dxa"/>
            <w:vAlign w:val="bottom"/>
            <w:gridSpan w:val="3"/>
          </w:tcPr>
          <w:p>
            <w:pPr>
              <w:jc w:val="right"/>
              <w:ind w:right="492"/>
              <w:spacing w:after="0"/>
              <w:rPr>
                <w:sz w:val="20"/>
                <w:szCs w:val="20"/>
                <w:color w:val="auto"/>
              </w:rPr>
            </w:pPr>
            <w:r>
              <w:rPr>
                <w:rFonts w:ascii="Arial" w:cs="Arial" w:eastAsia="Arial" w:hAnsi="Arial"/>
                <w:sz w:val="18"/>
                <w:szCs w:val="18"/>
                <w:color w:val="auto"/>
              </w:rPr>
              <w:t>(9)</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(69.2)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20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28.6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221"/>
        </w:trPr>
        <w:tc>
          <w:tcPr>
            <w:tcW w:w="6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594</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580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(153)</w:t>
            </w:r>
          </w:p>
        </w:tc>
        <w:tc>
          <w:tcPr>
            <w:tcW w:w="120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(40)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26.1</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$ 401</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$ 427</w:t>
            </w:r>
          </w:p>
        </w:tc>
        <w:tc>
          <w:tcPr>
            <w:tcW w:w="1200" w:type="dxa"/>
            <w:vAlign w:val="bottom"/>
            <w:gridSpan w:val="3"/>
          </w:tcPr>
          <w:p>
            <w:pPr>
              <w:jc w:val="right"/>
              <w:ind w:right="4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w:t>
            </w: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Reportable Segments — </w:t>
      </w:r>
      <w:r>
        <w:rPr>
          <w:rFonts w:ascii="Arial" w:cs="Arial" w:eastAsia="Arial" w:hAnsi="Arial"/>
          <w:sz w:val="16"/>
          <w:szCs w:val="16"/>
          <w:color w:val="auto"/>
        </w:rPr>
        <w:t>The most significant items affecting the results of operations of our four geographic Groups during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2012 as compared with the prior year period are summarized below:</w:t>
      </w:r>
    </w:p>
    <w:p>
      <w:pPr>
        <w:spacing w:after="0" w:line="84" w:lineRule="exact"/>
        <w:rPr>
          <w:sz w:val="20"/>
          <w:szCs w:val="20"/>
          <w:color w:val="auto"/>
        </w:rPr>
      </w:pPr>
    </w:p>
    <w:p>
      <w:pPr>
        <w:ind w:left="700" w:right="46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growth from yield on our base business and an improvement in volumes, particularly in our Midwest Group and, to a lesser extent, in our Eastern and Western Groups; however, our Southern Group experienced very little net benefit;</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accretive benefits of recent acquisitions, particularly in our Eastern Group;</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maintenance and repair costs;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recycling commodity prices; and</w:t>
      </w:r>
    </w:p>
    <w:p>
      <w:pPr>
        <w:spacing w:after="0" w:line="90" w:lineRule="exact"/>
        <w:rPr>
          <w:rFonts w:ascii="Arial" w:cs="Arial" w:eastAsia="Arial" w:hAnsi="Arial"/>
          <w:sz w:val="18"/>
          <w:szCs w:val="18"/>
          <w:color w:val="auto"/>
        </w:rPr>
      </w:pPr>
    </w:p>
    <w:p>
      <w:pPr>
        <w:ind w:left="700" w:right="60" w:hanging="246"/>
        <w:spacing w:after="0" w:line="33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higher salaries and wages due to annual merit increases effective April 2011 for salaried and hourly employees. The increases during the first quarter of 2012 were offset, in large part, by the transfer of certain field customer service employees from our reportable segments to Corporate and Other.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44" w:name="page45"/>
    <w:bookmarkEnd w:id="44"/>
    <w:p>
      <w:pPr>
        <w:ind w:right="8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significant items affecting the comparability of our Groups’ results of operations for the three months ended March 31, 2012 and 2011 are summarized below:</w:t>
      </w:r>
    </w:p>
    <w:p>
      <w:pPr>
        <w:spacing w:after="0" w:line="51" w:lineRule="exact"/>
        <w:rPr>
          <w:sz w:val="20"/>
          <w:szCs w:val="20"/>
          <w:color w:val="auto"/>
        </w:rPr>
      </w:pPr>
    </w:p>
    <w:p>
      <w:pPr>
        <w:jc w:val="both"/>
        <w:ind w:left="460" w:right="20" w:firstLine="438"/>
        <w:spacing w:after="0" w:line="259" w:lineRule="auto"/>
        <w:rPr>
          <w:sz w:val="20"/>
          <w:szCs w:val="20"/>
          <w:color w:val="auto"/>
        </w:rPr>
      </w:pPr>
      <w:r>
        <w:rPr>
          <w:rFonts w:ascii="Arial" w:cs="Arial" w:eastAsia="Arial" w:hAnsi="Arial"/>
          <w:sz w:val="18"/>
          <w:szCs w:val="18"/>
          <w:i w:val="1"/>
          <w:iCs w:val="1"/>
          <w:color w:val="auto"/>
        </w:rPr>
        <w:t xml:space="preserve">Eastern — </w:t>
      </w:r>
      <w:r>
        <w:rPr>
          <w:rFonts w:ascii="Arial" w:cs="Arial" w:eastAsia="Arial" w:hAnsi="Arial"/>
          <w:sz w:val="18"/>
          <w:szCs w:val="18"/>
          <w:color w:val="auto"/>
        </w:rPr>
        <w:t>The Eastern Group’s revenues and income from operations for the three months ended March 31, 2012 as compared with prior year were</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favorably affected by the growth of our oilfield services. These services, which focus principally on the hauling and disposal of drill cuttings and fluids and various well pad services, favorably affected both our landfill and collection lines of business.</w:t>
      </w:r>
    </w:p>
    <w:p>
      <w:pPr>
        <w:spacing w:after="0" w:line="59" w:lineRule="exact"/>
        <w:rPr>
          <w:sz w:val="20"/>
          <w:szCs w:val="20"/>
          <w:color w:val="auto"/>
        </w:rPr>
      </w:pPr>
    </w:p>
    <w:p>
      <w:pPr>
        <w:ind w:left="460" w:right="140" w:firstLine="438"/>
        <w:spacing w:after="0" w:line="255" w:lineRule="auto"/>
        <w:rPr>
          <w:sz w:val="20"/>
          <w:szCs w:val="20"/>
          <w:color w:val="auto"/>
        </w:rPr>
      </w:pPr>
      <w:r>
        <w:rPr>
          <w:rFonts w:ascii="Arial" w:cs="Arial" w:eastAsia="Arial" w:hAnsi="Arial"/>
          <w:sz w:val="18"/>
          <w:szCs w:val="18"/>
          <w:i w:val="1"/>
          <w:iCs w:val="1"/>
          <w:color w:val="auto"/>
        </w:rPr>
        <w:t xml:space="preserve">Southern — </w:t>
      </w:r>
      <w:r>
        <w:rPr>
          <w:rFonts w:ascii="Arial" w:cs="Arial" w:eastAsia="Arial" w:hAnsi="Arial"/>
          <w:sz w:val="18"/>
          <w:szCs w:val="18"/>
          <w:color w:val="auto"/>
        </w:rPr>
        <w:t>During the first quarter of 2011, the Group’s results reflect a charge of $11 million related to a litigation reserve. The litigation reserve</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result of a court judgment issued in a litigation matter related to our Southern Group; however, due to the timing of the judgment, the reserve was recorded after the general ledgers of our operating segments for the year 2010 were closed. As a result, the charge was initially recorded and reported in “Other” and reflected in our consolidated operating measures in the fourth quarter of 2010. In the first quarter of 2011, the charge was reversed out of “Other” and recorded in the appropriate reportable segment.</w:t>
      </w:r>
    </w:p>
    <w:p>
      <w:pPr>
        <w:spacing w:after="0" w:line="62" w:lineRule="exact"/>
        <w:rPr>
          <w:sz w:val="20"/>
          <w:szCs w:val="20"/>
          <w:color w:val="auto"/>
        </w:rPr>
      </w:pPr>
    </w:p>
    <w:p>
      <w:pPr>
        <w:ind w:left="460" w:right="40" w:firstLine="438"/>
        <w:spacing w:after="0" w:line="305" w:lineRule="auto"/>
        <w:rPr>
          <w:sz w:val="20"/>
          <w:szCs w:val="20"/>
          <w:color w:val="auto"/>
        </w:rPr>
      </w:pPr>
      <w:r>
        <w:rPr>
          <w:rFonts w:ascii="Arial" w:cs="Arial" w:eastAsia="Arial" w:hAnsi="Arial"/>
          <w:sz w:val="15"/>
          <w:szCs w:val="15"/>
          <w:i w:val="1"/>
          <w:iCs w:val="1"/>
          <w:color w:val="auto"/>
        </w:rPr>
        <w:t xml:space="preserve">Wheelabrator — </w:t>
      </w:r>
      <w:r>
        <w:rPr>
          <w:rFonts w:ascii="Arial" w:cs="Arial" w:eastAsia="Arial" w:hAnsi="Arial"/>
          <w:sz w:val="15"/>
          <w:szCs w:val="15"/>
          <w:color w:val="auto"/>
        </w:rPr>
        <w:t>The decrease in income from operations of our Wheelabrator Group for the three months ended March 31, 2012 was driven largely</w:t>
      </w:r>
      <w:r>
        <w:rPr>
          <w:rFonts w:ascii="Arial" w:cs="Arial" w:eastAsia="Arial" w:hAnsi="Arial"/>
          <w:sz w:val="15"/>
          <w:szCs w:val="15"/>
          <w:i w:val="1"/>
          <w:iCs w:val="1"/>
          <w:color w:val="auto"/>
        </w:rPr>
        <w:t xml:space="preserve"> </w:t>
      </w:r>
      <w:r>
        <w:rPr>
          <w:rFonts w:ascii="Arial" w:cs="Arial" w:eastAsia="Arial" w:hAnsi="Arial"/>
          <w:sz w:val="15"/>
          <w:szCs w:val="15"/>
          <w:color w:val="auto"/>
        </w:rPr>
        <w:t>by (i) lower revenues due to the expiration of long-term contracts at our waste-to-energy facilities; (ii) lower energy pricing for our merchant facilities; and</w:t>
      </w:r>
    </w:p>
    <w:p>
      <w:pPr>
        <w:ind w:left="460" w:firstLine="4"/>
        <w:spacing w:after="0" w:line="252" w:lineRule="auto"/>
        <w:tabs>
          <w:tab w:leader="none" w:pos="7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maintenance and repairs costs, primarily due to differences in the timing and scope of planned maintenance activities at our waste-to-energy facilities. These unfavorable items were offset in part by (i) the recognition in 2012 of prior period revenues relating to a power purchase agreement that went into effect in 2011, but did not receive regulatory approval until 2012, at which time we recognized revenue and (ii) additional expenses recognized in 2011 for litigation reserves and associated compliance costs. Approximately $4 million of the expenses for litigation reserves and associated costs were initially recorded and reported in “Other” during the fourth quarter of 2010 because events giving rise to the reserve occurred after the general ledgers of our operating segments were closed. In the first quarter of 2011, these expenses were reversed out of “Other” and recorded in the appropriate reportable segment.</w:t>
      </w:r>
    </w:p>
    <w:p>
      <w:pPr>
        <w:spacing w:after="0" w:line="66" w:lineRule="exact"/>
        <w:rPr>
          <w:sz w:val="20"/>
          <w:szCs w:val="20"/>
          <w:color w:val="auto"/>
        </w:rPr>
      </w:pPr>
    </w:p>
    <w:p>
      <w:pPr>
        <w:ind w:left="460" w:right="60" w:firstLine="438"/>
        <w:spacing w:after="0" w:line="289" w:lineRule="auto"/>
        <w:rPr>
          <w:sz w:val="20"/>
          <w:szCs w:val="20"/>
          <w:color w:val="auto"/>
        </w:rPr>
      </w:pPr>
      <w:r>
        <w:rPr>
          <w:rFonts w:ascii="Arial" w:cs="Arial" w:eastAsia="Arial" w:hAnsi="Arial"/>
          <w:sz w:val="16"/>
          <w:szCs w:val="16"/>
          <w:i w:val="1"/>
          <w:iCs w:val="1"/>
          <w:color w:val="auto"/>
        </w:rPr>
        <w:t xml:space="preserve">Other — </w:t>
      </w:r>
      <w:r>
        <w:rPr>
          <w:rFonts w:ascii="Arial" w:cs="Arial" w:eastAsia="Arial" w:hAnsi="Arial"/>
          <w:sz w:val="16"/>
          <w:szCs w:val="16"/>
          <w:color w:val="auto"/>
        </w:rPr>
        <w:t>It is our policy to report adjustments that are recorded after the closing date of our reportable segment ledgers in “Other” when they are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initially recorded. We then report these late adjustments in the appropriate reportable segment in the next reporting period, with a corresponding reversal out of “Other.” The unfavorable change in operating results is primarily driven by the reversal in 2011 of expense adjustments related to our reportable segments that were initially reported in “Other” in the fourth quarter of 2010. These expense adjustments were reported in the applicable reportable segment in the first quarter of 2011. The most significant adjustments reversed out of “Other” in the first quarter of 2011 were related to $15 million of additional expense for litigation reserves and associated costs in our Southern and Wheelabrator Groups. These unfavorable changes were partially offset by the favorable impact of late adjustments initially reported in “Other” during the first quarter of 2012 that will be reversed out of “Other” and reported in the appropriate reportable segments in the second quarter of 2012.</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Corporate and Other — </w:t>
      </w:r>
      <w:r>
        <w:rPr>
          <w:rFonts w:ascii="Arial" w:cs="Arial" w:eastAsia="Arial" w:hAnsi="Arial"/>
          <w:sz w:val="16"/>
          <w:szCs w:val="16"/>
          <w:color w:val="auto"/>
        </w:rPr>
        <w:t>The increase in “Selling, general and administrative” expenses during 2012 is the result of cost increases attributable to</w:t>
      </w:r>
    </w:p>
    <w:p>
      <w:pPr>
        <w:spacing w:after="0" w:line="38" w:lineRule="exact"/>
        <w:rPr>
          <w:sz w:val="20"/>
          <w:szCs w:val="20"/>
          <w:color w:val="auto"/>
        </w:rPr>
      </w:pPr>
    </w:p>
    <w:p>
      <w:pPr>
        <w:ind w:left="460" w:right="80" w:firstLine="4"/>
        <w:spacing w:after="0" w:line="254" w:lineRule="auto"/>
        <w:tabs>
          <w:tab w:leader="none" w:pos="6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compensation expense due to transfers of certain field customer service employees to our Corporate sales organization, (ii) annual salary and wage increases, and (iii) headcount increases due to our sales and marketing initiatives and implementation of our cost saving programs. These increases were partially offset by a decrease in professional fees primarily due to consulting fees incurred during 2011 associated with the start-up phase of our cost savings programs.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Renewable Energy Operations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current operations produce renewable energy through the waste-to-energy facilities that are managed by our Wheelabrator Group and our landfill gas-to-energy operations. We are actively seeking opportunities to enhance our existing renewable energy service offerings to ensure that we can respond to the shifting demands of consumers and to ensure that we are acting as a leader in environmental stewardship.</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45" w:name="page46"/>
    <w:bookmarkEnd w:id="45"/>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disclosing the following supplemental information related to the operating results of our renewable energy operations for the three months ended March 31, 2012 and 2011 (in millions) because we believe that it provides information related to the significance of our current renewable energy operations, the profitability of these operations and the costs we are incurring to develop these operations.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89"/>
              </w:rPr>
              <w:t>Three Months Ended March 31, 2012</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88"/>
              </w:rPr>
              <w:t>Three Months Ended March 31, 2011</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7"/>
              </w:rPr>
              <w:t>Landfill Gas-</w:t>
            </w:r>
          </w:p>
        </w:tc>
        <w:tc>
          <w:tcPr>
            <w:tcW w:w="180" w:type="dxa"/>
            <w:vAlign w:val="bottom"/>
          </w:tcPr>
          <w:p>
            <w:pPr>
              <w:spacing w:after="0"/>
              <w:rPr>
                <w:sz w:val="11"/>
                <w:szCs w:val="11"/>
                <w:color w:val="auto"/>
              </w:rPr>
            </w:pPr>
          </w:p>
        </w:tc>
        <w:tc>
          <w:tcPr>
            <w:tcW w:w="98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Growth</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7"/>
              </w:rPr>
              <w:t>Landfill Gas-</w:t>
            </w:r>
          </w:p>
        </w:tc>
        <w:tc>
          <w:tcPr>
            <w:tcW w:w="160" w:type="dxa"/>
            <w:vAlign w:val="bottom"/>
          </w:tcPr>
          <w:p>
            <w:pPr>
              <w:spacing w:after="0"/>
              <w:rPr>
                <w:sz w:val="11"/>
                <w:szCs w:val="11"/>
                <w:color w:val="auto"/>
              </w:rPr>
            </w:pPr>
          </w:p>
        </w:tc>
        <w:tc>
          <w:tcPr>
            <w:tcW w:w="820" w:type="dxa"/>
            <w:vAlign w:val="bottom"/>
          </w:tcPr>
          <w:p>
            <w:pPr>
              <w:ind w:left="260"/>
              <w:spacing w:after="0" w:line="129" w:lineRule="exact"/>
              <w:rPr>
                <w:sz w:val="20"/>
                <w:szCs w:val="20"/>
                <w:color w:val="auto"/>
              </w:rPr>
            </w:pPr>
            <w:r>
              <w:rPr>
                <w:rFonts w:ascii="Arial" w:cs="Arial" w:eastAsia="Arial" w:hAnsi="Arial"/>
                <w:sz w:val="14"/>
                <w:szCs w:val="14"/>
                <w:b w:val="1"/>
                <w:bCs w:val="1"/>
                <w:color w:val="auto"/>
              </w:rPr>
              <w:t>Growth</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gridSpan w:val="4"/>
          </w:tcPr>
          <w:p>
            <w:pPr>
              <w:ind w:left="460"/>
              <w:spacing w:after="0"/>
              <w:rPr>
                <w:sz w:val="20"/>
                <w:szCs w:val="20"/>
                <w:color w:val="auto"/>
              </w:rPr>
            </w:pPr>
            <w:r>
              <w:rPr>
                <w:rFonts w:ascii="Arial" w:cs="Arial" w:eastAsia="Arial" w:hAnsi="Arial"/>
                <w:sz w:val="14"/>
                <w:szCs w:val="14"/>
                <w:b w:val="1"/>
                <w:bCs w:val="1"/>
                <w:color w:val="auto"/>
                <w:w w:val="89"/>
              </w:rPr>
              <w:t>Wheelabrator</w:t>
            </w:r>
          </w:p>
        </w:tc>
        <w:tc>
          <w:tcPr>
            <w:tcW w:w="280" w:type="dxa"/>
            <w:vAlign w:val="bottom"/>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7"/>
              </w:rPr>
              <w:t>to-Energy(a)</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Opportunities(b)</w:t>
            </w:r>
          </w:p>
        </w:tc>
        <w:tc>
          <w:tcPr>
            <w:tcW w:w="1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9"/>
              </w:rPr>
              <w:t>Wheelabrator</w:t>
            </w:r>
          </w:p>
        </w:tc>
        <w:tc>
          <w:tcPr>
            <w:tcW w:w="30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7"/>
              </w:rPr>
              <w:t>to-Energy(a)</w:t>
            </w:r>
          </w:p>
        </w:tc>
        <w:tc>
          <w:tcPr>
            <w:tcW w:w="1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Opportunities(b)</w:t>
            </w:r>
          </w:p>
        </w:tc>
        <w:tc>
          <w:tcPr>
            <w:tcW w:w="4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revenues (including intercompany)</w:t>
            </w:r>
          </w:p>
        </w:tc>
        <w:tc>
          <w:tcPr>
            <w:tcW w:w="4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207</w:t>
            </w: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242</w:t>
            </w:r>
          </w:p>
        </w:tc>
        <w:tc>
          <w:tcPr>
            <w:tcW w:w="3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w:t>
            </w:r>
          </w:p>
        </w:tc>
        <w:tc>
          <w:tcPr>
            <w:tcW w:w="3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w:t>
            </w: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gridSpan w:val="3"/>
          </w:tcPr>
          <w:p>
            <w:pPr>
              <w:spacing w:after="0" w:line="155" w:lineRule="exact"/>
              <w:rPr>
                <w:sz w:val="20"/>
                <w:szCs w:val="20"/>
                <w:color w:val="auto"/>
              </w:rPr>
            </w:pPr>
            <w:r>
              <w:rPr>
                <w:rFonts w:ascii="Arial" w:cs="Arial" w:eastAsia="Arial" w:hAnsi="Arial"/>
                <w:sz w:val="14"/>
                <w:szCs w:val="14"/>
                <w:color w:val="auto"/>
              </w:rPr>
              <w:t>Costs and expenses:</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163</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Selling, general &amp; administrative</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203</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22</w:t>
            </w:r>
          </w:p>
        </w:tc>
        <w:tc>
          <w:tcPr>
            <w:tcW w:w="1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227</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197</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w w:val="94"/>
              </w:rPr>
              <w:t>221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620" w:type="dxa"/>
            <w:vAlign w:val="bottom"/>
            <w:gridSpan w:val="2"/>
            <w:shd w:val="clear" w:color="auto" w:fill="CCEEFF"/>
          </w:tcPr>
          <w:p>
            <w:pPr>
              <w:jc w:val="right"/>
              <w:ind w:right="21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28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640" w:type="dxa"/>
            <w:vAlign w:val="bottom"/>
            <w:gridSpan w:val="2"/>
            <w:shd w:val="clear" w:color="auto" w:fill="CCEEFF"/>
          </w:tcPr>
          <w:p>
            <w:pPr>
              <w:jc w:val="right"/>
              <w:ind w:right="218"/>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9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60" w:hanging="452"/>
        <w:spacing w:after="0" w:line="25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landfill gas-to-energy business focuses on generating a renewable energy source from the methane that is produced as waste decomposes. The operating results include the revenues and expenses of landfill gas-to-energy plants that we own and operate, as well as revenues generated from the sale of landfill gas to third-party owner/operators. The operating results of our landfill gas-to-energy business are included within our geographic reportable segments and “Other.”</w:t>
      </w:r>
    </w:p>
    <w:p>
      <w:pPr>
        <w:spacing w:after="0" w:line="35" w:lineRule="exact"/>
        <w:rPr>
          <w:rFonts w:ascii="Arial" w:cs="Arial" w:eastAsia="Arial" w:hAnsi="Arial"/>
          <w:sz w:val="18"/>
          <w:szCs w:val="18"/>
          <w:color w:val="auto"/>
        </w:rPr>
      </w:pPr>
    </w:p>
    <w:p>
      <w:pPr>
        <w:ind w:left="460" w:right="80" w:hanging="452"/>
        <w:spacing w:after="0" w:line="30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businesses and entities we have acquired or invested in through our Organic Growth Group’s business development efforts. These businesses include a landfill gas-to-LNG facility; landfill gas-to-diesel fuels technologies; organic waste streams-to-fuels technologies; and other engineered fuels technologies. The operating results of our Growth Opportunities are included within “Other” in our assessment of our income from operations by segment.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interest expense was $122 million during the first quarter of 2012 compared with $121 million during the first quarter of 2011. Our interest expense has increased only slightly year-over-year in spite of a significant increase in our average debt balances. This is primarily attributable to interest expense reductions resulting from (i) a decrease in our weighted average borrowing rate that has been achieved by issuing new debt at much lower fixed interest rates than debt repaid upon scheduled maturities; and (ii) a decrease in the costs attributable to our revolving credit facility, which was amended and restated in May 2011.</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Our “Equity in net losses of unconsolidated entities” is primarily related to our noncontrolling interests in two limited liability companies established to invest in and manage low-income housing properties 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Refer to Notes 5 and 12 to the Condensed Consolidated Financial Statements for more information related to these investments.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We recorded a provision for income taxes of $89 million during the first quarter of 2012, representing an effective income tax rate of 32.8%, compared with a provision for income taxes of $110 million during the first quarter of 2011, representing an effective income tax rate of 35.9%.</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investments in low-income housing properties and the refined coal facility reduced our provision for income taxes by $7 million and $3 million, respectively, for the three months ended March 31, 2012 and 2011. Refer to Note 5 to the Condensed Consolidated Financial Statements for more information related to these investments.</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acquisition of Oakleaf did not materially impact our provision for income taxes or the effective income tax rate for the three months ended March 31, 2012. We did receive, as a part of the acquisition, income tax attributes comprised primarily of federal and state net operating losses. These tax attributes, when realized, will not affect our overall provision for income taxes, they will have a favorable impact on our cash taxes, although we do not anticipate the impact to be material to our overall cash flow from operations.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Net income attributable to noncontrolling interests was $12 million and $10 million for the three months ended March 31, 2012 and 2011, respectively. These amounts are principally related to third parties’ equity interests in two limited liability companies that own three waste-to-energy facilities operated by our Wheelabrator Group. Refer to Note 12 to the Condensed Consolidated Financial Statements for information related to the consolidation of these variable interest entities.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cash and cash equivalents, restricted trust and escrow accounts and debt balances as of March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(dollars in millions):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8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140</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860</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8,989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440"/>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9,849</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of March 31, 2012, we had $1,005 million of debt maturing within the next twelve months, including $300 million of borrowings outstanding under the revolving credit facility, U.S. $115 million of advances outstanding under our Canadian credit facility, $400 million of 6.375% senior notes that mature in November 2012 and $134 million of tax-exempt bonds. We have classified $145 million of these borrowings as long-term as of March 31, 2012 based on our intent and ability to refinance these borrowings on a long-term basis. We also had $429 million of fixed-rate tax-exempt borrowings subject to repricing within the next twelve months, which were classified as long-term based on our intent and ability to fund any failed remarketings with available capacity under our revolving credit facility.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47" w:name="page48"/>
    <w:bookmarkEnd w:id="47"/>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three-month periods ended March 31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475</w:t>
            </w: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3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472"/>
              <w:spacing w:after="0"/>
              <w:rPr>
                <w:sz w:val="20"/>
                <w:szCs w:val="20"/>
                <w:color w:val="auto"/>
              </w:rPr>
            </w:pPr>
            <w:r>
              <w:rPr>
                <w:rFonts w:ascii="Arial" w:cs="Arial" w:eastAsia="Arial" w:hAnsi="Arial"/>
                <w:sz w:val="18"/>
                <w:szCs w:val="18"/>
                <w:color w:val="auto"/>
                <w:w w:val="85"/>
              </w:rPr>
              <w:t>(503)</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(462)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We generated $475 million of cash flows from operating activities during the three-month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2012, compared with $600 million during the three-month period ended March 31, 2011. The year-over-year decrease was primarily driven by changes in our working capital accounts, particularly changes in our accounts payable and accrued liabilities, which are affected by both cost changes and timing of payments.</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three-month periods ended March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are summarized below:</w:t>
      </w:r>
    </w:p>
    <w:p>
      <w:pPr>
        <w:spacing w:after="0" w:line="51" w:lineRule="exact"/>
        <w:rPr>
          <w:sz w:val="20"/>
          <w:szCs w:val="20"/>
          <w:color w:val="auto"/>
        </w:rPr>
      </w:pPr>
    </w:p>
    <w:p>
      <w:pPr>
        <w:ind w:left="700" w:hanging="246"/>
        <w:spacing w:after="0" w:line="294"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 We used $379 million during the first quarter of 2012 for capital expenditures compared with $316 million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2011, an increase of $63 million. The increase in capital expenditures in 2012 is a result of our increased spending on fueling infrastructure and growth initiatives. The comparison was also affected by timing differences associated with cash payments for the previous years’ fourth quarter capital spending. Approximately $244 million of our fourth quarter 2011 spending was paid in cash in the first quarter of 2012 compared with approximately $206 million of our fourth quarter 2010 spending that was paid in the first quarter of 2011.</w:t>
      </w:r>
    </w:p>
    <w:p>
      <w:pPr>
        <w:spacing w:after="0" w:line="34" w:lineRule="exact"/>
        <w:rPr>
          <w:rFonts w:ascii="Arial" w:cs="Arial" w:eastAsia="Arial" w:hAnsi="Arial"/>
          <w:sz w:val="16"/>
          <w:szCs w:val="16"/>
          <w:color w:val="auto"/>
        </w:rPr>
      </w:pPr>
    </w:p>
    <w:p>
      <w:pPr>
        <w:ind w:left="700" w:right="100" w:hanging="246"/>
        <w:spacing w:after="0" w:line="256"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Our spending on acquisitions was $129 million in the first quarter of 2012 compared with $99 million in the first quarter of 2011. In</w:t>
      </w:r>
      <w:r>
        <w:rPr>
          <w:rFonts w:ascii="Arial" w:cs="Arial" w:eastAsia="Arial" w:hAnsi="Arial"/>
          <w:sz w:val="18"/>
          <w:szCs w:val="18"/>
          <w:i w:val="1"/>
          <w:iCs w:val="1"/>
          <w:color w:val="auto"/>
        </w:rPr>
        <w:t xml:space="preserve"> </w:t>
      </w:r>
      <w:r>
        <w:rPr>
          <w:rFonts w:ascii="Arial" w:cs="Arial" w:eastAsia="Arial" w:hAnsi="Arial"/>
          <w:sz w:val="18"/>
          <w:szCs w:val="18"/>
          <w:color w:val="auto"/>
        </w:rPr>
        <w:t>2012, our acquisitions consisted primarily of interests in oil and gas producing properties through two transactions, for which we paid $94 million. The remainder of our 2012 acquisitions related to collection and recycling operations. In 2011, our acquisitions consisted primarily of collection and recycling operations.</w:t>
      </w:r>
    </w:p>
    <w:p>
      <w:pPr>
        <w:spacing w:after="0" w:line="62" w:lineRule="exact"/>
        <w:rPr>
          <w:rFonts w:ascii="Arial" w:cs="Arial" w:eastAsia="Arial" w:hAnsi="Arial"/>
          <w:sz w:val="18"/>
          <w:szCs w:val="18"/>
          <w:color w:val="auto"/>
        </w:rPr>
      </w:pPr>
    </w:p>
    <w:p>
      <w:pPr>
        <w:ind w:left="700" w:right="120" w:hanging="246"/>
        <w:spacing w:after="0" w:line="256"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unconsolidated entities </w:t>
      </w:r>
      <w:r>
        <w:rPr>
          <w:rFonts w:ascii="Arial" w:cs="Arial" w:eastAsia="Arial" w:hAnsi="Arial"/>
          <w:sz w:val="18"/>
          <w:szCs w:val="18"/>
          <w:color w:val="auto"/>
        </w:rPr>
        <w:t>— We made $13 million and $55 million of cash investments in unconsolidated entities during the first 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of 2012 and 2011, respectively. The investments in 2012 were primarily related to furthering our goal of growth into new markets, while the investments made in 2011 were primarily related to a $48 million payment made to acquire a noncontrolling interest in a limited liability company that provides us with tax credits.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ind w:right="10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Cash Used in Financing Activities </w:t>
      </w:r>
      <w:r>
        <w:rPr>
          <w:rFonts w:ascii="Arial" w:cs="Arial" w:eastAsia="Arial" w:hAnsi="Arial"/>
          <w:sz w:val="18"/>
          <w:szCs w:val="18"/>
          <w:color w:val="auto"/>
        </w:rPr>
        <w:t>— During the first quarter of 2012, net cash used in financing activities was $42 million, compared with $3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comparable prior year period. The most significant items affecting the comparison of our financing cash flows for the three month periods ended March 31, 2012 and 2011 are summarized below: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Ÿ  </w:t>
      </w:r>
      <w:r>
        <w:rPr>
          <w:rFonts w:ascii="Arial" w:cs="Arial" w:eastAsia="Arial" w:hAnsi="Arial"/>
          <w:sz w:val="16"/>
          <w:szCs w:val="16"/>
          <w:i w:val="1"/>
          <w:iCs w:val="1"/>
          <w:color w:val="auto"/>
        </w:rPr>
        <w:t>Debt borrowings and repayments</w:t>
      </w:r>
      <w:r>
        <w:rPr>
          <w:rFonts w:ascii="Arial" w:cs="Arial" w:eastAsia="Arial" w:hAnsi="Arial"/>
          <w:sz w:val="16"/>
          <w:szCs w:val="16"/>
          <w:color w:val="auto"/>
        </w:rPr>
        <w:t xml:space="preserve"> — The following summarizes our cash borrowings and debt repayments during each period (in millions):</w:t>
      </w:r>
    </w:p>
    <w:p>
      <w:pPr>
        <w:spacing w:after="0" w:line="9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150</w:t>
            </w:r>
          </w:p>
        </w:tc>
        <w:tc>
          <w:tcPr>
            <w:tcW w:w="6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Canadian credit facility</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Senior notes</w:t>
            </w:r>
          </w:p>
        </w:tc>
        <w:tc>
          <w:tcPr>
            <w:tcW w:w="100" w:type="dxa"/>
            <w:vAlign w:val="bottom"/>
          </w:tcPr>
          <w:p>
            <w:pPr>
              <w:spacing w:after="0"/>
              <w:rPr>
                <w:sz w:val="18"/>
                <w:szCs w:val="18"/>
                <w:color w:val="auto"/>
              </w:rPr>
            </w:pPr>
          </w:p>
        </w:tc>
        <w:tc>
          <w:tcPr>
            <w:tcW w:w="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leases and other debt</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79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287</w:t>
            </w:r>
          </w:p>
        </w:tc>
        <w:tc>
          <w:tcPr>
            <w:tcW w:w="6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Canadian credit facility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12"/>
              <w:spacing w:after="0"/>
              <w:rPr>
                <w:sz w:val="20"/>
                <w:szCs w:val="20"/>
                <w:color w:val="auto"/>
              </w:rPr>
            </w:pPr>
            <w:r>
              <w:rPr>
                <w:rFonts w:ascii="Arial" w:cs="Arial" w:eastAsia="Arial" w:hAnsi="Arial"/>
                <w:sz w:val="18"/>
                <w:szCs w:val="18"/>
                <w:color w:val="auto"/>
                <w:w w:val="85"/>
              </w:rPr>
              <w:t>(141)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(147)</w:t>
            </w: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Tax exempt project bonds</w:t>
            </w:r>
          </w:p>
        </w:tc>
        <w:tc>
          <w:tcPr>
            <w:tcW w:w="100" w:type="dxa"/>
            <w:vAlign w:val="bottom"/>
          </w:tcPr>
          <w:p>
            <w:pPr>
              <w:spacing w:after="0"/>
              <w:rPr>
                <w:sz w:val="18"/>
                <w:szCs w:val="18"/>
                <w:color w:val="auto"/>
              </w:rPr>
            </w:pPr>
          </w:p>
        </w:tc>
        <w:tc>
          <w:tcPr>
            <w:tcW w:w="960" w:type="dxa"/>
            <w:vAlign w:val="bottom"/>
            <w:gridSpan w:val="2"/>
          </w:tcPr>
          <w:p>
            <w:pPr>
              <w:jc w:val="right"/>
              <w:ind w:right="512"/>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leases and other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0"/>
        </w:trPr>
        <w:tc>
          <w:tcPr>
            <w:tcW w:w="7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9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512"/>
              <w:spacing w:after="0"/>
              <w:rPr>
                <w:sz w:val="20"/>
                <w:szCs w:val="20"/>
                <w:color w:val="auto"/>
              </w:rPr>
            </w:pPr>
            <w:r>
              <w:rPr>
                <w:rFonts w:ascii="Arial" w:cs="Arial" w:eastAsia="Arial" w:hAnsi="Arial"/>
                <w:sz w:val="18"/>
                <w:szCs w:val="18"/>
                <w:color w:val="auto"/>
                <w:w w:val="85"/>
              </w:rPr>
              <w:t>(205)</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(158)</w:t>
            </w:r>
          </w:p>
        </w:tc>
      </w:tr>
      <w:tr>
        <w:trPr>
          <w:trHeight w:val="28"/>
        </w:trPr>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0"/>
        </w:trPr>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3 to the Condensed Consolidated Financial Statements for additional information related to our debt borrowings and repayments.</w:t>
      </w:r>
    </w:p>
    <w:p>
      <w:pPr>
        <w:spacing w:after="0" w:line="113" w:lineRule="exact"/>
        <w:rPr>
          <w:sz w:val="20"/>
          <w:szCs w:val="20"/>
          <w:color w:val="auto"/>
        </w:rPr>
      </w:pPr>
    </w:p>
    <w:p>
      <w:pPr>
        <w:ind w:left="700" w:hanging="246"/>
        <w:spacing w:after="0" w:line="306"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Dividend payments and share repurchases — </w:t>
      </w:r>
      <w:r>
        <w:rPr>
          <w:rFonts w:ascii="Arial" w:cs="Arial" w:eastAsia="Arial" w:hAnsi="Arial"/>
          <w:sz w:val="16"/>
          <w:szCs w:val="16"/>
          <w:color w:val="auto"/>
        </w:rPr>
        <w:t>We paid $164 million in cash dividends in the first quarter of 2012 compared with $162 million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2011. The increase in dividend payments is due to our quarterly per share dividends declared increasing from $0.34 in 2011 to $0.355 in 2012, partially offset by a reduction in the number of our outstanding shares as a result of our share repurchase program in 2011.</w:t>
      </w:r>
    </w:p>
    <w:p>
      <w:pPr>
        <w:spacing w:after="0" w:line="25" w:lineRule="exact"/>
        <w:rPr>
          <w:rFonts w:ascii="Arial" w:cs="Arial" w:eastAsia="Arial" w:hAnsi="Arial"/>
          <w:sz w:val="16"/>
          <w:szCs w:val="16"/>
          <w:color w:val="auto"/>
        </w:rPr>
      </w:pPr>
    </w:p>
    <w:p>
      <w:pPr>
        <w:ind w:left="700" w:right="60"/>
        <w:spacing w:after="0" w:line="268" w:lineRule="auto"/>
        <w:rPr>
          <w:rFonts w:ascii="Arial" w:cs="Arial" w:eastAsia="Arial" w:hAnsi="Arial"/>
          <w:sz w:val="16"/>
          <w:szCs w:val="16"/>
          <w:color w:val="auto"/>
        </w:rPr>
      </w:pPr>
      <w:r>
        <w:rPr>
          <w:rFonts w:ascii="Arial" w:cs="Arial" w:eastAsia="Arial" w:hAnsi="Arial"/>
          <w:sz w:val="18"/>
          <w:szCs w:val="18"/>
          <w:color w:val="auto"/>
        </w:rPr>
        <w:t>We repurchased 1.8 million shares of our common stock for $68 million during the first quarter of 2011, of which approximately $5 million was paid in April 2011. There were no share repurchases during the first quarter of 2012.</w:t>
      </w:r>
    </w:p>
    <w:p>
      <w:pPr>
        <w:spacing w:after="0" w:line="50" w:lineRule="exact"/>
        <w:rPr>
          <w:rFonts w:ascii="Arial" w:cs="Arial" w:eastAsia="Arial" w:hAnsi="Arial"/>
          <w:sz w:val="16"/>
          <w:szCs w:val="16"/>
          <w:color w:val="auto"/>
        </w:rPr>
      </w:pPr>
    </w:p>
    <w:p>
      <w:pPr>
        <w:ind w:left="700" w:right="20" w:hanging="246"/>
        <w:spacing w:after="0" w:line="26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During the three months ended March 31, 2012 and 2011, the use of cash was driven by changes in our accrued liabilities for checks written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related cash balances due to the timing of cash deposits or payments.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 xml:space="preserve">Recent Legislation </w:t>
      </w:r>
      <w:r>
        <w:rPr>
          <w:rFonts w:ascii="Arial" w:cs="Arial" w:eastAsia="Arial" w:hAnsi="Arial"/>
          <w:sz w:val="18"/>
          <w:szCs w:val="18"/>
          <w:color w:val="auto"/>
        </w:rPr>
        <w:t>— The Tax Relief, Unemployment Insurance Reauthorization, and Job Creation Act, signed into law on December 17, 2010,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an extension of the bonus depreciation allowance through the end of 2012 and increased the amount of qualifying capital expenditures that can be depreciated immediately from 50% to 100%. The 100% depreciation deduction applied to qualifying property placed in service from September 8, 2010 through December 31, 2011. The depreciation deduction for qualifying property placed in service in 2012 has been reduced to 50%. The acceleration of deductions on capital expenditures resulting from the bonus depreciation provisions has no impact on our effective tax rates, but reduces our cash taxes in the periods in which the deductions are taken.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49" w:name="page50"/>
    <w:bookmarkEnd w:id="49"/>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finalization of our 2011 income tax return, we estimate that the acceleration of depreciation deductions related to qualifying property additions in 2011 decreased our full year 2011 cash taxes by approximately $190 million and, based on our current forecast of 2012 capital expenditures, we estimate a reduction in our full year 2012 cash taxes of approximately $90 million related to qualifying property additions in 2012. However, taking accelerated deductions results in increased cash taxes in subsequent periods when the accelerated deductions for these capital expenditures would have otherwise been taken. On a net basis, after taking into account the effect of all applicable years’ bonus depreciation programs, we estimate that our full year 2011 cash taxes benefitted by approximately $139 million and that the deductions taken in previous years from acceleration programs will more than offset the $90 million benefit expected to be received from accelerated depreciation deductions in 2012.</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Uncertain Tax Positions </w:t>
      </w:r>
      <w:r>
        <w:rPr>
          <w:rFonts w:ascii="Arial" w:cs="Arial" w:eastAsia="Arial" w:hAnsi="Arial"/>
          <w:sz w:val="16"/>
          <w:szCs w:val="16"/>
          <w:color w:val="auto"/>
        </w:rPr>
        <w:t>— We have liabilities associated with unrecognized tax positions and related interest. These liabilities are primarily included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 We anticipate that approximately $7 million of liabilities for uncertain tax positions, including accrued interest, and $2 million of related deferred tax assets may be reversed within the next twelve months. The anticipated reversals are related to state tax items, none of which are material, and are expected to result from audit settlements or the expiration of the applicable statute of limitations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12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three months ended March 31, 2012,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operating revenues normally tend to be somewhat higher in the summer months, primarily due to the traditional seasonal increase in the volume of construction and demolition waste. Historically, the volumes of industrial and residential waste in certain regions where we operate have tended to increase during the summer months. Our second and third quarter revenues and results of operations typically reflect these seasonal trends.</w:t>
      </w:r>
    </w:p>
    <w:p>
      <w:pPr>
        <w:spacing w:after="0" w:line="2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Additionally, certain destructive weather conditions that tend to occur during the second half of the year, such as the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While inflationary increases in costs, including the cost of diesel fuel, have affected our operating margins in recent years,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0" w:name="page51"/>
    <w:bookmarkEnd w:id="50"/>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Information about market risks as of March 31, 2012, does not differ materially from that discussed under Item 7A in our Annual Report on Form 10-K for the year ended December 31, 2011.</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2012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Management, together with our principal executive and financial officers, evaluated the changes in our internal control over financial reporting during the quarter ended March 31, 2012. We determined that there were no changes in our internal control over financial reporting during the quarter ended March 31, 2012 that have materially affected, or are reasonably likely to materially affect, our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“Environmental Matters” and “Litigation” sections of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2011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8"/>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6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w w:val="85"/>
              </w:rPr>
              <w:t>Exhibits.</w:t>
            </w:r>
          </w:p>
        </w:tc>
        <w:tc>
          <w:tcPr>
            <w:tcW w:w="4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82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20" w:type="dxa"/>
            <w:vAlign w:val="bottom"/>
            <w:gridSpan w:val="2"/>
          </w:tcPr>
          <w:p>
            <w:pPr>
              <w:spacing w:after="0" w:line="201" w:lineRule="exact"/>
              <w:rPr>
                <w:sz w:val="20"/>
                <w:szCs w:val="20"/>
                <w:color w:val="auto"/>
              </w:rPr>
            </w:pPr>
            <w:r>
              <w:rPr>
                <w:rFonts w:ascii="Arial" w:cs="Arial" w:eastAsia="Arial" w:hAnsi="Arial"/>
                <w:sz w:val="18"/>
                <w:szCs w:val="18"/>
                <w:color w:val="auto"/>
              </w:rPr>
              <w:t>10.1</w:t>
            </w:r>
          </w:p>
        </w:tc>
        <w:tc>
          <w:tcPr>
            <w:tcW w:w="820" w:type="dxa"/>
            <w:vAlign w:val="bottom"/>
            <w:vMerge w:val="continue"/>
          </w:tcPr>
          <w:p>
            <w:pPr>
              <w:spacing w:after="0"/>
              <w:rPr>
                <w:sz w:val="17"/>
                <w:szCs w:val="17"/>
                <w:color w:val="auto"/>
              </w:rPr>
            </w:pPr>
          </w:p>
        </w:tc>
        <w:tc>
          <w:tcPr>
            <w:tcW w:w="9720" w:type="dxa"/>
            <w:vAlign w:val="bottom"/>
            <w:gridSpan w:val="4"/>
          </w:tcPr>
          <w:p>
            <w:pPr>
              <w:ind w:left="80"/>
              <w:spacing w:after="0" w:line="201" w:lineRule="exact"/>
              <w:rPr>
                <w:sz w:val="20"/>
                <w:szCs w:val="20"/>
                <w:color w:val="auto"/>
              </w:rPr>
            </w:pPr>
            <w:r>
              <w:rPr>
                <w:rFonts w:ascii="Arial" w:cs="Arial" w:eastAsia="Arial" w:hAnsi="Arial"/>
                <w:sz w:val="18"/>
                <w:szCs w:val="18"/>
                <w:color w:val="auto"/>
                <w:w w:val="89"/>
              </w:rPr>
              <w:t>Form of 2012 PSU Award Agreement with ROIC Performance Measure [incorporated by reference to Exhibit 10.1 to Current Report 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80" w:type="dxa"/>
            <w:vAlign w:val="bottom"/>
            <w:gridSpan w:val="3"/>
          </w:tcPr>
          <w:p>
            <w:pPr>
              <w:ind w:left="40"/>
              <w:spacing w:after="0"/>
              <w:rPr>
                <w:sz w:val="20"/>
                <w:szCs w:val="20"/>
                <w:color w:val="auto"/>
              </w:rPr>
            </w:pPr>
            <w:r>
              <w:rPr>
                <w:rFonts w:ascii="Arial" w:cs="Arial" w:eastAsia="Arial" w:hAnsi="Arial"/>
                <w:sz w:val="18"/>
                <w:szCs w:val="18"/>
                <w:color w:val="auto"/>
              </w:rPr>
              <w:t>Form 8-K filed March 14, 2012].</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9720" w:type="dxa"/>
            <w:vAlign w:val="bottom"/>
            <w:gridSpan w:val="4"/>
          </w:tcPr>
          <w:p>
            <w:pPr>
              <w:ind w:left="80"/>
              <w:spacing w:after="0"/>
              <w:rPr>
                <w:sz w:val="20"/>
                <w:szCs w:val="20"/>
                <w:color w:val="auto"/>
              </w:rPr>
            </w:pPr>
            <w:r>
              <w:rPr>
                <w:rFonts w:ascii="Arial" w:cs="Arial" w:eastAsia="Arial" w:hAnsi="Arial"/>
                <w:sz w:val="18"/>
                <w:szCs w:val="18"/>
                <w:color w:val="auto"/>
                <w:w w:val="90"/>
              </w:rPr>
              <w:t>Form of 2012 PSU Award Agreement with TSR Performance Measure [incorporated by reference to Exhibit 10.2 to Current Report 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80" w:type="dxa"/>
            <w:vAlign w:val="bottom"/>
            <w:gridSpan w:val="3"/>
          </w:tcPr>
          <w:p>
            <w:pPr>
              <w:ind w:left="40"/>
              <w:spacing w:after="0"/>
              <w:rPr>
                <w:sz w:val="20"/>
                <w:szCs w:val="20"/>
                <w:color w:val="auto"/>
              </w:rPr>
            </w:pPr>
            <w:r>
              <w:rPr>
                <w:rFonts w:ascii="Arial" w:cs="Arial" w:eastAsia="Arial" w:hAnsi="Arial"/>
                <w:sz w:val="18"/>
                <w:szCs w:val="18"/>
                <w:color w:val="auto"/>
              </w:rPr>
              <w:t>Form 8-K filed March 14, 2012].</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9720" w:type="dxa"/>
            <w:vAlign w:val="bottom"/>
            <w:gridSpan w:val="4"/>
          </w:tcPr>
          <w:p>
            <w:pPr>
              <w:ind w:left="80"/>
              <w:spacing w:after="0"/>
              <w:rPr>
                <w:sz w:val="20"/>
                <w:szCs w:val="20"/>
                <w:color w:val="auto"/>
              </w:rPr>
            </w:pPr>
            <w:r>
              <w:rPr>
                <w:rFonts w:ascii="Arial" w:cs="Arial" w:eastAsia="Arial" w:hAnsi="Arial"/>
                <w:sz w:val="18"/>
                <w:szCs w:val="18"/>
                <w:color w:val="auto"/>
                <w:w w:val="89"/>
              </w:rPr>
              <w:t>Form of 2012 Stock Option Award Agreement [incorporated by reference to Exhibit 10.2 to Current Report on Form 8-K filed March 14,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2012].</w:t>
            </w:r>
          </w:p>
        </w:tc>
        <w:tc>
          <w:tcPr>
            <w:tcW w:w="7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31.1</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9720" w:type="dxa"/>
            <w:vAlign w:val="bottom"/>
            <w:gridSpan w:val="4"/>
          </w:tcPr>
          <w:p>
            <w:pPr>
              <w:ind w:left="80"/>
              <w:spacing w:after="0"/>
              <w:rPr>
                <w:sz w:val="20"/>
                <w:szCs w:val="20"/>
                <w:color w:val="auto"/>
              </w:rPr>
            </w:pPr>
            <w:r>
              <w:rPr>
                <w:rFonts w:ascii="Arial" w:cs="Arial" w:eastAsia="Arial" w:hAnsi="Arial"/>
                <w:sz w:val="18"/>
                <w:szCs w:val="18"/>
                <w:color w:val="auto"/>
                <w:w w:val="88"/>
              </w:rPr>
              <w:t>Certification Pursuant to Rules 13a - 14(a) and 15d - 14(a) under the Securities Exchange Act of 1934, as amended, of David P. Steiner,</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80" w:type="dxa"/>
            <w:vAlign w:val="bottom"/>
            <w:gridSpan w:val="3"/>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31.2</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9720" w:type="dxa"/>
            <w:vAlign w:val="bottom"/>
            <w:gridSpan w:val="4"/>
          </w:tcPr>
          <w:p>
            <w:pPr>
              <w:ind w:left="80"/>
              <w:spacing w:after="0"/>
              <w:rPr>
                <w:sz w:val="20"/>
                <w:szCs w:val="20"/>
                <w:color w:val="auto"/>
              </w:rPr>
            </w:pPr>
            <w:r>
              <w:rPr>
                <w:rFonts w:ascii="Arial" w:cs="Arial" w:eastAsia="Arial" w:hAnsi="Arial"/>
                <w:sz w:val="18"/>
                <w:szCs w:val="18"/>
                <w:color w:val="auto"/>
                <w:w w:val="87"/>
              </w:rPr>
              <w:t>Certification Pursuant to Rules 13a - 14(a) and 15d - 14(a) under the Securities Exchange Act of 1934, as amended, of Steven C. Preston,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80" w:type="dxa"/>
            <w:vAlign w:val="bottom"/>
            <w:gridSpan w:val="3"/>
          </w:tcPr>
          <w:p>
            <w:pPr>
              <w:ind w:left="40"/>
              <w:spacing w:after="0"/>
              <w:rPr>
                <w:sz w:val="20"/>
                <w:szCs w:val="20"/>
                <w:color w:val="auto"/>
              </w:rPr>
            </w:pPr>
            <w:r>
              <w:rPr>
                <w:rFonts w:ascii="Arial" w:cs="Arial" w:eastAsia="Arial" w:hAnsi="Arial"/>
                <w:sz w:val="18"/>
                <w:szCs w:val="18"/>
                <w:color w:val="auto"/>
              </w:rPr>
              <w:t>Executive Vice President — Finance, Recycling and Energy Services.</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32.1</w:t>
            </w:r>
          </w:p>
        </w:tc>
        <w:tc>
          <w:tcPr>
            <w:tcW w:w="10540" w:type="dxa"/>
            <w:vAlign w:val="bottom"/>
            <w:gridSpan w:val="5"/>
          </w:tcPr>
          <w:p>
            <w:pPr>
              <w:ind w:left="58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32.2</w:t>
            </w:r>
          </w:p>
        </w:tc>
        <w:tc>
          <w:tcPr>
            <w:tcW w:w="10540" w:type="dxa"/>
            <w:vAlign w:val="bottom"/>
            <w:gridSpan w:val="5"/>
          </w:tcPr>
          <w:p>
            <w:pPr>
              <w:ind w:left="580"/>
              <w:spacing w:after="0"/>
              <w:rPr>
                <w:sz w:val="20"/>
                <w:szCs w:val="20"/>
                <w:color w:val="auto"/>
              </w:rPr>
            </w:pPr>
            <w:r>
              <w:rPr>
                <w:rFonts w:ascii="Arial" w:cs="Arial" w:eastAsia="Arial" w:hAnsi="Arial"/>
                <w:sz w:val="18"/>
                <w:szCs w:val="18"/>
                <w:color w:val="auto"/>
                <w:w w:val="90"/>
              </w:rPr>
              <w:t>—  Certification Pursuant to 18 U.S.C. §1350 of Steven C. Preston, Executive Vice President — Finance, Recycling and Energy Services.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680" w:type="dxa"/>
            <w:vAlign w:val="bottom"/>
            <w:gridSpan w:val="3"/>
          </w:tcPr>
          <w:p>
            <w:pPr>
              <w:ind w:left="40"/>
              <w:spacing w:after="0"/>
              <w:rPr>
                <w:sz w:val="20"/>
                <w:szCs w:val="20"/>
                <w:color w:val="auto"/>
              </w:rPr>
            </w:pPr>
            <w:r>
              <w:rPr>
                <w:rFonts w:ascii="Arial" w:cs="Arial" w:eastAsia="Arial" w:hAnsi="Arial"/>
                <w:sz w:val="18"/>
                <w:szCs w:val="18"/>
                <w:color w:val="auto"/>
              </w:rPr>
              <w:t>Mine Safety Disclosures.</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680" w:type="dxa"/>
            <w:vAlign w:val="bottom"/>
            <w:gridSpan w:val="3"/>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w w:val="95"/>
              </w:rPr>
              <w:t>101.SCH</w:t>
            </w:r>
          </w:p>
        </w:tc>
        <w:tc>
          <w:tcPr>
            <w:tcW w:w="10540" w:type="dxa"/>
            <w:vAlign w:val="bottom"/>
            <w:gridSpan w:val="5"/>
          </w:tcPr>
          <w:p>
            <w:pPr>
              <w:ind w:left="580"/>
              <w:spacing w:after="0"/>
              <w:rPr>
                <w:sz w:val="20"/>
                <w:szCs w:val="20"/>
                <w:color w:val="auto"/>
              </w:rPr>
            </w:pPr>
            <w:r>
              <w:rPr>
                <w:rFonts w:ascii="Arial" w:cs="Arial" w:eastAsia="Arial" w:hAnsi="Arial"/>
                <w:sz w:val="18"/>
                <w:szCs w:val="18"/>
                <w:color w:val="auto"/>
              </w:rPr>
              <w:t>—  XBRL Taxonomy Extension Schema Document.</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w w:val="99"/>
              </w:rPr>
              <w:t>101.CAL</w:t>
            </w:r>
          </w:p>
        </w:tc>
        <w:tc>
          <w:tcPr>
            <w:tcW w:w="10540" w:type="dxa"/>
            <w:vAlign w:val="bottom"/>
            <w:gridSpan w:val="5"/>
          </w:tcPr>
          <w:p>
            <w:pPr>
              <w:ind w:left="580"/>
              <w:spacing w:after="0"/>
              <w:rPr>
                <w:sz w:val="20"/>
                <w:szCs w:val="20"/>
                <w:color w:val="auto"/>
              </w:rPr>
            </w:pPr>
            <w:r>
              <w:rPr>
                <w:rFonts w:ascii="Arial" w:cs="Arial" w:eastAsia="Arial" w:hAnsi="Arial"/>
                <w:sz w:val="18"/>
                <w:szCs w:val="18"/>
                <w:color w:val="auto"/>
              </w:rPr>
              <w:t>—  XBRL Taxonomy Extension Calculation Linkbase Document.</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w w:val="98"/>
              </w:rPr>
              <w:t>101.DEF</w:t>
            </w:r>
          </w:p>
        </w:tc>
        <w:tc>
          <w:tcPr>
            <w:tcW w:w="10540" w:type="dxa"/>
            <w:vAlign w:val="bottom"/>
            <w:gridSpan w:val="5"/>
          </w:tcPr>
          <w:p>
            <w:pPr>
              <w:ind w:left="580"/>
              <w:spacing w:after="0"/>
              <w:rPr>
                <w:sz w:val="20"/>
                <w:szCs w:val="20"/>
                <w:color w:val="auto"/>
              </w:rPr>
            </w:pPr>
            <w:r>
              <w:rPr>
                <w:rFonts w:ascii="Arial" w:cs="Arial" w:eastAsia="Arial" w:hAnsi="Arial"/>
                <w:sz w:val="18"/>
                <w:szCs w:val="18"/>
                <w:color w:val="auto"/>
              </w:rPr>
              <w:t>—  XBRL Taxonomy Extension Definition Linkbase Document.</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540" w:type="dxa"/>
            <w:vAlign w:val="bottom"/>
            <w:gridSpan w:val="5"/>
          </w:tcPr>
          <w:p>
            <w:pPr>
              <w:ind w:left="580"/>
              <w:spacing w:after="0"/>
              <w:rPr>
                <w:sz w:val="20"/>
                <w:szCs w:val="20"/>
                <w:color w:val="auto"/>
              </w:rPr>
            </w:pPr>
            <w:r>
              <w:rPr>
                <w:rFonts w:ascii="Arial" w:cs="Arial" w:eastAsia="Arial" w:hAnsi="Arial"/>
                <w:sz w:val="18"/>
                <w:szCs w:val="18"/>
                <w:color w:val="auto"/>
              </w:rPr>
              <w:t>—  XBRL Taxonomy Extension Labels Linkbase Document.</w:t>
            </w:r>
          </w:p>
        </w:tc>
        <w:tc>
          <w:tcPr>
            <w:tcW w:w="0" w:type="dxa"/>
            <w:vAlign w:val="bottom"/>
          </w:tcPr>
          <w:p>
            <w:pPr>
              <w:spacing w:after="0"/>
              <w:rPr>
                <w:sz w:val="1"/>
                <w:szCs w:val="1"/>
                <w:color w:val="auto"/>
              </w:rPr>
            </w:pP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w w:val="97"/>
              </w:rPr>
              <w:t>101.PRE</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9720" w:type="dxa"/>
            <w:vAlign w:val="bottom"/>
            <w:gridSpan w:val="4"/>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tcPr>
          <w:p>
            <w:pPr>
              <w:ind w:left="4040"/>
              <w:spacing w:after="0"/>
              <w:rPr>
                <w:sz w:val="20"/>
                <w:szCs w:val="20"/>
                <w:color w:val="auto"/>
              </w:rPr>
            </w:pPr>
            <w:r>
              <w:rPr>
                <w:rFonts w:ascii="Arial" w:cs="Arial" w:eastAsia="Arial" w:hAnsi="Arial"/>
                <w:sz w:val="18"/>
                <w:szCs w:val="18"/>
                <w:color w:val="auto"/>
              </w:rPr>
              <w:t>52</w:t>
            </w:r>
          </w:p>
        </w:tc>
        <w:tc>
          <w:tcPr>
            <w:tcW w:w="7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240" w:top="274" w:right="3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73"/>
              </w:rPr>
              <w:t>/s/</w:t>
            </w:r>
          </w:p>
        </w:tc>
        <w:tc>
          <w:tcPr>
            <w:tcW w:w="3120" w:type="dxa"/>
            <w:vAlign w:val="bottom"/>
            <w:tcBorders>
              <w:bottom w:val="single" w:sz="8" w:color="auto"/>
            </w:tcBorders>
          </w:tcPr>
          <w:p>
            <w:pPr>
              <w:jc w:val="center"/>
              <w:ind w:right="972"/>
              <w:spacing w:after="0"/>
              <w:rPr>
                <w:sz w:val="20"/>
                <w:szCs w:val="20"/>
                <w:color w:val="auto"/>
              </w:rPr>
            </w:pPr>
            <w:r>
              <w:rPr>
                <w:rFonts w:ascii="Arial" w:cs="Arial" w:eastAsia="Arial" w:hAnsi="Arial"/>
                <w:sz w:val="18"/>
                <w:szCs w:val="18"/>
                <w:color w:val="auto"/>
                <w:w w:val="90"/>
              </w:rPr>
              <w:t>STEVEN C. PRESTON</w:t>
            </w:r>
          </w:p>
        </w:tc>
      </w:tr>
      <w:tr>
        <w:trPr>
          <w:trHeight w:val="202"/>
        </w:trPr>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20" w:type="dxa"/>
            <w:vAlign w:val="bottom"/>
          </w:tcPr>
          <w:p>
            <w:pPr>
              <w:jc w:val="center"/>
              <w:ind w:right="972"/>
              <w:spacing w:after="0" w:line="202" w:lineRule="exact"/>
              <w:rPr>
                <w:sz w:val="20"/>
                <w:szCs w:val="20"/>
                <w:color w:val="auto"/>
              </w:rPr>
            </w:pPr>
            <w:r>
              <w:rPr>
                <w:rFonts w:ascii="Arial" w:cs="Arial" w:eastAsia="Arial" w:hAnsi="Arial"/>
                <w:sz w:val="18"/>
                <w:szCs w:val="18"/>
                <w:color w:val="auto"/>
                <w:w w:val="86"/>
              </w:rPr>
              <w:t>Steven C. Preston</w:t>
            </w:r>
          </w:p>
        </w:tc>
      </w:tr>
      <w:tr>
        <w:trPr>
          <w:trHeight w:val="216"/>
        </w:trPr>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20" w:type="dxa"/>
            <w:vAlign w:val="bottom"/>
          </w:tcPr>
          <w:p>
            <w:pPr>
              <w:jc w:val="center"/>
              <w:ind w:right="972"/>
              <w:spacing w:after="0"/>
              <w:rPr>
                <w:sz w:val="20"/>
                <w:szCs w:val="20"/>
                <w:color w:val="auto"/>
              </w:rPr>
            </w:pPr>
            <w:r>
              <w:rPr>
                <w:rFonts w:ascii="Arial" w:cs="Arial" w:eastAsia="Arial" w:hAnsi="Arial"/>
                <w:sz w:val="18"/>
                <w:szCs w:val="18"/>
                <w:i w:val="1"/>
                <w:iCs w:val="1"/>
                <w:color w:val="auto"/>
                <w:w w:val="87"/>
              </w:rPr>
              <w:t>Executive Vice President —</w:t>
            </w:r>
          </w:p>
        </w:tc>
      </w:tr>
      <w:tr>
        <w:trPr>
          <w:trHeight w:val="216"/>
        </w:trPr>
        <w:tc>
          <w:tcPr>
            <w:tcW w:w="280" w:type="dxa"/>
            <w:vAlign w:val="bottom"/>
          </w:tcPr>
          <w:p>
            <w:pPr>
              <w:spacing w:after="0"/>
              <w:rPr>
                <w:sz w:val="18"/>
                <w:szCs w:val="18"/>
                <w:color w:val="auto"/>
              </w:rPr>
            </w:pPr>
          </w:p>
        </w:tc>
        <w:tc>
          <w:tcPr>
            <w:tcW w:w="4280" w:type="dxa"/>
            <w:vAlign w:val="bottom"/>
            <w:gridSpan w:val="2"/>
          </w:tcPr>
          <w:p>
            <w:pPr>
              <w:jc w:val="center"/>
              <w:ind w:left="12"/>
              <w:spacing w:after="0"/>
              <w:rPr>
                <w:sz w:val="20"/>
                <w:szCs w:val="20"/>
                <w:color w:val="auto"/>
              </w:rPr>
            </w:pPr>
            <w:r>
              <w:rPr>
                <w:rFonts w:ascii="Arial" w:cs="Arial" w:eastAsia="Arial" w:hAnsi="Arial"/>
                <w:sz w:val="18"/>
                <w:szCs w:val="18"/>
                <w:i w:val="1"/>
                <w:iCs w:val="1"/>
                <w:color w:val="auto"/>
                <w:w w:val="88"/>
              </w:rPr>
              <w:t>Finance, Recycling &amp; Energy Services</w:t>
            </w:r>
          </w:p>
        </w:tc>
      </w:tr>
      <w:tr>
        <w:trPr>
          <w:trHeight w:val="222"/>
        </w:trPr>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120" w:type="dxa"/>
            <w:vAlign w:val="bottom"/>
          </w:tcPr>
          <w:p>
            <w:pPr>
              <w:jc w:val="center"/>
              <w:ind w:right="972"/>
              <w:spacing w:after="0"/>
              <w:rPr>
                <w:sz w:val="20"/>
                <w:szCs w:val="20"/>
                <w:color w:val="auto"/>
              </w:rPr>
            </w:pPr>
            <w:r>
              <w:rPr>
                <w:rFonts w:ascii="Arial" w:cs="Arial" w:eastAsia="Arial" w:hAnsi="Arial"/>
                <w:sz w:val="18"/>
                <w:szCs w:val="18"/>
                <w:i w:val="1"/>
                <w:iCs w:val="1"/>
                <w:color w:val="auto"/>
                <w:w w:val="95"/>
              </w:rPr>
              <w:t>(Principal Financial Officer)</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WASTE MANAGEMENT, INC.</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tcPr>
          <w:p>
            <w:pPr>
              <w:jc w:val="center"/>
              <w:ind w:right="992"/>
              <w:spacing w:after="0"/>
              <w:rPr>
                <w:sz w:val="20"/>
                <w:szCs w:val="20"/>
                <w:color w:val="auto"/>
              </w:rPr>
            </w:pPr>
            <w:r>
              <w:rPr>
                <w:rFonts w:ascii="Arial" w:cs="Arial" w:eastAsia="Arial" w:hAnsi="Arial"/>
                <w:sz w:val="18"/>
                <w:szCs w:val="18"/>
                <w:color w:val="auto"/>
                <w:w w:val="90"/>
              </w:rPr>
              <w:t>GREG A. ROBERTSON</w:t>
            </w:r>
          </w:p>
        </w:tc>
      </w:tr>
      <w:tr>
        <w:trPr>
          <w:trHeight w:val="202"/>
        </w:trPr>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20" w:type="dxa"/>
            <w:vAlign w:val="bottom"/>
          </w:tcPr>
          <w:p>
            <w:pPr>
              <w:jc w:val="center"/>
              <w:ind w:right="972"/>
              <w:spacing w:after="0" w:line="202" w:lineRule="exact"/>
              <w:rPr>
                <w:sz w:val="20"/>
                <w:szCs w:val="20"/>
                <w:color w:val="auto"/>
              </w:rPr>
            </w:pPr>
            <w:r>
              <w:rPr>
                <w:rFonts w:ascii="Arial" w:cs="Arial" w:eastAsia="Arial" w:hAnsi="Arial"/>
                <w:sz w:val="18"/>
                <w:szCs w:val="18"/>
                <w:color w:val="auto"/>
                <w:w w:val="89"/>
              </w:rPr>
              <w:t>Greg A. Robertson</w:t>
            </w:r>
          </w:p>
        </w:tc>
      </w:tr>
      <w:tr>
        <w:trPr>
          <w:trHeight w:val="222"/>
        </w:trPr>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120" w:type="dxa"/>
            <w:vAlign w:val="bottom"/>
          </w:tcPr>
          <w:p>
            <w:pPr>
              <w:jc w:val="center"/>
              <w:ind w:right="992"/>
              <w:spacing w:after="0"/>
              <w:rPr>
                <w:sz w:val="20"/>
                <w:szCs w:val="20"/>
                <w:color w:val="auto"/>
              </w:rPr>
            </w:pPr>
            <w:r>
              <w:rPr>
                <w:rFonts w:ascii="Arial" w:cs="Arial" w:eastAsia="Arial" w:hAnsi="Arial"/>
                <w:sz w:val="18"/>
                <w:szCs w:val="18"/>
                <w:i w:val="1"/>
                <w:iCs w:val="1"/>
                <w:color w:val="auto"/>
                <w:w w:val="87"/>
              </w:rPr>
              <w:t>Vice President and</w:t>
            </w:r>
          </w:p>
        </w:tc>
      </w:tr>
    </w:tbl>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90" w:lineRule="exact"/>
        <w:rPr>
          <w:sz w:val="20"/>
          <w:szCs w:val="20"/>
          <w:color w:val="auto"/>
        </w:rPr>
      </w:pPr>
    </w:p>
    <w:p>
      <w:pPr>
        <w:ind w:right="560" w:firstLine="464"/>
        <w:spacing w:after="0" w:line="357" w:lineRule="auto"/>
        <w:tabs>
          <w:tab w:leader="none" w:pos="642"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80" w:firstLine="464"/>
        <w:spacing w:after="0" w:line="332" w:lineRule="auto"/>
        <w:tabs>
          <w:tab w:leader="none" w:pos="691"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420" w:firstLine="464"/>
        <w:spacing w:after="0" w:line="259" w:lineRule="auto"/>
        <w:tabs>
          <w:tab w:leader="none" w:pos="6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right="340" w:firstLine="443"/>
        <w:spacing w:after="0" w:line="259" w:lineRule="auto"/>
        <w:tabs>
          <w:tab w:leader="none" w:pos="111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0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103"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40" w:firstLine="443"/>
        <w:spacing w:after="0" w:line="259" w:lineRule="auto"/>
        <w:tabs>
          <w:tab w:leader="none" w:pos="111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80" w:firstLine="464"/>
        <w:spacing w:after="0" w:line="332" w:lineRule="auto"/>
        <w:tabs>
          <w:tab w:leader="none" w:pos="62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460" w:right="180" w:firstLine="443"/>
        <w:spacing w:after="0" w:line="268" w:lineRule="auto"/>
        <w:tabs>
          <w:tab w:leader="none" w:pos="111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0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DAVID P. STEINER</w:t>
            </w:r>
          </w:p>
        </w:tc>
      </w:tr>
      <w:tr>
        <w:trPr>
          <w:trHeight w:val="202"/>
        </w:trPr>
        <w:tc>
          <w:tcPr>
            <w:tcW w:w="280" w:type="dxa"/>
            <w:vAlign w:val="bottom"/>
          </w:tcPr>
          <w:p>
            <w:pPr>
              <w:spacing w:after="0"/>
              <w:rPr>
                <w:sz w:val="17"/>
                <w:szCs w:val="17"/>
                <w:color w:val="auto"/>
              </w:rPr>
            </w:pPr>
          </w:p>
        </w:tc>
        <w:tc>
          <w:tcPr>
            <w:tcW w:w="428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7"/>
              </w:rPr>
              <w:t>David P. Steiner</w:t>
            </w:r>
          </w:p>
        </w:tc>
      </w:tr>
      <w:tr>
        <w:trPr>
          <w:trHeight w:val="222"/>
        </w:trPr>
        <w:tc>
          <w:tcPr>
            <w:tcW w:w="280" w:type="dxa"/>
            <w:vAlign w:val="bottom"/>
          </w:tcPr>
          <w:p>
            <w:pPr>
              <w:spacing w:after="0"/>
              <w:rPr>
                <w:sz w:val="19"/>
                <w:szCs w:val="19"/>
                <w:color w:val="auto"/>
              </w:rPr>
            </w:pPr>
          </w:p>
        </w:tc>
        <w:tc>
          <w:tcPr>
            <w:tcW w:w="4280" w:type="dxa"/>
            <w:vAlign w:val="bottom"/>
          </w:tcPr>
          <w:p>
            <w:pPr>
              <w:jc w:val="center"/>
              <w:ind w:left="12"/>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2012</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 Steven C. Preston, certify that: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90" w:lineRule="exact"/>
        <w:rPr>
          <w:sz w:val="20"/>
          <w:szCs w:val="20"/>
          <w:color w:val="auto"/>
        </w:rPr>
      </w:pPr>
    </w:p>
    <w:p>
      <w:pPr>
        <w:ind w:right="560" w:firstLine="464"/>
        <w:spacing w:after="0" w:line="357" w:lineRule="auto"/>
        <w:tabs>
          <w:tab w:leader="none" w:pos="642"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80" w:firstLine="464"/>
        <w:spacing w:after="0" w:line="332" w:lineRule="auto"/>
        <w:tabs>
          <w:tab w:leader="none" w:pos="691"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420" w:firstLine="464"/>
        <w:spacing w:after="0" w:line="259" w:lineRule="auto"/>
        <w:tabs>
          <w:tab w:leader="none" w:pos="6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right="340" w:firstLine="443"/>
        <w:spacing w:after="0" w:line="259" w:lineRule="auto"/>
        <w:tabs>
          <w:tab w:leader="none" w:pos="111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0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103"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40" w:firstLine="443"/>
        <w:spacing w:after="0" w:line="259" w:lineRule="auto"/>
        <w:tabs>
          <w:tab w:leader="none" w:pos="111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80" w:firstLine="464"/>
        <w:spacing w:after="0" w:line="332" w:lineRule="auto"/>
        <w:tabs>
          <w:tab w:leader="none" w:pos="62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460" w:right="180" w:firstLine="443"/>
        <w:spacing w:after="0" w:line="268" w:lineRule="auto"/>
        <w:tabs>
          <w:tab w:leader="none" w:pos="111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0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STEVEN C. PRESTON</w:t>
            </w:r>
          </w:p>
        </w:tc>
      </w:tr>
      <w:tr>
        <w:trPr>
          <w:trHeight w:val="202"/>
        </w:trPr>
        <w:tc>
          <w:tcPr>
            <w:tcW w:w="280" w:type="dxa"/>
            <w:vAlign w:val="bottom"/>
          </w:tcPr>
          <w:p>
            <w:pPr>
              <w:spacing w:after="0"/>
              <w:rPr>
                <w:sz w:val="17"/>
                <w:szCs w:val="17"/>
                <w:color w:val="auto"/>
              </w:rPr>
            </w:pPr>
          </w:p>
        </w:tc>
        <w:tc>
          <w:tcPr>
            <w:tcW w:w="428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6"/>
              </w:rPr>
              <w:t>Steven C. Preston</w:t>
            </w:r>
          </w:p>
        </w:tc>
      </w:tr>
      <w:tr>
        <w:trPr>
          <w:trHeight w:val="216"/>
        </w:trPr>
        <w:tc>
          <w:tcPr>
            <w:tcW w:w="280" w:type="dxa"/>
            <w:vAlign w:val="bottom"/>
          </w:tcPr>
          <w:p>
            <w:pPr>
              <w:spacing w:after="0"/>
              <w:rPr>
                <w:sz w:val="18"/>
                <w:szCs w:val="18"/>
                <w:color w:val="auto"/>
              </w:rPr>
            </w:pPr>
          </w:p>
        </w:tc>
        <w:tc>
          <w:tcPr>
            <w:tcW w:w="4280" w:type="dxa"/>
            <w:vAlign w:val="bottom"/>
          </w:tcPr>
          <w:p>
            <w:pPr>
              <w:jc w:val="center"/>
              <w:ind w:left="12"/>
              <w:spacing w:after="0"/>
              <w:rPr>
                <w:sz w:val="20"/>
                <w:szCs w:val="20"/>
                <w:color w:val="auto"/>
              </w:rPr>
            </w:pPr>
            <w:r>
              <w:rPr>
                <w:rFonts w:ascii="Arial" w:cs="Arial" w:eastAsia="Arial" w:hAnsi="Arial"/>
                <w:sz w:val="18"/>
                <w:szCs w:val="18"/>
                <w:i w:val="1"/>
                <w:iCs w:val="1"/>
                <w:color w:val="auto"/>
                <w:w w:val="87"/>
              </w:rPr>
              <w:t>Executive Vice President —</w:t>
            </w:r>
          </w:p>
        </w:tc>
      </w:tr>
      <w:tr>
        <w:trPr>
          <w:trHeight w:val="222"/>
        </w:trPr>
        <w:tc>
          <w:tcPr>
            <w:tcW w:w="280" w:type="dxa"/>
            <w:vAlign w:val="bottom"/>
          </w:tcPr>
          <w:p>
            <w:pPr>
              <w:spacing w:after="0"/>
              <w:rPr>
                <w:sz w:val="19"/>
                <w:szCs w:val="19"/>
                <w:color w:val="auto"/>
              </w:rPr>
            </w:pPr>
          </w:p>
        </w:tc>
        <w:tc>
          <w:tcPr>
            <w:tcW w:w="4280" w:type="dxa"/>
            <w:vAlign w:val="bottom"/>
          </w:tcPr>
          <w:p>
            <w:pPr>
              <w:jc w:val="center"/>
              <w:ind w:left="12"/>
              <w:spacing w:after="0"/>
              <w:rPr>
                <w:sz w:val="20"/>
                <w:szCs w:val="20"/>
                <w:color w:val="auto"/>
              </w:rPr>
            </w:pPr>
            <w:r>
              <w:rPr>
                <w:rFonts w:ascii="Arial" w:cs="Arial" w:eastAsia="Arial" w:hAnsi="Arial"/>
                <w:sz w:val="18"/>
                <w:szCs w:val="18"/>
                <w:i w:val="1"/>
                <w:iCs w:val="1"/>
                <w:color w:val="auto"/>
                <w:w w:val="88"/>
              </w:rPr>
              <w:t>Finance, Recycling &amp; Energy Services</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2012</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2012 as filed with the Securities and Exchange Commission on the date hereof (the “Report”), I, David P. Steiner, Chief Executive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6"/>
              </w:rPr>
              <w:t>/s/  DAVID P. STEINER</w:t>
            </w:r>
          </w:p>
        </w:tc>
      </w:tr>
      <w:tr>
        <w:trPr>
          <w:trHeight w:val="202"/>
        </w:trPr>
        <w:tc>
          <w:tcPr>
            <w:tcW w:w="280" w:type="dxa"/>
            <w:vAlign w:val="bottom"/>
          </w:tcPr>
          <w:p>
            <w:pPr>
              <w:spacing w:after="0"/>
              <w:rPr>
                <w:sz w:val="17"/>
                <w:szCs w:val="17"/>
                <w:color w:val="auto"/>
              </w:rPr>
            </w:pPr>
          </w:p>
        </w:tc>
        <w:tc>
          <w:tcPr>
            <w:tcW w:w="428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7"/>
              </w:rPr>
              <w:t>David P. Steiner</w:t>
            </w:r>
          </w:p>
        </w:tc>
      </w:tr>
      <w:tr>
        <w:trPr>
          <w:trHeight w:val="222"/>
        </w:trPr>
        <w:tc>
          <w:tcPr>
            <w:tcW w:w="280" w:type="dxa"/>
            <w:vAlign w:val="bottom"/>
          </w:tcPr>
          <w:p>
            <w:pPr>
              <w:spacing w:after="0"/>
              <w:rPr>
                <w:sz w:val="19"/>
                <w:szCs w:val="19"/>
                <w:color w:val="auto"/>
              </w:rPr>
            </w:pPr>
          </w:p>
        </w:tc>
        <w:tc>
          <w:tcPr>
            <w:tcW w:w="4280" w:type="dxa"/>
            <w:vAlign w:val="bottom"/>
          </w:tcPr>
          <w:p>
            <w:pPr>
              <w:jc w:val="center"/>
              <w:ind w:left="12"/>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April 26, 2012</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2012 as filed with the Securities and Exchange Commission on the date hereof (the “Report”), I, Steven C. Preston, principal financial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STEVEN C. PRESTON</w:t>
            </w:r>
          </w:p>
        </w:tc>
      </w:tr>
      <w:tr>
        <w:trPr>
          <w:trHeight w:val="202"/>
        </w:trPr>
        <w:tc>
          <w:tcPr>
            <w:tcW w:w="280" w:type="dxa"/>
            <w:vAlign w:val="bottom"/>
          </w:tcPr>
          <w:p>
            <w:pPr>
              <w:spacing w:after="0"/>
              <w:rPr>
                <w:sz w:val="17"/>
                <w:szCs w:val="17"/>
                <w:color w:val="auto"/>
              </w:rPr>
            </w:pPr>
          </w:p>
        </w:tc>
        <w:tc>
          <w:tcPr>
            <w:tcW w:w="428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6"/>
              </w:rPr>
              <w:t>Steven C. Preston</w:t>
            </w:r>
          </w:p>
        </w:tc>
      </w:tr>
      <w:tr>
        <w:trPr>
          <w:trHeight w:val="216"/>
        </w:trPr>
        <w:tc>
          <w:tcPr>
            <w:tcW w:w="280" w:type="dxa"/>
            <w:vAlign w:val="bottom"/>
          </w:tcPr>
          <w:p>
            <w:pPr>
              <w:spacing w:after="0"/>
              <w:rPr>
                <w:sz w:val="18"/>
                <w:szCs w:val="18"/>
                <w:color w:val="auto"/>
              </w:rPr>
            </w:pPr>
          </w:p>
        </w:tc>
        <w:tc>
          <w:tcPr>
            <w:tcW w:w="4280" w:type="dxa"/>
            <w:vAlign w:val="bottom"/>
          </w:tcPr>
          <w:p>
            <w:pPr>
              <w:jc w:val="center"/>
              <w:ind w:left="12"/>
              <w:spacing w:after="0"/>
              <w:rPr>
                <w:sz w:val="20"/>
                <w:szCs w:val="20"/>
                <w:color w:val="auto"/>
              </w:rPr>
            </w:pPr>
            <w:r>
              <w:rPr>
                <w:rFonts w:ascii="Arial" w:cs="Arial" w:eastAsia="Arial" w:hAnsi="Arial"/>
                <w:sz w:val="18"/>
                <w:szCs w:val="18"/>
                <w:i w:val="1"/>
                <w:iCs w:val="1"/>
                <w:color w:val="auto"/>
                <w:w w:val="87"/>
              </w:rPr>
              <w:t>Executive Vice President —</w:t>
            </w:r>
          </w:p>
        </w:tc>
      </w:tr>
      <w:tr>
        <w:trPr>
          <w:trHeight w:val="222"/>
        </w:trPr>
        <w:tc>
          <w:tcPr>
            <w:tcW w:w="280" w:type="dxa"/>
            <w:vAlign w:val="bottom"/>
          </w:tcPr>
          <w:p>
            <w:pPr>
              <w:spacing w:after="0"/>
              <w:rPr>
                <w:sz w:val="19"/>
                <w:szCs w:val="19"/>
                <w:color w:val="auto"/>
              </w:rPr>
            </w:pPr>
          </w:p>
        </w:tc>
        <w:tc>
          <w:tcPr>
            <w:tcW w:w="4280" w:type="dxa"/>
            <w:vAlign w:val="bottom"/>
          </w:tcPr>
          <w:p>
            <w:pPr>
              <w:jc w:val="center"/>
              <w:ind w:left="12"/>
              <w:spacing w:after="0"/>
              <w:rPr>
                <w:sz w:val="20"/>
                <w:szCs w:val="20"/>
                <w:color w:val="auto"/>
              </w:rPr>
            </w:pPr>
            <w:r>
              <w:rPr>
                <w:rFonts w:ascii="Arial" w:cs="Arial" w:eastAsia="Arial" w:hAnsi="Arial"/>
                <w:sz w:val="18"/>
                <w:szCs w:val="18"/>
                <w:i w:val="1"/>
                <w:iCs w:val="1"/>
                <w:color w:val="auto"/>
                <w:w w:val="88"/>
              </w:rPr>
              <w:t>Finance, Recycling &amp; Energy Services</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April 26, 2012</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5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During the three-month period ended March 31, 2012,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3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during the three month period ended March 31, 2012,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decimal"/>
      <w:start w:val="11"/>
    </w:lvl>
  </w:abstractNum>
  <w:abstractNum w:abstractNumId="4">
    <w:nsid w:val="519B500D"/>
    <w:multiLevelType w:val="hybridMultilevel"/>
    <w:lvl w:ilvl="0">
      <w:lvlJc w:val="left"/>
      <w:lvlText w:val="Ÿ"/>
      <w:numFmt w:val="bullet"/>
      <w:start w:val="1"/>
    </w:lvl>
  </w:abstractNum>
  <w:abstractNum w:abstractNumId="5">
    <w:nsid w:val="431BD7B7"/>
    <w:multiLevelType w:val="hybridMultilevel"/>
    <w:lvl w:ilvl="0">
      <w:lvlJc w:val="left"/>
      <w:lvlText w:val="Ÿ"/>
      <w:numFmt w:val="bullet"/>
      <w:start w:val="1"/>
    </w:lvl>
  </w:abstractNum>
  <w:abstractNum w:abstractNumId="6">
    <w:nsid w:val="3F2DBA31"/>
    <w:multiLevelType w:val="hybridMultilevel"/>
    <w:lvl w:ilvl="0">
      <w:lvlJc w:val="left"/>
      <w:lvlText w:val="Ÿ"/>
      <w:numFmt w:val="bullet"/>
      <w:start w:val="1"/>
    </w:lvl>
  </w:abstractNum>
  <w:abstractNum w:abstractNumId="7">
    <w:nsid w:val="7C83E458"/>
    <w:multiLevelType w:val="hybridMultilevel"/>
    <w:lvl w:ilvl="0">
      <w:lvlJc w:val="left"/>
      <w:lvlText w:val="Ÿ"/>
      <w:numFmt w:val="bullet"/>
      <w:start w:val="1"/>
    </w:lvl>
  </w:abstractNum>
  <w:abstractNum w:abstractNumId="8">
    <w:nsid w:val="257130A3"/>
    <w:multiLevelType w:val="hybridMultilevel"/>
    <w:lvl w:ilvl="0">
      <w:lvlJc w:val="left"/>
      <w:lvlText w:val="Ÿ"/>
      <w:numFmt w:val="bullet"/>
      <w:start w:val="1"/>
    </w:lvl>
  </w:abstractNum>
  <w:abstractNum w:abstractNumId="9">
    <w:nsid w:val="62BBD95A"/>
    <w:multiLevelType w:val="hybridMultilevel"/>
    <w:lvl w:ilvl="0">
      <w:lvlJc w:val="left"/>
      <w:lvlText w:val="Ÿ"/>
      <w:numFmt w:val="bullet"/>
      <w:start w:val="1"/>
    </w:lvl>
  </w:abstractNum>
  <w:abstractNum w:abstractNumId="10">
    <w:nsid w:val="436C6125"/>
    <w:multiLevelType w:val="hybridMultilevel"/>
    <w:lvl w:ilvl="0">
      <w:lvlJc w:val="left"/>
      <w:lvlText w:val="Ÿ"/>
      <w:numFmt w:val="bullet"/>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2"/>
    </w:lvl>
  </w:abstractNum>
  <w:abstractNum w:abstractNumId="13">
    <w:nsid w:val="721DA317"/>
    <w:multiLevelType w:val="hybridMultilevel"/>
    <w:lvl w:ilvl="0">
      <w:lvlJc w:val="left"/>
      <w:lvlText w:val="(%1)"/>
      <w:numFmt w:val="lowerRoman"/>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lowerRoman"/>
      <w:start w:val="2"/>
    </w:lvl>
  </w:abstractNum>
  <w:abstractNum w:abstractNumId="17">
    <w:nsid w:val="75A2A8D4"/>
    <w:multiLevelType w:val="hybridMultilevel"/>
    <w:lvl w:ilvl="0">
      <w:lvlJc w:val="left"/>
      <w:lvlText w:val="Ÿ"/>
      <w:numFmt w:val="bullet"/>
      <w:start w:val="1"/>
    </w:lvl>
  </w:abstractNum>
  <w:abstractNum w:abstractNumId="18">
    <w:nsid w:val="8EDBDAB"/>
    <w:multiLevelType w:val="hybridMultilevel"/>
    <w:lvl w:ilvl="0">
      <w:lvlJc w:val="left"/>
      <w:lvlText w:val="Ÿ"/>
      <w:numFmt w:val="bullet"/>
      <w:start w:val="1"/>
    </w:lvl>
  </w:abstractNum>
  <w:abstractNum w:abstractNumId="19">
    <w:nsid w:val="79838CB2"/>
    <w:multiLevelType w:val="hybridMultilevel"/>
    <w:lvl w:ilvl="0">
      <w:lvlJc w:val="left"/>
      <w:lvlText w:val="Ÿ"/>
      <w:numFmt w:val="bullet"/>
      <w:start w:val="1"/>
    </w:lvl>
  </w:abstractNum>
  <w:abstractNum w:abstractNumId="20">
    <w:nsid w:val="4353D0CD"/>
    <w:multiLevelType w:val="hybridMultilevel"/>
    <w:lvl w:ilvl="0">
      <w:lvlJc w:val="left"/>
      <w:lvlText w:val="Ÿ"/>
      <w:numFmt w:val="bullet"/>
      <w:start w:val="1"/>
    </w:lvl>
  </w:abstractNum>
  <w:abstractNum w:abstractNumId="21">
    <w:nsid w:val="B03E0C6"/>
    <w:multiLevelType w:val="hybridMultilevel"/>
    <w:lvl w:ilvl="0">
      <w:lvlJc w:val="left"/>
      <w:lvlText w:val="(%1)"/>
      <w:numFmt w:val="lowerRoman"/>
      <w:start w:val="3"/>
    </w:lvl>
  </w:abstractNum>
  <w:abstractNum w:abstractNumId="22">
    <w:nsid w:val="189A769B"/>
    <w:multiLevelType w:val="hybridMultilevel"/>
    <w:lvl w:ilvl="0">
      <w:lvlJc w:val="left"/>
      <w:lvlText w:val="(%1)"/>
      <w:numFmt w:val="lowerRoman"/>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Ÿ"/>
      <w:numFmt w:val="bullet"/>
      <w:start w:val="1"/>
    </w:lvl>
  </w:abstractNum>
  <w:abstractNum w:abstractNumId="25">
    <w:nsid w:val="2CA88611"/>
    <w:multiLevelType w:val="hybridMultilevel"/>
    <w:lvl w:ilvl="0">
      <w:lvlJc w:val="left"/>
      <w:lvlText w:val="Ÿ"/>
      <w:numFmt w:val="bullet"/>
      <w:start w:val="1"/>
    </w:lvl>
  </w:abstractNum>
  <w:abstractNum w:abstractNumId="26">
    <w:nsid w:val="836C40E"/>
    <w:multiLevelType w:val="hybridMultilevel"/>
    <w:lvl w:ilvl="0">
      <w:lvlJc w:val="left"/>
      <w:lvlText w:val="%1."/>
      <w:numFmt w:val="lowerRoman"/>
      <w:start w:val="2"/>
    </w:lvl>
    <w:lvl w:ilvl="1">
      <w:lvlJc w:val="left"/>
      <w:lvlText w:val="%2."/>
      <w:numFmt w:val="upperLetter"/>
      <w:start w:val="1"/>
    </w:lvl>
  </w:abstractNum>
  <w:abstractNum w:abstractNumId="27">
    <w:nsid w:val="2901D82"/>
    <w:multiLevelType w:val="hybridMultilevel"/>
    <w:lvl w:ilvl="0">
      <w:lvlJc w:val="left"/>
      <w:lvlText w:val="%1."/>
      <w:numFmt w:val="lowerRoman"/>
      <w:start w:val="2"/>
    </w:lvl>
    <w:lvl w:ilvl="1">
      <w:lvlJc w:val="left"/>
      <w:lvlText w:val="%2."/>
      <w:numFmt w:val="upp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2019-12-09T09:57:32Z</dcterms:created>
  <dcterms:modified xsi:type="dcterms:W3CDTF">2019-12-09T09:57:32Z</dcterms:modified>
</cp:coreProperties>
</file>