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66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1-12154</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RETIREMENT SAVINGS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FOR BARGAINING UNIT EMPLOYEES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WASTE MANAGEMENT RETIREMENT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BARGAINING UNIT EMPLOYEES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 TO FINANCIAL STATEMENTS AND SUPPLEMENTAL SCHEDULE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53"/>
        </w:trPr>
        <w:tc>
          <w:tcPr>
            <w:tcW w:w="42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Audited Financial Statements</w:t>
            </w:r>
          </w:p>
        </w:tc>
        <w:tc>
          <w:tcPr>
            <w:tcW w:w="4980" w:type="dxa"/>
            <w:vAlign w:val="bottom"/>
            <w:gridSpan w:val="4"/>
          </w:tcPr>
          <w:p>
            <w:pPr>
              <w:spacing w:after="0"/>
              <w:rPr>
                <w:sz w:val="24"/>
                <w:szCs w:val="24"/>
                <w:color w:val="auto"/>
              </w:rPr>
            </w:pPr>
          </w:p>
        </w:tc>
        <w:tc>
          <w:tcPr>
            <w:tcW w:w="2220" w:type="dxa"/>
            <w:vAlign w:val="bottom"/>
          </w:tcPr>
          <w:p>
            <w:pPr>
              <w:spacing w:after="0"/>
              <w:rPr>
                <w:sz w:val="24"/>
                <w:szCs w:val="24"/>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8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2010 and 2009</w:t>
              </w:r>
            </w:hyperlink>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8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2010</w:t>
              </w:r>
            </w:hyperlink>
          </w:p>
        </w:tc>
        <w:tc>
          <w:tcPr>
            <w:tcW w:w="22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1920" w:type="dxa"/>
            <w:vAlign w:val="bottom"/>
          </w:tcPr>
          <w:p>
            <w:pPr>
              <w:spacing w:after="0"/>
              <w:rPr>
                <w:sz w:val="17"/>
                <w:szCs w:val="17"/>
                <w:color w:val="auto"/>
              </w:rPr>
            </w:pPr>
          </w:p>
        </w:tc>
        <w:tc>
          <w:tcPr>
            <w:tcW w:w="22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53"/>
        </w:trPr>
        <w:tc>
          <w:tcPr>
            <w:tcW w:w="9200" w:type="dxa"/>
            <w:vAlign w:val="bottom"/>
            <w:gridSpan w:val="9"/>
          </w:tcPr>
          <w:p>
            <w:pPr>
              <w:spacing w:after="0"/>
              <w:rPr>
                <w:sz w:val="20"/>
                <w:szCs w:val="20"/>
                <w:color w:val="auto"/>
              </w:rPr>
            </w:pPr>
            <w:r>
              <w:rPr>
                <w:rFonts w:ascii="Arial" w:cs="Arial" w:eastAsia="Arial" w:hAnsi="Arial"/>
                <w:sz w:val="18"/>
                <w:szCs w:val="18"/>
                <w:color w:val="auto"/>
              </w:rPr>
              <w:t>Supplemental Schedule</w:t>
            </w:r>
          </w:p>
        </w:tc>
        <w:tc>
          <w:tcPr>
            <w:tcW w:w="2220" w:type="dxa"/>
            <w:vAlign w:val="bottom"/>
          </w:tcPr>
          <w:p>
            <w:pPr>
              <w:spacing w:after="0"/>
              <w:rPr>
                <w:sz w:val="24"/>
                <w:szCs w:val="24"/>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Schedule H, Line 4(i) — Schedule of Assets (Held At End of Year)</w:t>
              </w:r>
            </w:hyperlink>
          </w:p>
        </w:tc>
        <w:tc>
          <w:tcPr>
            <w:tcW w:w="4140" w:type="dxa"/>
            <w:vAlign w:val="bottom"/>
            <w:gridSpan w:val="3"/>
          </w:tcPr>
          <w:p>
            <w:pPr>
              <w:spacing w:after="0"/>
              <w:rPr>
                <w:sz w:val="24"/>
                <w:szCs w:val="24"/>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196"/>
        </w:trPr>
        <w:tc>
          <w:tcPr>
            <w:tcW w:w="60" w:type="dxa"/>
            <w:vAlign w:val="bottom"/>
          </w:tcPr>
          <w:p>
            <w:pPr>
              <w:spacing w:after="0"/>
              <w:rPr>
                <w:sz w:val="17"/>
                <w:szCs w:val="17"/>
                <w:color w:val="auto"/>
              </w:rPr>
            </w:pPr>
          </w:p>
        </w:tc>
        <w:tc>
          <w:tcPr>
            <w:tcW w:w="9140" w:type="dxa"/>
            <w:vAlign w:val="bottom"/>
            <w:gridSpan w:val="8"/>
          </w:tcPr>
          <w:p>
            <w:pPr>
              <w:spacing w:after="0" w:line="196" w:lineRule="exact"/>
              <w:rPr>
                <w:sz w:val="20"/>
                <w:szCs w:val="20"/>
                <w:color w:val="auto"/>
              </w:rPr>
            </w:pPr>
            <w:r>
              <w:rPr>
                <w:rFonts w:ascii="Arial" w:cs="Arial" w:eastAsia="Arial" w:hAnsi="Arial"/>
                <w:sz w:val="18"/>
                <w:szCs w:val="18"/>
                <w:color w:val="0000EE"/>
              </w:rPr>
              <w:t>EX-23.1</w:t>
            </w:r>
          </w:p>
        </w:tc>
        <w:tc>
          <w:tcPr>
            <w:tcW w:w="2220" w:type="dxa"/>
            <w:vAlign w:val="bottom"/>
          </w:tcPr>
          <w:p>
            <w:pPr>
              <w:spacing w:after="0"/>
              <w:rPr>
                <w:sz w:val="17"/>
                <w:szCs w:val="17"/>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440" w:type="dxa"/>
            <w:vAlign w:val="bottom"/>
            <w:tcBorders>
              <w:top w:val="single" w:sz="8" w:color="0000EE"/>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Bargaining Unit Employees</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Waste Management Retirement Savings Plan for Bargaining Unit Employees (the “Plan”) as of December 31, 2010 and 2009, and the related statement of changes in net assets available for benefits for the year ended December 31, 2010. These financial statements are the responsibility of the Plan’s management. Our responsibility is to express an opinion on these financial statements based on our audits.</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 includes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5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2010 and 2009, and the changes in net assets available for benefits for the year ended December 31, 2010, in conformity with accounting principles generally accepted in the United States of America.</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audits were conducted for the purpose of forming an opinion on the basic financial statements taken as a whole. The supplemental schedule of assets (held at end of year) as of December 31, 2010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27, 2011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 in the Master Trust (Note 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9,658,077</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$ 6,070,397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investments</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9,658,077</w:t>
            </w:r>
          </w:p>
        </w:tc>
        <w:tc>
          <w:tcPr>
            <w:tcW w:w="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6,070,397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Employee contributions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43,268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 contributions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15,508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Notes receivable from participants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286,389</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receivables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345,165</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66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10,003,242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6,271,162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(44,070)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0"/>
        </w:trPr>
        <w:tc>
          <w:tcPr>
            <w:tcW w:w="8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66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9,959,172</w:t>
            </w:r>
          </w:p>
        </w:tc>
        <w:tc>
          <w:tcPr>
            <w:tcW w:w="6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$ 6,263,112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jc w:val="center"/>
              <w:ind w:left="2650"/>
              <w:spacing w:after="0"/>
              <w:rPr>
                <w:sz w:val="20"/>
                <w:szCs w:val="20"/>
                <w:color w:val="auto"/>
              </w:rPr>
            </w:pPr>
            <w:r>
              <w:rPr>
                <w:rFonts w:ascii="Arial" w:cs="Arial" w:eastAsia="Arial" w:hAnsi="Arial"/>
                <w:sz w:val="18"/>
                <w:szCs w:val="18"/>
                <w:i w:val="1"/>
                <w:iCs w:val="1"/>
                <w:color w:val="auto"/>
                <w:w w:val="90"/>
              </w:rPr>
              <w:t>The accompanying notes are an integral part of these financial statements.</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60" w:type="dxa"/>
            <w:vAlign w:val="bottom"/>
            <w:gridSpan w:val="2"/>
          </w:tcPr>
          <w:p>
            <w:pPr>
              <w:jc w:val="right"/>
              <w:ind w:right="28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4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9120" w:type="dxa"/>
            <w:vAlign w:val="bottom"/>
          </w:tcPr>
          <w:p>
            <w:pPr>
              <w:jc w:val="center"/>
              <w:ind w:right="310"/>
              <w:spacing w:after="0"/>
              <w:rPr>
                <w:sz w:val="20"/>
                <w:szCs w:val="20"/>
                <w:color w:val="auto"/>
              </w:rPr>
            </w:pPr>
            <w:r>
              <w:rPr>
                <w:rFonts w:ascii="Arial" w:cs="Arial" w:eastAsia="Arial" w:hAnsi="Arial"/>
                <w:sz w:val="18"/>
                <w:szCs w:val="18"/>
                <w:color w:val="auto"/>
                <w:w w:val="88"/>
              </w:rPr>
              <w:t>Waste Management Retirement Savings Plan</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120" w:type="dxa"/>
            <w:vAlign w:val="bottom"/>
          </w:tcPr>
          <w:p>
            <w:pPr>
              <w:jc w:val="center"/>
              <w:ind w:right="330"/>
              <w:spacing w:after="0"/>
              <w:rPr>
                <w:sz w:val="20"/>
                <w:szCs w:val="20"/>
                <w:color w:val="auto"/>
              </w:rPr>
            </w:pPr>
            <w:r>
              <w:rPr>
                <w:rFonts w:ascii="Arial" w:cs="Arial" w:eastAsia="Arial" w:hAnsi="Arial"/>
                <w:sz w:val="18"/>
                <w:szCs w:val="18"/>
                <w:color w:val="auto"/>
                <w:w w:val="92"/>
              </w:rPr>
              <w:t>For Bargaining Unit Employees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120" w:type="dxa"/>
            <w:vAlign w:val="bottom"/>
          </w:tcPr>
          <w:p>
            <w:pPr>
              <w:jc w:val="center"/>
              <w:ind w:right="33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120" w:type="dxa"/>
            <w:vAlign w:val="bottom"/>
          </w:tcPr>
          <w:p>
            <w:pPr>
              <w:jc w:val="center"/>
              <w:ind w:right="330"/>
              <w:spacing w:after="0"/>
              <w:rPr>
                <w:sz w:val="20"/>
                <w:szCs w:val="20"/>
                <w:color w:val="auto"/>
              </w:rPr>
            </w:pPr>
            <w:r>
              <w:rPr>
                <w:rFonts w:ascii="Arial" w:cs="Arial" w:eastAsia="Arial" w:hAnsi="Arial"/>
                <w:sz w:val="18"/>
                <w:szCs w:val="18"/>
                <w:color w:val="auto"/>
                <w:w w:val="89"/>
              </w:rPr>
              <w:t>Year Ended December 31, 2010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ind w:left="200"/>
              <w:spacing w:after="0"/>
              <w:rPr>
                <w:sz w:val="20"/>
                <w:szCs w:val="20"/>
                <w:color w:val="auto"/>
              </w:rPr>
            </w:pPr>
            <w:r>
              <w:rPr>
                <w:rFonts w:ascii="Arial" w:cs="Arial" w:eastAsia="Arial" w:hAnsi="Arial"/>
                <w:sz w:val="18"/>
                <w:szCs w:val="18"/>
                <w:color w:val="auto"/>
              </w:rPr>
              <w:t>Contributions: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Employee</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$ 1,596,120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gridSpan w:val="2"/>
          </w:tcPr>
          <w:p>
            <w:pPr>
              <w:ind w:left="400"/>
              <w:spacing w:after="0"/>
              <w:rPr>
                <w:sz w:val="20"/>
                <w:szCs w:val="20"/>
                <w:color w:val="auto"/>
              </w:rPr>
            </w:pPr>
            <w:r>
              <w:rPr>
                <w:rFonts w:ascii="Arial" w:cs="Arial" w:eastAsia="Arial" w:hAnsi="Arial"/>
                <w:sz w:val="18"/>
                <w:szCs w:val="18"/>
                <w:color w:val="auto"/>
              </w:rPr>
              <w:t>Employer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3,321,834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60" w:type="dxa"/>
            <w:vAlign w:val="bottom"/>
            <w:gridSpan w:val="2"/>
          </w:tcPr>
          <w:p>
            <w:pPr>
              <w:ind w:left="200"/>
              <w:spacing w:after="0"/>
              <w:rPr>
                <w:sz w:val="20"/>
                <w:szCs w:val="20"/>
                <w:color w:val="auto"/>
              </w:rPr>
            </w:pPr>
            <w:r>
              <w:rPr>
                <w:rFonts w:ascii="Arial" w:cs="Arial" w:eastAsia="Arial" w:hAnsi="Arial"/>
                <w:sz w:val="18"/>
                <w:szCs w:val="18"/>
                <w:color w:val="auto"/>
              </w:rPr>
              <w:t>Net investment gain from the Master Trust (Note 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923,380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 on notes receivable from participants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gridSpan w:val="2"/>
          </w:tcPr>
          <w:p>
            <w:pPr>
              <w:ind w:left="600"/>
              <w:spacing w:after="0"/>
              <w:rPr>
                <w:sz w:val="20"/>
                <w:szCs w:val="20"/>
                <w:color w:val="auto"/>
              </w:rPr>
            </w:pPr>
            <w:r>
              <w:rPr>
                <w:rFonts w:ascii="Arial" w:cs="Arial" w:eastAsia="Arial" w:hAnsi="Arial"/>
                <w:sz w:val="18"/>
                <w:szCs w:val="18"/>
                <w:color w:val="auto"/>
              </w:rPr>
              <w:t>Total additions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4,257,667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DEDUCTIONS FROM NET ASSETS AVAILABLE FOR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gridSpan w:val="2"/>
          </w:tcPr>
          <w:p>
            <w:pPr>
              <w:ind w:left="200"/>
              <w:spacing w:after="0"/>
              <w:rPr>
                <w:sz w:val="20"/>
                <w:szCs w:val="20"/>
                <w:color w:val="auto"/>
              </w:rPr>
            </w:pPr>
            <w:r>
              <w:rPr>
                <w:rFonts w:ascii="Arial" w:cs="Arial" w:eastAsia="Arial" w:hAnsi="Arial"/>
                <w:sz w:val="18"/>
                <w:szCs w:val="18"/>
                <w:color w:val="auto"/>
              </w:rPr>
              <w:t>Benefits paid to participants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deductions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480" w:type="dxa"/>
            <w:vAlign w:val="bottom"/>
            <w:gridSpan w:val="3"/>
          </w:tcPr>
          <w:p>
            <w:pPr>
              <w:spacing w:after="0"/>
              <w:rPr>
                <w:sz w:val="20"/>
                <w:szCs w:val="20"/>
                <w:color w:val="auto"/>
              </w:rPr>
            </w:pPr>
            <w:r>
              <w:rPr>
                <w:rFonts w:ascii="Arial" w:cs="Arial" w:eastAsia="Arial" w:hAnsi="Arial"/>
                <w:sz w:val="18"/>
                <w:szCs w:val="18"/>
                <w:color w:val="auto"/>
              </w:rPr>
              <w:t>NET INCREASE IN NET ASSETS AVAILABLE FOR BENEFITS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3,696,060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gridSpan w:val="2"/>
          </w:tcPr>
          <w:p>
            <w:pPr>
              <w:ind w:left="200"/>
              <w:spacing w:after="0"/>
              <w:rPr>
                <w:sz w:val="20"/>
                <w:szCs w:val="20"/>
                <w:color w:val="auto"/>
              </w:rPr>
            </w:pPr>
            <w:r>
              <w:rPr>
                <w:rFonts w:ascii="Arial" w:cs="Arial" w:eastAsia="Arial" w:hAnsi="Arial"/>
                <w:sz w:val="18"/>
                <w:szCs w:val="18"/>
                <w:color w:val="auto"/>
              </w:rPr>
              <w:t>Beginning of year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$ 9,959,172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Waste Management Retirement Savings Plan for Bargaining Unit Employees (the “Plan”) provides only general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Summary Plan Description and the plan document for a more complete description of the Plan’s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Holdings, Inc. and subsidiaries (“Waste Management”), and its affiliates (as defined in the Plan). The Plan is subject to the provisions of the Employee Retirement Income Security Act of 1974, as amended (“ERISA”).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board of directors of Waste Management, Inc. (the “Company”), the parent of Waste Management,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Lion Connecticut Holdings, Inc., a wholly-owned indirect subsidiary of ING America Insurance Holdings Inc. (“ING”), serves as recordkeeper.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Employees (as defined by the Plan) are eligible to participate in the Plan following completion of a 90-day period of service (as defined by the Plan) if they are covered by a collective bargaining agreement that provides for participation in the Plan.</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Individuals who are ineligible to participate in the Plan consist of (a) leased employees; (b) individuals providing services to Waste Management as independent contractors; (c) certain nonresident aliens who have no earned income from sources within the United States of America; and (d) individuals who are participants in certain other pension, retirement, profit-sharing, stock bonus, thrift or savings plans maintained by Waste Management or the Company other than the Waste Management Pension Plan for Collectively Bargained Employees or such other plans as may from time to time be determined by the Administrative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Participants may contribute from one percent to 25 percent of their pre-tax compensation, as defined by the Plan, not to exceed certain limits as described in the plan document (“Employee Contribution”). After-tax contributions are not permitted by the Plan. In addition, participants that are age 50 or older are eligible to make pre-tax catch-up contributions not to exceed certain limits described in the Plan document. Participants may also contribute amounts representing distributions from other qualified plans (“Rollover Contribution”). The Plan was amended to provide for Employer Contributions on behalf of eligible participants under the terms of certain applicable collective bargaining agreements.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2009 and 2010, the Plan, through its investments in the Master Trust, offered participants (a) five common/collective trust funds; (b) a Company common stock fund; (c) a self-managed account, which allows participants to select various securities sold on the New York Stock Exchange, American Stock Exchange and NASDAQ; (d) six target retirement-date funds, which are also common/collective trust funds; and (e) a stable value fund, which includes direct investments and investments in common/collective trust funds, managed by Galliard Capital Management (“Galliard”). With respect to the self-managed account, several restrictions apply and a minimum balance is required to participate. The Plan utilizes cash equivalents to temporarily hold monies pending settlement for transactions initiated by participants.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Master Trust.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Distributions of accounts invested in Company common stock may be taken in whole shares of common stock or cash.</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Participants may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six months after receiving the hardship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2010 and 2009.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percent of a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gain from the Master Trust” in the accompanying Statement of Changes in Net Assets Available for Benefits. In 2010, Waste Management elected to pay certain audit and legal fees of the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period financial information in order to conform to the current year presentation.</w:t>
      </w:r>
    </w:p>
    <w:p>
      <w:pPr>
        <w:spacing w:after="0" w:line="221" w:lineRule="exact"/>
        <w:rPr>
          <w:sz w:val="20"/>
          <w:szCs w:val="20"/>
          <w:color w:val="auto"/>
        </w:rPr>
      </w:pPr>
    </w:p>
    <w:p>
      <w:pPr>
        <w:ind w:right="868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56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Benefits are recorded when paid to participants.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preparation of the financial statements, and accompanying notes and schedule, requires management to make estimates that affect accounting for, and recognition and disclosure of, plan assets and liabilities and additions and deductions to/from net assets available for benefits. These estimates must be made because certain information used is dependent on future events, cannot be calculated with a high degree of precision from available data or simply cannot be readily calculated based on generally accepted methods. In some cases, these estimates are particularly difficult to determine and management must exercise significant judgment. Actual results could differ materially from the estimates and assumptions used in the preparation of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purpose of the Master Trust is the collective investment of the assets of participating employee benefit plans of Waste Management and the Company. The Master Trust’s assets are allocated among participating plans by assigning to each plan those transactions (primarily contributions, benefit payments and certain administrative expenses) which can be specifically identified, and by allocating among participating plans, in proportion to the fair value of the assets assigned to each plan, income and expenses resulting from the collective investment of the assets of the Master Trust.</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Corporate stocks, mutual funds and publicly-traded partnership interests held by the Master Trust are stated at fair value based on quoted market prices as of the financial statement date. The fair values of the common/collective trust funds held by the Master Trust are generally based on net asset values established by State Street (the issuer of the common/collective trust funds) based on fair values of the underlying assets. The investment options available within the Plan include a stable value fund that invests in fully benefit-responsive guaranteed investment contracts (“GICs”) and synthetic investment contracts (“Synthetic GICs”). In accordance with authoritative guidance issued by the Financial Accounting Standards Board (“FASB”), the fully benefit-responsive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 benefit-responsive investment contracts and an adjustment from fair value to contract value to arrive at Net Assets Available for Benefits. The fair value measurement of these investments is discussed further in Note 4. Short-term investments (included in amounts reported as common/collective trust funds herein) are stated at cost, which approximates fair value.</w:t>
      </w:r>
    </w:p>
    <w:p>
      <w:pPr>
        <w:spacing w:after="0" w:line="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 Interest income is recorded on the accrual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Plan investments are held in the Master Trust along with the Waste Management Retirement Savings Plan (the “Non-Union Plan”). As of December 31, 2010 and 2009, the Plan’s beneficial interest in the net assets of the Master Trust was 0.67% and 0.48%, respectively.</w:t>
      </w:r>
    </w:p>
    <w:p>
      <w:pPr>
        <w:spacing w:after="0" w:line="62"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Neither the Plan nor the Non-Union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Investments, at fair value: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Common/collective trust funds</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959,174,765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805,023,187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Stable value fund</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344,899,671</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326,037,431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WM common stock</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111,844,911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103,671,704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Corporate stocks — other than WM common stock</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14,363,774</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10,959,252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Mutual funds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20,124,526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Publicly-traded partnership interests and other</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424,601</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290,033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investments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1,450,832,248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1,262,387,315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non-interest bearing</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74,641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Securities sold receivable, net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51,787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1,450,907,171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1,262,443,942</w:t>
            </w:r>
          </w:p>
        </w:tc>
        <w:tc>
          <w:tcPr>
            <w:tcW w:w="0" w:type="dxa"/>
            <w:vAlign w:val="bottom"/>
          </w:tcPr>
          <w:p>
            <w:pPr>
              <w:spacing w:after="0"/>
              <w:rPr>
                <w:sz w:val="1"/>
                <w:szCs w:val="1"/>
                <w:color w:val="auto"/>
              </w:rPr>
            </w:pPr>
          </w:p>
        </w:tc>
      </w:tr>
      <w:tr>
        <w:trPr>
          <w:trHeight w:val="439"/>
        </w:trPr>
        <w:tc>
          <w:tcPr>
            <w:tcW w:w="80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payable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705,257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Securities purchased payable, net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140,366</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845,623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689,511</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8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1,450,061,548</w:t>
            </w:r>
          </w:p>
        </w:tc>
        <w:tc>
          <w:tcPr>
            <w:tcW w:w="1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1,261,754,431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(9,548,644)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(3,044,004)</w:t>
            </w:r>
          </w:p>
        </w:tc>
        <w:tc>
          <w:tcPr>
            <w:tcW w:w="0" w:type="dxa"/>
            <w:vAlign w:val="bottom"/>
          </w:tcPr>
          <w:p>
            <w:pPr>
              <w:spacing w:after="0"/>
              <w:rPr>
                <w:sz w:val="1"/>
                <w:szCs w:val="1"/>
                <w:color w:val="auto"/>
              </w:rPr>
            </w:pPr>
          </w:p>
        </w:tc>
      </w:tr>
      <w:tr>
        <w:trPr>
          <w:trHeight w:val="20"/>
        </w:trPr>
        <w:tc>
          <w:tcPr>
            <w:tcW w:w="8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80" w:type="dxa"/>
            <w:vAlign w:val="bottom"/>
            <w:gridSpan w:val="2"/>
          </w:tcPr>
          <w:p>
            <w:pPr>
              <w:spacing w:after="0"/>
              <w:rPr>
                <w:sz w:val="20"/>
                <w:szCs w:val="20"/>
                <w:color w:val="auto"/>
              </w:rPr>
            </w:pPr>
            <w:r>
              <w:rPr>
                <w:rFonts w:ascii="Arial" w:cs="Arial" w:eastAsia="Arial" w:hAnsi="Arial"/>
                <w:sz w:val="18"/>
                <w:szCs w:val="18"/>
                <w:color w:val="auto"/>
              </w:rPr>
              <w:t>Net assets, fully benefit-responsive investment contracts at contract value</w:t>
            </w:r>
          </w:p>
        </w:tc>
        <w:tc>
          <w:tcPr>
            <w:tcW w:w="4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1,440,512,904</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1,258,710,427</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w w:val="93"/>
              </w:rPr>
              <w:t>Respective interests in the net assets of the Master Trust by the Non-Union Plan and the Plan are as follows: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investments at fair value: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Non-Union Plan interest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1,440,403,471</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1,255,684,034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9,658,077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6,070,397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1,450,061,548</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1,261,754,431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Non-Union Plan interest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(9,504,574)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(3,035,954)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(44,070)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(9,548,644</w:t>
            </w:r>
          </w:p>
        </w:tc>
        <w:tc>
          <w:tcPr>
            <w:tcW w:w="620" w:type="dxa"/>
            <w:vAlign w:val="bottom"/>
          </w:tcPr>
          <w:p>
            <w:pPr>
              <w:jc w:val="right"/>
              <w:ind w:right="54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(3,044,004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investment contracts at contract value: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Non-Union Plan interest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1,430,898,897</w:t>
            </w:r>
          </w:p>
        </w:tc>
        <w:tc>
          <w:tcPr>
            <w:tcW w:w="6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1,252,648,080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9,614,007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6,062,347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0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1,440,512,904</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1,258,710,427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ind w:left="566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0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534"/>
        </w:trPr>
        <w:tc>
          <w:tcPr>
            <w:tcW w:w="8400" w:type="dxa"/>
            <w:vAlign w:val="bottom"/>
            <w:gridSpan w:val="2"/>
          </w:tcPr>
          <w:p>
            <w:pPr>
              <w:spacing w:after="0"/>
              <w:rPr>
                <w:sz w:val="20"/>
                <w:szCs w:val="20"/>
                <w:color w:val="auto"/>
              </w:rPr>
            </w:pPr>
            <w:r>
              <w:rPr>
                <w:rFonts w:ascii="Arial" w:cs="Arial" w:eastAsia="Arial" w:hAnsi="Arial"/>
                <w:sz w:val="18"/>
                <w:szCs w:val="18"/>
                <w:color w:val="auto"/>
                <w:w w:val="93"/>
              </w:rPr>
              <w:t>Income or loss from investments held in the Master Trust for the year ended December 31, 2010, was as follows:</w:t>
            </w:r>
          </w:p>
        </w:tc>
        <w:tc>
          <w:tcPr>
            <w:tcW w:w="1260" w:type="dxa"/>
            <w:vAlign w:val="bottom"/>
          </w:tcPr>
          <w:p>
            <w:pPr>
              <w:spacing w:after="0"/>
              <w:rPr>
                <w:sz w:val="24"/>
                <w:szCs w:val="24"/>
                <w:color w:val="auto"/>
              </w:rPr>
            </w:pPr>
          </w:p>
        </w:tc>
      </w:tr>
      <w:tr>
        <w:trPr>
          <w:trHeight w:val="418"/>
        </w:trPr>
        <w:tc>
          <w:tcPr>
            <w:tcW w:w="8400" w:type="dxa"/>
            <w:vAlign w:val="bottom"/>
            <w:gridSpan w:val="2"/>
          </w:tcPr>
          <w:p>
            <w:pPr>
              <w:spacing w:after="0"/>
              <w:rPr>
                <w:sz w:val="20"/>
                <w:szCs w:val="20"/>
                <w:color w:val="auto"/>
              </w:rPr>
            </w:pPr>
            <w:r>
              <w:rPr>
                <w:rFonts w:ascii="Arial" w:cs="Arial" w:eastAsia="Arial" w:hAnsi="Arial"/>
                <w:sz w:val="18"/>
                <w:szCs w:val="18"/>
                <w:color w:val="auto"/>
              </w:rPr>
              <w:t>Net appreciation in fair value of:</w:t>
            </w:r>
          </w:p>
        </w:tc>
        <w:tc>
          <w:tcPr>
            <w:tcW w:w="1260" w:type="dxa"/>
            <w:vAlign w:val="bottom"/>
          </w:tcPr>
          <w:p>
            <w:pPr>
              <w:spacing w:after="0"/>
              <w:rPr>
                <w:sz w:val="24"/>
                <w:szCs w:val="24"/>
                <w:color w:val="auto"/>
              </w:rPr>
            </w:pPr>
          </w:p>
        </w:tc>
      </w:tr>
      <w:tr>
        <w:trPr>
          <w:trHeight w:val="216"/>
        </w:trPr>
        <w:tc>
          <w:tcPr>
            <w:tcW w:w="8400" w:type="dxa"/>
            <w:vAlign w:val="bottom"/>
            <w:gridSpan w:val="2"/>
          </w:tcPr>
          <w:p>
            <w:pPr>
              <w:ind w:left="220"/>
              <w:spacing w:after="0"/>
              <w:rPr>
                <w:sz w:val="20"/>
                <w:szCs w:val="20"/>
                <w:color w:val="auto"/>
              </w:rPr>
            </w:pPr>
            <w:r>
              <w:rPr>
                <w:rFonts w:ascii="Arial" w:cs="Arial" w:eastAsia="Arial" w:hAnsi="Arial"/>
                <w:sz w:val="18"/>
                <w:szCs w:val="18"/>
                <w:color w:val="auto"/>
              </w:rPr>
              <w:t>Common/collective trust funds</w:t>
            </w:r>
          </w:p>
        </w:tc>
        <w:tc>
          <w:tcPr>
            <w:tcW w:w="1260" w:type="dxa"/>
            <w:vAlign w:val="bottom"/>
          </w:tcPr>
          <w:p>
            <w:pPr>
              <w:jc w:val="right"/>
              <w:spacing w:after="0"/>
              <w:rPr>
                <w:sz w:val="20"/>
                <w:szCs w:val="20"/>
                <w:color w:val="auto"/>
              </w:rPr>
            </w:pPr>
            <w:r>
              <w:rPr>
                <w:rFonts w:ascii="Arial" w:cs="Arial" w:eastAsia="Arial" w:hAnsi="Arial"/>
                <w:sz w:val="18"/>
                <w:szCs w:val="18"/>
                <w:color w:val="auto"/>
              </w:rPr>
              <w:t>$ 116,116,987</w:t>
            </w:r>
          </w:p>
        </w:tc>
      </w:tr>
      <w:tr>
        <w:trPr>
          <w:trHeight w:val="216"/>
        </w:trPr>
        <w:tc>
          <w:tcPr>
            <w:tcW w:w="8400" w:type="dxa"/>
            <w:vAlign w:val="bottom"/>
            <w:gridSpan w:val="2"/>
          </w:tcPr>
          <w:p>
            <w:pPr>
              <w:ind w:left="220"/>
              <w:spacing w:after="0"/>
              <w:rPr>
                <w:sz w:val="20"/>
                <w:szCs w:val="20"/>
                <w:color w:val="auto"/>
              </w:rPr>
            </w:pPr>
            <w:r>
              <w:rPr>
                <w:rFonts w:ascii="Arial" w:cs="Arial" w:eastAsia="Arial" w:hAnsi="Arial"/>
                <w:sz w:val="18"/>
                <w:szCs w:val="18"/>
                <w:color w:val="auto"/>
              </w:rPr>
              <w:t>Stable value fund</w:t>
            </w:r>
          </w:p>
        </w:tc>
        <w:tc>
          <w:tcPr>
            <w:tcW w:w="1260" w:type="dxa"/>
            <w:vAlign w:val="bottom"/>
          </w:tcPr>
          <w:p>
            <w:pPr>
              <w:jc w:val="right"/>
              <w:spacing w:after="0"/>
              <w:rPr>
                <w:sz w:val="20"/>
                <w:szCs w:val="20"/>
                <w:color w:val="auto"/>
              </w:rPr>
            </w:pPr>
            <w:r>
              <w:rPr>
                <w:rFonts w:ascii="Arial" w:cs="Arial" w:eastAsia="Arial" w:hAnsi="Arial"/>
                <w:sz w:val="18"/>
                <w:szCs w:val="18"/>
                <w:color w:val="auto"/>
              </w:rPr>
              <w:t>9,853,145</w:t>
            </w:r>
          </w:p>
        </w:tc>
      </w:tr>
      <w:tr>
        <w:trPr>
          <w:trHeight w:val="216"/>
        </w:trPr>
        <w:tc>
          <w:tcPr>
            <w:tcW w:w="8400" w:type="dxa"/>
            <w:vAlign w:val="bottom"/>
            <w:gridSpan w:val="2"/>
          </w:tcPr>
          <w:p>
            <w:pPr>
              <w:ind w:left="220"/>
              <w:spacing w:after="0"/>
              <w:rPr>
                <w:sz w:val="20"/>
                <w:szCs w:val="20"/>
                <w:color w:val="auto"/>
              </w:rPr>
            </w:pPr>
            <w:r>
              <w:rPr>
                <w:rFonts w:ascii="Arial" w:cs="Arial" w:eastAsia="Arial" w:hAnsi="Arial"/>
                <w:sz w:val="18"/>
                <w:szCs w:val="18"/>
                <w:color w:val="auto"/>
              </w:rPr>
              <w:t>WM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9,476,553</w:t>
            </w:r>
          </w:p>
        </w:tc>
      </w:tr>
      <w:tr>
        <w:trPr>
          <w:trHeight w:val="216"/>
        </w:trPr>
        <w:tc>
          <w:tcPr>
            <w:tcW w:w="8400" w:type="dxa"/>
            <w:vAlign w:val="bottom"/>
            <w:gridSpan w:val="2"/>
          </w:tcPr>
          <w:p>
            <w:pPr>
              <w:ind w:left="220"/>
              <w:spacing w:after="0"/>
              <w:rPr>
                <w:sz w:val="20"/>
                <w:szCs w:val="20"/>
                <w:color w:val="auto"/>
              </w:rPr>
            </w:pPr>
            <w:r>
              <w:rPr>
                <w:rFonts w:ascii="Arial" w:cs="Arial" w:eastAsia="Arial" w:hAnsi="Arial"/>
                <w:sz w:val="18"/>
                <w:szCs w:val="18"/>
                <w:color w:val="auto"/>
              </w:rPr>
              <w:t>Corporate stocks — other than WM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1,504,790</w:t>
            </w:r>
          </w:p>
        </w:tc>
      </w:tr>
      <w:tr>
        <w:trPr>
          <w:trHeight w:val="216"/>
        </w:trPr>
        <w:tc>
          <w:tcPr>
            <w:tcW w:w="8400" w:type="dxa"/>
            <w:vAlign w:val="bottom"/>
            <w:gridSpan w:val="2"/>
          </w:tcPr>
          <w:p>
            <w:pPr>
              <w:ind w:left="220"/>
              <w:spacing w:after="0"/>
              <w:rPr>
                <w:sz w:val="20"/>
                <w:szCs w:val="20"/>
                <w:color w:val="auto"/>
              </w:rPr>
            </w:pPr>
            <w:r>
              <w:rPr>
                <w:rFonts w:ascii="Arial" w:cs="Arial" w:eastAsia="Arial" w:hAnsi="Arial"/>
                <w:sz w:val="18"/>
                <w:szCs w:val="18"/>
                <w:color w:val="auto"/>
              </w:rPr>
              <w:t>Mutual funds</w:t>
            </w:r>
          </w:p>
        </w:tc>
        <w:tc>
          <w:tcPr>
            <w:tcW w:w="1260" w:type="dxa"/>
            <w:vAlign w:val="bottom"/>
          </w:tcPr>
          <w:p>
            <w:pPr>
              <w:jc w:val="right"/>
              <w:spacing w:after="0"/>
              <w:rPr>
                <w:sz w:val="20"/>
                <w:szCs w:val="20"/>
                <w:color w:val="auto"/>
              </w:rPr>
            </w:pPr>
            <w:r>
              <w:rPr>
                <w:rFonts w:ascii="Arial" w:cs="Arial" w:eastAsia="Arial" w:hAnsi="Arial"/>
                <w:sz w:val="18"/>
                <w:szCs w:val="18"/>
                <w:color w:val="auto"/>
              </w:rPr>
              <w:t>1,487,235</w:t>
            </w: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8"/>
                <w:szCs w:val="18"/>
                <w:color w:val="auto"/>
              </w:rPr>
              <w:t>Publicly-traded partnership interests and other</w:t>
            </w:r>
          </w:p>
        </w:tc>
        <w:tc>
          <w:tcPr>
            <w:tcW w:w="1260" w:type="dxa"/>
            <w:vAlign w:val="bottom"/>
          </w:tcPr>
          <w:p>
            <w:pPr>
              <w:jc w:val="right"/>
              <w:spacing w:after="0"/>
              <w:rPr>
                <w:sz w:val="20"/>
                <w:szCs w:val="20"/>
                <w:color w:val="auto"/>
              </w:rPr>
            </w:pPr>
            <w:r>
              <w:rPr>
                <w:rFonts w:ascii="Arial" w:cs="Arial" w:eastAsia="Arial" w:hAnsi="Arial"/>
                <w:sz w:val="18"/>
                <w:szCs w:val="18"/>
                <w:color w:val="auto"/>
              </w:rPr>
              <w:t>68,580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-960120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Total net appreciation in fair value of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Dividends — WM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Dividends — other than WM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income/(expense)</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Total investment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fees</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Net investment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Non-Union Plan interest in net investment gain from the Master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 interest in net investment gain from the Master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1" w:hanging="121"/>
        <w:spacing w:after="0"/>
        <w:tabs>
          <w:tab w:leader="none" w:pos="121" w:val="left"/>
        </w:tabs>
        <w:numPr>
          <w:ilvl w:val="0"/>
          <w:numId w:val="4"/>
        </w:numPr>
        <w:rPr>
          <w:rFonts w:ascii="Arial" w:cs="Arial" w:eastAsia="Arial" w:hAnsi="Arial"/>
          <w:sz w:val="16"/>
          <w:szCs w:val="16"/>
          <w:color w:val="auto"/>
        </w:rPr>
      </w:pPr>
      <w:r>
        <w:rPr>
          <w:rFonts w:ascii="Arial" w:cs="Arial" w:eastAsia="Arial" w:hAnsi="Arial"/>
          <w:sz w:val="16"/>
          <w:szCs w:val="16"/>
          <w:color w:val="auto"/>
        </w:rPr>
        <w:t>138,507,290</w:t>
      </w:r>
    </w:p>
    <w:p>
      <w:pPr>
        <w:spacing w:after="0" w:line="46" w:lineRule="exact"/>
        <w:rPr>
          <w:rFonts w:ascii="Arial" w:cs="Arial" w:eastAsia="Arial" w:hAnsi="Arial"/>
          <w:sz w:val="16"/>
          <w:szCs w:val="16"/>
          <w:color w:val="auto"/>
        </w:rPr>
      </w:pPr>
    </w:p>
    <w:p>
      <w:pPr>
        <w:ind w:left="741"/>
        <w:spacing w:after="0"/>
        <w:rPr>
          <w:rFonts w:ascii="Arial" w:cs="Arial" w:eastAsia="Arial" w:hAnsi="Arial"/>
          <w:sz w:val="16"/>
          <w:szCs w:val="16"/>
          <w:color w:val="auto"/>
        </w:rPr>
      </w:pPr>
      <w:r>
        <w:rPr>
          <w:rFonts w:ascii="Arial" w:cs="Arial" w:eastAsia="Arial" w:hAnsi="Arial"/>
          <w:sz w:val="16"/>
          <w:szCs w:val="16"/>
          <w:color w:val="auto"/>
        </w:rPr>
        <w:t>507</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3,892,543</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534,579</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5,849,999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3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148,784,918</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3,309,663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3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 w:lineRule="exact"/>
        <w:rPr>
          <w:sz w:val="20"/>
          <w:szCs w:val="20"/>
          <w:color w:val="auto"/>
        </w:rPr>
      </w:pPr>
    </w:p>
    <w:p>
      <w:pPr>
        <w:ind w:left="1"/>
        <w:spacing w:after="0"/>
        <w:rPr>
          <w:sz w:val="20"/>
          <w:szCs w:val="20"/>
          <w:color w:val="auto"/>
        </w:rPr>
      </w:pPr>
      <w:r>
        <w:rPr>
          <w:rFonts w:ascii="Arial" w:cs="Arial" w:eastAsia="Arial" w:hAnsi="Arial"/>
          <w:sz w:val="15"/>
          <w:szCs w:val="15"/>
          <w:u w:val="single" w:color="auto"/>
          <w:color w:val="auto"/>
        </w:rPr>
        <w:t>$ 145,475,255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43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94" w:lineRule="exact"/>
        <w:rPr>
          <w:sz w:val="20"/>
          <w:szCs w:val="20"/>
          <w:color w:val="auto"/>
        </w:rPr>
      </w:pPr>
    </w:p>
    <w:p>
      <w:pPr>
        <w:ind w:left="121" w:hanging="121"/>
        <w:spacing w:after="0"/>
        <w:tabs>
          <w:tab w:leader="none" w:pos="121" w:val="left"/>
        </w:tabs>
        <w:numPr>
          <w:ilvl w:val="0"/>
          <w:numId w:val="5"/>
        </w:numPr>
        <w:rPr>
          <w:rFonts w:ascii="Arial" w:cs="Arial" w:eastAsia="Arial" w:hAnsi="Arial"/>
          <w:sz w:val="16"/>
          <w:szCs w:val="16"/>
          <w:color w:val="auto"/>
        </w:rPr>
      </w:pPr>
      <w:r>
        <w:rPr>
          <w:rFonts w:ascii="Arial" w:cs="Arial" w:eastAsia="Arial" w:hAnsi="Arial"/>
          <w:sz w:val="16"/>
          <w:szCs w:val="16"/>
          <w:color w:val="auto"/>
        </w:rPr>
        <w:t>144,551,875</w:t>
      </w:r>
    </w:p>
    <w:p>
      <w:pPr>
        <w:spacing w:after="0" w:line="46" w:lineRule="exact"/>
        <w:rPr>
          <w:rFonts w:ascii="Arial" w:cs="Arial" w:eastAsia="Arial" w:hAnsi="Arial"/>
          <w:sz w:val="16"/>
          <w:szCs w:val="16"/>
          <w:color w:val="auto"/>
        </w:rPr>
      </w:pPr>
    </w:p>
    <w:p>
      <w:pPr>
        <w:ind w:left="421"/>
        <w:spacing w:after="0"/>
        <w:rPr>
          <w:rFonts w:ascii="Arial" w:cs="Arial" w:eastAsia="Arial" w:hAnsi="Arial"/>
          <w:sz w:val="16"/>
          <w:szCs w:val="16"/>
          <w:color w:val="auto"/>
        </w:rPr>
      </w:pPr>
      <w:r>
        <w:rPr>
          <w:rFonts w:ascii="Arial" w:cs="Arial" w:eastAsia="Arial" w:hAnsi="Arial"/>
          <w:sz w:val="16"/>
          <w:szCs w:val="16"/>
          <w:color w:val="auto"/>
        </w:rPr>
        <w:t>923,380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43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5" w:lineRule="exact"/>
        <w:rPr>
          <w:sz w:val="20"/>
          <w:szCs w:val="20"/>
          <w:color w:val="auto"/>
        </w:rPr>
      </w:pPr>
    </w:p>
    <w:p>
      <w:pPr>
        <w:ind w:left="1"/>
        <w:spacing w:after="0"/>
        <w:rPr>
          <w:sz w:val="20"/>
          <w:szCs w:val="20"/>
          <w:color w:val="auto"/>
        </w:rPr>
      </w:pPr>
      <w:r>
        <w:rPr>
          <w:rFonts w:ascii="Arial" w:cs="Arial" w:eastAsia="Arial" w:hAnsi="Arial"/>
          <w:sz w:val="15"/>
          <w:szCs w:val="15"/>
          <w:u w:val="single" w:color="auto"/>
          <w:color w:val="auto"/>
        </w:rPr>
        <w:t>$ 145,475,255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43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637" w:lineRule="exact"/>
        <w:rPr>
          <w:sz w:val="20"/>
          <w:szCs w:val="20"/>
          <w:color w:val="auto"/>
        </w:rPr>
      </w:pPr>
    </w:p>
    <w:p>
      <w:pPr>
        <w:sectPr>
          <w:pgSz w:w="11900" w:h="16838" w:orient="portrait"/>
          <w:cols w:equalWidth="0" w:num="2">
            <w:col w:w="9660" w:space="639"/>
            <w:col w:w="1101"/>
          </w:cols>
          <w:pgMar w:left="240" w:top="405" w:right="259" w:bottom="1440" w:gutter="0" w:footer="0" w:header="0"/>
        </w:sectPr>
      </w:pPr>
    </w:p>
    <w:p>
      <w:pPr>
        <w:ind w:right="720"/>
        <w:spacing w:after="0" w:line="308" w:lineRule="auto"/>
        <w:rPr>
          <w:sz w:val="20"/>
          <w:szCs w:val="20"/>
          <w:color w:val="auto"/>
        </w:rPr>
      </w:pPr>
      <w:r>
        <w:rPr>
          <w:rFonts w:ascii="Arial" w:cs="Arial" w:eastAsia="Arial" w:hAnsi="Arial"/>
          <w:sz w:val="17"/>
          <w:szCs w:val="17"/>
          <w:color w:val="auto"/>
        </w:rPr>
        <w:t>The trust funds held by the Master Trust include a stable value fund that invests in fully benefit-responsive GICs and Synthetic GICs. The following disclosures provide information about the nature of these investments and how fair values of these investments are measured.</w:t>
      </w:r>
    </w:p>
    <w:p>
      <w:pPr>
        <w:spacing w:after="0" w:line="3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 xml:space="preserve">Guaranteed Investment Contracts </w:t>
      </w:r>
      <w:r>
        <w:rPr>
          <w:rFonts w:ascii="Arial" w:cs="Arial" w:eastAsia="Arial" w:hAnsi="Arial"/>
          <w:sz w:val="17"/>
          <w:szCs w:val="17"/>
          <w:color w:val="auto"/>
        </w:rPr>
        <w:t>— GICs are contracts that provide a specified rate of return for a specific period of time. The fair values of the GICs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Plan’s Stable Value Fund are measured by the investment manager using a discounted cash flow methodology. Under this approach, the cash flows of each individual contract are discounted at the prevailing interpolated swap rate as of the appropriate measurement date.</w:t>
      </w:r>
    </w:p>
    <w:p>
      <w:pPr>
        <w:spacing w:after="0" w:line="5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that guarantee that participant transactions will be executed at contract value. The investment portfolio of a Synthetic GIC when coupled with a wrapper contract attempts to replicate the investment characteristics of traditional GICs.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Synthetic GICs included in the Plan’s stable value fund are measured as follows:</w:t>
      </w:r>
    </w:p>
    <w:p>
      <w:pPr>
        <w:spacing w:after="0" w:line="117" w:lineRule="exact"/>
        <w:rPr>
          <w:sz w:val="20"/>
          <w:szCs w:val="20"/>
          <w:color w:val="auto"/>
        </w:rPr>
      </w:pPr>
    </w:p>
    <w:p>
      <w:pPr>
        <w:ind w:left="340" w:right="100" w:hanging="332"/>
        <w:spacing w:after="0" w:line="276" w:lineRule="auto"/>
        <w:tabs>
          <w:tab w:leader="none" w:pos="34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77" w:lineRule="exact"/>
        <w:rPr>
          <w:rFonts w:ascii="Arial" w:cs="Arial" w:eastAsia="Arial" w:hAnsi="Arial"/>
          <w:sz w:val="17"/>
          <w:szCs w:val="17"/>
          <w:b w:val="1"/>
          <w:bCs w:val="1"/>
          <w:color w:val="auto"/>
        </w:rPr>
      </w:pPr>
    </w:p>
    <w:p>
      <w:pPr>
        <w:ind w:left="340" w:hanging="332"/>
        <w:spacing w:after="0" w:line="286" w:lineRule="auto"/>
        <w:tabs>
          <w:tab w:leader="none" w:pos="34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a market approach discounting methodology that incorporates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current market level rates for contract level wrap fees and the wrap fee being charged for the Synthetic GIC. This difference is calculated as a dollar value and discounted by the prevailing interpolated swap rate as of the appropriate measurement date.</w:t>
      </w:r>
    </w:p>
    <w:p>
      <w:pPr>
        <w:spacing w:after="0" w:line="5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interest crediting rates for the traditional GICs are agreed to in advance with the issuer. The interest crediting rates for Synthetic GICs are calculated on a quarterly basis using the contract value, and the value, yield and duration of the underlying securities, but cannot be less than zero.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2010, the stable value fund’s average yield based on actual earnings was 2.28% and 2.98% during 2010 and 2009, respectively, and its average yield based on the interest rate credited to participants was 3.16% and 3.07% during 2010 and 2009, respectively.</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participating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Contract issuers are generally not allowed to terminate GICs or Synthetic GICs and settle at an amount different from contract value unless there is a breach of contract which is not corrected within the time permitted by the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FASB-issued authoritative guidance associated with fair value measurements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tables provide by level, within the fair value hierarchy, a summary of investments of the Master Trust measured at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gridSpan w:val="9"/>
          </w:tcPr>
          <w:p>
            <w:pPr>
              <w:jc w:val="center"/>
              <w:ind w:right="134"/>
              <w:spacing w:after="0"/>
              <w:rPr>
                <w:sz w:val="20"/>
                <w:szCs w:val="20"/>
                <w:color w:val="auto"/>
              </w:rPr>
            </w:pPr>
            <w:r>
              <w:rPr>
                <w:rFonts w:ascii="Arial" w:cs="Arial" w:eastAsia="Arial" w:hAnsi="Arial"/>
                <w:sz w:val="14"/>
                <w:szCs w:val="14"/>
                <w:b w:val="1"/>
                <w:bCs w:val="1"/>
                <w:color w:val="auto"/>
                <w:w w:val="92"/>
              </w:rPr>
              <w:t>Fair Value Measurements at December 31, 2010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Quoted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Prices 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funds -</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Short-term investment fund</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1,672,227</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1,672,227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Small cap investment fund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65,811,512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65,811,512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Large cap investment fund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73,649,818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73,649,818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S&amp;P 500 investment fund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211,654,748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211,654,748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Bond market investment fund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69,962,560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69,962,560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investment fund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98,821,660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98,821,660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Target date retirement funds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437,602,240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437,602,240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common/collective trust funds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959,174,765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959,174,765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20" w:type="dxa"/>
            <w:vAlign w:val="bottom"/>
          </w:tcPr>
          <w:p>
            <w:pPr>
              <w:spacing w:after="0"/>
              <w:rPr>
                <w:sz w:val="20"/>
                <w:szCs w:val="20"/>
                <w:color w:val="auto"/>
              </w:rPr>
            </w:pPr>
            <w:r>
              <w:rPr>
                <w:rFonts w:ascii="Arial" w:cs="Arial" w:eastAsia="Arial" w:hAnsi="Arial"/>
                <w:sz w:val="18"/>
                <w:szCs w:val="18"/>
                <w:color w:val="auto"/>
              </w:rPr>
              <w:t>Stable value fund</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344,899,671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344,899,671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WM common stock</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111,844,911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111,844,911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Corporate stocks — other than WM common stock</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14,363,774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14,363,774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20,124,526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20,124,526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Publicly-traded partnership interests and other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424,601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424,601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Investments of the Master Trust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1,450,832,248</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146,757,812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1,304,074,436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51"/>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gridSpan w:val="9"/>
          </w:tcPr>
          <w:p>
            <w:pPr>
              <w:jc w:val="center"/>
              <w:ind w:right="134"/>
              <w:spacing w:after="0"/>
              <w:rPr>
                <w:sz w:val="20"/>
                <w:szCs w:val="20"/>
                <w:color w:val="auto"/>
              </w:rPr>
            </w:pPr>
            <w:r>
              <w:rPr>
                <w:rFonts w:ascii="Arial" w:cs="Arial" w:eastAsia="Arial" w:hAnsi="Arial"/>
                <w:sz w:val="14"/>
                <w:szCs w:val="14"/>
                <w:b w:val="1"/>
                <w:bCs w:val="1"/>
                <w:color w:val="auto"/>
                <w:w w:val="92"/>
              </w:rPr>
              <w:t>Fair Value Measurements at December 31, 2009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Quoted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Prices 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funds -</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Short-term investment fund</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4,823,872</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4,823,872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Small cap investment fund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47,635,305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47,635,305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Large cap investment fund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65,474,846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65,474,846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S&amp;P 500 investment fund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181,572,139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181,572,139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Bond market investment fund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54,012,817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54,012,817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investment fund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87,176,367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87,176,367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Target date retirement funds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364,327,841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364,327,841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common/collective trust funds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805,023,187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805,023,187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20" w:type="dxa"/>
            <w:vAlign w:val="bottom"/>
          </w:tcPr>
          <w:p>
            <w:pPr>
              <w:spacing w:after="0"/>
              <w:rPr>
                <w:sz w:val="20"/>
                <w:szCs w:val="20"/>
                <w:color w:val="auto"/>
              </w:rPr>
            </w:pPr>
            <w:r>
              <w:rPr>
                <w:rFonts w:ascii="Arial" w:cs="Arial" w:eastAsia="Arial" w:hAnsi="Arial"/>
                <w:sz w:val="18"/>
                <w:szCs w:val="18"/>
                <w:color w:val="auto"/>
              </w:rPr>
              <w:t>Stable value fund</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326,037,431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326,037,431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WM common stock</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103,671,704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103,671,704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Corporate stocks — other than WM common stock</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10,959,252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10,959,252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16,405,708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16,405,708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Publicly-traded partnership interests and other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290,033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290,033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Investments of Master Trust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1,262,387,315</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131,326,697</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1,131,060,618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Income Taxes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Plan has received a determination letter from the Internal Revenue Service (the “IRS”) dated November 30, 2001, stating that the Plan, as then designed, was then in compliance with the applicable requirements of the Internal Revenue Code (the “Code”). The Plan has been amended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On January 11, 2010, Waste Management filed an application for a renewed favorable determination letter.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2010 and 2009: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9,959,172</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$ 6,263,112</w:t>
            </w:r>
          </w:p>
        </w:tc>
      </w:tr>
      <w:tr>
        <w:trPr>
          <w:trHeight w:val="223"/>
        </w:trPr>
        <w:tc>
          <w:tcPr>
            <w:tcW w:w="20" w:type="dxa"/>
            <w:vAlign w:val="bottom"/>
          </w:tcPr>
          <w:p>
            <w:pPr>
              <w:spacing w:after="0"/>
              <w:rPr>
                <w:sz w:val="19"/>
                <w:szCs w:val="19"/>
                <w:color w:val="auto"/>
              </w:rPr>
            </w:pPr>
          </w:p>
        </w:tc>
        <w:tc>
          <w:tcPr>
            <w:tcW w:w="7900" w:type="dxa"/>
            <w:vAlign w:val="bottom"/>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44,070</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10,003,242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$ 6,271,162</w:t>
            </w: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increase in net assets available for benefits per the financial statements to the Form 5500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$ 3,696,060</w:t>
            </w:r>
          </w:p>
        </w:tc>
        <w:tc>
          <w:tcPr>
            <w:tcW w:w="80" w:type="dxa"/>
            <w:vAlign w:val="bottom"/>
            <w:shd w:val="clear" w:color="auto" w:fill="CCEEFF"/>
          </w:tcPr>
          <w:p>
            <w:pPr>
              <w:spacing w:after="0"/>
              <w:rPr>
                <w:sz w:val="18"/>
                <w:szCs w:val="18"/>
                <w:color w:val="auto"/>
              </w:rPr>
            </w:pPr>
          </w:p>
        </w:tc>
      </w:tr>
      <w:tr>
        <w:trPr>
          <w:trHeight w:val="216"/>
        </w:trPr>
        <w:tc>
          <w:tcPr>
            <w:tcW w:w="10480" w:type="dxa"/>
            <w:vAlign w:val="bottom"/>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 at December 31, 2009</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(8,050)</w:t>
            </w:r>
          </w:p>
        </w:tc>
      </w:tr>
      <w:tr>
        <w:trPr>
          <w:trHeight w:val="216"/>
        </w:trPr>
        <w:tc>
          <w:tcPr>
            <w:tcW w:w="10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 from fair value to contract value for fully benefit-responsive investment contracts at December 31, 2010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44,070</w:t>
            </w:r>
          </w:p>
        </w:tc>
        <w:tc>
          <w:tcPr>
            <w:tcW w:w="80" w:type="dxa"/>
            <w:vAlign w:val="bottom"/>
            <w:shd w:val="clear" w:color="auto" w:fill="CCEEFF"/>
          </w:tcPr>
          <w:p>
            <w:pPr>
              <w:spacing w:after="0"/>
              <w:rPr>
                <w:sz w:val="18"/>
                <w:szCs w:val="18"/>
                <w:color w:val="auto"/>
              </w:rPr>
            </w:pPr>
          </w:p>
        </w:tc>
      </w:tr>
      <w:tr>
        <w:trPr>
          <w:trHeight w:val="223"/>
        </w:trPr>
        <w:tc>
          <w:tcPr>
            <w:tcW w:w="1048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$ 3,732,080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Plan Termination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Although it has not expressed any intention to do so, subject to the terms of any applicable collective bargaining agreement, the Company has the right to terminate the Plan subject to the provisions of ERISA.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Bond Fund Performance Settlements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During 2007, there was a decline in the market value of the bond market fund that included a negative divergence from the performance benchmark. The decline led to initiation of a class-action lawsuit against State Street and its affiliate, State Street Global Advisors, Inc., with the Plan included in the represented class. A proposed settlement of that action was reached in November 2009.</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January 2010, after an evaluation of available alternatives and a verification of the methodology utilized by the class, including recommendations from independent advisors, the Administrative and Investment Committees for the Plan determined it was prudent for the Plan to participate in the class settlement. Following court approval of the settlement, the Master Trust for the Plan received a payment of $4,973,459 in May 2010.</w:t>
      </w:r>
    </w:p>
    <w:p>
      <w:pPr>
        <w:spacing w:after="0" w:line="5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February 2010, the Securities and Exchange Commission announced that it had entered into a separate settlement agreement with State Street to resolve the SEC investigation into losses incurred by, and disclosures made with respect to, certain active fixed income strategies managed by State Street Global Advisors. Under the terms of the SEC agreement, the Master Trust for the Plan received an additional payment of $869,391 in March 2010.</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 2010, total settlement payments, including interest, of $5,846,428 were included in “Other income/(expense)” for the Master Trust, consisting of</w:t>
      </w:r>
    </w:p>
    <w:p>
      <w:pPr>
        <w:spacing w:after="0" w:line="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$5,834,373 for the Non-Union Plan and $12,055 for this Plan. Settlement proceeds were distributed on September 10, 2010 to impacted Plan participants, based on their daily account holdings during the third quarter of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investments of the Plan are managed by State Street. State Street is the trustee of the Plan and, therefore, these transactions qualify as party-in-interest transactions. The stable value fund is managed by Galliard, a subsidiary of Wells Fargo Bank, N.A., custodian for the fund. Therefore, these transactions qualify as party-in-interest transactions. Additionally, a portion of the Plan’s assets are invested in the Company’s common stock. Because the Company is the plan sponsor, transactions involving the Company’s common stock qualify as party-in-interest transactions. All of these transactions are exempt from the prohibited transactions rules.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98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61"/>
        </w:trPr>
        <w:tc>
          <w:tcPr>
            <w:tcW w:w="28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80" w:type="dxa"/>
            <w:vAlign w:val="bottom"/>
            <w:gridSpan w:val="2"/>
          </w:tcPr>
          <w:p>
            <w:pPr>
              <w:jc w:val="center"/>
              <w:ind w:right="2176"/>
              <w:spacing w:after="0"/>
              <w:rPr>
                <w:sz w:val="20"/>
                <w:szCs w:val="20"/>
                <w:color w:val="auto"/>
              </w:rPr>
            </w:pPr>
            <w:r>
              <w:rPr>
                <w:rFonts w:ascii="Arial" w:cs="Arial" w:eastAsia="Arial" w:hAnsi="Arial"/>
                <w:sz w:val="18"/>
                <w:szCs w:val="18"/>
                <w:color w:val="auto"/>
                <w:w w:val="88"/>
              </w:rPr>
              <w:t>Waste Management Retirement Savings Plan</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80" w:type="dxa"/>
            <w:vAlign w:val="bottom"/>
            <w:gridSpan w:val="2"/>
          </w:tcPr>
          <w:p>
            <w:pPr>
              <w:jc w:val="center"/>
              <w:ind w:right="2196"/>
              <w:spacing w:after="0"/>
              <w:rPr>
                <w:sz w:val="20"/>
                <w:szCs w:val="20"/>
                <w:color w:val="auto"/>
              </w:rPr>
            </w:pPr>
            <w:r>
              <w:rPr>
                <w:rFonts w:ascii="Arial" w:cs="Arial" w:eastAsia="Arial" w:hAnsi="Arial"/>
                <w:sz w:val="18"/>
                <w:szCs w:val="18"/>
                <w:color w:val="auto"/>
                <w:w w:val="92"/>
              </w:rPr>
              <w:t>For Bargaining Unit Employees</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760" w:type="dxa"/>
            <w:vAlign w:val="bottom"/>
            <w:gridSpan w:val="4"/>
          </w:tcPr>
          <w:p>
            <w:pPr>
              <w:jc w:val="center"/>
              <w:ind w:right="1196"/>
              <w:spacing w:after="0"/>
              <w:rPr>
                <w:sz w:val="20"/>
                <w:szCs w:val="20"/>
                <w:color w:val="auto"/>
              </w:rPr>
            </w:pPr>
            <w:r>
              <w:rPr>
                <w:rFonts w:ascii="Arial" w:cs="Arial" w:eastAsia="Arial" w:hAnsi="Arial"/>
                <w:sz w:val="18"/>
                <w:szCs w:val="18"/>
                <w:color w:val="auto"/>
                <w:w w:val="91"/>
              </w:rPr>
              <w:t>Schedule H, Line 4(i) — Schedule of Assets (Held At End of Year)</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ind w:left="400"/>
              <w:spacing w:after="0"/>
              <w:rPr>
                <w:sz w:val="20"/>
                <w:szCs w:val="20"/>
                <w:color w:val="auto"/>
              </w:rPr>
            </w:pPr>
            <w:r>
              <w:rPr>
                <w:rFonts w:ascii="Arial" w:cs="Arial" w:eastAsia="Arial" w:hAnsi="Arial"/>
                <w:sz w:val="18"/>
                <w:szCs w:val="18"/>
                <w:color w:val="auto"/>
                <w:w w:val="91"/>
              </w:rPr>
              <w:t>EIN: 36-2660763</w:t>
            </w:r>
          </w:p>
        </w:tc>
        <w:tc>
          <w:tcPr>
            <w:tcW w:w="4120" w:type="dxa"/>
            <w:vAlign w:val="bottom"/>
          </w:tcPr>
          <w:p>
            <w:pPr>
              <w:ind w:left="760"/>
              <w:spacing w:after="0"/>
              <w:rPr>
                <w:sz w:val="20"/>
                <w:szCs w:val="20"/>
                <w:color w:val="auto"/>
              </w:rPr>
            </w:pPr>
            <w:r>
              <w:rPr>
                <w:rFonts w:ascii="Arial" w:cs="Arial" w:eastAsia="Arial" w:hAnsi="Arial"/>
                <w:sz w:val="18"/>
                <w:szCs w:val="18"/>
                <w:color w:val="auto"/>
              </w:rPr>
              <w:t>Plan: 007</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80" w:type="dxa"/>
            <w:vAlign w:val="bottom"/>
            <w:gridSpan w:val="2"/>
          </w:tcPr>
          <w:p>
            <w:pPr>
              <w:jc w:val="center"/>
              <w:ind w:right="2196"/>
              <w:spacing w:after="0"/>
              <w:rPr>
                <w:sz w:val="20"/>
                <w:szCs w:val="20"/>
                <w:color w:val="auto"/>
              </w:rPr>
            </w:pPr>
            <w:r>
              <w:rPr>
                <w:rFonts w:ascii="Arial" w:cs="Arial" w:eastAsia="Arial" w:hAnsi="Arial"/>
                <w:sz w:val="18"/>
                <w:szCs w:val="18"/>
                <w:color w:val="auto"/>
                <w:w w:val="89"/>
              </w:rPr>
              <w:t>December 31, 2010</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980" w:type="dxa"/>
            <w:vAlign w:val="bottom"/>
            <w:gridSpan w:val="4"/>
          </w:tcPr>
          <w:p>
            <w:pPr>
              <w:spacing w:after="0"/>
              <w:rPr>
                <w:sz w:val="20"/>
                <w:szCs w:val="20"/>
                <w:color w:val="auto"/>
              </w:rPr>
            </w:pPr>
            <w:r>
              <w:rPr>
                <w:rFonts w:ascii="Arial" w:cs="Arial" w:eastAsia="Arial" w:hAnsi="Arial"/>
                <w:sz w:val="14"/>
                <w:szCs w:val="14"/>
                <w:b w:val="1"/>
                <w:bCs w:val="1"/>
                <w:color w:val="auto"/>
              </w:rPr>
              <w:t>Identity of Issue</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120" w:type="dxa"/>
            <w:vAlign w:val="bottom"/>
          </w:tcPr>
          <w:p>
            <w:pPr>
              <w:ind w:left="440"/>
              <w:spacing w:after="0"/>
              <w:rPr>
                <w:sz w:val="20"/>
                <w:szCs w:val="20"/>
                <w:color w:val="auto"/>
              </w:rPr>
            </w:pPr>
            <w:r>
              <w:rPr>
                <w:rFonts w:ascii="Arial" w:cs="Arial" w:eastAsia="Arial" w:hAnsi="Arial"/>
                <w:sz w:val="14"/>
                <w:szCs w:val="14"/>
                <w:b w:val="1"/>
                <w:bCs w:val="1"/>
                <w:color w:val="auto"/>
              </w:rPr>
              <w:t>Description of Investment</w:t>
            </w:r>
          </w:p>
        </w:tc>
        <w:tc>
          <w:tcPr>
            <w:tcW w:w="6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Current Value</w:t>
            </w:r>
          </w:p>
        </w:tc>
      </w:tr>
      <w:tr>
        <w:trPr>
          <w:trHeight w:val="224"/>
        </w:trPr>
        <w:tc>
          <w:tcPr>
            <w:tcW w:w="29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*Notes Receivable from Participants</w:t>
            </w: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Various maturity dates with interest rates ranging from 4.25% to 9.25%</w:t>
            </w:r>
          </w:p>
        </w:tc>
        <w:tc>
          <w:tcPr>
            <w:tcW w:w="680" w:type="dxa"/>
            <w:vAlign w:val="bottom"/>
          </w:tcPr>
          <w:p>
            <w:pPr>
              <w:spacing w:after="0"/>
              <w:rPr>
                <w:sz w:val="19"/>
                <w:szCs w:val="19"/>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   286,389</w:t>
            </w:r>
          </w:p>
        </w:tc>
        <w:tc>
          <w:tcPr>
            <w:tcW w:w="100" w:type="dxa"/>
            <w:vAlign w:val="bottom"/>
          </w:tcPr>
          <w:p>
            <w:pPr>
              <w:spacing w:after="0"/>
              <w:rPr>
                <w:sz w:val="19"/>
                <w:szCs w:val="19"/>
                <w:color w:val="auto"/>
              </w:rPr>
            </w:pPr>
          </w:p>
        </w:tc>
      </w:tr>
      <w:tr>
        <w:trPr>
          <w:trHeight w:val="283"/>
        </w:trPr>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gridSpan w:val="3"/>
          </w:tcPr>
          <w:p>
            <w:pPr>
              <w:ind w:left="180"/>
              <w:spacing w:after="0"/>
              <w:rPr>
                <w:sz w:val="20"/>
                <w:szCs w:val="20"/>
                <w:color w:val="auto"/>
              </w:rPr>
            </w:pPr>
            <w:r>
              <w:rPr>
                <w:rFonts w:ascii="Arial" w:cs="Arial" w:eastAsia="Arial" w:hAnsi="Arial"/>
                <w:sz w:val="18"/>
                <w:szCs w:val="18"/>
                <w:color w:val="auto"/>
              </w:rPr>
              <w:t>Party-in-interest</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120" w:type="dxa"/>
            <w:vAlign w:val="bottom"/>
          </w:tcPr>
          <w:p>
            <w:pPr>
              <w:jc w:val="center"/>
              <w:ind w:right="3856"/>
              <w:spacing w:after="0"/>
              <w:rPr>
                <w:sz w:val="20"/>
                <w:szCs w:val="20"/>
                <w:color w:val="auto"/>
              </w:rPr>
            </w:pPr>
            <w:r>
              <w:rPr>
                <w:rFonts w:ascii="Arial" w:cs="Arial" w:eastAsia="Arial" w:hAnsi="Arial"/>
                <w:sz w:val="18"/>
                <w:szCs w:val="18"/>
                <w:color w:val="auto"/>
                <w:w w:val="89"/>
              </w:rPr>
              <w:t>12</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2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RETIREMENT</w:t>
            </w:r>
          </w:p>
        </w:tc>
        <w:tc>
          <w:tcPr>
            <w:tcW w:w="16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SAVINGS PLAN FOR BARGAINING</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UNIT EMPLOYEES</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27, 2011</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Krista DelSota</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Krista DelSota</w:t>
            </w:r>
          </w:p>
        </w:tc>
        <w:tc>
          <w:tcPr>
            <w:tcW w:w="168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 Compensation, Benefits and</w:t>
            </w:r>
          </w:p>
        </w:tc>
        <w:tc>
          <w:tcPr>
            <w:tcW w:w="16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Human Resources Information Management</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18"/>
        </w:trPr>
        <w:tc>
          <w:tcPr>
            <w:tcW w:w="3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Member, Administrative Committee of the Waste</w:t>
            </w:r>
          </w:p>
        </w:tc>
        <w:tc>
          <w:tcPr>
            <w:tcW w:w="1680" w:type="dxa"/>
            <w:vAlign w:val="bottom"/>
          </w:tcPr>
          <w:p>
            <w:pPr>
              <w:spacing w:after="0"/>
              <w:rPr>
                <w:sz w:val="24"/>
                <w:szCs w:val="24"/>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Management Employee Benefit Plans</w:t>
            </w:r>
          </w:p>
        </w:tc>
        <w:tc>
          <w:tcPr>
            <w:tcW w:w="1680" w:type="dxa"/>
            <w:vAlign w:val="bottom"/>
          </w:tcPr>
          <w:p>
            <w:pPr>
              <w:spacing w:after="0"/>
              <w:rPr>
                <w:sz w:val="20"/>
                <w:szCs w:val="20"/>
                <w:color w:val="auto"/>
              </w:rPr>
            </w:pPr>
          </w:p>
        </w:tc>
      </w:tr>
      <w:tr>
        <w:trPr>
          <w:trHeight w:val="405"/>
        </w:trPr>
        <w:tc>
          <w:tcPr>
            <w:tcW w:w="3400" w:type="dxa"/>
            <w:vAlign w:val="bottom"/>
          </w:tcPr>
          <w:p>
            <w:pPr>
              <w:spacing w:after="0"/>
              <w:rPr>
                <w:sz w:val="24"/>
                <w:szCs w:val="24"/>
                <w:color w:val="auto"/>
              </w:rPr>
            </w:pPr>
          </w:p>
        </w:tc>
        <w:tc>
          <w:tcPr>
            <w:tcW w:w="6340" w:type="dxa"/>
            <w:vAlign w:val="bottom"/>
            <w:gridSpan w:val="2"/>
          </w:tcPr>
          <w:p>
            <w:pPr>
              <w:ind w:left="2220"/>
              <w:spacing w:after="0"/>
              <w:rPr>
                <w:sz w:val="20"/>
                <w:szCs w:val="20"/>
                <w:color w:val="auto"/>
              </w:rPr>
            </w:pPr>
            <w:r>
              <w:rPr>
                <w:rFonts w:ascii="Arial" w:cs="Arial" w:eastAsia="Arial" w:hAnsi="Arial"/>
                <w:sz w:val="18"/>
                <w:szCs w:val="18"/>
                <w:color w:val="auto"/>
              </w:rPr>
              <w:t>13</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80" w:type="dxa"/>
            <w:vAlign w:val="bottom"/>
          </w:tcPr>
          <w:p>
            <w:pPr>
              <w:jc w:val="center"/>
              <w:ind w:right="1436"/>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9880" w:type="dxa"/>
            <w:vAlign w:val="bottom"/>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Pr>
          <w:p>
            <w:pPr>
              <w:spacing w:after="0"/>
              <w:rPr>
                <w:sz w:val="14"/>
                <w:szCs w:val="14"/>
                <w:color w:val="auto"/>
              </w:rPr>
            </w:pPr>
          </w:p>
        </w:tc>
        <w:tc>
          <w:tcPr>
            <w:tcW w:w="9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0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54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91"/>
        </w:trPr>
        <w:tc>
          <w:tcPr>
            <w:tcW w:w="1000" w:type="dxa"/>
            <w:vAlign w:val="bottom"/>
          </w:tcPr>
          <w:p>
            <w:pPr>
              <w:spacing w:after="0"/>
              <w:rPr>
                <w:sz w:val="24"/>
                <w:szCs w:val="24"/>
                <w:color w:val="auto"/>
              </w:rPr>
            </w:pPr>
          </w:p>
        </w:tc>
        <w:tc>
          <w:tcPr>
            <w:tcW w:w="10420" w:type="dxa"/>
            <w:vAlign w:val="bottom"/>
            <w:gridSpan w:val="2"/>
          </w:tcPr>
          <w:p>
            <w:pPr>
              <w:jc w:val="right"/>
              <w:ind w:right="553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333-153363) pertaining to the Waste Management Retirement Savings Plan for Bargaining Unit Employees of our report dated May 27, 2011, with respect to the financial statements and schedule of the Waste Management Retirement Savings Plan for Bargaining Unit Employees included in this Annual Report (Form 11-K) for the year ended December 31, 2010.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27,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2019-12-10T07:58:05Z</dcterms:created>
  <dcterms:modified xsi:type="dcterms:W3CDTF">2019-12-10T07:58:05Z</dcterms:modified>
</cp:coreProperties>
</file>