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6"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WASHINGTON, D.C. 20549</w:t>
      </w:r>
    </w:p>
    <w:p>
      <w:pPr>
        <w:spacing w:after="0" w:line="149"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FORM 10-Q</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(MARK ONE)</w:t>
      </w:r>
    </w:p>
    <w:p>
      <w:pPr>
        <w:spacing w:after="0" w:line="177" w:lineRule="exact"/>
        <w:rPr>
          <w:sz w:val="24"/>
          <w:szCs w:val="24"/>
          <w:color w:val="auto"/>
        </w:rPr>
      </w:pPr>
    </w:p>
    <w:p>
      <w:pPr>
        <w:ind w:left="465" w:right="4559" w:hanging="465"/>
        <w:spacing w:after="0" w:line="342" w:lineRule="auto"/>
        <w:tabs>
          <w:tab w:leader="none" w:pos="558"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20" w:lineRule="exact"/>
        <w:rPr>
          <w:sz w:val="24"/>
          <w:szCs w:val="24"/>
          <w:color w:val="auto"/>
        </w:rPr>
      </w:pPr>
    </w:p>
    <w:p>
      <w:pPr>
        <w:jc w:val="center"/>
        <w:ind w:right="2415"/>
        <w:spacing w:after="0"/>
        <w:rPr>
          <w:sz w:val="20"/>
          <w:szCs w:val="20"/>
          <w:color w:val="auto"/>
        </w:rPr>
      </w:pPr>
      <w:r>
        <w:rPr>
          <w:rFonts w:ascii="Courier New" w:cs="Courier New" w:eastAsia="Courier New" w:hAnsi="Courier New"/>
          <w:sz w:val="16"/>
          <w:szCs w:val="16"/>
          <w:color w:val="auto"/>
        </w:rPr>
        <w:t>FOR THE QUARTERLY PERIOD ENDED JUNE 30, 2001</w:t>
      </w:r>
    </w:p>
    <w:p>
      <w:pPr>
        <w:spacing w:after="0" w:line="177" w:lineRule="exact"/>
        <w:rPr>
          <w:sz w:val="24"/>
          <w:szCs w:val="24"/>
          <w:color w:val="auto"/>
        </w:rPr>
      </w:pPr>
    </w:p>
    <w:p>
      <w:pPr>
        <w:ind w:left="3805"/>
        <w:spacing w:after="0"/>
        <w:rPr>
          <w:sz w:val="20"/>
          <w:szCs w:val="20"/>
          <w:color w:val="auto"/>
        </w:rPr>
      </w:pPr>
      <w:r>
        <w:rPr>
          <w:rFonts w:ascii="Courier New" w:cs="Courier New" w:eastAsia="Courier New" w:hAnsi="Courier New"/>
          <w:sz w:val="16"/>
          <w:szCs w:val="16"/>
          <w:color w:val="auto"/>
        </w:rPr>
        <w:t>OR</w:t>
      </w:r>
    </w:p>
    <w:p>
      <w:pPr>
        <w:spacing w:after="0" w:line="177" w:lineRule="exact"/>
        <w:rPr>
          <w:sz w:val="24"/>
          <w:szCs w:val="24"/>
          <w:color w:val="auto"/>
        </w:rPr>
      </w:pPr>
    </w:p>
    <w:p>
      <w:pPr>
        <w:ind w:left="465" w:right="4459" w:hanging="465"/>
        <w:spacing w:after="0" w:line="342" w:lineRule="auto"/>
        <w:tabs>
          <w:tab w:leader="none" w:pos="1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20" w:lineRule="exact"/>
        <w:rPr>
          <w:sz w:val="24"/>
          <w:szCs w:val="24"/>
          <w:color w:val="auto"/>
        </w:rPr>
      </w:pPr>
    </w:p>
    <w:p>
      <w:pPr>
        <w:ind w:left="925"/>
        <w:spacing w:after="0"/>
        <w:tabs>
          <w:tab w:leader="none" w:pos="5184"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6"/>
          <w:szCs w:val="16"/>
          <w:color w:val="auto"/>
        </w:rPr>
        <w:t>TO</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COMMISSION FILE NUMBER 1-12154</w:t>
      </w:r>
    </w:p>
    <w:p>
      <w:pPr>
        <w:spacing w:after="0" w:line="177"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WASTE MANAGEMENT, INC.</w:t>
      </w:r>
    </w:p>
    <w:p>
      <w:pPr>
        <w:spacing w:after="0" w:line="26"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00" w:lineRule="exact"/>
        <w:rPr>
          <w:sz w:val="24"/>
          <w:szCs w:val="24"/>
          <w:color w:val="auto"/>
        </w:rPr>
      </w:pPr>
    </w:p>
    <w:p>
      <w:pPr>
        <w:spacing w:after="0" w:line="304" w:lineRule="exact"/>
        <w:rPr>
          <w:sz w:val="24"/>
          <w:szCs w:val="24"/>
          <w:color w:val="auto"/>
        </w:rPr>
      </w:pPr>
    </w:p>
    <w:tbl>
      <w:tblPr>
        <w:tblLayout w:type="fixed"/>
        <w:tblInd w:w="645" w:type="dxa"/>
        <w:tblCellMar>
          <w:top w:w="0" w:type="dxa"/>
          <w:left w:w="0" w:type="dxa"/>
          <w:bottom w:w="0" w:type="dxa"/>
          <w:right w:w="0" w:type="dxa"/>
        </w:tblCellMar>
      </w:tblPr>
      <w:tr>
        <w:trPr>
          <w:trHeight w:val="181"/>
        </w:trPr>
        <w:tc>
          <w:tcPr>
            <w:tcW w:w="3920" w:type="dxa"/>
            <w:vAlign w:val="bottom"/>
          </w:tcPr>
          <w:p>
            <w:pPr>
              <w:jc w:val="right"/>
              <w:ind w:right="1982"/>
              <w:spacing w:after="0"/>
              <w:rPr>
                <w:sz w:val="20"/>
                <w:szCs w:val="20"/>
                <w:color w:val="auto"/>
              </w:rPr>
            </w:pPr>
            <w:r>
              <w:rPr>
                <w:rFonts w:ascii="Courier New" w:cs="Courier New" w:eastAsia="Courier New" w:hAnsi="Courier New"/>
                <w:sz w:val="16"/>
                <w:szCs w:val="16"/>
                <w:color w:val="auto"/>
              </w:rPr>
              <w:t>DELAWARE</w:t>
            </w:r>
          </w:p>
        </w:tc>
        <w:tc>
          <w:tcPr>
            <w:tcW w:w="27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73-1309529</w:t>
            </w:r>
          </w:p>
        </w:tc>
      </w:tr>
      <w:tr>
        <w:trPr>
          <w:trHeight w:val="179"/>
        </w:trPr>
        <w:tc>
          <w:tcPr>
            <w:tcW w:w="392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w w:val="96"/>
              </w:rPr>
              <w:t>(STATE OR OTHER JURISDICTION OF</w:t>
            </w:r>
          </w:p>
        </w:tc>
        <w:tc>
          <w:tcPr>
            <w:tcW w:w="2780" w:type="dxa"/>
            <w:vAlign w:val="bottom"/>
          </w:tcPr>
          <w:p>
            <w:pPr>
              <w:jc w:val="center"/>
              <w:ind w:left="1042"/>
              <w:spacing w:after="0" w:line="179" w:lineRule="exact"/>
              <w:rPr>
                <w:sz w:val="20"/>
                <w:szCs w:val="20"/>
                <w:color w:val="auto"/>
              </w:rPr>
            </w:pPr>
            <w:r>
              <w:rPr>
                <w:rFonts w:ascii="Courier New" w:cs="Courier New" w:eastAsia="Courier New" w:hAnsi="Courier New"/>
                <w:sz w:val="16"/>
                <w:szCs w:val="16"/>
                <w:color w:val="auto"/>
                <w:w w:val="97"/>
              </w:rPr>
              <w:t>(I.R.S. EMPLOYER</w:t>
            </w:r>
          </w:p>
        </w:tc>
      </w:tr>
      <w:tr>
        <w:trPr>
          <w:trHeight w:val="261"/>
        </w:trPr>
        <w:tc>
          <w:tcPr>
            <w:tcW w:w="3920" w:type="dxa"/>
            <w:vAlign w:val="bottom"/>
          </w:tcPr>
          <w:p>
            <w:pPr>
              <w:jc w:val="right"/>
              <w:ind w:right="942"/>
              <w:spacing w:after="0"/>
              <w:rPr>
                <w:sz w:val="20"/>
                <w:szCs w:val="20"/>
                <w:color w:val="auto"/>
              </w:rPr>
            </w:pPr>
            <w:r>
              <w:rPr>
                <w:rFonts w:ascii="Courier New" w:cs="Courier New" w:eastAsia="Courier New" w:hAnsi="Courier New"/>
                <w:sz w:val="16"/>
                <w:szCs w:val="16"/>
                <w:color w:val="auto"/>
                <w:w w:val="99"/>
              </w:rPr>
              <w:t>INCORPORATION OR ORGANIZATION)</w:t>
            </w:r>
          </w:p>
        </w:tc>
        <w:tc>
          <w:tcPr>
            <w:tcW w:w="2780" w:type="dxa"/>
            <w:vAlign w:val="bottom"/>
          </w:tcPr>
          <w:p>
            <w:pPr>
              <w:ind w:left="1020"/>
              <w:spacing w:after="0"/>
              <w:rPr>
                <w:sz w:val="20"/>
                <w:szCs w:val="20"/>
                <w:color w:val="auto"/>
              </w:rPr>
            </w:pPr>
            <w:r>
              <w:rPr>
                <w:rFonts w:ascii="Courier New" w:cs="Courier New" w:eastAsia="Courier New" w:hAnsi="Courier New"/>
                <w:sz w:val="16"/>
                <w:szCs w:val="16"/>
                <w:color w:val="auto"/>
                <w:w w:val="95"/>
              </w:rPr>
              <w:t>IDENTIFICATION NO.)</w:t>
            </w:r>
          </w:p>
        </w:tc>
      </w:tr>
    </w:tbl>
    <w:p>
      <w:pPr>
        <w:spacing w:after="0" w:line="276" w:lineRule="exact"/>
        <w:rPr>
          <w:sz w:val="24"/>
          <w:szCs w:val="24"/>
          <w:color w:val="auto"/>
        </w:rPr>
      </w:pPr>
    </w:p>
    <w:p>
      <w:pPr>
        <w:ind w:left="3165"/>
        <w:spacing w:after="0"/>
        <w:rPr>
          <w:sz w:val="20"/>
          <w:szCs w:val="20"/>
          <w:color w:val="auto"/>
        </w:rPr>
      </w:pPr>
      <w:r>
        <w:rPr>
          <w:rFonts w:ascii="Courier New" w:cs="Courier New" w:eastAsia="Courier New" w:hAnsi="Courier New"/>
          <w:sz w:val="16"/>
          <w:szCs w:val="16"/>
          <w:color w:val="auto"/>
        </w:rPr>
        <w:t>1001 FANNIN</w:t>
      </w:r>
    </w:p>
    <w:p>
      <w:pPr>
        <w:spacing w:after="0" w:line="23" w:lineRule="exact"/>
        <w:rPr>
          <w:sz w:val="24"/>
          <w:szCs w:val="24"/>
          <w:color w:val="auto"/>
        </w:rPr>
      </w:pPr>
    </w:p>
    <w:p>
      <w:pPr>
        <w:ind w:left="3265"/>
        <w:spacing w:after="0"/>
        <w:rPr>
          <w:sz w:val="20"/>
          <w:szCs w:val="20"/>
          <w:color w:val="auto"/>
        </w:rPr>
      </w:pPr>
      <w:r>
        <w:rPr>
          <w:rFonts w:ascii="Courier New" w:cs="Courier New" w:eastAsia="Courier New" w:hAnsi="Courier New"/>
          <w:sz w:val="16"/>
          <w:szCs w:val="16"/>
          <w:color w:val="auto"/>
        </w:rPr>
        <w:t>SUITE 4000</w:t>
      </w:r>
    </w:p>
    <w:p>
      <w:pPr>
        <w:ind w:left="2785"/>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4"/>
          <w:szCs w:val="24"/>
          <w:color w:val="auto"/>
        </w:rPr>
      </w:pPr>
    </w:p>
    <w:p>
      <w:pPr>
        <w:ind w:left="1865"/>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149"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(713) 512-6200</w:t>
      </w:r>
    </w:p>
    <w:p>
      <w:pPr>
        <w:spacing w:after="0" w:line="26" w:lineRule="exact"/>
        <w:rPr>
          <w:sz w:val="24"/>
          <w:szCs w:val="24"/>
          <w:color w:val="auto"/>
        </w:rPr>
      </w:pPr>
    </w:p>
    <w:p>
      <w:pPr>
        <w:jc w:val="center"/>
        <w:ind w:right="2775"/>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49" w:lineRule="exact"/>
        <w:rPr>
          <w:sz w:val="24"/>
          <w:szCs w:val="24"/>
          <w:color w:val="auto"/>
        </w:rPr>
      </w:pPr>
    </w:p>
    <w:p>
      <w:pPr>
        <w:ind w:left="5" w:right="2879" w:firstLine="465"/>
        <w:spacing w:after="0" w:line="28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ind w:left="5"/>
        <w:spacing w:after="0"/>
        <w:tabs>
          <w:tab w:leader="none" w:pos="3984" w:val="left"/>
          <w:tab w:leader="none" w:pos="4444" w:val="left"/>
          <w:tab w:leader="none" w:pos="5184" w:val="left"/>
          <w:tab w:leader="none" w:pos="5564" w:val="left"/>
        </w:tabs>
        <w:rPr>
          <w:sz w:val="20"/>
          <w:szCs w:val="20"/>
          <w:color w:val="auto"/>
        </w:rPr>
      </w:pPr>
      <w:r>
        <w:rPr>
          <w:rFonts w:ascii="Courier New" w:cs="Courier New" w:eastAsia="Courier New" w:hAnsi="Courier New"/>
          <w:sz w:val="16"/>
          <w:szCs w:val="16"/>
          <w:color w:val="auto"/>
        </w:rPr>
        <w:t>filing requirements for the past 90 days.</w:t>
        <w:tab/>
        <w:t>Yes</w:t>
        <w:tab/>
        <w:t>[X]</w:t>
      </w:r>
      <w:r>
        <w:rPr>
          <w:sz w:val="20"/>
          <w:szCs w:val="20"/>
          <w:color w:val="auto"/>
        </w:rPr>
        <w:tab/>
      </w:r>
      <w:r>
        <w:rPr>
          <w:rFonts w:ascii="Courier New" w:cs="Courier New" w:eastAsia="Courier New" w:hAnsi="Courier New"/>
          <w:sz w:val="16"/>
          <w:szCs w:val="16"/>
          <w:color w:val="auto"/>
        </w:rPr>
        <w:t>No</w:t>
      </w:r>
      <w:r>
        <w:rPr>
          <w:sz w:val="20"/>
          <w:szCs w:val="20"/>
          <w:color w:val="auto"/>
        </w:rPr>
        <w:tab/>
      </w:r>
      <w:r>
        <w:rPr>
          <w:rFonts w:ascii="Courier New" w:cs="Courier New" w:eastAsia="Courier New" w:hAnsi="Courier New"/>
          <w:sz w:val="14"/>
          <w:szCs w:val="14"/>
          <w:color w:val="auto"/>
        </w:rPr>
        <w:t>[ ]</w:t>
      </w:r>
    </w:p>
    <w:p>
      <w:pPr>
        <w:spacing w:after="0" w:line="149" w:lineRule="exact"/>
        <w:rPr>
          <w:sz w:val="24"/>
          <w:szCs w:val="24"/>
          <w:color w:val="auto"/>
        </w:rPr>
      </w:pPr>
    </w:p>
    <w:p>
      <w:pPr>
        <w:jc w:val="both"/>
        <w:ind w:left="5" w:right="3159" w:firstLine="465"/>
        <w:spacing w:after="0" w:line="289" w:lineRule="auto"/>
        <w:rPr>
          <w:sz w:val="20"/>
          <w:szCs w:val="20"/>
          <w:color w:val="auto"/>
        </w:rPr>
      </w:pPr>
      <w:r>
        <w:rPr>
          <w:rFonts w:ascii="Courier New" w:cs="Courier New" w:eastAsia="Courier New" w:hAnsi="Courier New"/>
          <w:sz w:val="16"/>
          <w:szCs w:val="16"/>
          <w:color w:val="auto"/>
        </w:rPr>
        <w:t>The number of shares of Common Stock, $.01 par value, of the registrant outstanding at August 3, 2001 was 626,300,880 (excluding treasury shares of 3,610,470).</w:t>
      </w:r>
    </w:p>
    <w:p>
      <w:pPr>
        <w:spacing w:after="0" w:line="61" w:lineRule="exact"/>
        <w:rPr>
          <w:sz w:val="24"/>
          <w:szCs w:val="24"/>
          <w:color w:val="auto"/>
        </w:rPr>
      </w:pPr>
    </w:p>
    <w:p>
      <w:pPr>
        <w:ind w:left="185" w:hanging="185"/>
        <w:spacing w:after="0"/>
        <w:tabs>
          <w:tab w:leader="none" w:pos="18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209"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CONDENSED CONSOLIDATED BALANCE SHEETS</w:t>
      </w:r>
    </w:p>
    <w:p>
      <w:pPr>
        <w:spacing w:after="0" w:line="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(IN MILLIONS, EXCEPT SHARE AND PAR VALUE AMOUNTS)</w:t>
      </w:r>
    </w:p>
    <w:p>
      <w:pPr>
        <w:spacing w:after="0" w:line="14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JUNE 30, DECEMBER 31, 2001 2000 ----------- -----------</w:t>
      </w:r>
    </w:p>
    <w:p>
      <w:pPr>
        <w:spacing w:after="0" w:line="23" w:lineRule="exact"/>
        <w:rPr>
          <w:sz w:val="20"/>
          <w:szCs w:val="20"/>
          <w:color w:val="auto"/>
        </w:rPr>
      </w:pPr>
    </w:p>
    <w:p>
      <w:pPr>
        <w:ind w:left="260"/>
        <w:spacing w:after="0"/>
        <w:rPr>
          <w:sz w:val="20"/>
          <w:szCs w:val="20"/>
          <w:color w:val="auto"/>
        </w:rPr>
      </w:pPr>
      <w:r>
        <w:rPr>
          <w:rFonts w:ascii="Courier New" w:cs="Courier New" w:eastAsia="Courier New" w:hAnsi="Courier New"/>
          <w:sz w:val="16"/>
          <w:szCs w:val="16"/>
          <w:color w:val="auto"/>
        </w:rPr>
        <w:t>- (UNAUDITED) ASSETS Current assets: Cash and cash</w:t>
      </w:r>
    </w:p>
    <w:tbl>
      <w:tblPr>
        <w:tblLayout w:type="fixed"/>
        <w:tblInd w:w="40" w:type="dxa"/>
        <w:tblCellMar>
          <w:top w:w="0" w:type="dxa"/>
          <w:left w:w="0" w:type="dxa"/>
          <w:bottom w:w="0" w:type="dxa"/>
          <w:right w:w="0" w:type="dxa"/>
        </w:tblCellMar>
      </w:tblPr>
      <w:tr>
        <w:trPr>
          <w:trHeight w:val="151"/>
        </w:trPr>
        <w:tc>
          <w:tcPr>
            <w:tcW w:w="1860" w:type="dxa"/>
            <w:vAlign w:val="bottom"/>
          </w:tcPr>
          <w:p>
            <w:pPr>
              <w:jc w:val="right"/>
              <w:spacing w:after="0"/>
              <w:rPr>
                <w:sz w:val="20"/>
                <w:szCs w:val="20"/>
                <w:color w:val="auto"/>
              </w:rPr>
            </w:pPr>
            <w:r>
              <w:rPr>
                <w:rFonts w:ascii="Courier New" w:cs="Courier New" w:eastAsia="Courier New" w:hAnsi="Courier New"/>
                <w:sz w:val="9"/>
                <w:szCs w:val="9"/>
                <w:color w:val="auto"/>
                <w:w w:val="77"/>
              </w:rPr>
              <w:t>equivalents.................................</w:t>
            </w:r>
          </w:p>
        </w:tc>
        <w:tc>
          <w:tcPr>
            <w:tcW w:w="3260" w:type="dxa"/>
            <w:vAlign w:val="bottom"/>
          </w:tcPr>
          <w:p>
            <w:pPr>
              <w:jc w:val="right"/>
              <w:spacing w:after="0" w:line="151" w:lineRule="exact"/>
              <w:rPr>
                <w:sz w:val="20"/>
                <w:szCs w:val="20"/>
                <w:color w:val="auto"/>
              </w:rPr>
            </w:pPr>
            <w:r>
              <w:rPr>
                <w:rFonts w:ascii="Courier New" w:cs="Courier New" w:eastAsia="Courier New" w:hAnsi="Courier New"/>
                <w:sz w:val="16"/>
                <w:szCs w:val="16"/>
                <w:color w:val="auto"/>
              </w:rPr>
              <w:t>$ 396 $ 94</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Accounts receivable, net of allowance for doubtful</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accounts of $92 and $128,</w:t>
            </w:r>
          </w:p>
        </w:tc>
        <w:tc>
          <w:tcPr>
            <w:tcW w:w="0" w:type="dxa"/>
            <w:vAlign w:val="bottom"/>
          </w:tcPr>
          <w:p>
            <w:pPr>
              <w:spacing w:after="0"/>
              <w:rPr>
                <w:sz w:val="1"/>
                <w:szCs w:val="1"/>
                <w:color w:val="auto"/>
              </w:rPr>
            </w:pPr>
          </w:p>
        </w:tc>
      </w:tr>
      <w:tr>
        <w:trPr>
          <w:trHeight w:val="179"/>
        </w:trPr>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w w:val="72"/>
              </w:rPr>
              <w:t>respectively..................</w:t>
            </w:r>
          </w:p>
        </w:tc>
        <w:tc>
          <w:tcPr>
            <w:tcW w:w="3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1,430 1,401 Notes and</w:t>
            </w:r>
          </w:p>
        </w:tc>
        <w:tc>
          <w:tcPr>
            <w:tcW w:w="0" w:type="dxa"/>
            <w:vAlign w:val="bottom"/>
          </w:tcPr>
          <w:p>
            <w:pPr>
              <w:spacing w:after="0"/>
              <w:rPr>
                <w:sz w:val="1"/>
                <w:szCs w:val="1"/>
                <w:color w:val="auto"/>
              </w:rPr>
            </w:pPr>
          </w:p>
        </w:tc>
      </w:tr>
      <w:tr>
        <w:trPr>
          <w:trHeight w:val="179"/>
        </w:trPr>
        <w:tc>
          <w:tcPr>
            <w:tcW w:w="1860" w:type="dxa"/>
            <w:vAlign w:val="bottom"/>
          </w:tcPr>
          <w:p>
            <w:pPr>
              <w:jc w:val="right"/>
              <w:spacing w:after="0"/>
              <w:rPr>
                <w:sz w:val="20"/>
                <w:szCs w:val="20"/>
                <w:color w:val="auto"/>
              </w:rPr>
            </w:pPr>
            <w:r>
              <w:rPr>
                <w:rFonts w:ascii="Courier New" w:cs="Courier New" w:eastAsia="Courier New" w:hAnsi="Courier New"/>
                <w:sz w:val="9"/>
                <w:szCs w:val="9"/>
                <w:color w:val="auto"/>
                <w:w w:val="70"/>
              </w:rPr>
              <w:t>other receivables...............................</w:t>
            </w:r>
          </w:p>
        </w:tc>
        <w:tc>
          <w:tcPr>
            <w:tcW w:w="32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183</w:t>
            </w:r>
          </w:p>
        </w:tc>
        <w:tc>
          <w:tcPr>
            <w:tcW w:w="0" w:type="dxa"/>
            <w:vAlign w:val="bottom"/>
          </w:tcPr>
          <w:p>
            <w:pPr>
              <w:spacing w:after="0"/>
              <w:rPr>
                <w:sz w:val="1"/>
                <w:szCs w:val="1"/>
                <w:color w:val="auto"/>
              </w:rPr>
            </w:pPr>
          </w:p>
        </w:tc>
      </w:tr>
      <w:tr>
        <w:trPr>
          <w:trHeight w:val="179"/>
        </w:trPr>
        <w:tc>
          <w:tcPr>
            <w:tcW w:w="18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supplies........................................</w:t>
            </w:r>
          </w:p>
        </w:tc>
        <w:tc>
          <w:tcPr>
            <w:tcW w:w="3260" w:type="dxa"/>
            <w:vAlign w:val="bottom"/>
          </w:tcPr>
          <w:p>
            <w:pPr>
              <w:jc w:val="center"/>
              <w:ind w:right="1782"/>
              <w:spacing w:after="0" w:line="179" w:lineRule="exact"/>
              <w:rPr>
                <w:sz w:val="20"/>
                <w:szCs w:val="20"/>
                <w:color w:val="auto"/>
              </w:rPr>
            </w:pPr>
            <w:r>
              <w:rPr>
                <w:rFonts w:ascii="Courier New" w:cs="Courier New" w:eastAsia="Courier New" w:hAnsi="Courier New"/>
                <w:sz w:val="16"/>
                <w:szCs w:val="16"/>
                <w:color w:val="auto"/>
                <w:w w:val="96"/>
              </w:rPr>
              <w:t>174 Parts and</w:t>
            </w:r>
          </w:p>
        </w:tc>
        <w:tc>
          <w:tcPr>
            <w:tcW w:w="0" w:type="dxa"/>
            <w:vAlign w:val="bottom"/>
          </w:tcPr>
          <w:p>
            <w:pPr>
              <w:spacing w:after="0"/>
              <w:rPr>
                <w:sz w:val="1"/>
                <w:szCs w:val="1"/>
                <w:color w:val="auto"/>
              </w:rPr>
            </w:pPr>
          </w:p>
        </w:tc>
      </w:tr>
      <w:tr>
        <w:trPr>
          <w:trHeight w:val="179"/>
        </w:trPr>
        <w:tc>
          <w:tcPr>
            <w:tcW w:w="1860" w:type="dxa"/>
            <w:vAlign w:val="bottom"/>
            <w:vMerge w:val="continue"/>
          </w:tcPr>
          <w:p>
            <w:pPr>
              <w:spacing w:after="0"/>
              <w:rPr>
                <w:sz w:val="15"/>
                <w:szCs w:val="15"/>
                <w:color w:val="auto"/>
              </w:rPr>
            </w:pPr>
          </w:p>
        </w:tc>
        <w:tc>
          <w:tcPr>
            <w:tcW w:w="3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73 75</w:t>
            </w:r>
          </w:p>
        </w:tc>
        <w:tc>
          <w:tcPr>
            <w:tcW w:w="0" w:type="dxa"/>
            <w:vAlign w:val="bottom"/>
          </w:tcPr>
          <w:p>
            <w:pPr>
              <w:spacing w:after="0"/>
              <w:rPr>
                <w:sz w:val="1"/>
                <w:szCs w:val="1"/>
                <w:color w:val="auto"/>
              </w:rPr>
            </w:pPr>
          </w:p>
        </w:tc>
      </w:tr>
      <w:tr>
        <w:trPr>
          <w:trHeight w:val="179"/>
        </w:trPr>
        <w:tc>
          <w:tcPr>
            <w:tcW w:w="18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2"/>
              </w:rPr>
              <w:t>taxes.....................................</w:t>
            </w:r>
          </w:p>
        </w:tc>
        <w:tc>
          <w:tcPr>
            <w:tcW w:w="3260" w:type="dxa"/>
            <w:vAlign w:val="bottom"/>
          </w:tcPr>
          <w:p>
            <w:pPr>
              <w:jc w:val="center"/>
              <w:ind w:right="1782"/>
              <w:spacing w:after="0" w:line="179" w:lineRule="exact"/>
              <w:rPr>
                <w:sz w:val="20"/>
                <w:szCs w:val="20"/>
                <w:color w:val="auto"/>
              </w:rPr>
            </w:pPr>
            <w:r>
              <w:rPr>
                <w:rFonts w:ascii="Courier New" w:cs="Courier New" w:eastAsia="Courier New" w:hAnsi="Courier New"/>
                <w:sz w:val="16"/>
                <w:szCs w:val="16"/>
                <w:color w:val="auto"/>
                <w:w w:val="97"/>
              </w:rPr>
              <w:t>Deferred income</w:t>
            </w:r>
          </w:p>
        </w:tc>
        <w:tc>
          <w:tcPr>
            <w:tcW w:w="0" w:type="dxa"/>
            <w:vAlign w:val="bottom"/>
          </w:tcPr>
          <w:p>
            <w:pPr>
              <w:spacing w:after="0"/>
              <w:rPr>
                <w:sz w:val="1"/>
                <w:szCs w:val="1"/>
                <w:color w:val="auto"/>
              </w:rPr>
            </w:pPr>
          </w:p>
        </w:tc>
      </w:tr>
      <w:tr>
        <w:trPr>
          <w:trHeight w:val="179"/>
        </w:trPr>
        <w:tc>
          <w:tcPr>
            <w:tcW w:w="1860" w:type="dxa"/>
            <w:vAlign w:val="bottom"/>
            <w:vMerge w:val="continue"/>
          </w:tcPr>
          <w:p>
            <w:pPr>
              <w:spacing w:after="0"/>
              <w:rPr>
                <w:sz w:val="15"/>
                <w:szCs w:val="15"/>
                <w:color w:val="auto"/>
              </w:rPr>
            </w:pPr>
          </w:p>
        </w:tc>
        <w:tc>
          <w:tcPr>
            <w:tcW w:w="3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299 312</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Prepaid expenses and</w:t>
            </w:r>
          </w:p>
        </w:tc>
        <w:tc>
          <w:tcPr>
            <w:tcW w:w="0" w:type="dxa"/>
            <w:vAlign w:val="bottom"/>
          </w:tcPr>
          <w:p>
            <w:pPr>
              <w:spacing w:after="0"/>
              <w:rPr>
                <w:sz w:val="1"/>
                <w:szCs w:val="1"/>
                <w:color w:val="auto"/>
              </w:rPr>
            </w:pPr>
          </w:p>
        </w:tc>
      </w:tr>
      <w:tr>
        <w:trPr>
          <w:trHeight w:val="179"/>
        </w:trPr>
        <w:tc>
          <w:tcPr>
            <w:tcW w:w="1860" w:type="dxa"/>
            <w:vAlign w:val="bottom"/>
          </w:tcPr>
          <w:p>
            <w:pPr>
              <w:jc w:val="right"/>
              <w:spacing w:after="0"/>
              <w:rPr>
                <w:sz w:val="20"/>
                <w:szCs w:val="20"/>
                <w:color w:val="auto"/>
              </w:rPr>
            </w:pPr>
            <w:r>
              <w:rPr>
                <w:rFonts w:ascii="Courier New" w:cs="Courier New" w:eastAsia="Courier New" w:hAnsi="Courier New"/>
                <w:sz w:val="11"/>
                <w:szCs w:val="11"/>
                <w:color w:val="auto"/>
                <w:w w:val="75"/>
              </w:rPr>
              <w:t>other................................</w:t>
            </w:r>
          </w:p>
        </w:tc>
        <w:tc>
          <w:tcPr>
            <w:tcW w:w="326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104 112</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Operations held-for-</w:t>
            </w:r>
          </w:p>
        </w:tc>
        <w:tc>
          <w:tcPr>
            <w:tcW w:w="0" w:type="dxa"/>
            <w:vAlign w:val="bottom"/>
          </w:tcPr>
          <w:p>
            <w:pPr>
              <w:spacing w:after="0"/>
              <w:rPr>
                <w:sz w:val="1"/>
                <w:szCs w:val="1"/>
                <w:color w:val="auto"/>
              </w:rPr>
            </w:pPr>
          </w:p>
        </w:tc>
      </w:tr>
      <w:tr>
        <w:trPr>
          <w:trHeight w:val="179"/>
        </w:trPr>
        <w:tc>
          <w:tcPr>
            <w:tcW w:w="1860" w:type="dxa"/>
            <w:vAlign w:val="bottom"/>
          </w:tcPr>
          <w:p>
            <w:pPr>
              <w:jc w:val="right"/>
              <w:spacing w:after="0"/>
              <w:rPr>
                <w:sz w:val="20"/>
                <w:szCs w:val="20"/>
                <w:color w:val="auto"/>
              </w:rPr>
            </w:pPr>
            <w:r>
              <w:rPr>
                <w:rFonts w:ascii="Courier New" w:cs="Courier New" w:eastAsia="Courier New" w:hAnsi="Courier New"/>
                <w:sz w:val="11"/>
                <w:szCs w:val="11"/>
                <w:color w:val="auto"/>
                <w:w w:val="73"/>
              </w:rPr>
              <w:t>sale..................................</w:t>
            </w:r>
          </w:p>
        </w:tc>
        <w:tc>
          <w:tcPr>
            <w:tcW w:w="3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222 289 -------</w:t>
            </w:r>
          </w:p>
        </w:tc>
        <w:tc>
          <w:tcPr>
            <w:tcW w:w="0" w:type="dxa"/>
            <w:vAlign w:val="bottom"/>
          </w:tcPr>
          <w:p>
            <w:pPr>
              <w:spacing w:after="0"/>
              <w:rPr>
                <w:sz w:val="1"/>
                <w:szCs w:val="1"/>
                <w:color w:val="auto"/>
              </w:rPr>
            </w:pPr>
          </w:p>
        </w:tc>
      </w:tr>
      <w:tr>
        <w:trPr>
          <w:trHeight w:val="179"/>
        </w:trPr>
        <w:tc>
          <w:tcPr>
            <w:tcW w:w="18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assets....................................</w:t>
            </w:r>
            <w:r>
              <w:rPr>
                <w:rFonts w:ascii="Courier New" w:cs="Courier New" w:eastAsia="Courier New" w:hAnsi="Courier New"/>
                <w:sz w:val="12"/>
                <w:szCs w:val="12"/>
                <w:color w:val="auto"/>
                <w:w w:val="70"/>
                <w:vertAlign w:val="superscript"/>
              </w:rPr>
              <w:t>-------</w:t>
            </w:r>
          </w:p>
        </w:tc>
        <w:tc>
          <w:tcPr>
            <w:tcW w:w="326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Total current</w:t>
            </w:r>
          </w:p>
        </w:tc>
        <w:tc>
          <w:tcPr>
            <w:tcW w:w="0" w:type="dxa"/>
            <w:vAlign w:val="bottom"/>
          </w:tcPr>
          <w:p>
            <w:pPr>
              <w:spacing w:after="0"/>
              <w:rPr>
                <w:sz w:val="1"/>
                <w:szCs w:val="1"/>
                <w:color w:val="auto"/>
              </w:rPr>
            </w:pPr>
          </w:p>
        </w:tc>
      </w:tr>
      <w:tr>
        <w:trPr>
          <w:trHeight w:val="179"/>
        </w:trPr>
        <w:tc>
          <w:tcPr>
            <w:tcW w:w="1860" w:type="dxa"/>
            <w:vAlign w:val="bottom"/>
            <w:vMerge w:val="continue"/>
          </w:tcPr>
          <w:p>
            <w:pPr>
              <w:spacing w:after="0"/>
              <w:rPr>
                <w:sz w:val="15"/>
                <w:szCs w:val="15"/>
                <w:color w:val="auto"/>
              </w:rPr>
            </w:pPr>
          </w:p>
        </w:tc>
        <w:tc>
          <w:tcPr>
            <w:tcW w:w="3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2,707 2,457</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Property and equipment,</w:t>
            </w:r>
          </w:p>
        </w:tc>
        <w:tc>
          <w:tcPr>
            <w:tcW w:w="0" w:type="dxa"/>
            <w:vAlign w:val="bottom"/>
          </w:tcPr>
          <w:p>
            <w:pPr>
              <w:spacing w:after="0"/>
              <w:rPr>
                <w:sz w:val="1"/>
                <w:szCs w:val="1"/>
                <w:color w:val="auto"/>
              </w:rPr>
            </w:pPr>
          </w:p>
        </w:tc>
      </w:tr>
      <w:tr>
        <w:trPr>
          <w:trHeight w:val="179"/>
        </w:trPr>
        <w:tc>
          <w:tcPr>
            <w:tcW w:w="1860" w:type="dxa"/>
            <w:vAlign w:val="bottom"/>
          </w:tcPr>
          <w:p>
            <w:pPr>
              <w:jc w:val="right"/>
              <w:spacing w:after="0"/>
              <w:rPr>
                <w:sz w:val="20"/>
                <w:szCs w:val="20"/>
                <w:color w:val="auto"/>
              </w:rPr>
            </w:pPr>
            <w:r>
              <w:rPr>
                <w:rFonts w:ascii="Courier New" w:cs="Courier New" w:eastAsia="Courier New" w:hAnsi="Courier New"/>
                <w:sz w:val="12"/>
                <w:szCs w:val="12"/>
                <w:color w:val="auto"/>
                <w:w w:val="70"/>
              </w:rPr>
              <w:t>net.................................</w:t>
            </w:r>
          </w:p>
        </w:tc>
        <w:tc>
          <w:tcPr>
            <w:tcW w:w="32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10,028 10,126</w:t>
            </w:r>
          </w:p>
        </w:tc>
        <w:tc>
          <w:tcPr>
            <w:tcW w:w="0" w:type="dxa"/>
            <w:vAlign w:val="bottom"/>
          </w:tcPr>
          <w:p>
            <w:pPr>
              <w:spacing w:after="0"/>
              <w:rPr>
                <w:sz w:val="1"/>
                <w:szCs w:val="1"/>
                <w:color w:val="auto"/>
              </w:rPr>
            </w:pPr>
          </w:p>
        </w:tc>
      </w:tr>
      <w:tr>
        <w:trPr>
          <w:trHeight w:val="207"/>
        </w:trPr>
        <w:tc>
          <w:tcPr>
            <w:tcW w:w="1860" w:type="dxa"/>
            <w:vAlign w:val="bottom"/>
          </w:tcPr>
          <w:p>
            <w:pPr>
              <w:spacing w:after="0"/>
              <w:rPr>
                <w:sz w:val="17"/>
                <w:szCs w:val="17"/>
                <w:color w:val="auto"/>
              </w:rPr>
            </w:pPr>
          </w:p>
        </w:tc>
        <w:tc>
          <w:tcPr>
            <w:tcW w:w="3260" w:type="dxa"/>
            <w:vAlign w:val="bottom"/>
          </w:tcPr>
          <w:p>
            <w:pPr>
              <w:jc w:val="center"/>
              <w:ind w:right="1782"/>
              <w:spacing w:after="0"/>
              <w:rPr>
                <w:sz w:val="20"/>
                <w:szCs w:val="20"/>
                <w:color w:val="auto"/>
              </w:rPr>
            </w:pPr>
            <w:r>
              <w:rPr>
                <w:rFonts w:ascii="Courier New" w:cs="Courier New" w:eastAsia="Courier New" w:hAnsi="Courier New"/>
                <w:sz w:val="16"/>
                <w:szCs w:val="16"/>
                <w:color w:val="auto"/>
                <w:w w:val="97"/>
              </w:rPr>
              <w:t>Goodwill,</w:t>
            </w:r>
          </w:p>
        </w:tc>
        <w:tc>
          <w:tcPr>
            <w:tcW w:w="0" w:type="dxa"/>
            <w:vAlign w:val="bottom"/>
          </w:tcPr>
          <w:p>
            <w:pPr>
              <w:spacing w:after="0"/>
              <w:rPr>
                <w:sz w:val="1"/>
                <w:szCs w:val="1"/>
                <w:color w:val="auto"/>
              </w:rPr>
            </w:pPr>
          </w:p>
        </w:tc>
      </w:tr>
    </w:tbl>
    <w:p>
      <w:pPr>
        <w:ind w:left="260"/>
        <w:spacing w:after="0" w:line="236" w:lineRule="auto"/>
        <w:rPr>
          <w:sz w:val="20"/>
          <w:szCs w:val="20"/>
          <w:color w:val="auto"/>
        </w:rPr>
      </w:pPr>
      <w:r>
        <w:rPr>
          <w:rFonts w:ascii="Courier New" w:cs="Courier New" w:eastAsia="Courier New" w:hAnsi="Courier New"/>
          <w:sz w:val="16"/>
          <w:szCs w:val="16"/>
          <w:color w:val="auto"/>
        </w:rPr>
        <w:t>net...............................................</w:t>
      </w:r>
    </w:p>
    <w:p>
      <w:pPr>
        <w:ind w:left="920"/>
        <w:spacing w:after="0" w:line="237" w:lineRule="auto"/>
        <w:rPr>
          <w:sz w:val="20"/>
          <w:szCs w:val="20"/>
          <w:color w:val="auto"/>
        </w:rPr>
      </w:pPr>
      <w:r>
        <w:rPr>
          <w:rFonts w:ascii="Courier New" w:cs="Courier New" w:eastAsia="Courier New" w:hAnsi="Courier New"/>
          <w:sz w:val="16"/>
          <w:szCs w:val="16"/>
          <w:color w:val="auto"/>
        </w:rPr>
        <w:t>5,015 5,046 Other intangible assets,</w:t>
      </w:r>
    </w:p>
    <w:tbl>
      <w:tblPr>
        <w:tblLayout w:type="fixed"/>
        <w:tblInd w:w="40" w:type="dxa"/>
        <w:tblCellMar>
          <w:top w:w="0" w:type="dxa"/>
          <w:left w:w="0" w:type="dxa"/>
          <w:bottom w:w="0" w:type="dxa"/>
          <w:right w:w="0" w:type="dxa"/>
        </w:tblCellMar>
      </w:tblPr>
      <w:tr>
        <w:trPr>
          <w:trHeight w:val="151"/>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1"/>
              </w:rPr>
              <w:t>net................................</w:t>
            </w:r>
          </w:p>
        </w:tc>
        <w:tc>
          <w:tcPr>
            <w:tcW w:w="3160" w:type="dxa"/>
            <w:vAlign w:val="bottom"/>
          </w:tcPr>
          <w:p>
            <w:pPr>
              <w:jc w:val="right"/>
              <w:ind w:right="202"/>
              <w:spacing w:after="0" w:line="152" w:lineRule="exact"/>
              <w:rPr>
                <w:sz w:val="20"/>
                <w:szCs w:val="20"/>
                <w:color w:val="auto"/>
              </w:rPr>
            </w:pPr>
            <w:r>
              <w:rPr>
                <w:rFonts w:ascii="Courier New" w:cs="Courier New" w:eastAsia="Courier New" w:hAnsi="Courier New"/>
                <w:sz w:val="16"/>
                <w:szCs w:val="16"/>
                <w:color w:val="auto"/>
              </w:rPr>
              <w:t>135 147 Other</w:t>
            </w: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8"/>
                <w:szCs w:val="8"/>
                <w:color w:val="auto"/>
                <w:w w:val="74"/>
              </w:rPr>
              <w:t>assets................................................</w:t>
            </w:r>
          </w:p>
        </w:tc>
        <w:tc>
          <w:tcPr>
            <w:tcW w:w="3160" w:type="dxa"/>
            <w:vAlign w:val="bottom"/>
            <w:vMerge w:val="restart"/>
          </w:tcPr>
          <w:p>
            <w:pPr>
              <w:jc w:val="right"/>
              <w:ind w:right="1142"/>
              <w:spacing w:after="0"/>
              <w:rPr>
                <w:sz w:val="20"/>
                <w:szCs w:val="20"/>
                <w:color w:val="auto"/>
              </w:rPr>
            </w:pPr>
            <w:r>
              <w:rPr>
                <w:rFonts w:ascii="Courier New" w:cs="Courier New" w:eastAsia="Courier New" w:hAnsi="Courier New"/>
                <w:sz w:val="16"/>
                <w:szCs w:val="16"/>
                <w:color w:val="auto"/>
                <w:w w:val="95"/>
              </w:rPr>
              <w:t>------- ------- Total</w:t>
            </w:r>
          </w:p>
        </w:tc>
        <w:tc>
          <w:tcPr>
            <w:tcW w:w="0" w:type="dxa"/>
            <w:vAlign w:val="bottom"/>
          </w:tcPr>
          <w:p>
            <w:pPr>
              <w:spacing w:after="0"/>
              <w:rPr>
                <w:sz w:val="1"/>
                <w:szCs w:val="1"/>
                <w:color w:val="auto"/>
              </w:rPr>
            </w:pPr>
          </w:p>
        </w:tc>
      </w:tr>
      <w:tr>
        <w:trPr>
          <w:trHeight w:val="179"/>
        </w:trPr>
        <w:tc>
          <w:tcPr>
            <w:tcW w:w="1960" w:type="dxa"/>
            <w:vAlign w:val="bottom"/>
          </w:tcPr>
          <w:p>
            <w:pPr>
              <w:jc w:val="right"/>
              <w:ind w:right="36"/>
              <w:spacing w:after="0" w:line="179" w:lineRule="exact"/>
              <w:rPr>
                <w:sz w:val="20"/>
                <w:szCs w:val="20"/>
                <w:color w:val="auto"/>
              </w:rPr>
            </w:pPr>
            <w:r>
              <w:rPr>
                <w:rFonts w:ascii="Courier New" w:cs="Courier New" w:eastAsia="Courier New" w:hAnsi="Courier New"/>
                <w:sz w:val="16"/>
                <w:szCs w:val="16"/>
                <w:color w:val="auto"/>
              </w:rPr>
              <w:t>824 789</w:t>
            </w:r>
          </w:p>
        </w:tc>
        <w:tc>
          <w:tcPr>
            <w:tcW w:w="3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assets............................................</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$18,709 $18,565 ======= ======= LIABILITIES AND</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STOCKHOLDERS' EQUITY Current liabilities: Accounts</w:t>
            </w: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9"/>
                <w:szCs w:val="9"/>
                <w:color w:val="auto"/>
                <w:w w:val="73"/>
              </w:rPr>
              <w:t>payable..........................................</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$ 712</w:t>
            </w:r>
          </w:p>
        </w:tc>
        <w:tc>
          <w:tcPr>
            <w:tcW w:w="0" w:type="dxa"/>
            <w:vAlign w:val="bottom"/>
          </w:tcPr>
          <w:p>
            <w:pPr>
              <w:spacing w:after="0"/>
              <w:rPr>
                <w:sz w:val="1"/>
                <w:szCs w:val="1"/>
                <w:color w:val="auto"/>
              </w:rPr>
            </w:pPr>
          </w:p>
        </w:tc>
      </w:tr>
      <w:tr>
        <w:trPr>
          <w:trHeight w:val="261"/>
        </w:trPr>
        <w:tc>
          <w:tcPr>
            <w:tcW w:w="19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1"/>
              </w:rPr>
              <w:t>liabilities.......................................</w:t>
            </w:r>
          </w:p>
        </w:tc>
        <w:tc>
          <w:tcPr>
            <w:tcW w:w="31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6"/>
              </w:rPr>
              <w:t>$ 865 Accrued</w:t>
            </w:r>
          </w:p>
        </w:tc>
        <w:tc>
          <w:tcPr>
            <w:tcW w:w="0" w:type="dxa"/>
            <w:vAlign w:val="bottom"/>
          </w:tcPr>
          <w:p>
            <w:pPr>
              <w:spacing w:after="0"/>
              <w:rPr>
                <w:sz w:val="1"/>
                <w:szCs w:val="1"/>
                <w:color w:val="auto"/>
              </w:rPr>
            </w:pPr>
          </w:p>
        </w:tc>
      </w:tr>
      <w:tr>
        <w:trPr>
          <w:trHeight w:val="97"/>
        </w:trPr>
        <w:tc>
          <w:tcPr>
            <w:tcW w:w="1960" w:type="dxa"/>
            <w:vAlign w:val="bottom"/>
            <w:vMerge w:val="continue"/>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1,321 1,419 Deferred</w:t>
            </w: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9"/>
                <w:szCs w:val="9"/>
                <w:color w:val="auto"/>
                <w:w w:val="73"/>
              </w:rPr>
              <w:t>revenues.........................................</w:t>
            </w:r>
          </w:p>
        </w:tc>
        <w:tc>
          <w:tcPr>
            <w:tcW w:w="31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382</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389 Current maturities of long-term</w:t>
            </w: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7"/>
              </w:rPr>
              <w:t>debt......................</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690 113 Operations held-for-</w:t>
            </w: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12"/>
                <w:szCs w:val="12"/>
                <w:color w:val="auto"/>
                <w:w w:val="70"/>
              </w:rPr>
              <w:t>sale..................................</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88 151 ------- -</w:t>
            </w:r>
          </w:p>
        </w:tc>
        <w:tc>
          <w:tcPr>
            <w:tcW w:w="0" w:type="dxa"/>
            <w:vAlign w:val="bottom"/>
          </w:tcPr>
          <w:p>
            <w:pPr>
              <w:spacing w:after="0"/>
              <w:rPr>
                <w:sz w:val="1"/>
                <w:szCs w:val="1"/>
                <w:color w:val="auto"/>
              </w:rPr>
            </w:pPr>
          </w:p>
        </w:tc>
      </w:tr>
      <w:tr>
        <w:trPr>
          <w:trHeight w:val="179"/>
        </w:trPr>
        <w:tc>
          <w:tcPr>
            <w:tcW w:w="19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liabilities...............................</w:t>
            </w:r>
            <w:r>
              <w:rPr>
                <w:rFonts w:ascii="Courier New" w:cs="Courier New" w:eastAsia="Courier New" w:hAnsi="Courier New"/>
                <w:sz w:val="14"/>
                <w:szCs w:val="14"/>
                <w:color w:val="auto"/>
                <w:w w:val="74"/>
                <w:vertAlign w:val="superscript"/>
              </w:rPr>
              <w:t>------</w:t>
            </w:r>
          </w:p>
        </w:tc>
        <w:tc>
          <w:tcPr>
            <w:tcW w:w="31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Total current</w:t>
            </w:r>
          </w:p>
        </w:tc>
        <w:tc>
          <w:tcPr>
            <w:tcW w:w="0" w:type="dxa"/>
            <w:vAlign w:val="bottom"/>
          </w:tcPr>
          <w:p>
            <w:pPr>
              <w:spacing w:after="0"/>
              <w:rPr>
                <w:sz w:val="1"/>
                <w:szCs w:val="1"/>
                <w:color w:val="auto"/>
              </w:rPr>
            </w:pPr>
          </w:p>
        </w:tc>
      </w:tr>
      <w:tr>
        <w:trPr>
          <w:trHeight w:val="179"/>
        </w:trPr>
        <w:tc>
          <w:tcPr>
            <w:tcW w:w="1960" w:type="dxa"/>
            <w:vAlign w:val="bottom"/>
            <w:vMerge w:val="continue"/>
          </w:tcPr>
          <w:p>
            <w:pPr>
              <w:spacing w:after="0"/>
              <w:rPr>
                <w:sz w:val="15"/>
                <w:szCs w:val="15"/>
                <w:color w:val="auto"/>
              </w:rPr>
            </w:pP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3,193 2,937</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Long-term debt, less current</w:t>
            </w: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14"/>
                <w:szCs w:val="14"/>
                <w:color w:val="auto"/>
                <w:w w:val="74"/>
              </w:rPr>
              <w:t>maturities.....................</w:t>
            </w:r>
          </w:p>
        </w:tc>
        <w:tc>
          <w:tcPr>
            <w:tcW w:w="316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7,671 8,372 Deferred</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income taxes.......................................</w:t>
            </w:r>
          </w:p>
        </w:tc>
        <w:tc>
          <w:tcPr>
            <w:tcW w:w="0" w:type="dxa"/>
            <w:vAlign w:val="bottom"/>
          </w:tcPr>
          <w:p>
            <w:pPr>
              <w:spacing w:after="0"/>
              <w:rPr>
                <w:sz w:val="1"/>
                <w:szCs w:val="1"/>
                <w:color w:val="auto"/>
              </w:rPr>
            </w:pPr>
          </w:p>
        </w:tc>
      </w:tr>
      <w:tr>
        <w:trPr>
          <w:trHeight w:val="179"/>
        </w:trPr>
        <w:tc>
          <w:tcPr>
            <w:tcW w:w="512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1,004 879 Environmental</w:t>
            </w: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10"/>
                <w:szCs w:val="10"/>
                <w:color w:val="auto"/>
                <w:w w:val="70"/>
              </w:rPr>
              <w:t>liabilities...................................</w:t>
            </w:r>
          </w:p>
        </w:tc>
        <w:tc>
          <w:tcPr>
            <w:tcW w:w="3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839 809</w:t>
            </w:r>
          </w:p>
        </w:tc>
        <w:tc>
          <w:tcPr>
            <w:tcW w:w="0" w:type="dxa"/>
            <w:vAlign w:val="bottom"/>
          </w:tcPr>
          <w:p>
            <w:pPr>
              <w:spacing w:after="0"/>
              <w:rPr>
                <w:sz w:val="1"/>
                <w:szCs w:val="1"/>
                <w:color w:val="auto"/>
              </w:rPr>
            </w:pPr>
          </w:p>
        </w:tc>
      </w:tr>
      <w:tr>
        <w:trPr>
          <w:trHeight w:val="261"/>
        </w:trPr>
        <w:tc>
          <w:tcPr>
            <w:tcW w:w="196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4"/>
              </w:rPr>
              <w:t>liabilities...........................................</w:t>
            </w:r>
          </w:p>
        </w:tc>
        <w:tc>
          <w:tcPr>
            <w:tcW w:w="3160" w:type="dxa"/>
            <w:vAlign w:val="bottom"/>
          </w:tcPr>
          <w:p>
            <w:pPr>
              <w:jc w:val="center"/>
              <w:ind w:right="1902"/>
              <w:spacing w:after="0"/>
              <w:rPr>
                <w:sz w:val="20"/>
                <w:szCs w:val="20"/>
                <w:color w:val="auto"/>
              </w:rPr>
            </w:pPr>
            <w:r>
              <w:rPr>
                <w:rFonts w:ascii="Courier New" w:cs="Courier New" w:eastAsia="Courier New" w:hAnsi="Courier New"/>
                <w:sz w:val="16"/>
                <w:szCs w:val="16"/>
                <w:color w:val="auto"/>
                <w:w w:val="95"/>
              </w:rPr>
              <w:t>Other</w:t>
            </w:r>
          </w:p>
        </w:tc>
        <w:tc>
          <w:tcPr>
            <w:tcW w:w="0" w:type="dxa"/>
            <w:vAlign w:val="bottom"/>
          </w:tcPr>
          <w:p>
            <w:pPr>
              <w:spacing w:after="0"/>
              <w:rPr>
                <w:sz w:val="1"/>
                <w:szCs w:val="1"/>
                <w:color w:val="auto"/>
              </w:rPr>
            </w:pPr>
          </w:p>
        </w:tc>
      </w:tr>
      <w:tr>
        <w:trPr>
          <w:trHeight w:val="97"/>
        </w:trPr>
        <w:tc>
          <w:tcPr>
            <w:tcW w:w="1960" w:type="dxa"/>
            <w:vAlign w:val="bottom"/>
            <w:vMerge w:val="continue"/>
          </w:tcPr>
          <w:p>
            <w:pPr>
              <w:spacing w:after="0"/>
              <w:rPr>
                <w:sz w:val="8"/>
                <w:szCs w:val="8"/>
                <w:color w:val="auto"/>
              </w:rPr>
            </w:pPr>
          </w:p>
        </w:tc>
        <w:tc>
          <w:tcPr>
            <w:tcW w:w="3160" w:type="dxa"/>
            <w:vAlign w:val="bottom"/>
            <w:vMerge w:val="restart"/>
          </w:tcPr>
          <w:p>
            <w:pPr>
              <w:jc w:val="right"/>
              <w:ind w:right="1142"/>
              <w:spacing w:after="0"/>
              <w:rPr>
                <w:sz w:val="20"/>
                <w:szCs w:val="20"/>
                <w:color w:val="auto"/>
              </w:rPr>
            </w:pPr>
            <w:r>
              <w:rPr>
                <w:rFonts w:ascii="Courier New" w:cs="Courier New" w:eastAsia="Courier New" w:hAnsi="Courier New"/>
                <w:sz w:val="16"/>
                <w:szCs w:val="16"/>
                <w:color w:val="auto"/>
                <w:w w:val="95"/>
              </w:rPr>
              <w:t>------- ------- Total</w:t>
            </w:r>
          </w:p>
        </w:tc>
        <w:tc>
          <w:tcPr>
            <w:tcW w:w="0" w:type="dxa"/>
            <w:vAlign w:val="bottom"/>
          </w:tcPr>
          <w:p>
            <w:pPr>
              <w:spacing w:after="0"/>
              <w:rPr>
                <w:sz w:val="1"/>
                <w:szCs w:val="1"/>
                <w:color w:val="auto"/>
              </w:rPr>
            </w:pPr>
          </w:p>
        </w:tc>
      </w:tr>
      <w:tr>
        <w:trPr>
          <w:trHeight w:val="179"/>
        </w:trPr>
        <w:tc>
          <w:tcPr>
            <w:tcW w:w="1960" w:type="dxa"/>
            <w:vAlign w:val="bottom"/>
          </w:tcPr>
          <w:p>
            <w:pPr>
              <w:jc w:val="right"/>
              <w:ind w:right="36"/>
              <w:spacing w:after="0" w:line="179" w:lineRule="exact"/>
              <w:rPr>
                <w:sz w:val="20"/>
                <w:szCs w:val="20"/>
                <w:color w:val="auto"/>
              </w:rPr>
            </w:pPr>
            <w:r>
              <w:rPr>
                <w:rFonts w:ascii="Courier New" w:cs="Courier New" w:eastAsia="Courier New" w:hAnsi="Courier New"/>
                <w:sz w:val="16"/>
                <w:szCs w:val="16"/>
                <w:color w:val="auto"/>
              </w:rPr>
              <w:t>794 752</w:t>
            </w:r>
          </w:p>
        </w:tc>
        <w:tc>
          <w:tcPr>
            <w:tcW w:w="3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8"/>
                <w:szCs w:val="8"/>
                <w:color w:val="auto"/>
                <w:w w:val="71"/>
              </w:rPr>
              <w:t>liabilities.......................................</w:t>
            </w:r>
            <w:r>
              <w:rPr>
                <w:rFonts w:ascii="Courier New" w:cs="Courier New" w:eastAsia="Courier New" w:hAnsi="Courier New"/>
                <w:sz w:val="11"/>
                <w:szCs w:val="11"/>
                <w:color w:val="auto"/>
                <w:w w:val="71"/>
                <w:vertAlign w:val="subscript"/>
              </w:rPr>
              <w:t>-------</w:t>
            </w:r>
          </w:p>
        </w:tc>
        <w:tc>
          <w:tcPr>
            <w:tcW w:w="3160" w:type="dxa"/>
            <w:vAlign w:val="bottom"/>
            <w:vMerge w:val="restart"/>
          </w:tcPr>
          <w:p>
            <w:pPr>
              <w:ind w:left="320"/>
              <w:spacing w:after="0"/>
              <w:rPr>
                <w:sz w:val="20"/>
                <w:szCs w:val="20"/>
                <w:color w:val="auto"/>
              </w:rPr>
            </w:pPr>
            <w:r>
              <w:rPr>
                <w:rFonts w:ascii="Courier New" w:cs="Courier New" w:eastAsia="Courier New" w:hAnsi="Courier New"/>
                <w:sz w:val="16"/>
                <w:szCs w:val="16"/>
                <w:color w:val="auto"/>
              </w:rPr>
              <w:t>------- Minority interest in</w:t>
            </w:r>
          </w:p>
        </w:tc>
        <w:tc>
          <w:tcPr>
            <w:tcW w:w="0" w:type="dxa"/>
            <w:vAlign w:val="bottom"/>
          </w:tcPr>
          <w:p>
            <w:pPr>
              <w:spacing w:after="0"/>
              <w:rPr>
                <w:sz w:val="1"/>
                <w:szCs w:val="1"/>
                <w:color w:val="auto"/>
              </w:rPr>
            </w:pPr>
          </w:p>
        </w:tc>
      </w:tr>
      <w:tr>
        <w:trPr>
          <w:trHeight w:val="179"/>
        </w:trPr>
        <w:tc>
          <w:tcPr>
            <w:tcW w:w="1960" w:type="dxa"/>
            <w:vAlign w:val="bottom"/>
          </w:tcPr>
          <w:p>
            <w:pPr>
              <w:jc w:val="right"/>
              <w:ind w:right="456"/>
              <w:spacing w:after="0" w:line="179" w:lineRule="exact"/>
              <w:rPr>
                <w:sz w:val="20"/>
                <w:szCs w:val="20"/>
                <w:color w:val="auto"/>
              </w:rPr>
            </w:pPr>
            <w:r>
              <w:rPr>
                <w:rFonts w:ascii="Courier New" w:cs="Courier New" w:eastAsia="Courier New" w:hAnsi="Courier New"/>
                <w:sz w:val="16"/>
                <w:szCs w:val="16"/>
                <w:color w:val="auto"/>
              </w:rPr>
              <w:t>13,501 13,749</w:t>
            </w:r>
          </w:p>
        </w:tc>
        <w:tc>
          <w:tcPr>
            <w:tcW w:w="3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960" w:type="dxa"/>
            <w:vAlign w:val="bottom"/>
          </w:tcPr>
          <w:p>
            <w:pPr>
              <w:jc w:val="right"/>
              <w:spacing w:after="0"/>
              <w:rPr>
                <w:sz w:val="20"/>
                <w:szCs w:val="20"/>
                <w:color w:val="auto"/>
              </w:rPr>
            </w:pPr>
            <w:r>
              <w:rPr>
                <w:rFonts w:ascii="Courier New" w:cs="Courier New" w:eastAsia="Courier New" w:hAnsi="Courier New"/>
                <w:sz w:val="11"/>
                <w:szCs w:val="11"/>
                <w:color w:val="auto"/>
                <w:w w:val="75"/>
              </w:rPr>
              <w:t>subsidiaries...........................</w:t>
            </w:r>
          </w:p>
        </w:tc>
        <w:tc>
          <w:tcPr>
            <w:tcW w:w="3160" w:type="dxa"/>
            <w:vAlign w:val="bottom"/>
          </w:tcPr>
          <w:p>
            <w:pPr>
              <w:jc w:val="right"/>
              <w:spacing w:after="0"/>
              <w:rPr>
                <w:sz w:val="20"/>
                <w:szCs w:val="20"/>
                <w:color w:val="auto"/>
              </w:rPr>
            </w:pPr>
            <w:r>
              <w:rPr>
                <w:rFonts w:ascii="Courier New" w:cs="Courier New" w:eastAsia="Courier New" w:hAnsi="Courier New"/>
                <w:sz w:val="16"/>
                <w:szCs w:val="16"/>
                <w:color w:val="auto"/>
              </w:rPr>
              <w:t>17 15 ------- -</w:t>
            </w:r>
          </w:p>
        </w:tc>
        <w:tc>
          <w:tcPr>
            <w:tcW w:w="0" w:type="dxa"/>
            <w:vAlign w:val="bottom"/>
          </w:tcPr>
          <w:p>
            <w:pPr>
              <w:spacing w:after="0"/>
              <w:rPr>
                <w:sz w:val="1"/>
                <w:szCs w:val="1"/>
                <w:color w:val="auto"/>
              </w:rPr>
            </w:pPr>
          </w:p>
        </w:tc>
      </w:tr>
    </w:tbl>
    <w:p>
      <w:pPr>
        <w:ind w:left="260"/>
        <w:spacing w:after="0" w:line="236" w:lineRule="auto"/>
        <w:rPr>
          <w:sz w:val="20"/>
          <w:szCs w:val="20"/>
          <w:color w:val="auto"/>
        </w:rPr>
      </w:pPr>
      <w:r>
        <w:rPr>
          <w:rFonts w:ascii="Courier New" w:cs="Courier New" w:eastAsia="Courier New" w:hAnsi="Courier New"/>
          <w:sz w:val="16"/>
          <w:szCs w:val="16"/>
          <w:color w:val="auto"/>
        </w:rPr>
        <w:t>------ Commitments and contingencies Stockholders'</w:t>
      </w:r>
    </w:p>
    <w:p>
      <w:pPr>
        <w:jc w:val="center"/>
        <w:ind w:right="5019"/>
        <w:spacing w:after="0" w:line="237" w:lineRule="auto"/>
        <w:rPr>
          <w:sz w:val="20"/>
          <w:szCs w:val="20"/>
          <w:color w:val="auto"/>
        </w:rPr>
      </w:pPr>
      <w:r>
        <w:rPr>
          <w:rFonts w:ascii="Courier New" w:cs="Courier New" w:eastAsia="Courier New" w:hAnsi="Courier New"/>
          <w:sz w:val="16"/>
          <w:szCs w:val="16"/>
          <w:color w:val="auto"/>
        </w:rPr>
        <w:t>equity: Common stock, $.01 par value; 1,500,000,000</w:t>
      </w:r>
    </w:p>
    <w:p>
      <w:pPr>
        <w:jc w:val="center"/>
        <w:ind w:right="5019"/>
        <w:spacing w:after="0" w:line="237" w:lineRule="auto"/>
        <w:rPr>
          <w:sz w:val="20"/>
          <w:szCs w:val="20"/>
          <w:color w:val="auto"/>
        </w:rPr>
      </w:pPr>
      <w:r>
        <w:rPr>
          <w:rFonts w:ascii="Courier New" w:cs="Courier New" w:eastAsia="Courier New" w:hAnsi="Courier New"/>
          <w:sz w:val="16"/>
          <w:szCs w:val="16"/>
          <w:color w:val="auto"/>
        </w:rPr>
        <w:t>shares authorized; 629,911,350 and 629,621,821 shares</w:t>
      </w:r>
    </w:p>
    <w:tbl>
      <w:tblPr>
        <w:tblLayout w:type="fixed"/>
        <w:tblInd w:w="0" w:type="dxa"/>
        <w:tblCellMar>
          <w:top w:w="0" w:type="dxa"/>
          <w:left w:w="0" w:type="dxa"/>
          <w:bottom w:w="0" w:type="dxa"/>
          <w:right w:w="0" w:type="dxa"/>
        </w:tblCellMar>
      </w:tblPr>
      <w:tr>
        <w:trPr>
          <w:trHeight w:val="151"/>
        </w:trPr>
        <w:tc>
          <w:tcPr>
            <w:tcW w:w="1020" w:type="dxa"/>
            <w:vAlign w:val="bottom"/>
          </w:tcPr>
          <w:p>
            <w:pPr>
              <w:spacing w:after="0"/>
              <w:rPr>
                <w:sz w:val="13"/>
                <w:szCs w:val="13"/>
                <w:color w:val="auto"/>
              </w:rPr>
            </w:pPr>
          </w:p>
        </w:tc>
        <w:tc>
          <w:tcPr>
            <w:tcW w:w="2920" w:type="dxa"/>
            <w:vAlign w:val="bottom"/>
          </w:tcPr>
          <w:p>
            <w:pPr>
              <w:jc w:val="center"/>
              <w:ind w:left="142"/>
              <w:spacing w:after="0" w:line="152" w:lineRule="exact"/>
              <w:rPr>
                <w:sz w:val="20"/>
                <w:szCs w:val="20"/>
                <w:color w:val="auto"/>
              </w:rPr>
            </w:pPr>
            <w:r>
              <w:rPr>
                <w:rFonts w:ascii="Courier New" w:cs="Courier New" w:eastAsia="Courier New" w:hAnsi="Courier New"/>
                <w:sz w:val="16"/>
                <w:szCs w:val="16"/>
                <w:color w:val="auto"/>
                <w:w w:val="98"/>
              </w:rPr>
              <w:t>issued,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50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3"/>
              </w:rPr>
              <w:t>respectively............................................</w:t>
            </w:r>
          </w:p>
        </w:tc>
        <w:tc>
          <w:tcPr>
            <w:tcW w:w="0" w:type="dxa"/>
            <w:vAlign w:val="bottom"/>
          </w:tcPr>
          <w:p>
            <w:pPr>
              <w:spacing w:after="0"/>
              <w:rPr>
                <w:sz w:val="1"/>
                <w:szCs w:val="1"/>
                <w:color w:val="auto"/>
              </w:rPr>
            </w:pPr>
          </w:p>
        </w:tc>
      </w:tr>
      <w:tr>
        <w:trPr>
          <w:trHeight w:val="261"/>
        </w:trPr>
        <w:tc>
          <w:tcPr>
            <w:tcW w:w="102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89"/>
                <w:vertAlign w:val="superscript"/>
              </w:rPr>
              <w:t>capital</w:t>
            </w:r>
            <w:r>
              <w:rPr>
                <w:rFonts w:ascii="Courier New" w:cs="Courier New" w:eastAsia="Courier New" w:hAnsi="Courier New"/>
                <w:sz w:val="2"/>
                <w:szCs w:val="2"/>
                <w:color w:val="auto"/>
                <w:w w:val="89"/>
              </w:rPr>
              <w:t>.........................................</w:t>
            </w:r>
            <w:r>
              <w:rPr>
                <w:rFonts w:ascii="Courier New" w:cs="Courier New" w:eastAsia="Courier New" w:hAnsi="Courier New"/>
                <w:sz w:val="4"/>
                <w:szCs w:val="4"/>
                <w:color w:val="auto"/>
                <w:w w:val="89"/>
                <w:vertAlign w:val="superscript"/>
              </w:rPr>
              <w:t>................................</w:t>
            </w:r>
          </w:p>
        </w:tc>
        <w:tc>
          <w:tcPr>
            <w:tcW w:w="2920" w:type="dxa"/>
            <w:vAlign w:val="bottom"/>
          </w:tcPr>
          <w:p>
            <w:pPr>
              <w:jc w:val="center"/>
              <w:ind w:left="162"/>
              <w:spacing w:after="0"/>
              <w:rPr>
                <w:sz w:val="20"/>
                <w:szCs w:val="20"/>
                <w:color w:val="auto"/>
              </w:rPr>
            </w:pPr>
            <w:r>
              <w:rPr>
                <w:rFonts w:ascii="Courier New" w:cs="Courier New" w:eastAsia="Courier New" w:hAnsi="Courier New"/>
                <w:sz w:val="16"/>
                <w:szCs w:val="16"/>
                <w:color w:val="auto"/>
                <w:w w:val="96"/>
              </w:rPr>
              <w:t>6 6 Additional paid-in</w:t>
            </w:r>
          </w:p>
        </w:tc>
        <w:tc>
          <w:tcPr>
            <w:tcW w:w="11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4"/>
              </w:rPr>
              <w:t>4,499 4,497</w:t>
            </w:r>
          </w:p>
        </w:tc>
        <w:tc>
          <w:tcPr>
            <w:tcW w:w="0" w:type="dxa"/>
            <w:vAlign w:val="bottom"/>
          </w:tcPr>
          <w:p>
            <w:pPr>
              <w:spacing w:after="0"/>
              <w:rPr>
                <w:sz w:val="1"/>
                <w:szCs w:val="1"/>
                <w:color w:val="auto"/>
              </w:rPr>
            </w:pPr>
          </w:p>
        </w:tc>
      </w:tr>
      <w:tr>
        <w:trPr>
          <w:trHeight w:val="254"/>
        </w:trPr>
        <w:tc>
          <w:tcPr>
            <w:tcW w:w="1020" w:type="dxa"/>
            <w:vAlign w:val="bottom"/>
            <w:vMerge w:val="continue"/>
          </w:tcPr>
          <w:p>
            <w:pPr>
              <w:spacing w:after="0"/>
              <w:rPr>
                <w:sz w:val="22"/>
                <w:szCs w:val="22"/>
                <w:color w:val="auto"/>
              </w:rPr>
            </w:pPr>
          </w:p>
        </w:tc>
        <w:tc>
          <w:tcPr>
            <w:tcW w:w="2920" w:type="dxa"/>
            <w:vAlign w:val="bottom"/>
            <w:vMerge w:val="restart"/>
          </w:tcPr>
          <w:p>
            <w:pPr>
              <w:jc w:val="center"/>
              <w:ind w:left="142"/>
              <w:spacing w:after="0"/>
              <w:rPr>
                <w:sz w:val="20"/>
                <w:szCs w:val="20"/>
                <w:color w:val="auto"/>
              </w:rPr>
            </w:pPr>
            <w:r>
              <w:rPr>
                <w:rFonts w:ascii="Courier New" w:cs="Courier New" w:eastAsia="Courier New" w:hAnsi="Courier New"/>
                <w:sz w:val="16"/>
                <w:szCs w:val="16"/>
                <w:color w:val="auto"/>
                <w:w w:val="96"/>
              </w:rPr>
              <w:t>Retained</w:t>
            </w: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020" w:type="dxa"/>
            <w:vAlign w:val="bottom"/>
            <w:vMerge w:val="restart"/>
          </w:tcPr>
          <w:p>
            <w:pPr>
              <w:jc w:val="right"/>
              <w:ind w:right="77"/>
              <w:spacing w:after="0"/>
              <w:rPr>
                <w:sz w:val="20"/>
                <w:szCs w:val="20"/>
                <w:color w:val="auto"/>
              </w:rPr>
            </w:pPr>
            <w:r>
              <w:rPr>
                <w:rFonts w:ascii="Courier New" w:cs="Courier New" w:eastAsia="Courier New" w:hAnsi="Courier New"/>
                <w:sz w:val="16"/>
                <w:szCs w:val="16"/>
                <w:color w:val="auto"/>
              </w:rPr>
              <w:t>earnings</w:t>
            </w:r>
          </w:p>
        </w:tc>
        <w:tc>
          <w:tcPr>
            <w:tcW w:w="2920" w:type="dxa"/>
            <w:vAlign w:val="bottom"/>
            <w:vMerge w:val="continue"/>
          </w:tcPr>
          <w:p>
            <w:pPr>
              <w:spacing w:after="0"/>
              <w:rPr>
                <w:sz w:val="9"/>
                <w:szCs w:val="9"/>
                <w:color w:val="auto"/>
              </w:rPr>
            </w:pPr>
          </w:p>
        </w:tc>
        <w:tc>
          <w:tcPr>
            <w:tcW w:w="11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875</w:t>
            </w:r>
          </w:p>
        </w:tc>
        <w:tc>
          <w:tcPr>
            <w:tcW w:w="0" w:type="dxa"/>
            <w:vAlign w:val="bottom"/>
          </w:tcPr>
          <w:p>
            <w:pPr>
              <w:spacing w:after="0"/>
              <w:rPr>
                <w:sz w:val="1"/>
                <w:szCs w:val="1"/>
                <w:color w:val="auto"/>
              </w:rPr>
            </w:pPr>
          </w:p>
        </w:tc>
      </w:tr>
      <w:tr>
        <w:trPr>
          <w:trHeight w:val="97"/>
        </w:trPr>
        <w:tc>
          <w:tcPr>
            <w:tcW w:w="1020" w:type="dxa"/>
            <w:vAlign w:val="bottom"/>
            <w:vMerge w:val="continue"/>
          </w:tcPr>
          <w:p>
            <w:pPr>
              <w:spacing w:after="0"/>
              <w:rPr>
                <w:sz w:val="8"/>
                <w:szCs w:val="8"/>
                <w:color w:val="auto"/>
              </w:rPr>
            </w:pPr>
          </w:p>
        </w:tc>
        <w:tc>
          <w:tcPr>
            <w:tcW w:w="29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20" w:type="dxa"/>
            <w:vAlign w:val="bottom"/>
          </w:tcPr>
          <w:p>
            <w:pPr>
              <w:jc w:val="right"/>
              <w:ind w:right="37"/>
              <w:spacing w:after="0" w:line="179" w:lineRule="exact"/>
              <w:rPr>
                <w:sz w:val="20"/>
                <w:szCs w:val="20"/>
                <w:color w:val="auto"/>
              </w:rPr>
            </w:pPr>
            <w:r>
              <w:rPr>
                <w:rFonts w:ascii="Courier New" w:cs="Courier New" w:eastAsia="Courier New" w:hAnsi="Courier New"/>
                <w:sz w:val="16"/>
                <w:szCs w:val="16"/>
                <w:color w:val="auto"/>
              </w:rPr>
              <w:t>560</w:t>
            </w:r>
          </w:p>
        </w:tc>
        <w:tc>
          <w:tcPr>
            <w:tcW w:w="4040" w:type="dxa"/>
            <w:vAlign w:val="bottom"/>
            <w:gridSpan w:val="2"/>
          </w:tcPr>
          <w:p>
            <w:pPr>
              <w:jc w:val="right"/>
              <w:ind w:right="442"/>
              <w:spacing w:after="0" w:line="179" w:lineRule="exact"/>
              <w:rPr>
                <w:sz w:val="20"/>
                <w:szCs w:val="20"/>
                <w:color w:val="auto"/>
              </w:rPr>
            </w:pPr>
            <w:r>
              <w:rPr>
                <w:rFonts w:ascii="Courier New" w:cs="Courier New" w:eastAsia="Courier New" w:hAnsi="Courier New"/>
                <w:sz w:val="16"/>
                <w:szCs w:val="16"/>
                <w:color w:val="auto"/>
                <w:w w:val="95"/>
              </w:rPr>
              <w:t>Accumulated other comprehensive income</w:t>
            </w:r>
          </w:p>
        </w:tc>
        <w:tc>
          <w:tcPr>
            <w:tcW w:w="0" w:type="dxa"/>
            <w:vAlign w:val="bottom"/>
          </w:tcPr>
          <w:p>
            <w:pPr>
              <w:spacing w:after="0"/>
              <w:rPr>
                <w:sz w:val="1"/>
                <w:szCs w:val="1"/>
                <w:color w:val="auto"/>
              </w:rPr>
            </w:pPr>
          </w:p>
        </w:tc>
      </w:tr>
      <w:tr>
        <w:trPr>
          <w:trHeight w:val="179"/>
        </w:trPr>
        <w:tc>
          <w:tcPr>
            <w:tcW w:w="1020" w:type="dxa"/>
            <w:vAlign w:val="bottom"/>
          </w:tcPr>
          <w:p>
            <w:pPr>
              <w:jc w:val="right"/>
              <w:spacing w:after="0"/>
              <w:rPr>
                <w:sz w:val="20"/>
                <w:szCs w:val="20"/>
                <w:color w:val="auto"/>
              </w:rPr>
            </w:pPr>
            <w:r>
              <w:rPr>
                <w:rFonts w:ascii="Courier New" w:cs="Courier New" w:eastAsia="Courier New" w:hAnsi="Courier New"/>
                <w:sz w:val="12"/>
                <w:szCs w:val="12"/>
                <w:color w:val="auto"/>
                <w:w w:val="73"/>
              </w:rPr>
              <w:t>(loss).............</w:t>
            </w:r>
          </w:p>
        </w:tc>
        <w:tc>
          <w:tcPr>
            <w:tcW w:w="404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(111) (126) Restricted stock</w:t>
            </w:r>
          </w:p>
        </w:tc>
        <w:tc>
          <w:tcPr>
            <w:tcW w:w="0" w:type="dxa"/>
            <w:vAlign w:val="bottom"/>
          </w:tcPr>
          <w:p>
            <w:pPr>
              <w:spacing w:after="0"/>
              <w:rPr>
                <w:sz w:val="1"/>
                <w:szCs w:val="1"/>
                <w:color w:val="auto"/>
              </w:rPr>
            </w:pPr>
          </w:p>
        </w:tc>
      </w:tr>
      <w:tr>
        <w:trPr>
          <w:trHeight w:val="207"/>
        </w:trPr>
        <w:tc>
          <w:tcPr>
            <w:tcW w:w="394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1"/>
              </w:rPr>
              <w:t>unearned compensation....................</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 (3)</w:t>
            </w:r>
          </w:p>
        </w:tc>
        <w:tc>
          <w:tcPr>
            <w:tcW w:w="0" w:type="dxa"/>
            <w:vAlign w:val="bottom"/>
          </w:tcPr>
          <w:p>
            <w:pPr>
              <w:spacing w:after="0"/>
              <w:rPr>
                <w:sz w:val="1"/>
                <w:szCs w:val="1"/>
                <w:color w:val="auto"/>
              </w:rPr>
            </w:pPr>
          </w:p>
        </w:tc>
      </w:tr>
    </w:tbl>
    <w:p>
      <w:pPr>
        <w:ind w:left="40"/>
        <w:spacing w:after="0" w:line="236" w:lineRule="auto"/>
        <w:rPr>
          <w:sz w:val="20"/>
          <w:szCs w:val="20"/>
          <w:color w:val="auto"/>
        </w:rPr>
      </w:pPr>
      <w:r>
        <w:rPr>
          <w:rFonts w:ascii="Courier New" w:cs="Courier New" w:eastAsia="Courier New" w:hAnsi="Courier New"/>
          <w:sz w:val="16"/>
          <w:szCs w:val="16"/>
          <w:color w:val="auto"/>
        </w:rPr>
        <w:t>Treasury stock at cost, 3,950,914 and 6,971,560 shares,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respectively............................................</w:t>
            </w:r>
          </w:p>
        </w:tc>
        <w:tc>
          <w:tcPr>
            <w:tcW w:w="2280" w:type="dxa"/>
            <w:vAlign w:val="bottom"/>
            <w:vMerge w:val="restart"/>
          </w:tcPr>
          <w:p>
            <w:pPr>
              <w:jc w:val="right"/>
              <w:ind w:right="342"/>
              <w:spacing w:after="0"/>
              <w:rPr>
                <w:sz w:val="20"/>
                <w:szCs w:val="20"/>
                <w:color w:val="auto"/>
              </w:rPr>
            </w:pPr>
            <w:r>
              <w:rPr>
                <w:rFonts w:ascii="Courier New" w:cs="Courier New" w:eastAsia="Courier New" w:hAnsi="Courier New"/>
                <w:sz w:val="16"/>
                <w:szCs w:val="16"/>
                <w:color w:val="auto"/>
              </w:rPr>
              <w:t>Total stockholders'</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(76) (133)</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2"/>
              </w:rPr>
              <w:t>equity..............................</w:t>
            </w:r>
          </w:p>
        </w:tc>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5,191 4,801 ------</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3"/>
              </w:rPr>
              <w:t>equity</w:t>
            </w:r>
            <w:r>
              <w:rPr>
                <w:rFonts w:ascii="Courier New" w:cs="Courier New" w:eastAsia="Courier New" w:hAnsi="Courier New"/>
                <w:sz w:val="19"/>
                <w:szCs w:val="19"/>
                <w:color w:val="auto"/>
                <w:w w:val="73"/>
                <w:vertAlign w:val="superscript"/>
              </w:rPr>
              <w:t>--------</w:t>
            </w:r>
            <w:r>
              <w:rPr>
                <w:rFonts w:ascii="Courier New" w:cs="Courier New" w:eastAsia="Courier New" w:hAnsi="Courier New"/>
                <w:sz w:val="11"/>
                <w:szCs w:val="11"/>
                <w:color w:val="auto"/>
                <w:w w:val="73"/>
              </w:rPr>
              <w:t>..............</w:t>
            </w:r>
          </w:p>
        </w:tc>
        <w:tc>
          <w:tcPr>
            <w:tcW w:w="372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w w:val="95"/>
              </w:rPr>
              <w:t>Total liabilities and stockholders'</w:t>
            </w:r>
          </w:p>
        </w:tc>
        <w:tc>
          <w:tcPr>
            <w:tcW w:w="0" w:type="dxa"/>
            <w:vAlign w:val="bottom"/>
          </w:tcPr>
          <w:p>
            <w:pPr>
              <w:spacing w:after="0"/>
              <w:rPr>
                <w:sz w:val="1"/>
                <w:szCs w:val="1"/>
                <w:color w:val="auto"/>
              </w:rPr>
            </w:pPr>
          </w:p>
        </w:tc>
      </w:tr>
      <w:tr>
        <w:trPr>
          <w:trHeight w:val="276"/>
        </w:trPr>
        <w:tc>
          <w:tcPr>
            <w:tcW w:w="1440" w:type="dxa"/>
            <w:vAlign w:val="bottom"/>
            <w:vMerge w:val="continue"/>
          </w:tcPr>
          <w:p>
            <w:pPr>
              <w:spacing w:after="0"/>
              <w:rPr>
                <w:sz w:val="24"/>
                <w:szCs w:val="24"/>
                <w:color w:val="auto"/>
              </w:rPr>
            </w:pPr>
          </w:p>
        </w:tc>
        <w:tc>
          <w:tcPr>
            <w:tcW w:w="14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$18,709</w:t>
            </w:r>
          </w:p>
        </w:tc>
        <w:tc>
          <w:tcPr>
            <w:tcW w:w="22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$18,565 ======= =======</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4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69"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CONDENSED CONSOLIDATED STATEMENTS OF OPERATIONS</w:t>
      </w:r>
    </w:p>
    <w:p>
      <w:pPr>
        <w:spacing w:after="0" w:line="2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(IN MILLIONS, EXCEPT PER SHARE AMOUNTS)</w:t>
      </w:r>
    </w:p>
    <w:p>
      <w:pPr>
        <w:jc w:val="center"/>
        <w:ind w:right="2879"/>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THREE MONTHS ENDED SIX MONTHS ENDED JUNE 30, JUNE</w:t>
      </w:r>
    </w:p>
    <w:p>
      <w:pPr>
        <w:spacing w:after="0" w:line="23" w:lineRule="exact"/>
        <w:rPr>
          <w:sz w:val="20"/>
          <w:szCs w:val="20"/>
          <w:color w:val="auto"/>
        </w:rPr>
      </w:pPr>
    </w:p>
    <w:p>
      <w:pPr>
        <w:jc w:val="center"/>
        <w:ind w:right="5399"/>
        <w:spacing w:after="0"/>
        <w:rPr>
          <w:sz w:val="20"/>
          <w:szCs w:val="20"/>
          <w:color w:val="auto"/>
        </w:rPr>
      </w:pPr>
      <w:r>
        <w:rPr>
          <w:rFonts w:ascii="Courier New" w:cs="Courier New" w:eastAsia="Courier New" w:hAnsi="Courier New"/>
          <w:sz w:val="16"/>
          <w:szCs w:val="16"/>
          <w:color w:val="auto"/>
        </w:rPr>
        <w:t>30, ------------------ ---------------- 2001 2000</w:t>
      </w:r>
    </w:p>
    <w:p>
      <w:pPr>
        <w:jc w:val="center"/>
        <w:ind w:right="5399"/>
        <w:spacing w:after="0" w:line="236" w:lineRule="auto"/>
        <w:rPr>
          <w:sz w:val="20"/>
          <w:szCs w:val="20"/>
          <w:color w:val="auto"/>
        </w:rPr>
      </w:pPr>
      <w:r>
        <w:rPr>
          <w:rFonts w:ascii="Courier New" w:cs="Courier New" w:eastAsia="Courier New" w:hAnsi="Courier New"/>
          <w:sz w:val="16"/>
          <w:szCs w:val="16"/>
          <w:color w:val="auto"/>
        </w:rPr>
        <w:t>2001 2000 ------- ------- ------ ------ Operating</w:t>
      </w:r>
    </w:p>
    <w:p>
      <w:pPr>
        <w:jc w:val="center"/>
        <w:ind w:right="5399"/>
        <w:spacing w:after="0" w:line="237" w:lineRule="auto"/>
        <w:rPr>
          <w:sz w:val="20"/>
          <w:szCs w:val="20"/>
          <w:color w:val="auto"/>
        </w:rPr>
      </w:pPr>
      <w:r>
        <w:rPr>
          <w:rFonts w:ascii="Courier New" w:cs="Courier New" w:eastAsia="Courier New" w:hAnsi="Courier New"/>
          <w:sz w:val="16"/>
          <w:szCs w:val="16"/>
          <w:color w:val="auto"/>
        </w:rPr>
        <w:t>revenues......................................</w:t>
      </w:r>
    </w:p>
    <w:p>
      <w:pPr>
        <w:ind w:left="40"/>
        <w:spacing w:after="0" w:line="237" w:lineRule="auto"/>
        <w:rPr>
          <w:sz w:val="20"/>
          <w:szCs w:val="20"/>
          <w:color w:val="auto"/>
        </w:rPr>
      </w:pPr>
      <w:r>
        <w:rPr>
          <w:rFonts w:ascii="Courier New" w:cs="Courier New" w:eastAsia="Courier New" w:hAnsi="Courier New"/>
          <w:sz w:val="16"/>
          <w:szCs w:val="16"/>
          <w:color w:val="auto"/>
        </w:rPr>
        <w:t>$2,915 $3,266 $5,634 $6,483 ------ ------ ------ --</w:t>
      </w:r>
    </w:p>
    <w:p>
      <w:pPr>
        <w:ind w:left="780" w:right="5579" w:hanging="603"/>
        <w:spacing w:after="0" w:line="236"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Costs and expenses: Operating (exclusive of depreciation and amortization shown</w:t>
      </w:r>
    </w:p>
    <w:tbl>
      <w:tblPr>
        <w:tblLayout w:type="fixed"/>
        <w:tblInd w:w="40" w:type="dxa"/>
        <w:tblCellMar>
          <w:top w:w="0" w:type="dxa"/>
          <w:left w:w="0" w:type="dxa"/>
          <w:bottom w:w="0" w:type="dxa"/>
          <w:right w:w="0" w:type="dxa"/>
        </w:tblCellMar>
      </w:tblPr>
      <w:tr>
        <w:trPr>
          <w:trHeight w:val="152"/>
        </w:trPr>
        <w:tc>
          <w:tcPr>
            <w:tcW w:w="1440" w:type="dxa"/>
            <w:vAlign w:val="bottom"/>
          </w:tcPr>
          <w:p>
            <w:pPr>
              <w:jc w:val="right"/>
              <w:spacing w:after="0"/>
              <w:rPr>
                <w:sz w:val="20"/>
                <w:szCs w:val="20"/>
                <w:color w:val="auto"/>
              </w:rPr>
            </w:pPr>
            <w:r>
              <w:rPr>
                <w:rFonts w:ascii="Courier New" w:cs="Courier New" w:eastAsia="Courier New" w:hAnsi="Courier New"/>
                <w:sz w:val="7"/>
                <w:szCs w:val="7"/>
                <w:color w:val="auto"/>
                <w:w w:val="75"/>
              </w:rPr>
              <w:t>below).......................................</w:t>
            </w:r>
          </w:p>
        </w:tc>
        <w:tc>
          <w:tcPr>
            <w:tcW w:w="330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1,732</w:t>
            </w:r>
          </w:p>
        </w:tc>
        <w:tc>
          <w:tcPr>
            <w:tcW w:w="0" w:type="dxa"/>
            <w:vAlign w:val="bottom"/>
          </w:tcPr>
          <w:p>
            <w:pPr>
              <w:spacing w:after="0"/>
              <w:rPr>
                <w:sz w:val="1"/>
                <w:szCs w:val="1"/>
                <w:color w:val="auto"/>
              </w:rPr>
            </w:pPr>
          </w:p>
        </w:tc>
      </w:tr>
      <w:tr>
        <w:trPr>
          <w:trHeight w:val="179"/>
        </w:trPr>
        <w:tc>
          <w:tcPr>
            <w:tcW w:w="4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1,949 3,378 3,905 General and</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8"/>
                <w:szCs w:val="8"/>
                <w:color w:val="auto"/>
                <w:w w:val="70"/>
              </w:rPr>
              <w:t>administrative............................</w:t>
            </w: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398 445</w:t>
            </w:r>
          </w:p>
        </w:tc>
        <w:tc>
          <w:tcPr>
            <w:tcW w:w="0" w:type="dxa"/>
            <w:vAlign w:val="bottom"/>
          </w:tcPr>
          <w:p>
            <w:pPr>
              <w:spacing w:after="0"/>
              <w:rPr>
                <w:sz w:val="1"/>
                <w:szCs w:val="1"/>
                <w:color w:val="auto"/>
              </w:rPr>
            </w:pPr>
          </w:p>
        </w:tc>
      </w:tr>
      <w:tr>
        <w:trPr>
          <w:trHeight w:val="179"/>
        </w:trPr>
        <w:tc>
          <w:tcPr>
            <w:tcW w:w="4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787 939 Depreciation and</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9"/>
                <w:szCs w:val="9"/>
                <w:color w:val="auto"/>
                <w:w w:val="71"/>
              </w:rPr>
              <w:t>amortization.........................</w:t>
            </w:r>
          </w:p>
        </w:tc>
        <w:tc>
          <w:tcPr>
            <w:tcW w:w="3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341 362 676</w:t>
            </w:r>
          </w:p>
        </w:tc>
        <w:tc>
          <w:tcPr>
            <w:tcW w:w="0" w:type="dxa"/>
            <w:vAlign w:val="bottom"/>
          </w:tcPr>
          <w:p>
            <w:pPr>
              <w:spacing w:after="0"/>
              <w:rPr>
                <w:sz w:val="1"/>
                <w:szCs w:val="1"/>
                <w:color w:val="auto"/>
              </w:rPr>
            </w:pPr>
          </w:p>
        </w:tc>
      </w:tr>
      <w:tr>
        <w:trPr>
          <w:trHeight w:val="179"/>
        </w:trPr>
        <w:tc>
          <w:tcPr>
            <w:tcW w:w="4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712 Asset impairments and unusual</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14"/>
                <w:szCs w:val="14"/>
                <w:color w:val="auto"/>
                <w:w w:val="70"/>
              </w:rPr>
              <w:t>items...................</w:t>
            </w: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3 217 8 309 ------ ------</w:t>
            </w:r>
          </w:p>
        </w:tc>
        <w:tc>
          <w:tcPr>
            <w:tcW w:w="0" w:type="dxa"/>
            <w:vAlign w:val="bottom"/>
          </w:tcPr>
          <w:p>
            <w:pPr>
              <w:spacing w:after="0"/>
              <w:rPr>
                <w:sz w:val="1"/>
                <w:szCs w:val="1"/>
                <w:color w:val="auto"/>
              </w:rPr>
            </w:pPr>
          </w:p>
        </w:tc>
      </w:tr>
      <w:tr>
        <w:trPr>
          <w:trHeight w:val="179"/>
        </w:trPr>
        <w:tc>
          <w:tcPr>
            <w:tcW w:w="4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 ------ 2,474 2,973 4,849 5,865 ------ ------</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operations..................................</w:t>
            </w:r>
            <w:r>
              <w:rPr>
                <w:rFonts w:ascii="Courier New" w:cs="Courier New" w:eastAsia="Courier New" w:hAnsi="Courier New"/>
                <w:sz w:val="7"/>
                <w:szCs w:val="7"/>
                <w:color w:val="auto"/>
                <w:vertAlign w:val="superscript"/>
              </w:rPr>
              <w:t>------</w:t>
            </w:r>
          </w:p>
        </w:tc>
        <w:tc>
          <w:tcPr>
            <w:tcW w:w="3300" w:type="dxa"/>
            <w:vAlign w:val="bottom"/>
          </w:tcPr>
          <w:p>
            <w:pPr>
              <w:jc w:val="right"/>
              <w:ind w:right="1122"/>
              <w:spacing w:after="0" w:line="179" w:lineRule="exact"/>
              <w:rPr>
                <w:sz w:val="20"/>
                <w:szCs w:val="20"/>
                <w:color w:val="auto"/>
              </w:rPr>
            </w:pPr>
            <w:r>
              <w:rPr>
                <w:rFonts w:ascii="Courier New" w:cs="Courier New" w:eastAsia="Courier New" w:hAnsi="Courier New"/>
                <w:sz w:val="16"/>
                <w:szCs w:val="16"/>
                <w:color w:val="auto"/>
              </w:rPr>
              <w:t>------ Income from</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3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441</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2"/>
              </w:rPr>
              <w:t>293 785 618 ------</w:t>
            </w:r>
          </w:p>
        </w:tc>
        <w:tc>
          <w:tcPr>
            <w:tcW w:w="3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 ------ ------ Other</w:t>
            </w:r>
          </w:p>
        </w:tc>
        <w:tc>
          <w:tcPr>
            <w:tcW w:w="0" w:type="dxa"/>
            <w:vAlign w:val="bottom"/>
          </w:tcPr>
          <w:p>
            <w:pPr>
              <w:spacing w:after="0"/>
              <w:rPr>
                <w:sz w:val="1"/>
                <w:szCs w:val="1"/>
                <w:color w:val="auto"/>
              </w:rPr>
            </w:pPr>
          </w:p>
        </w:tc>
      </w:tr>
      <w:tr>
        <w:trPr>
          <w:trHeight w:val="179"/>
        </w:trPr>
        <w:tc>
          <w:tcPr>
            <w:tcW w:w="4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income (expense): Interest</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7"/>
                <w:szCs w:val="7"/>
                <w:color w:val="auto"/>
                <w:w w:val="75"/>
              </w:rPr>
              <w:t>expense......................................</w:t>
            </w: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(147)</w:t>
            </w:r>
          </w:p>
        </w:tc>
        <w:tc>
          <w:tcPr>
            <w:tcW w:w="0" w:type="dxa"/>
            <w:vAlign w:val="bottom"/>
          </w:tcPr>
          <w:p>
            <w:pPr>
              <w:spacing w:after="0"/>
              <w:rPr>
                <w:sz w:val="1"/>
                <w:szCs w:val="1"/>
                <w:color w:val="auto"/>
              </w:rPr>
            </w:pPr>
          </w:p>
        </w:tc>
      </w:tr>
      <w:tr>
        <w:trPr>
          <w:trHeight w:val="179"/>
        </w:trPr>
        <w:tc>
          <w:tcPr>
            <w:tcW w:w="4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(201) (301) (411) Interest</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7"/>
                <w:szCs w:val="7"/>
                <w:color w:val="auto"/>
                <w:w w:val="75"/>
              </w:rPr>
              <w:t>income.......................................</w:t>
            </w: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10 6</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5"/>
              </w:rPr>
              <w:t>interest.....................................</w:t>
            </w:r>
          </w:p>
        </w:tc>
        <w:tc>
          <w:tcPr>
            <w:tcW w:w="3300" w:type="dxa"/>
            <w:vAlign w:val="bottom"/>
          </w:tcPr>
          <w:p>
            <w:pPr>
              <w:jc w:val="center"/>
              <w:ind w:right="1362"/>
              <w:spacing w:after="0" w:line="179" w:lineRule="exact"/>
              <w:rPr>
                <w:sz w:val="20"/>
                <w:szCs w:val="20"/>
                <w:color w:val="auto"/>
              </w:rPr>
            </w:pPr>
            <w:r>
              <w:rPr>
                <w:rFonts w:ascii="Courier New" w:cs="Courier New" w:eastAsia="Courier New" w:hAnsi="Courier New"/>
                <w:sz w:val="16"/>
                <w:szCs w:val="16"/>
                <w:color w:val="auto"/>
                <w:w w:val="96"/>
              </w:rPr>
              <w:t>27 15 Minority</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33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79"/>
        </w:trPr>
        <w:tc>
          <w:tcPr>
            <w:tcW w:w="47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(6) (3) (12) Other income,</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8"/>
                <w:szCs w:val="8"/>
                <w:color w:val="auto"/>
                <w:w w:val="73"/>
              </w:rPr>
              <w:t>net.....................................</w:t>
            </w: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2 13 8 15</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3"/>
              </w:rPr>
              <w:t>------ ------ ------</w:t>
            </w: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(137) (188) (269) (393)</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6"/>
              </w:rPr>
              <w:t>taxes</w:t>
            </w:r>
            <w:r>
              <w:rPr>
                <w:rFonts w:ascii="Courier New" w:cs="Courier New" w:eastAsia="Courier New" w:hAnsi="Courier New"/>
                <w:sz w:val="8"/>
                <w:szCs w:val="8"/>
                <w:color w:val="auto"/>
                <w:w w:val="76"/>
                <w:vertAlign w:val="superscript"/>
              </w:rPr>
              <w:t>------</w:t>
            </w:r>
            <w:r>
              <w:rPr>
                <w:rFonts w:ascii="Courier New" w:cs="Courier New" w:eastAsia="Courier New" w:hAnsi="Courier New"/>
                <w:sz w:val="7"/>
                <w:szCs w:val="7"/>
                <w:color w:val="auto"/>
                <w:w w:val="76"/>
              </w:rPr>
              <w:t>..............................</w:t>
            </w:r>
            <w:r>
              <w:rPr>
                <w:rFonts w:ascii="Courier New" w:cs="Courier New" w:eastAsia="Courier New" w:hAnsi="Courier New"/>
                <w:sz w:val="8"/>
                <w:szCs w:val="8"/>
                <w:color w:val="auto"/>
                <w:w w:val="76"/>
                <w:vertAlign w:val="superscript"/>
              </w:rPr>
              <w:t>------</w:t>
            </w:r>
          </w:p>
        </w:tc>
        <w:tc>
          <w:tcPr>
            <w:tcW w:w="330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 ------ Income before income</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304 105 516 225</w:t>
            </w:r>
          </w:p>
        </w:tc>
        <w:tc>
          <w:tcPr>
            <w:tcW w:w="0" w:type="dxa"/>
            <w:vAlign w:val="bottom"/>
          </w:tcPr>
          <w:p>
            <w:pPr>
              <w:spacing w:after="0"/>
              <w:rPr>
                <w:sz w:val="1"/>
                <w:szCs w:val="1"/>
                <w:color w:val="auto"/>
              </w:rPr>
            </w:pPr>
          </w:p>
        </w:tc>
      </w:tr>
      <w:tr>
        <w:trPr>
          <w:trHeight w:val="179"/>
        </w:trPr>
        <w:tc>
          <w:tcPr>
            <w:tcW w:w="144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5"/>
              </w:rPr>
              <w:t>taxes..............................</w:t>
            </w:r>
          </w:p>
        </w:tc>
        <w:tc>
          <w:tcPr>
            <w:tcW w:w="3300" w:type="dxa"/>
            <w:vAlign w:val="bottom"/>
          </w:tcPr>
          <w:p>
            <w:pPr>
              <w:jc w:val="center"/>
              <w:ind w:right="1362"/>
              <w:spacing w:after="0" w:line="179" w:lineRule="exact"/>
              <w:rPr>
                <w:sz w:val="20"/>
                <w:szCs w:val="20"/>
                <w:color w:val="auto"/>
              </w:rPr>
            </w:pPr>
            <w:r>
              <w:rPr>
                <w:rFonts w:ascii="Courier New" w:cs="Courier New" w:eastAsia="Courier New" w:hAnsi="Courier New"/>
                <w:sz w:val="16"/>
                <w:szCs w:val="16"/>
                <w:color w:val="auto"/>
                <w:w w:val="96"/>
              </w:rPr>
              <w:t>Provision for income</w:t>
            </w:r>
          </w:p>
        </w:tc>
        <w:tc>
          <w:tcPr>
            <w:tcW w:w="0" w:type="dxa"/>
            <w:vAlign w:val="bottom"/>
          </w:tcPr>
          <w:p>
            <w:pPr>
              <w:spacing w:after="0"/>
              <w:rPr>
                <w:sz w:val="1"/>
                <w:szCs w:val="1"/>
                <w:color w:val="auto"/>
              </w:rPr>
            </w:pPr>
          </w:p>
        </w:tc>
      </w:tr>
      <w:tr>
        <w:trPr>
          <w:trHeight w:val="179"/>
        </w:trPr>
        <w:tc>
          <w:tcPr>
            <w:tcW w:w="1440" w:type="dxa"/>
            <w:vAlign w:val="bottom"/>
            <w:vMerge w:val="continue"/>
          </w:tcPr>
          <w:p>
            <w:pPr>
              <w:spacing w:after="0"/>
              <w:rPr>
                <w:sz w:val="15"/>
                <w:szCs w:val="15"/>
                <w:color w:val="auto"/>
              </w:rPr>
            </w:pPr>
          </w:p>
        </w:tc>
        <w:tc>
          <w:tcPr>
            <w:tcW w:w="3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113 105 202 170</w:t>
            </w:r>
          </w:p>
        </w:tc>
        <w:tc>
          <w:tcPr>
            <w:tcW w:w="0" w:type="dxa"/>
            <w:vAlign w:val="bottom"/>
          </w:tcPr>
          <w:p>
            <w:pPr>
              <w:spacing w:after="0"/>
              <w:rPr>
                <w:sz w:val="1"/>
                <w:szCs w:val="1"/>
                <w:color w:val="auto"/>
              </w:rPr>
            </w:pPr>
          </w:p>
        </w:tc>
      </w:tr>
      <w:tr>
        <w:trPr>
          <w:trHeight w:val="207"/>
        </w:trPr>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33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 Income before</w:t>
            </w: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Courier New" w:cs="Courier New" w:eastAsia="Courier New" w:hAnsi="Courier New"/>
          <w:sz w:val="16"/>
          <w:szCs w:val="16"/>
          <w:color w:val="auto"/>
        </w:rPr>
        <w:t>extraordinary item and cumulative effect of change</w:t>
      </w:r>
    </w:p>
    <w:tbl>
      <w:tblPr>
        <w:tblLayout w:type="fixed"/>
        <w:tblInd w:w="0" w:type="dxa"/>
        <w:tblCellMar>
          <w:top w:w="0" w:type="dxa"/>
          <w:left w:w="0" w:type="dxa"/>
          <w:bottom w:w="0" w:type="dxa"/>
          <w:right w:w="0" w:type="dxa"/>
        </w:tblCellMar>
      </w:tblPr>
      <w:tr>
        <w:trPr>
          <w:trHeight w:val="152"/>
        </w:trPr>
        <w:tc>
          <w:tcPr>
            <w:tcW w:w="2180" w:type="dxa"/>
            <w:vAlign w:val="bottom"/>
          </w:tcPr>
          <w:p>
            <w:pPr>
              <w:ind w:left="40"/>
              <w:spacing w:after="0" w:line="152" w:lineRule="exact"/>
              <w:rPr>
                <w:sz w:val="20"/>
                <w:szCs w:val="20"/>
                <w:color w:val="auto"/>
              </w:rPr>
            </w:pPr>
            <w:r>
              <w:rPr>
                <w:rFonts w:ascii="Courier New" w:cs="Courier New" w:eastAsia="Courier New" w:hAnsi="Courier New"/>
                <w:sz w:val="16"/>
                <w:szCs w:val="16"/>
                <w:color w:val="auto"/>
                <w:w w:val="95"/>
              </w:rPr>
              <w:t>in accounting principle</w:t>
            </w:r>
          </w:p>
        </w:tc>
        <w:tc>
          <w:tcPr>
            <w:tcW w:w="1260" w:type="dxa"/>
            <w:vAlign w:val="bottom"/>
          </w:tcPr>
          <w:p>
            <w:pPr>
              <w:jc w:val="right"/>
              <w:spacing w:after="0" w:line="152" w:lineRule="exact"/>
              <w:rPr>
                <w:sz w:val="20"/>
                <w:szCs w:val="20"/>
                <w:color w:val="auto"/>
              </w:rPr>
            </w:pPr>
            <w:r>
              <w:rPr>
                <w:rFonts w:ascii="Courier New" w:cs="Courier New" w:eastAsia="Courier New" w:hAnsi="Courier New"/>
                <w:sz w:val="14"/>
                <w:szCs w:val="14"/>
                <w:color w:val="auto"/>
                <w:w w:val="70"/>
              </w:rPr>
              <w:t>.....................</w:t>
            </w:r>
          </w:p>
        </w:tc>
        <w:tc>
          <w:tcPr>
            <w:tcW w:w="1340" w:type="dxa"/>
            <w:vAlign w:val="bottom"/>
          </w:tcPr>
          <w:p>
            <w:pPr>
              <w:ind w:left="780"/>
              <w:spacing w:after="0" w:line="152" w:lineRule="exact"/>
              <w:rPr>
                <w:sz w:val="20"/>
                <w:szCs w:val="20"/>
                <w:color w:val="auto"/>
              </w:rPr>
            </w:pPr>
            <w:r>
              <w:rPr>
                <w:rFonts w:ascii="Courier New" w:cs="Courier New" w:eastAsia="Courier New" w:hAnsi="Courier New"/>
                <w:sz w:val="16"/>
                <w:szCs w:val="16"/>
                <w:color w:val="auto"/>
                <w:w w:val="93"/>
              </w:rPr>
              <w:t>191 --</w:t>
            </w:r>
          </w:p>
        </w:tc>
        <w:tc>
          <w:tcPr>
            <w:tcW w:w="0" w:type="dxa"/>
            <w:vAlign w:val="bottom"/>
          </w:tcPr>
          <w:p>
            <w:pPr>
              <w:spacing w:after="0"/>
              <w:rPr>
                <w:sz w:val="1"/>
                <w:szCs w:val="1"/>
                <w:color w:val="auto"/>
              </w:rPr>
            </w:pPr>
          </w:p>
        </w:tc>
      </w:tr>
      <w:tr>
        <w:trPr>
          <w:trHeight w:val="179"/>
        </w:trPr>
        <w:tc>
          <w:tcPr>
            <w:tcW w:w="3440" w:type="dxa"/>
            <w:vAlign w:val="bottom"/>
            <w:gridSpan w:val="2"/>
          </w:tcPr>
          <w:p>
            <w:pPr>
              <w:ind w:left="180"/>
              <w:spacing w:after="0" w:line="179" w:lineRule="exact"/>
              <w:rPr>
                <w:sz w:val="20"/>
                <w:szCs w:val="20"/>
                <w:color w:val="auto"/>
              </w:rPr>
            </w:pPr>
            <w:r>
              <w:rPr>
                <w:rFonts w:ascii="Courier New" w:cs="Courier New" w:eastAsia="Courier New" w:hAnsi="Courier New"/>
                <w:sz w:val="16"/>
                <w:szCs w:val="16"/>
                <w:color w:val="auto"/>
                <w:w w:val="99"/>
              </w:rPr>
              <w:t>314 55 Extraordinary loss on early</w:t>
            </w:r>
          </w:p>
        </w:tc>
        <w:tc>
          <w:tcPr>
            <w:tcW w:w="1340" w:type="dxa"/>
            <w:vAlign w:val="bottom"/>
          </w:tcPr>
          <w:p>
            <w:pPr>
              <w:spacing w:after="0" w:line="179" w:lineRule="exact"/>
              <w:rPr>
                <w:sz w:val="20"/>
                <w:szCs w:val="20"/>
                <w:color w:val="auto"/>
              </w:rPr>
            </w:pPr>
            <w:r>
              <w:rPr>
                <w:rFonts w:ascii="Courier New" w:cs="Courier New" w:eastAsia="Courier New" w:hAnsi="Courier New"/>
                <w:sz w:val="16"/>
                <w:szCs w:val="16"/>
                <w:color w:val="auto"/>
              </w:rPr>
              <w:t>retirement of</w:t>
            </w:r>
          </w:p>
        </w:tc>
        <w:tc>
          <w:tcPr>
            <w:tcW w:w="0" w:type="dxa"/>
            <w:vAlign w:val="bottom"/>
          </w:tcPr>
          <w:p>
            <w:pPr>
              <w:spacing w:after="0"/>
              <w:rPr>
                <w:sz w:val="1"/>
                <w:szCs w:val="1"/>
                <w:color w:val="auto"/>
              </w:rPr>
            </w:pPr>
          </w:p>
        </w:tc>
      </w:tr>
      <w:tr>
        <w:trPr>
          <w:trHeight w:val="179"/>
        </w:trPr>
        <w:tc>
          <w:tcPr>
            <w:tcW w:w="3440" w:type="dxa"/>
            <w:vAlign w:val="bottom"/>
            <w:gridSpan w:val="2"/>
          </w:tcPr>
          <w:p>
            <w:pPr>
              <w:jc w:val="right"/>
              <w:ind w:right="25"/>
              <w:spacing w:after="0" w:line="179" w:lineRule="exact"/>
              <w:rPr>
                <w:sz w:val="20"/>
                <w:szCs w:val="20"/>
                <w:color w:val="auto"/>
              </w:rPr>
            </w:pPr>
            <w:r>
              <w:rPr>
                <w:rFonts w:ascii="Courier New" w:cs="Courier New" w:eastAsia="Courier New" w:hAnsi="Courier New"/>
                <w:sz w:val="16"/>
                <w:szCs w:val="16"/>
                <w:color w:val="auto"/>
              </w:rPr>
              <w:t>debt, net of income tax benefit</w:t>
            </w:r>
          </w:p>
        </w:tc>
        <w:tc>
          <w:tcPr>
            <w:tcW w:w="1340" w:type="dxa"/>
            <w:vAlign w:val="bottom"/>
          </w:tcPr>
          <w:p>
            <w:pPr>
              <w:spacing w:after="0" w:line="179" w:lineRule="exact"/>
              <w:rPr>
                <w:sz w:val="20"/>
                <w:szCs w:val="20"/>
                <w:color w:val="auto"/>
              </w:rPr>
            </w:pPr>
            <w:r>
              <w:rPr>
                <w:rFonts w:ascii="Courier New" w:cs="Courier New" w:eastAsia="Courier New" w:hAnsi="Courier New"/>
                <w:sz w:val="16"/>
                <w:szCs w:val="16"/>
                <w:color w:val="auto"/>
              </w:rPr>
              <w:t>of $0.7 in</w:t>
            </w:r>
          </w:p>
        </w:tc>
        <w:tc>
          <w:tcPr>
            <w:tcW w:w="0" w:type="dxa"/>
            <w:vAlign w:val="bottom"/>
          </w:tcPr>
          <w:p>
            <w:pPr>
              <w:spacing w:after="0"/>
              <w:rPr>
                <w:sz w:val="1"/>
                <w:szCs w:val="1"/>
                <w:color w:val="auto"/>
              </w:rPr>
            </w:pPr>
          </w:p>
        </w:tc>
      </w:tr>
      <w:tr>
        <w:trPr>
          <w:trHeight w:val="179"/>
        </w:trPr>
        <w:tc>
          <w:tcPr>
            <w:tcW w:w="21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85"/>
              </w:rPr>
              <w:t>2001....................</w:t>
            </w:r>
          </w:p>
        </w:tc>
        <w:tc>
          <w:tcPr>
            <w:tcW w:w="126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 -- (1)</w:t>
            </w:r>
          </w:p>
        </w:tc>
        <w:tc>
          <w:tcPr>
            <w:tcW w:w="1340" w:type="dxa"/>
            <w:vAlign w:val="bottom"/>
          </w:tcPr>
          <w:p>
            <w:pPr>
              <w:spacing w:after="0" w:line="179" w:lineRule="exact"/>
              <w:rPr>
                <w:sz w:val="20"/>
                <w:szCs w:val="20"/>
                <w:color w:val="auto"/>
              </w:rPr>
            </w:pPr>
            <w:r>
              <w:rPr>
                <w:rFonts w:ascii="Courier New" w:cs="Courier New" w:eastAsia="Courier New" w:hAnsi="Courier New"/>
                <w:sz w:val="16"/>
                <w:szCs w:val="16"/>
                <w:color w:val="auto"/>
              </w:rPr>
              <w:t>-- Cumulative</w:t>
            </w:r>
          </w:p>
        </w:tc>
        <w:tc>
          <w:tcPr>
            <w:tcW w:w="0" w:type="dxa"/>
            <w:vAlign w:val="bottom"/>
          </w:tcPr>
          <w:p>
            <w:pPr>
              <w:spacing w:after="0"/>
              <w:rPr>
                <w:sz w:val="1"/>
                <w:szCs w:val="1"/>
                <w:color w:val="auto"/>
              </w:rPr>
            </w:pPr>
          </w:p>
        </w:tc>
      </w:tr>
      <w:tr>
        <w:trPr>
          <w:trHeight w:val="179"/>
        </w:trPr>
        <w:tc>
          <w:tcPr>
            <w:tcW w:w="4780" w:type="dxa"/>
            <w:vAlign w:val="bottom"/>
            <w:gridSpan w:val="3"/>
          </w:tcPr>
          <w:p>
            <w:pPr>
              <w:ind w:left="180"/>
              <w:spacing w:after="0" w:line="179" w:lineRule="exact"/>
              <w:rPr>
                <w:sz w:val="20"/>
                <w:szCs w:val="20"/>
                <w:color w:val="auto"/>
              </w:rPr>
            </w:pPr>
            <w:r>
              <w:rPr>
                <w:rFonts w:ascii="Courier New" w:cs="Courier New" w:eastAsia="Courier New" w:hAnsi="Courier New"/>
                <w:sz w:val="16"/>
                <w:szCs w:val="16"/>
                <w:color w:val="auto"/>
                <w:w w:val="99"/>
              </w:rPr>
              <w:t>effect of change in accounting principle, net of</w:t>
            </w:r>
          </w:p>
        </w:tc>
        <w:tc>
          <w:tcPr>
            <w:tcW w:w="0" w:type="dxa"/>
            <w:vAlign w:val="bottom"/>
          </w:tcPr>
          <w:p>
            <w:pPr>
              <w:spacing w:after="0"/>
              <w:rPr>
                <w:sz w:val="1"/>
                <w:szCs w:val="1"/>
                <w:color w:val="auto"/>
              </w:rPr>
            </w:pPr>
          </w:p>
        </w:tc>
      </w:tr>
      <w:tr>
        <w:trPr>
          <w:trHeight w:val="179"/>
        </w:trPr>
        <w:tc>
          <w:tcPr>
            <w:tcW w:w="34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9"/>
              </w:rPr>
              <w:t>income tax expense of $1.6 in 2001.................</w:t>
            </w:r>
          </w:p>
        </w:tc>
        <w:tc>
          <w:tcPr>
            <w:tcW w:w="1340" w:type="dxa"/>
            <w:vAlign w:val="bottom"/>
            <w:vMerge w:val="restart"/>
          </w:tcPr>
          <w:p>
            <w:pPr>
              <w:spacing w:after="0"/>
              <w:rPr>
                <w:sz w:val="20"/>
                <w:szCs w:val="20"/>
                <w:color w:val="auto"/>
              </w:rPr>
            </w:pPr>
            <w:r>
              <w:rPr>
                <w:rFonts w:ascii="Courier New" w:cs="Courier New" w:eastAsia="Courier New" w:hAnsi="Courier New"/>
                <w:sz w:val="16"/>
                <w:szCs w:val="16"/>
                <w:color w:val="auto"/>
              </w:rPr>
              <w:t>------ Net</w:t>
            </w:r>
          </w:p>
        </w:tc>
        <w:tc>
          <w:tcPr>
            <w:tcW w:w="0" w:type="dxa"/>
            <w:vAlign w:val="bottom"/>
          </w:tcPr>
          <w:p>
            <w:pPr>
              <w:spacing w:after="0"/>
              <w:rPr>
                <w:sz w:val="1"/>
                <w:szCs w:val="1"/>
                <w:color w:val="auto"/>
              </w:rPr>
            </w:pPr>
          </w:p>
        </w:tc>
      </w:tr>
      <w:tr>
        <w:trPr>
          <w:trHeight w:val="179"/>
        </w:trPr>
        <w:tc>
          <w:tcPr>
            <w:tcW w:w="3440" w:type="dxa"/>
            <w:vAlign w:val="bottom"/>
            <w:gridSpan w:val="2"/>
          </w:tcPr>
          <w:p>
            <w:pPr>
              <w:jc w:val="right"/>
              <w:ind w:right="25"/>
              <w:spacing w:after="0" w:line="179" w:lineRule="exact"/>
              <w:rPr>
                <w:sz w:val="20"/>
                <w:szCs w:val="20"/>
                <w:color w:val="auto"/>
              </w:rPr>
            </w:pPr>
            <w:r>
              <w:rPr>
                <w:rFonts w:ascii="Courier New" w:cs="Courier New" w:eastAsia="Courier New" w:hAnsi="Courier New"/>
                <w:sz w:val="16"/>
                <w:szCs w:val="16"/>
                <w:color w:val="auto"/>
              </w:rPr>
              <w:t>-- -- 2 -- ------ ------ ------</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income..............................................</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20" w:hanging="188"/>
        <w:spacing w:after="0" w:line="236" w:lineRule="auto"/>
        <w:tabs>
          <w:tab w:leader="none" w:pos="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191 $ -- $ 315 $ 55 ====== ====== ====== ======</w:t>
      </w:r>
    </w:p>
    <w:p>
      <w:pPr>
        <w:ind w:left="2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Basic earnings per common share: Income before</w:t>
      </w:r>
    </w:p>
    <w:p>
      <w:pPr>
        <w:ind w:left="80"/>
        <w:spacing w:after="0" w:line="237" w:lineRule="auto"/>
        <w:rPr>
          <w:sz w:val="20"/>
          <w:szCs w:val="20"/>
          <w:color w:val="auto"/>
        </w:rPr>
      </w:pPr>
      <w:r>
        <w:rPr>
          <w:rFonts w:ascii="Courier New" w:cs="Courier New" w:eastAsia="Courier New" w:hAnsi="Courier New"/>
          <w:sz w:val="16"/>
          <w:szCs w:val="16"/>
          <w:color w:val="auto"/>
        </w:rPr>
        <w:t>extraordinary item and cumulative effect of change</w:t>
      </w:r>
    </w:p>
    <w:tbl>
      <w:tblPr>
        <w:tblLayout w:type="fixed"/>
        <w:tblInd w:w="40" w:type="dxa"/>
        <w:tblCellMar>
          <w:top w:w="0" w:type="dxa"/>
          <w:left w:w="0" w:type="dxa"/>
          <w:bottom w:w="0" w:type="dxa"/>
          <w:right w:w="0" w:type="dxa"/>
        </w:tblCellMar>
      </w:tblPr>
      <w:tr>
        <w:trPr>
          <w:trHeight w:val="151"/>
        </w:trPr>
        <w:tc>
          <w:tcPr>
            <w:tcW w:w="3820" w:type="dxa"/>
            <w:vAlign w:val="bottom"/>
            <w:gridSpan w:val="2"/>
          </w:tcPr>
          <w:p>
            <w:pPr>
              <w:ind w:left="40"/>
              <w:spacing w:after="0" w:line="152" w:lineRule="exact"/>
              <w:rPr>
                <w:sz w:val="20"/>
                <w:szCs w:val="20"/>
                <w:color w:val="auto"/>
              </w:rPr>
            </w:pPr>
            <w:r>
              <w:rPr>
                <w:rFonts w:ascii="Courier New" w:cs="Courier New" w:eastAsia="Courier New" w:hAnsi="Courier New"/>
                <w:sz w:val="16"/>
                <w:szCs w:val="16"/>
                <w:color w:val="auto"/>
                <w:w w:val="95"/>
              </w:rPr>
              <w:t>in accounting principle..................</w:t>
            </w:r>
          </w:p>
        </w:tc>
        <w:tc>
          <w:tcPr>
            <w:tcW w:w="92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$ 0.31 $</w:t>
            </w:r>
          </w:p>
        </w:tc>
        <w:tc>
          <w:tcPr>
            <w:tcW w:w="0" w:type="dxa"/>
            <w:vAlign w:val="bottom"/>
          </w:tcPr>
          <w:p>
            <w:pPr>
              <w:spacing w:after="0"/>
              <w:rPr>
                <w:sz w:val="1"/>
                <w:szCs w:val="1"/>
                <w:color w:val="auto"/>
              </w:rPr>
            </w:pPr>
          </w:p>
        </w:tc>
      </w:tr>
      <w:tr>
        <w:trPr>
          <w:trHeight w:val="261"/>
        </w:trPr>
        <w:tc>
          <w:tcPr>
            <w:tcW w:w="9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99"/>
              </w:rPr>
              <w:t>item....................................</w:t>
            </w:r>
          </w:p>
        </w:tc>
        <w:tc>
          <w:tcPr>
            <w:tcW w:w="2840" w:type="dxa"/>
            <w:vAlign w:val="bottom"/>
          </w:tcPr>
          <w:p>
            <w:pPr>
              <w:jc w:val="center"/>
              <w:spacing w:after="0"/>
              <w:rPr>
                <w:sz w:val="20"/>
                <w:szCs w:val="20"/>
                <w:color w:val="auto"/>
              </w:rPr>
            </w:pPr>
            <w:r>
              <w:rPr>
                <w:rFonts w:ascii="Courier New" w:cs="Courier New" w:eastAsia="Courier New" w:hAnsi="Courier New"/>
                <w:sz w:val="16"/>
                <w:szCs w:val="16"/>
                <w:color w:val="auto"/>
                <w:w w:val="96"/>
              </w:rPr>
              <w:t>-- $ 0.50 $ 0.09 Extraordinary</w:t>
            </w:r>
          </w:p>
        </w:tc>
        <w:tc>
          <w:tcPr>
            <w:tcW w:w="9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 -- -- -</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284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7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 Cumulative effect of change in accounting</w:t>
            </w:r>
          </w:p>
        </w:tc>
        <w:tc>
          <w:tcPr>
            <w:tcW w:w="0" w:type="dxa"/>
            <w:vAlign w:val="bottom"/>
          </w:tcPr>
          <w:p>
            <w:pPr>
              <w:spacing w:after="0"/>
              <w:rPr>
                <w:sz w:val="1"/>
                <w:szCs w:val="1"/>
                <w:color w:val="auto"/>
              </w:rPr>
            </w:pPr>
          </w:p>
        </w:tc>
      </w:tr>
      <w:tr>
        <w:trPr>
          <w:trHeight w:val="179"/>
        </w:trPr>
        <w:tc>
          <w:tcPr>
            <w:tcW w:w="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principle...</w:t>
            </w:r>
          </w:p>
        </w:tc>
        <w:tc>
          <w:tcPr>
            <w:tcW w:w="37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 -- ------ ------ ------ -----</w:t>
            </w:r>
          </w:p>
        </w:tc>
        <w:tc>
          <w:tcPr>
            <w:tcW w:w="0" w:type="dxa"/>
            <w:vAlign w:val="bottom"/>
          </w:tcPr>
          <w:p>
            <w:pPr>
              <w:spacing w:after="0"/>
              <w:rPr>
                <w:sz w:val="1"/>
                <w:szCs w:val="1"/>
                <w:color w:val="auto"/>
              </w:rPr>
            </w:pPr>
          </w:p>
        </w:tc>
      </w:tr>
      <w:tr>
        <w:trPr>
          <w:trHeight w:val="261"/>
        </w:trPr>
        <w:tc>
          <w:tcPr>
            <w:tcW w:w="98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9"/>
              </w:rPr>
              <w:t>income............................................</w:t>
            </w:r>
          </w:p>
        </w:tc>
        <w:tc>
          <w:tcPr>
            <w:tcW w:w="2840" w:type="dxa"/>
            <w:vAlign w:val="bottom"/>
          </w:tcPr>
          <w:p>
            <w:pPr>
              <w:jc w:val="center"/>
              <w:spacing w:after="0"/>
              <w:rPr>
                <w:sz w:val="20"/>
                <w:szCs w:val="20"/>
                <w:color w:val="auto"/>
              </w:rPr>
            </w:pPr>
            <w:r>
              <w:rPr>
                <w:rFonts w:ascii="Courier New" w:cs="Courier New" w:eastAsia="Courier New" w:hAnsi="Courier New"/>
                <w:sz w:val="16"/>
                <w:szCs w:val="16"/>
                <w:color w:val="auto"/>
                <w:w w:val="95"/>
              </w:rPr>
              <w:t>- Net</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980" w:type="dxa"/>
            <w:vAlign w:val="bottom"/>
            <w:vMerge w:val="continue"/>
          </w:tcPr>
          <w:p>
            <w:pPr>
              <w:spacing w:after="0"/>
              <w:rPr>
                <w:sz w:val="10"/>
                <w:szCs w:val="10"/>
                <w:color w:val="auto"/>
              </w:rPr>
            </w:pPr>
          </w:p>
        </w:tc>
        <w:tc>
          <w:tcPr>
            <w:tcW w:w="2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60" w:hanging="189"/>
        <w:spacing w:after="0" w:line="236" w:lineRule="auto"/>
        <w:tabs>
          <w:tab w:leader="none" w:pos="4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0.31 $ -- $ 0.50 $ 0.09 ====== ====== ======</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Diluted earnings per common share: Income</w:t>
      </w:r>
    </w:p>
    <w:p>
      <w:pPr>
        <w:ind w:left="80"/>
        <w:spacing w:after="0" w:line="237" w:lineRule="auto"/>
        <w:rPr>
          <w:sz w:val="20"/>
          <w:szCs w:val="20"/>
          <w:color w:val="auto"/>
        </w:rPr>
      </w:pPr>
      <w:r>
        <w:rPr>
          <w:rFonts w:ascii="Courier New" w:cs="Courier New" w:eastAsia="Courier New" w:hAnsi="Courier New"/>
          <w:sz w:val="16"/>
          <w:szCs w:val="16"/>
          <w:color w:val="auto"/>
        </w:rPr>
        <w:t>before extraordinary item and cumulative effect of</w:t>
      </w:r>
    </w:p>
    <w:tbl>
      <w:tblPr>
        <w:tblLayout w:type="fixed"/>
        <w:tblInd w:w="40" w:type="dxa"/>
        <w:tblCellMar>
          <w:top w:w="0" w:type="dxa"/>
          <w:left w:w="0" w:type="dxa"/>
          <w:bottom w:w="0" w:type="dxa"/>
          <w:right w:w="0" w:type="dxa"/>
        </w:tblCellMar>
      </w:tblPr>
      <w:tr>
        <w:trPr>
          <w:trHeight w:val="151"/>
        </w:trPr>
        <w:tc>
          <w:tcPr>
            <w:tcW w:w="4560" w:type="dxa"/>
            <w:vAlign w:val="bottom"/>
            <w:gridSpan w:val="3"/>
          </w:tcPr>
          <w:p>
            <w:pPr>
              <w:ind w:left="40"/>
              <w:spacing w:after="0" w:line="152" w:lineRule="exact"/>
              <w:rPr>
                <w:sz w:val="20"/>
                <w:szCs w:val="20"/>
                <w:color w:val="auto"/>
              </w:rPr>
            </w:pPr>
            <w:r>
              <w:rPr>
                <w:rFonts w:ascii="Courier New" w:cs="Courier New" w:eastAsia="Courier New" w:hAnsi="Courier New"/>
                <w:sz w:val="16"/>
                <w:szCs w:val="16"/>
                <w:color w:val="auto"/>
                <w:w w:val="97"/>
              </w:rPr>
              <w:t>change in accounting principle..................</w:t>
            </w:r>
          </w:p>
        </w:tc>
        <w:tc>
          <w:tcPr>
            <w:tcW w:w="18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jc w:val="right"/>
              <w:ind w:right="39"/>
              <w:spacing w:after="0" w:line="179" w:lineRule="exact"/>
              <w:rPr>
                <w:sz w:val="20"/>
                <w:szCs w:val="20"/>
                <w:color w:val="auto"/>
              </w:rPr>
            </w:pPr>
            <w:r>
              <w:rPr>
                <w:rFonts w:ascii="Courier New" w:cs="Courier New" w:eastAsia="Courier New" w:hAnsi="Courier New"/>
                <w:sz w:val="16"/>
                <w:szCs w:val="16"/>
                <w:color w:val="auto"/>
              </w:rPr>
              <w:t>0.30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36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 $ 0.50 $ 0.09 Extraordinary</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item....................................</w:t>
            </w:r>
          </w:p>
        </w:tc>
        <w:tc>
          <w:tcPr>
            <w:tcW w:w="3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179"/>
        </w:trPr>
        <w:tc>
          <w:tcPr>
            <w:tcW w:w="4560" w:type="dxa"/>
            <w:vAlign w:val="bottom"/>
            <w:gridSpan w:val="3"/>
          </w:tcPr>
          <w:p>
            <w:pPr>
              <w:jc w:val="center"/>
              <w:ind w:left="139"/>
              <w:spacing w:after="0" w:line="179" w:lineRule="exact"/>
              <w:rPr>
                <w:sz w:val="20"/>
                <w:szCs w:val="20"/>
                <w:color w:val="auto"/>
              </w:rPr>
            </w:pPr>
            <w:r>
              <w:rPr>
                <w:rFonts w:ascii="Courier New" w:cs="Courier New" w:eastAsia="Courier New" w:hAnsi="Courier New"/>
                <w:sz w:val="16"/>
                <w:szCs w:val="16"/>
                <w:color w:val="auto"/>
                <w:w w:val="96"/>
              </w:rPr>
              <w:t>- Cumulative effect of change in accounting</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0" w:type="dxa"/>
            <w:vAlign w:val="bottom"/>
            <w:gridSpan w:val="2"/>
          </w:tcPr>
          <w:p>
            <w:pPr>
              <w:jc w:val="right"/>
              <w:ind w:right="8"/>
              <w:spacing w:after="0" w:line="179" w:lineRule="exact"/>
              <w:rPr>
                <w:sz w:val="20"/>
                <w:szCs w:val="20"/>
                <w:color w:val="auto"/>
              </w:rPr>
            </w:pPr>
            <w:r>
              <w:rPr>
                <w:rFonts w:ascii="Courier New" w:cs="Courier New" w:eastAsia="Courier New" w:hAnsi="Courier New"/>
                <w:sz w:val="16"/>
                <w:szCs w:val="16"/>
                <w:color w:val="auto"/>
                <w:w w:val="95"/>
              </w:rPr>
              <w:t>principle...</w:t>
            </w:r>
          </w:p>
        </w:tc>
        <w:tc>
          <w:tcPr>
            <w:tcW w:w="35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 -- -- -- ------ ------ ------ -----</w:t>
            </w:r>
          </w:p>
        </w:tc>
        <w:tc>
          <w:tcPr>
            <w:tcW w:w="0" w:type="dxa"/>
            <w:vAlign w:val="bottom"/>
          </w:tcPr>
          <w:p>
            <w:pPr>
              <w:spacing w:after="0"/>
              <w:rPr>
                <w:sz w:val="1"/>
                <w:szCs w:val="1"/>
                <w:color w:val="auto"/>
              </w:rPr>
            </w:pPr>
          </w:p>
        </w:tc>
      </w:tr>
      <w:tr>
        <w:trPr>
          <w:trHeight w:val="261"/>
        </w:trPr>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4"/>
                <w:szCs w:val="4"/>
                <w:color w:val="auto"/>
                <w:w w:val="98"/>
              </w:rPr>
              <w:t>income............................................</w:t>
            </w:r>
          </w:p>
        </w:tc>
        <w:tc>
          <w:tcPr>
            <w:tcW w:w="3360" w:type="dxa"/>
            <w:vAlign w:val="bottom"/>
          </w:tcPr>
          <w:p>
            <w:pPr>
              <w:jc w:val="center"/>
              <w:ind w:right="942"/>
              <w:spacing w:after="0"/>
              <w:rPr>
                <w:sz w:val="20"/>
                <w:szCs w:val="20"/>
                <w:color w:val="auto"/>
              </w:rPr>
            </w:pPr>
            <w:r>
              <w:rPr>
                <w:rFonts w:ascii="Courier New" w:cs="Courier New" w:eastAsia="Courier New" w:hAnsi="Courier New"/>
                <w:sz w:val="16"/>
                <w:szCs w:val="16"/>
                <w:color w:val="auto"/>
                <w:w w:val="95"/>
              </w:rPr>
              <w:t>- Net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5"/>
        </w:trPr>
        <w:tc>
          <w:tcPr>
            <w:tcW w:w="1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60" w:hanging="189"/>
        <w:spacing w:after="0" w:line="236" w:lineRule="auto"/>
        <w:tabs>
          <w:tab w:leader="none" w:pos="4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0.30 $ -- $ 0.50 $ 0.09 ====== ====== ======</w:t>
      </w:r>
    </w:p>
    <w:p>
      <w:pPr>
        <w:ind w:left="2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2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4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69"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CONDENSED CONSOLIDATED STATEMENTS OF CASH FLOWS</w:t>
      </w:r>
    </w:p>
    <w:p>
      <w:pPr>
        <w:spacing w:after="0" w:line="23"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(IN MILLIONS)</w:t>
      </w:r>
    </w:p>
    <w:p>
      <w:pPr>
        <w:jc w:val="center"/>
        <w:ind w:right="2879"/>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jc w:val="center"/>
        <w:ind w:right="4839"/>
        <w:spacing w:after="0" w:line="281" w:lineRule="auto"/>
        <w:rPr>
          <w:sz w:val="20"/>
          <w:szCs w:val="20"/>
          <w:color w:val="auto"/>
        </w:rPr>
      </w:pPr>
      <w:r>
        <w:rPr>
          <w:rFonts w:ascii="Courier New" w:cs="Courier New" w:eastAsia="Courier New" w:hAnsi="Courier New"/>
          <w:sz w:val="14"/>
          <w:szCs w:val="14"/>
          <w:color w:val="auto"/>
        </w:rPr>
        <w:t>SIX MONTHS ENDED JUNE 30, ------------------ 2001 2000 -- ----- ------- Cash flows from operating activities: Net income................................................ $ 315 $ 55 Adjustments to reconcile net income to net cash</w:t>
      </w:r>
    </w:p>
    <w:p>
      <w:pPr>
        <w:jc w:val="center"/>
        <w:ind w:right="4839"/>
        <w:spacing w:after="0" w:line="237" w:lineRule="auto"/>
        <w:rPr>
          <w:sz w:val="20"/>
          <w:szCs w:val="20"/>
          <w:color w:val="auto"/>
        </w:rPr>
      </w:pPr>
      <w:r>
        <w:rPr>
          <w:rFonts w:ascii="Courier New" w:cs="Courier New" w:eastAsia="Courier New" w:hAnsi="Courier New"/>
          <w:sz w:val="16"/>
          <w:szCs w:val="16"/>
          <w:color w:val="auto"/>
        </w:rPr>
        <w:t>provided by operating activities: Provision for bad</w:t>
      </w:r>
    </w:p>
    <w:tbl>
      <w:tblPr>
        <w:tblLayout w:type="fixed"/>
        <w:tblInd w:w="40" w:type="dxa"/>
        <w:tblCellMar>
          <w:top w:w="0" w:type="dxa"/>
          <w:left w:w="0" w:type="dxa"/>
          <w:bottom w:w="0" w:type="dxa"/>
          <w:right w:w="0" w:type="dxa"/>
        </w:tblCellMar>
      </w:tblPr>
      <w:tr>
        <w:trPr>
          <w:trHeight w:val="152"/>
        </w:trPr>
        <w:tc>
          <w:tcPr>
            <w:tcW w:w="1960" w:type="dxa"/>
            <w:vAlign w:val="bottom"/>
          </w:tcPr>
          <w:p>
            <w:pPr>
              <w:jc w:val="right"/>
              <w:spacing w:after="0"/>
              <w:rPr>
                <w:sz w:val="20"/>
                <w:szCs w:val="20"/>
                <w:color w:val="auto"/>
              </w:rPr>
            </w:pPr>
            <w:r>
              <w:rPr>
                <w:rFonts w:ascii="Courier New" w:cs="Courier New" w:eastAsia="Courier New" w:hAnsi="Courier New"/>
                <w:sz w:val="12"/>
                <w:szCs w:val="12"/>
                <w:color w:val="auto"/>
                <w:w w:val="72"/>
              </w:rPr>
              <w:t>debts................................</w:t>
            </w:r>
          </w:p>
        </w:tc>
        <w:tc>
          <w:tcPr>
            <w:tcW w:w="324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5 21 Depreciation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10"/>
                <w:szCs w:val="10"/>
                <w:color w:val="auto"/>
                <w:w w:val="76"/>
              </w:rPr>
              <w:t>and amortization..........................</w:t>
            </w:r>
          </w:p>
        </w:tc>
        <w:tc>
          <w:tcPr>
            <w:tcW w:w="324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rPr>
              <w:t>676 712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Deferred income tax provision..........................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101 80 Minority interest in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13"/>
                <w:szCs w:val="13"/>
                <w:color w:val="auto"/>
                <w:w w:val="73"/>
              </w:rPr>
              <w:t>subsidiaries......................</w:t>
            </w:r>
          </w:p>
        </w:tc>
        <w:tc>
          <w:tcPr>
            <w:tcW w:w="32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 12 Net gain 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10"/>
                <w:szCs w:val="10"/>
                <w:color w:val="auto"/>
                <w:w w:val="75"/>
              </w:rPr>
              <w:t>disposal of assets.........................</w:t>
            </w:r>
          </w:p>
        </w:tc>
        <w:tc>
          <w:tcPr>
            <w:tcW w:w="324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 (6)</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8</w:t>
            </w:r>
          </w:p>
        </w:tc>
        <w:tc>
          <w:tcPr>
            <w:tcW w:w="0" w:type="dxa"/>
            <w:vAlign w:val="bottom"/>
          </w:tcPr>
          <w:p>
            <w:pPr>
              <w:spacing w:after="0"/>
              <w:rPr>
                <w:sz w:val="1"/>
                <w:szCs w:val="1"/>
                <w:color w:val="auto"/>
              </w:rPr>
            </w:pPr>
          </w:p>
        </w:tc>
      </w:tr>
      <w:tr>
        <w:trPr>
          <w:trHeight w:val="179"/>
        </w:trPr>
        <w:tc>
          <w:tcPr>
            <w:tcW w:w="5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Effect of asset impairments and unusual items..........</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309 Change in assets and liabilities, net of effects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acquisitions and divestitures: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Receivables............................................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53"/>
              <w:spacing w:after="0" w:line="179" w:lineRule="exact"/>
              <w:rPr>
                <w:sz w:val="20"/>
                <w:szCs w:val="20"/>
                <w:color w:val="auto"/>
              </w:rPr>
            </w:pPr>
            <w:r>
              <w:rPr>
                <w:rFonts w:ascii="Courier New" w:cs="Courier New" w:eastAsia="Courier New" w:hAnsi="Courier New"/>
                <w:sz w:val="16"/>
                <w:szCs w:val="16"/>
                <w:color w:val="auto"/>
                <w:w w:val="96"/>
              </w:rPr>
              <w:t>(36) 219 Prepaid expenses and other current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assets..............</w:t>
            </w:r>
          </w:p>
        </w:tc>
        <w:tc>
          <w:tcPr>
            <w:tcW w:w="3240" w:type="dxa"/>
            <w:vAlign w:val="bottom"/>
          </w:tcPr>
          <w:p>
            <w:pPr>
              <w:jc w:val="right"/>
              <w:ind w:right="942"/>
              <w:spacing w:after="0" w:line="179" w:lineRule="exact"/>
              <w:rPr>
                <w:sz w:val="20"/>
                <w:szCs w:val="20"/>
                <w:color w:val="auto"/>
              </w:rPr>
            </w:pPr>
            <w:r>
              <w:rPr>
                <w:rFonts w:ascii="Courier New" w:cs="Courier New" w:eastAsia="Courier New" w:hAnsi="Courier New"/>
                <w:sz w:val="16"/>
                <w:szCs w:val="16"/>
                <w:color w:val="auto"/>
              </w:rPr>
              <w:t>3 (20) Other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9"/>
                <w:szCs w:val="9"/>
                <w:color w:val="auto"/>
                <w:w w:val="73"/>
              </w:rPr>
              <w:t>assets...........................................</w:t>
            </w:r>
          </w:p>
        </w:tc>
        <w:tc>
          <w:tcPr>
            <w:tcW w:w="3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(11) 7</w:t>
            </w: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Accounts payable and accrued liabilities...............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(179) (260) Deferred revenues and other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liabilities................</w:t>
            </w:r>
          </w:p>
        </w:tc>
        <w:tc>
          <w:tcPr>
            <w:tcW w:w="3240" w:type="dxa"/>
            <w:vAlign w:val="bottom"/>
          </w:tcPr>
          <w:p>
            <w:pPr>
              <w:jc w:val="right"/>
              <w:ind w:right="462"/>
              <w:spacing w:after="0" w:line="179" w:lineRule="exact"/>
              <w:rPr>
                <w:sz w:val="20"/>
                <w:szCs w:val="20"/>
                <w:color w:val="auto"/>
              </w:rPr>
            </w:pPr>
            <w:r>
              <w:rPr>
                <w:rFonts w:ascii="Courier New" w:cs="Courier New" w:eastAsia="Courier New" w:hAnsi="Courier New"/>
                <w:sz w:val="16"/>
                <w:szCs w:val="16"/>
                <w:color w:val="auto"/>
              </w:rPr>
              <w:t>(7) (25) Other,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9"/>
                <w:szCs w:val="9"/>
                <w:color w:val="auto"/>
                <w:w w:val="74"/>
              </w:rPr>
              <w:t>net.............................................</w:t>
            </w:r>
          </w:p>
        </w:tc>
        <w:tc>
          <w:tcPr>
            <w:tcW w:w="3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 -</w:t>
            </w:r>
          </w:p>
        </w:tc>
        <w:tc>
          <w:tcPr>
            <w:tcW w:w="0" w:type="dxa"/>
            <w:vAlign w:val="bottom"/>
          </w:tcPr>
          <w:p>
            <w:pPr>
              <w:spacing w:after="0"/>
              <w:rPr>
                <w:sz w:val="1"/>
                <w:szCs w:val="1"/>
                <w:color w:val="auto"/>
              </w:rPr>
            </w:pPr>
          </w:p>
        </w:tc>
      </w:tr>
      <w:tr>
        <w:trPr>
          <w:trHeight w:val="179"/>
        </w:trPr>
        <w:tc>
          <w:tcPr>
            <w:tcW w:w="196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activities</w:t>
            </w:r>
            <w:r>
              <w:rPr>
                <w:rFonts w:ascii="Courier New" w:cs="Courier New" w:eastAsia="Courier New" w:hAnsi="Courier New"/>
                <w:sz w:val="16"/>
                <w:szCs w:val="16"/>
                <w:color w:val="auto"/>
                <w:w w:val="75"/>
                <w:vertAlign w:val="superscript"/>
              </w:rPr>
              <w:t>------</w:t>
            </w:r>
            <w:r>
              <w:rPr>
                <w:rFonts w:ascii="Courier New" w:cs="Courier New" w:eastAsia="Courier New" w:hAnsi="Courier New"/>
                <w:sz w:val="10"/>
                <w:szCs w:val="10"/>
                <w:color w:val="auto"/>
                <w:w w:val="75"/>
              </w:rPr>
              <w:t>...................</w:t>
            </w:r>
            <w:r>
              <w:rPr>
                <w:rFonts w:ascii="Courier New" w:cs="Courier New" w:eastAsia="Courier New" w:hAnsi="Courier New"/>
                <w:sz w:val="16"/>
                <w:szCs w:val="16"/>
                <w:color w:val="auto"/>
                <w:w w:val="75"/>
                <w:vertAlign w:val="superscript"/>
              </w:rPr>
              <w:t>-------</w:t>
            </w:r>
          </w:p>
        </w:tc>
        <w:tc>
          <w:tcPr>
            <w:tcW w:w="32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5"/>
              </w:rPr>
              <w:t>Net cash provided by operating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vMerge w:val="continue"/>
          </w:tcPr>
          <w:p>
            <w:pPr>
              <w:spacing w:after="0"/>
              <w:rPr>
                <w:sz w:val="15"/>
                <w:szCs w:val="15"/>
                <w:color w:val="auto"/>
              </w:rPr>
            </w:pPr>
          </w:p>
        </w:tc>
        <w:tc>
          <w:tcPr>
            <w:tcW w:w="3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866 1,102 -------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Cash flows from investing activities: Short-term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rPr>
                <w:sz w:val="20"/>
                <w:szCs w:val="20"/>
                <w:color w:val="auto"/>
              </w:rPr>
            </w:pPr>
            <w:r>
              <w:rPr>
                <w:rFonts w:ascii="Courier New" w:cs="Courier New" w:eastAsia="Courier New" w:hAnsi="Courier New"/>
                <w:sz w:val="9"/>
                <w:szCs w:val="9"/>
                <w:color w:val="auto"/>
                <w:w w:val="76"/>
              </w:rPr>
              <w:t>investments....................................</w:t>
            </w:r>
          </w:p>
        </w:tc>
        <w:tc>
          <w:tcPr>
            <w:tcW w:w="32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0" w:type="dxa"/>
            <w:vAlign w:val="bottom"/>
            <w:gridSpan w:val="2"/>
          </w:tcPr>
          <w:p>
            <w:pPr>
              <w:jc w:val="center"/>
              <w:ind w:left="33"/>
              <w:spacing w:after="0" w:line="179" w:lineRule="exact"/>
              <w:rPr>
                <w:sz w:val="20"/>
                <w:szCs w:val="20"/>
                <w:color w:val="auto"/>
              </w:rPr>
            </w:pPr>
            <w:r>
              <w:rPr>
                <w:rFonts w:ascii="Courier New" w:cs="Courier New" w:eastAsia="Courier New" w:hAnsi="Courier New"/>
                <w:sz w:val="16"/>
                <w:szCs w:val="16"/>
                <w:color w:val="auto"/>
                <w:w w:val="96"/>
              </w:rPr>
              <w:t>Acquisitions of businesses, net of cash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acquired..........</w:t>
            </w:r>
          </w:p>
        </w:tc>
        <w:tc>
          <w:tcPr>
            <w:tcW w:w="3240" w:type="dxa"/>
            <w:vAlign w:val="bottom"/>
          </w:tcPr>
          <w:p>
            <w:pPr>
              <w:jc w:val="right"/>
              <w:ind w:right="742"/>
              <w:spacing w:after="0" w:line="179" w:lineRule="exact"/>
              <w:rPr>
                <w:sz w:val="20"/>
                <w:szCs w:val="20"/>
                <w:color w:val="auto"/>
              </w:rPr>
            </w:pPr>
            <w:r>
              <w:rPr>
                <w:rFonts w:ascii="Courier New" w:cs="Courier New" w:eastAsia="Courier New" w:hAnsi="Courier New"/>
                <w:sz w:val="16"/>
                <w:szCs w:val="16"/>
                <w:color w:val="auto"/>
              </w:rPr>
              <w:t>(65) (169) Capital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960" w:type="dxa"/>
            <w:vAlign w:val="bottom"/>
          </w:tcPr>
          <w:p>
            <w:pPr>
              <w:jc w:val="right"/>
              <w:spacing w:after="0"/>
              <w:rPr>
                <w:sz w:val="20"/>
                <w:szCs w:val="20"/>
                <w:color w:val="auto"/>
              </w:rPr>
            </w:pPr>
            <w:r>
              <w:rPr>
                <w:rFonts w:ascii="Courier New" w:cs="Courier New" w:eastAsia="Courier New" w:hAnsi="Courier New"/>
                <w:sz w:val="9"/>
                <w:szCs w:val="9"/>
                <w:color w:val="auto"/>
                <w:w w:val="71"/>
              </w:rPr>
              <w:t>expenditures......................................</w:t>
            </w:r>
          </w:p>
        </w:tc>
        <w:tc>
          <w:tcPr>
            <w:tcW w:w="3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(474)</w:t>
            </w:r>
          </w:p>
        </w:tc>
        <w:tc>
          <w:tcPr>
            <w:tcW w:w="0" w:type="dxa"/>
            <w:vAlign w:val="bottom"/>
          </w:tcPr>
          <w:p>
            <w:pPr>
              <w:spacing w:after="0"/>
              <w:rPr>
                <w:sz w:val="1"/>
                <w:szCs w:val="1"/>
                <w:color w:val="auto"/>
              </w:rPr>
            </w:pPr>
          </w:p>
        </w:tc>
      </w:tr>
    </w:tbl>
    <w:p>
      <w:pPr>
        <w:ind w:left="1160" w:right="5019" w:hanging="981"/>
        <w:spacing w:after="0" w:line="236" w:lineRule="auto"/>
        <w:tabs>
          <w:tab w:leader="none" w:pos="74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from divestitures of businesses, net of cash divested, and other sales of</w:t>
      </w:r>
    </w:p>
    <w:tbl>
      <w:tblPr>
        <w:tblLayout w:type="fixed"/>
        <w:tblInd w:w="0" w:type="dxa"/>
        <w:tblCellMar>
          <w:top w:w="0" w:type="dxa"/>
          <w:left w:w="0" w:type="dxa"/>
          <w:bottom w:w="0" w:type="dxa"/>
          <w:right w:w="0" w:type="dxa"/>
        </w:tblCellMar>
      </w:tblPr>
      <w:tr>
        <w:trPr>
          <w:trHeight w:val="152"/>
        </w:trPr>
        <w:tc>
          <w:tcPr>
            <w:tcW w:w="3200" w:type="dxa"/>
            <w:vAlign w:val="bottom"/>
            <w:gridSpan w:val="2"/>
          </w:tcPr>
          <w:p>
            <w:pPr>
              <w:jc w:val="right"/>
              <w:spacing w:after="0" w:line="152" w:lineRule="exact"/>
              <w:rPr>
                <w:sz w:val="20"/>
                <w:szCs w:val="20"/>
                <w:color w:val="auto"/>
              </w:rPr>
            </w:pPr>
            <w:r>
              <w:rPr>
                <w:rFonts w:ascii="Courier New" w:cs="Courier New" w:eastAsia="Courier New" w:hAnsi="Courier New"/>
                <w:sz w:val="16"/>
                <w:szCs w:val="16"/>
                <w:color w:val="auto"/>
              </w:rPr>
              <w:t>assets....................</w:t>
            </w:r>
          </w:p>
        </w:tc>
        <w:tc>
          <w:tcPr>
            <w:tcW w:w="2140" w:type="dxa"/>
            <w:vAlign w:val="bottom"/>
          </w:tcPr>
          <w:p>
            <w:pPr>
              <w:jc w:val="right"/>
              <w:ind w:right="942"/>
              <w:spacing w:after="0" w:line="152" w:lineRule="exact"/>
              <w:rPr>
                <w:sz w:val="20"/>
                <w:szCs w:val="20"/>
                <w:color w:val="auto"/>
              </w:rPr>
            </w:pPr>
            <w:r>
              <w:rPr>
                <w:rFonts w:ascii="Courier New" w:cs="Courier New" w:eastAsia="Courier New" w:hAnsi="Courier New"/>
                <w:sz w:val="16"/>
                <w:szCs w:val="16"/>
                <w:color w:val="auto"/>
              </w:rPr>
              <w:t>26 1,083</w:t>
            </w:r>
          </w:p>
        </w:tc>
        <w:tc>
          <w:tcPr>
            <w:tcW w:w="0" w:type="dxa"/>
            <w:vAlign w:val="bottom"/>
          </w:tcPr>
          <w:p>
            <w:pPr>
              <w:spacing w:after="0"/>
              <w:rPr>
                <w:sz w:val="1"/>
                <w:szCs w:val="1"/>
                <w:color w:val="auto"/>
              </w:rPr>
            </w:pPr>
          </w:p>
        </w:tc>
      </w:tr>
      <w:tr>
        <w:trPr>
          <w:trHeight w:val="179"/>
        </w:trPr>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Other.....................................................</w:t>
            </w:r>
          </w:p>
        </w:tc>
        <w:tc>
          <w:tcPr>
            <w:tcW w:w="2980" w:type="dxa"/>
            <w:vAlign w:val="bottom"/>
            <w:gridSpan w:val="2"/>
            <w:vMerge w:val="restart"/>
          </w:tcPr>
          <w:p>
            <w:pPr>
              <w:jc w:val="center"/>
              <w:ind w:right="2"/>
              <w:spacing w:after="0"/>
              <w:rPr>
                <w:sz w:val="20"/>
                <w:szCs w:val="20"/>
                <w:color w:val="auto"/>
              </w:rPr>
            </w:pPr>
            <w:r>
              <w:rPr>
                <w:rFonts w:ascii="Courier New" w:cs="Courier New" w:eastAsia="Courier New" w:hAnsi="Courier New"/>
                <w:sz w:val="16"/>
                <w:szCs w:val="16"/>
                <w:color w:val="auto"/>
                <w:w w:val="96"/>
              </w:rPr>
              <w:t>Net cash provided by (used in)</w:t>
            </w:r>
          </w:p>
        </w:tc>
        <w:tc>
          <w:tcPr>
            <w:tcW w:w="0" w:type="dxa"/>
            <w:vAlign w:val="bottom"/>
          </w:tcPr>
          <w:p>
            <w:pPr>
              <w:spacing w:after="0"/>
              <w:rPr>
                <w:sz w:val="1"/>
                <w:szCs w:val="1"/>
                <w:color w:val="auto"/>
              </w:rPr>
            </w:pPr>
          </w:p>
        </w:tc>
      </w:tr>
      <w:tr>
        <w:trPr>
          <w:trHeight w:val="179"/>
        </w:trPr>
        <w:tc>
          <w:tcPr>
            <w:tcW w:w="2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64 (18) ------- -------</w:t>
            </w:r>
          </w:p>
        </w:tc>
        <w:tc>
          <w:tcPr>
            <w:tcW w:w="2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investing activities.........</w:t>
            </w:r>
          </w:p>
        </w:tc>
        <w:tc>
          <w:tcPr>
            <w:tcW w:w="298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(449) 386 ------- -------</w:t>
            </w:r>
          </w:p>
        </w:tc>
        <w:tc>
          <w:tcPr>
            <w:tcW w:w="0" w:type="dxa"/>
            <w:vAlign w:val="bottom"/>
          </w:tcPr>
          <w:p>
            <w:pPr>
              <w:spacing w:after="0"/>
              <w:rPr>
                <w:sz w:val="1"/>
                <w:szCs w:val="1"/>
                <w:color w:val="auto"/>
              </w:rPr>
            </w:pP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Cash flows from financing activities: New</w:t>
            </w:r>
          </w:p>
        </w:tc>
        <w:tc>
          <w:tcPr>
            <w:tcW w:w="0" w:type="dxa"/>
            <w:vAlign w:val="bottom"/>
          </w:tcPr>
          <w:p>
            <w:pPr>
              <w:spacing w:after="0"/>
              <w:rPr>
                <w:sz w:val="1"/>
                <w:szCs w:val="1"/>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borrowings............................................</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953 74 Debt</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1"/>
              </w:rPr>
              <w:t>repayments...........................................</w:t>
            </w: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(1,086) (1,637) Exercise of common stock options and</w:t>
            </w:r>
          </w:p>
        </w:tc>
        <w:tc>
          <w:tcPr>
            <w:tcW w:w="0" w:type="dxa"/>
            <w:vAlign w:val="bottom"/>
          </w:tcPr>
          <w:p>
            <w:pPr>
              <w:spacing w:after="0"/>
              <w:rPr>
                <w:sz w:val="1"/>
                <w:szCs w:val="1"/>
                <w:color w:val="auto"/>
              </w:rPr>
            </w:pPr>
          </w:p>
        </w:tc>
      </w:tr>
      <w:tr>
        <w:trPr>
          <w:trHeight w:val="179"/>
        </w:trPr>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warrants.............</w:t>
            </w:r>
          </w:p>
        </w:tc>
        <w:tc>
          <w:tcPr>
            <w:tcW w:w="2140" w:type="dxa"/>
            <w:vAlign w:val="bottom"/>
          </w:tcPr>
          <w:p>
            <w:pPr>
              <w:jc w:val="right"/>
              <w:ind w:right="1362"/>
              <w:spacing w:after="0" w:line="179" w:lineRule="exact"/>
              <w:rPr>
                <w:sz w:val="20"/>
                <w:szCs w:val="20"/>
                <w:color w:val="auto"/>
              </w:rPr>
            </w:pPr>
            <w:r>
              <w:rPr>
                <w:rFonts w:ascii="Courier New" w:cs="Courier New" w:eastAsia="Courier New" w:hAnsi="Courier New"/>
                <w:sz w:val="16"/>
                <w:szCs w:val="16"/>
                <w:color w:val="auto"/>
              </w:rPr>
              <w:t>38 1</w:t>
            </w:r>
          </w:p>
        </w:tc>
        <w:tc>
          <w:tcPr>
            <w:tcW w:w="0" w:type="dxa"/>
            <w:vAlign w:val="bottom"/>
          </w:tcPr>
          <w:p>
            <w:pPr>
              <w:spacing w:after="0"/>
              <w:rPr>
                <w:sz w:val="1"/>
                <w:szCs w:val="1"/>
                <w:color w:val="auto"/>
              </w:rPr>
            </w:pPr>
          </w:p>
        </w:tc>
      </w:tr>
      <w:tr>
        <w:trPr>
          <w:trHeight w:val="179"/>
        </w:trPr>
        <w:tc>
          <w:tcPr>
            <w:tcW w:w="2360" w:type="dxa"/>
            <w:vAlign w:val="bottom"/>
          </w:tcPr>
          <w:p>
            <w:pPr>
              <w:jc w:val="right"/>
              <w:spacing w:after="0"/>
              <w:rPr>
                <w:sz w:val="20"/>
                <w:szCs w:val="20"/>
                <w:color w:val="auto"/>
              </w:rPr>
            </w:pPr>
            <w:r>
              <w:rPr>
                <w:rFonts w:ascii="Courier New" w:cs="Courier New" w:eastAsia="Courier New" w:hAnsi="Courier New"/>
                <w:sz w:val="8"/>
                <w:szCs w:val="8"/>
                <w:color w:val="auto"/>
                <w:w w:val="75"/>
              </w:rPr>
              <w:t>Other.....................................................</w:t>
            </w:r>
            <w:r>
              <w:rPr>
                <w:rFonts w:ascii="Courier New" w:cs="Courier New" w:eastAsia="Courier New" w:hAnsi="Courier New"/>
                <w:sz w:val="11"/>
                <w:szCs w:val="11"/>
                <w:color w:val="auto"/>
                <w:w w:val="75"/>
                <w:vertAlign w:val="subscript"/>
              </w:rPr>
              <w:t>-------</w:t>
            </w:r>
          </w:p>
        </w:tc>
        <w:tc>
          <w:tcPr>
            <w:tcW w:w="2980" w:type="dxa"/>
            <w:vAlign w:val="bottom"/>
            <w:gridSpan w:val="2"/>
            <w:vMerge w:val="restart"/>
          </w:tcPr>
          <w:p>
            <w:pPr>
              <w:jc w:val="center"/>
              <w:ind w:right="2"/>
              <w:spacing w:after="0"/>
              <w:rPr>
                <w:sz w:val="20"/>
                <w:szCs w:val="20"/>
                <w:color w:val="auto"/>
              </w:rPr>
            </w:pPr>
            <w:r>
              <w:rPr>
                <w:rFonts w:ascii="Courier New" w:cs="Courier New" w:eastAsia="Courier New" w:hAnsi="Courier New"/>
                <w:sz w:val="16"/>
                <w:szCs w:val="16"/>
                <w:color w:val="auto"/>
                <w:w w:val="96"/>
              </w:rPr>
              <w:t>Net cash used in financing</w:t>
            </w:r>
          </w:p>
        </w:tc>
        <w:tc>
          <w:tcPr>
            <w:tcW w:w="0" w:type="dxa"/>
            <w:vAlign w:val="bottom"/>
          </w:tcPr>
          <w:p>
            <w:pPr>
              <w:spacing w:after="0"/>
              <w:rPr>
                <w:sz w:val="1"/>
                <w:szCs w:val="1"/>
                <w:color w:val="auto"/>
              </w:rPr>
            </w:pPr>
          </w:p>
        </w:tc>
      </w:tr>
      <w:tr>
        <w:trPr>
          <w:trHeight w:val="179"/>
        </w:trPr>
        <w:tc>
          <w:tcPr>
            <w:tcW w:w="2360" w:type="dxa"/>
            <w:vAlign w:val="bottom"/>
          </w:tcPr>
          <w:p>
            <w:pPr>
              <w:jc w:val="right"/>
              <w:ind w:right="528"/>
              <w:spacing w:after="0" w:line="179" w:lineRule="exact"/>
              <w:rPr>
                <w:sz w:val="20"/>
                <w:szCs w:val="20"/>
                <w:color w:val="auto"/>
              </w:rPr>
            </w:pPr>
            <w:r>
              <w:rPr>
                <w:rFonts w:ascii="Courier New" w:cs="Courier New" w:eastAsia="Courier New" w:hAnsi="Courier New"/>
                <w:sz w:val="16"/>
                <w:szCs w:val="16"/>
                <w:color w:val="auto"/>
              </w:rPr>
              <w:t>(19) -- -------</w:t>
            </w:r>
          </w:p>
        </w:tc>
        <w:tc>
          <w:tcPr>
            <w:tcW w:w="2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activities.......................</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(114) (1,562) ------- -</w:t>
            </w:r>
          </w:p>
        </w:tc>
        <w:tc>
          <w:tcPr>
            <w:tcW w:w="0" w:type="dxa"/>
            <w:vAlign w:val="bottom"/>
          </w:tcPr>
          <w:p>
            <w:pPr>
              <w:spacing w:after="0"/>
              <w:rPr>
                <w:sz w:val="1"/>
                <w:szCs w:val="1"/>
                <w:color w:val="auto"/>
              </w:rPr>
            </w:pP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 Effect of exchange rate changes on cash and cash</w:t>
            </w:r>
          </w:p>
        </w:tc>
        <w:tc>
          <w:tcPr>
            <w:tcW w:w="0" w:type="dxa"/>
            <w:vAlign w:val="bottom"/>
          </w:tcPr>
          <w:p>
            <w:pPr>
              <w:spacing w:after="0"/>
              <w:rPr>
                <w:sz w:val="1"/>
                <w:szCs w:val="1"/>
                <w:color w:val="auto"/>
              </w:rPr>
            </w:pPr>
          </w:p>
        </w:tc>
      </w:tr>
      <w:tr>
        <w:trPr>
          <w:trHeight w:val="179"/>
        </w:trPr>
        <w:tc>
          <w:tcPr>
            <w:tcW w:w="2360" w:type="dxa"/>
            <w:vAlign w:val="bottom"/>
          </w:tcPr>
          <w:p>
            <w:pPr>
              <w:jc w:val="right"/>
              <w:spacing w:after="0"/>
              <w:rPr>
                <w:sz w:val="20"/>
                <w:szCs w:val="20"/>
                <w:color w:val="auto"/>
              </w:rPr>
            </w:pPr>
            <w:r>
              <w:rPr>
                <w:rFonts w:ascii="Courier New" w:cs="Courier New" w:eastAsia="Courier New" w:hAnsi="Courier New"/>
                <w:sz w:val="9"/>
                <w:szCs w:val="9"/>
                <w:color w:val="auto"/>
                <w:w w:val="74"/>
              </w:rPr>
              <w:t>equivalents...............................................</w:t>
            </w:r>
          </w:p>
        </w:tc>
        <w:tc>
          <w:tcPr>
            <w:tcW w:w="2980" w:type="dxa"/>
            <w:vAlign w:val="bottom"/>
            <w:gridSpan w:val="2"/>
            <w:vMerge w:val="restart"/>
          </w:tcPr>
          <w:p>
            <w:pPr>
              <w:jc w:val="center"/>
              <w:ind w:right="22"/>
              <w:spacing w:after="0"/>
              <w:rPr>
                <w:sz w:val="20"/>
                <w:szCs w:val="20"/>
                <w:color w:val="auto"/>
              </w:rPr>
            </w:pPr>
            <w:r>
              <w:rPr>
                <w:rFonts w:ascii="Courier New" w:cs="Courier New" w:eastAsia="Courier New" w:hAnsi="Courier New"/>
                <w:sz w:val="16"/>
                <w:szCs w:val="16"/>
                <w:color w:val="auto"/>
                <w:w w:val="96"/>
              </w:rPr>
              <w:t>Increase (decrease) in cash and</w:t>
            </w:r>
          </w:p>
        </w:tc>
        <w:tc>
          <w:tcPr>
            <w:tcW w:w="0" w:type="dxa"/>
            <w:vAlign w:val="bottom"/>
          </w:tcPr>
          <w:p>
            <w:pPr>
              <w:spacing w:after="0"/>
              <w:rPr>
                <w:sz w:val="1"/>
                <w:szCs w:val="1"/>
                <w:color w:val="auto"/>
              </w:rPr>
            </w:pPr>
          </w:p>
        </w:tc>
      </w:tr>
      <w:tr>
        <w:trPr>
          <w:trHeight w:val="179"/>
        </w:trPr>
        <w:tc>
          <w:tcPr>
            <w:tcW w:w="2360" w:type="dxa"/>
            <w:vAlign w:val="bottom"/>
          </w:tcPr>
          <w:p>
            <w:pPr>
              <w:jc w:val="right"/>
              <w:ind w:right="8"/>
              <w:spacing w:after="0" w:line="179" w:lineRule="exact"/>
              <w:rPr>
                <w:sz w:val="20"/>
                <w:szCs w:val="20"/>
                <w:color w:val="auto"/>
              </w:rPr>
            </w:pPr>
            <w:r>
              <w:rPr>
                <w:rFonts w:ascii="Courier New" w:cs="Courier New" w:eastAsia="Courier New" w:hAnsi="Courier New"/>
                <w:sz w:val="16"/>
                <w:szCs w:val="16"/>
                <w:color w:val="auto"/>
              </w:rPr>
              <w:t>(1) (4) ------- -------</w:t>
            </w:r>
          </w:p>
        </w:tc>
        <w:tc>
          <w:tcPr>
            <w:tcW w:w="2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7"/>
              </w:rPr>
              <w:t>cash equivalents............</w:t>
            </w:r>
          </w:p>
        </w:tc>
        <w:tc>
          <w:tcPr>
            <w:tcW w:w="298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302 (78) Cash and cash</w:t>
            </w:r>
          </w:p>
        </w:tc>
        <w:tc>
          <w:tcPr>
            <w:tcW w:w="0" w:type="dxa"/>
            <w:vAlign w:val="bottom"/>
          </w:tcPr>
          <w:p>
            <w:pPr>
              <w:spacing w:after="0"/>
              <w:rPr>
                <w:sz w:val="1"/>
                <w:szCs w:val="1"/>
                <w:color w:val="auto"/>
              </w:rPr>
            </w:pPr>
          </w:p>
        </w:tc>
      </w:tr>
      <w:tr>
        <w:trPr>
          <w:trHeight w:val="179"/>
        </w:trPr>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equivalents at beginning of period............</w:t>
            </w:r>
          </w:p>
        </w:tc>
        <w:tc>
          <w:tcPr>
            <w:tcW w:w="2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94 181 ---</w:t>
            </w:r>
          </w:p>
        </w:tc>
        <w:tc>
          <w:tcPr>
            <w:tcW w:w="0" w:type="dxa"/>
            <w:vAlign w:val="bottom"/>
          </w:tcPr>
          <w:p>
            <w:pPr>
              <w:spacing w:after="0"/>
              <w:rPr>
                <w:sz w:val="1"/>
                <w:szCs w:val="1"/>
                <w:color w:val="auto"/>
              </w:rPr>
            </w:pP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 ------- Cash and cash equivalents at end of</w:t>
            </w:r>
          </w:p>
        </w:tc>
        <w:tc>
          <w:tcPr>
            <w:tcW w:w="0" w:type="dxa"/>
            <w:vAlign w:val="bottom"/>
          </w:tcPr>
          <w:p>
            <w:pPr>
              <w:spacing w:after="0"/>
              <w:rPr>
                <w:sz w:val="1"/>
                <w:szCs w:val="1"/>
                <w:color w:val="auto"/>
              </w:rPr>
            </w:pPr>
          </w:p>
        </w:tc>
      </w:tr>
      <w:tr>
        <w:trPr>
          <w:trHeight w:val="261"/>
        </w:trPr>
        <w:tc>
          <w:tcPr>
            <w:tcW w:w="2360" w:type="dxa"/>
            <w:vAlign w:val="bottom"/>
          </w:tcPr>
          <w:p>
            <w:pPr>
              <w:jc w:val="right"/>
              <w:spacing w:after="0"/>
              <w:rPr>
                <w:sz w:val="20"/>
                <w:szCs w:val="20"/>
                <w:color w:val="auto"/>
              </w:rPr>
            </w:pPr>
            <w:r>
              <w:rPr>
                <w:rFonts w:ascii="Courier New" w:cs="Courier New" w:eastAsia="Courier New" w:hAnsi="Courier New"/>
                <w:sz w:val="16"/>
                <w:szCs w:val="16"/>
                <w:color w:val="auto"/>
              </w:rPr>
              <w:t>period..................</w:t>
            </w:r>
          </w:p>
        </w:tc>
        <w:tc>
          <w:tcPr>
            <w:tcW w:w="2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$ 396 $ 103 ======= =======</w:t>
            </w:r>
          </w:p>
        </w:tc>
        <w:tc>
          <w:tcPr>
            <w:tcW w:w="0" w:type="dxa"/>
            <w:vAlign w:val="bottom"/>
          </w:tcPr>
          <w:p>
            <w:pPr>
              <w:spacing w:after="0"/>
              <w:rPr>
                <w:sz w:val="1"/>
                <w:szCs w:val="1"/>
                <w:color w:val="auto"/>
              </w:rPr>
            </w:pPr>
          </w:p>
        </w:tc>
      </w:tr>
    </w:tbl>
    <w:p>
      <w:pPr>
        <w:spacing w:after="0" w:line="27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4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69"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jc w:val="center"/>
        <w:ind w:left="1360"/>
        <w:spacing w:after="0" w:line="289" w:lineRule="auto"/>
        <w:rPr>
          <w:sz w:val="20"/>
          <w:szCs w:val="20"/>
          <w:color w:val="auto"/>
        </w:rPr>
      </w:pPr>
      <w:r>
        <w:rPr>
          <w:rFonts w:ascii="Courier New" w:cs="Courier New" w:eastAsia="Courier New" w:hAnsi="Courier New"/>
          <w:sz w:val="16"/>
          <w:szCs w:val="16"/>
          <w:color w:val="auto"/>
        </w:rPr>
        <w:t>CONDENSED CONSOLIDATED STATEMENT OF STOCKHOLDERS' EQUITY (IN MILLIONS, EXCEPT SHARES IN THOUSANDS) (UNAUDITED)</w:t>
      </w:r>
    </w:p>
    <w:p>
      <w:pPr>
        <w:spacing w:after="0" w:line="61"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ACCUMULATED RESTRICTED COMMON</w:t>
      </w:r>
    </w:p>
    <w:p>
      <w:pPr>
        <w:spacing w:after="0" w:line="23"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STOCK ADDITIONAL OTHER STOCK</w:t>
      </w:r>
    </w:p>
    <w:p>
      <w:pPr>
        <w:jc w:val="center"/>
        <w:ind w:right="7259"/>
        <w:spacing w:after="0"/>
        <w:rPr>
          <w:sz w:val="20"/>
          <w:szCs w:val="20"/>
          <w:color w:val="auto"/>
        </w:rPr>
      </w:pPr>
      <w:r>
        <w:rPr>
          <w:rFonts w:ascii="Courier New" w:cs="Courier New" w:eastAsia="Courier New" w:hAnsi="Courier New"/>
          <w:sz w:val="14"/>
          <w:szCs w:val="14"/>
          <w:color w:val="auto"/>
        </w:rPr>
        <w:t>TREASURY STOCK ----------------</w:t>
      </w:r>
    </w:p>
    <w:p>
      <w:pPr>
        <w:spacing w:after="0" w:line="18" w:lineRule="exact"/>
        <w:rPr>
          <w:sz w:val="20"/>
          <w:szCs w:val="20"/>
          <w:color w:val="auto"/>
        </w:rPr>
      </w:pPr>
    </w:p>
    <w:p>
      <w:pPr>
        <w:jc w:val="center"/>
        <w:ind w:right="7259"/>
        <w:spacing w:after="0"/>
        <w:rPr>
          <w:sz w:val="20"/>
          <w:szCs w:val="20"/>
          <w:color w:val="auto"/>
        </w:rPr>
      </w:pPr>
      <w:r>
        <w:rPr>
          <w:rFonts w:ascii="Courier New" w:cs="Courier New" w:eastAsia="Courier New" w:hAnsi="Courier New"/>
          <w:sz w:val="16"/>
          <w:szCs w:val="16"/>
          <w:color w:val="auto"/>
        </w:rPr>
        <w:t>PAID-IN RETAINED COMPREHENSIVE</w:t>
      </w:r>
    </w:p>
    <w:p>
      <w:pPr>
        <w:ind w:left="320"/>
        <w:spacing w:after="0" w:line="236" w:lineRule="auto"/>
        <w:rPr>
          <w:sz w:val="20"/>
          <w:szCs w:val="20"/>
          <w:color w:val="auto"/>
        </w:rPr>
      </w:pPr>
      <w:r>
        <w:rPr>
          <w:rFonts w:ascii="Courier New" w:cs="Courier New" w:eastAsia="Courier New" w:hAnsi="Courier New"/>
          <w:sz w:val="16"/>
          <w:szCs w:val="16"/>
          <w:color w:val="auto"/>
        </w:rPr>
        <w:t>UNEARNED ----------------</w:t>
      </w:r>
    </w:p>
    <w:p>
      <w:pPr>
        <w:jc w:val="center"/>
        <w:ind w:right="7259"/>
        <w:spacing w:after="0" w:line="237" w:lineRule="auto"/>
        <w:rPr>
          <w:sz w:val="20"/>
          <w:szCs w:val="20"/>
          <w:color w:val="auto"/>
        </w:rPr>
      </w:pPr>
      <w:r>
        <w:rPr>
          <w:rFonts w:ascii="Courier New" w:cs="Courier New" w:eastAsia="Courier New" w:hAnsi="Courier New"/>
          <w:sz w:val="16"/>
          <w:szCs w:val="16"/>
          <w:color w:val="auto"/>
        </w:rPr>
        <w:t>SHARES AMOUNT CAPITAL EARNINGS</w:t>
      </w:r>
    </w:p>
    <w:p>
      <w:pPr>
        <w:jc w:val="center"/>
        <w:ind w:right="7259"/>
        <w:spacing w:after="0" w:line="237" w:lineRule="auto"/>
        <w:rPr>
          <w:sz w:val="20"/>
          <w:szCs w:val="20"/>
          <w:color w:val="auto"/>
        </w:rPr>
      </w:pPr>
      <w:r>
        <w:rPr>
          <w:rFonts w:ascii="Courier New" w:cs="Courier New" w:eastAsia="Courier New" w:hAnsi="Courier New"/>
          <w:sz w:val="16"/>
          <w:szCs w:val="16"/>
          <w:color w:val="auto"/>
        </w:rPr>
        <w:t>INCOME(LOSS) COMPENSATION</w:t>
      </w:r>
    </w:p>
    <w:p>
      <w:pPr>
        <w:ind w:left="40"/>
        <w:spacing w:after="0" w:line="237" w:lineRule="auto"/>
        <w:rPr>
          <w:sz w:val="20"/>
          <w:szCs w:val="20"/>
          <w:color w:val="auto"/>
        </w:rPr>
      </w:pPr>
      <w:r>
        <w:rPr>
          <w:rFonts w:ascii="Courier New" w:cs="Courier New" w:eastAsia="Courier New" w:hAnsi="Courier New"/>
          <w:sz w:val="16"/>
          <w:szCs w:val="16"/>
          <w:color w:val="auto"/>
        </w:rPr>
        <w:t>SHARES AMOUNTS ------- ------ -</w:t>
      </w:r>
    </w:p>
    <w:p>
      <w:pPr>
        <w:ind w:left="40"/>
        <w:spacing w:after="0" w:line="237" w:lineRule="auto"/>
        <w:rPr>
          <w:sz w:val="20"/>
          <w:szCs w:val="20"/>
          <w:color w:val="auto"/>
        </w:rPr>
      </w:pPr>
      <w:r>
        <w:rPr>
          <w:rFonts w:ascii="Courier New" w:cs="Courier New" w:eastAsia="Courier New" w:hAnsi="Courier New"/>
          <w:sz w:val="16"/>
          <w:szCs w:val="16"/>
          <w:color w:val="auto"/>
        </w:rPr>
        <w:t>--------- -------- ------------</w:t>
      </w:r>
    </w:p>
    <w:p>
      <w:pPr>
        <w:ind w:left="320" w:hanging="189"/>
        <w:spacing w:after="0" w:line="237" w:lineRule="auto"/>
        <w:tabs>
          <w:tab w:leader="none" w:pos="3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5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Balance, December 31,</w:t>
      </w:r>
    </w:p>
    <w:tbl>
      <w:tblPr>
        <w:tblLayout w:type="fixed"/>
        <w:tblInd w:w="40" w:type="dxa"/>
        <w:tblCellMar>
          <w:top w:w="0" w:type="dxa"/>
          <w:left w:w="0" w:type="dxa"/>
          <w:bottom w:w="0" w:type="dxa"/>
          <w:right w:w="0" w:type="dxa"/>
        </w:tblCellMar>
      </w:tblPr>
      <w:tr>
        <w:trPr>
          <w:trHeight w:val="152"/>
        </w:trPr>
        <w:tc>
          <w:tcPr>
            <w:tcW w:w="116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w w:val="95"/>
              </w:rPr>
              <w:t>2000........</w:t>
            </w:r>
          </w:p>
        </w:tc>
        <w:tc>
          <w:tcPr>
            <w:tcW w:w="72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629,622</w:t>
            </w:r>
          </w:p>
        </w:tc>
        <w:tc>
          <w:tcPr>
            <w:tcW w:w="38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$ 6</w:t>
            </w:r>
          </w:p>
        </w:tc>
        <w:tc>
          <w:tcPr>
            <w:tcW w:w="62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$4,497</w:t>
            </w:r>
          </w:p>
        </w:tc>
        <w:tc>
          <w:tcPr>
            <w:tcW w:w="0" w:type="dxa"/>
            <w:vAlign w:val="bottom"/>
          </w:tcPr>
          <w:p>
            <w:pPr>
              <w:spacing w:after="0"/>
              <w:rPr>
                <w:sz w:val="1"/>
                <w:szCs w:val="1"/>
                <w:color w:val="auto"/>
              </w:rPr>
            </w:pPr>
          </w:p>
        </w:tc>
      </w:tr>
      <w:tr>
        <w:trPr>
          <w:trHeight w:val="179"/>
        </w:trPr>
        <w:tc>
          <w:tcPr>
            <w:tcW w:w="1160" w:type="dxa"/>
            <w:vAlign w:val="bottom"/>
          </w:tcPr>
          <w:p>
            <w:pPr>
              <w:jc w:val="right"/>
              <w:ind w:right="31"/>
              <w:spacing w:after="0" w:line="179" w:lineRule="exact"/>
              <w:rPr>
                <w:sz w:val="20"/>
                <w:szCs w:val="20"/>
                <w:color w:val="auto"/>
              </w:rPr>
            </w:pPr>
            <w:r>
              <w:rPr>
                <w:rFonts w:ascii="Courier New" w:cs="Courier New" w:eastAsia="Courier New" w:hAnsi="Courier New"/>
                <w:sz w:val="16"/>
                <w:szCs w:val="16"/>
                <w:color w:val="auto"/>
                <w:w w:val="98"/>
              </w:rPr>
              <w:t>$560 $(126)</w:t>
            </w:r>
          </w:p>
        </w:tc>
        <w:tc>
          <w:tcPr>
            <w:tcW w:w="11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4"/>
              </w:rPr>
              <w:t>$ (3) 6,972</w:t>
            </w:r>
          </w:p>
        </w:tc>
        <w:tc>
          <w:tcPr>
            <w:tcW w:w="6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$(133)</w:t>
            </w:r>
          </w:p>
        </w:tc>
        <w:tc>
          <w:tcPr>
            <w:tcW w:w="0" w:type="dxa"/>
            <w:vAlign w:val="bottom"/>
          </w:tcPr>
          <w:p>
            <w:pPr>
              <w:spacing w:after="0"/>
              <w:rPr>
                <w:sz w:val="1"/>
                <w:szCs w:val="1"/>
                <w:color w:val="auto"/>
              </w:rPr>
            </w:pPr>
          </w:p>
        </w:tc>
      </w:tr>
      <w:tr>
        <w:trPr>
          <w:trHeight w:val="261"/>
        </w:trPr>
        <w:tc>
          <w:tcPr>
            <w:tcW w:w="1160" w:type="dxa"/>
            <w:vAlign w:val="bottom"/>
            <w:vMerge w:val="restart"/>
          </w:tcPr>
          <w:p>
            <w:pPr>
              <w:spacing w:after="0"/>
              <w:rPr>
                <w:sz w:val="20"/>
                <w:szCs w:val="20"/>
                <w:color w:val="auto"/>
              </w:rPr>
            </w:pPr>
            <w:r>
              <w:rPr>
                <w:rFonts w:ascii="Courier New" w:cs="Courier New" w:eastAsia="Courier New" w:hAnsi="Courier New"/>
                <w:sz w:val="9"/>
                <w:szCs w:val="9"/>
                <w:color w:val="auto"/>
                <w:w w:val="75"/>
              </w:rPr>
              <w:t>income......................</w:t>
            </w:r>
          </w:p>
        </w:tc>
        <w:tc>
          <w:tcPr>
            <w:tcW w:w="7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Net</w:t>
            </w:r>
          </w:p>
        </w:tc>
        <w:tc>
          <w:tcPr>
            <w:tcW w:w="38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116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-- 315 -- -- --</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w w:val="97"/>
              </w:rPr>
              <w:t>-- Common</w:t>
            </w:r>
          </w:p>
        </w:tc>
        <w:tc>
          <w:tcPr>
            <w:tcW w:w="0" w:type="dxa"/>
            <w:vAlign w:val="bottom"/>
          </w:tcPr>
          <w:p>
            <w:pPr>
              <w:spacing w:after="0"/>
              <w:rPr>
                <w:sz w:val="1"/>
                <w:szCs w:val="1"/>
                <w:color w:val="auto"/>
              </w:rPr>
            </w:pPr>
          </w:p>
        </w:tc>
      </w:tr>
    </w:tbl>
    <w:p>
      <w:pPr>
        <w:jc w:val="center"/>
        <w:ind w:right="7259"/>
        <w:spacing w:after="0" w:line="236" w:lineRule="auto"/>
        <w:rPr>
          <w:sz w:val="20"/>
          <w:szCs w:val="20"/>
          <w:color w:val="auto"/>
        </w:rPr>
      </w:pPr>
      <w:r>
        <w:rPr>
          <w:rFonts w:ascii="Courier New" w:cs="Courier New" w:eastAsia="Courier New" w:hAnsi="Courier New"/>
          <w:sz w:val="16"/>
          <w:szCs w:val="16"/>
          <w:color w:val="auto"/>
        </w:rPr>
        <w:t>stock issued upon exercise of</w:t>
      </w:r>
    </w:p>
    <w:p>
      <w:pPr>
        <w:jc w:val="center"/>
        <w:ind w:right="7259"/>
        <w:spacing w:after="0" w:line="237" w:lineRule="auto"/>
        <w:rPr>
          <w:sz w:val="20"/>
          <w:szCs w:val="20"/>
          <w:color w:val="auto"/>
        </w:rPr>
      </w:pPr>
      <w:r>
        <w:rPr>
          <w:rFonts w:ascii="Courier New" w:cs="Courier New" w:eastAsia="Courier New" w:hAnsi="Courier New"/>
          <w:sz w:val="16"/>
          <w:szCs w:val="16"/>
          <w:color w:val="auto"/>
        </w:rPr>
        <w:t>stock options and warrants and</w:t>
      </w:r>
    </w:p>
    <w:p>
      <w:pPr>
        <w:jc w:val="center"/>
        <w:ind w:right="7259"/>
        <w:spacing w:after="0" w:line="237" w:lineRule="auto"/>
        <w:rPr>
          <w:sz w:val="20"/>
          <w:szCs w:val="20"/>
          <w:color w:val="auto"/>
        </w:rPr>
      </w:pPr>
      <w:r>
        <w:rPr>
          <w:rFonts w:ascii="Courier New" w:cs="Courier New" w:eastAsia="Courier New" w:hAnsi="Courier New"/>
          <w:sz w:val="16"/>
          <w:szCs w:val="16"/>
          <w:color w:val="auto"/>
        </w:rPr>
        <w:t>grants of restricted stock</w:t>
      </w:r>
    </w:p>
    <w:tbl>
      <w:tblPr>
        <w:tblLayout w:type="fixed"/>
        <w:tblInd w:w="40" w:type="dxa"/>
        <w:tblCellMar>
          <w:top w:w="0" w:type="dxa"/>
          <w:left w:w="0" w:type="dxa"/>
          <w:bottom w:w="0" w:type="dxa"/>
          <w:right w:w="0" w:type="dxa"/>
        </w:tblCellMar>
      </w:tblPr>
      <w:tr>
        <w:trPr>
          <w:trHeight w:val="151"/>
        </w:trPr>
        <w:tc>
          <w:tcPr>
            <w:tcW w:w="78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81"/>
              </w:rPr>
              <w:t>benefit)..................</w:t>
            </w:r>
          </w:p>
        </w:tc>
        <w:tc>
          <w:tcPr>
            <w:tcW w:w="2100" w:type="dxa"/>
            <w:vAlign w:val="bottom"/>
          </w:tcPr>
          <w:p>
            <w:pPr>
              <w:jc w:val="right"/>
              <w:ind w:right="702"/>
              <w:spacing w:after="0" w:line="152" w:lineRule="exact"/>
              <w:rPr>
                <w:sz w:val="20"/>
                <w:szCs w:val="20"/>
                <w:color w:val="auto"/>
              </w:rPr>
            </w:pPr>
            <w:r>
              <w:rPr>
                <w:rFonts w:ascii="Courier New" w:cs="Courier New" w:eastAsia="Courier New" w:hAnsi="Courier New"/>
                <w:sz w:val="16"/>
                <w:szCs w:val="16"/>
                <w:color w:val="auto"/>
                <w:w w:val="96"/>
              </w:rPr>
              <w:t>(including tax</w:t>
            </w:r>
          </w:p>
        </w:tc>
        <w:tc>
          <w:tcPr>
            <w:tcW w:w="0" w:type="dxa"/>
            <w:vAlign w:val="bottom"/>
          </w:tcPr>
          <w:p>
            <w:pPr>
              <w:spacing w:after="0"/>
              <w:rPr>
                <w:sz w:val="1"/>
                <w:szCs w:val="1"/>
                <w:color w:val="auto"/>
              </w:rPr>
            </w:pPr>
          </w:p>
        </w:tc>
      </w:tr>
      <w:tr>
        <w:trPr>
          <w:trHeight w:val="179"/>
        </w:trPr>
        <w:tc>
          <w:tcPr>
            <w:tcW w:w="780" w:type="dxa"/>
            <w:vAlign w:val="bottom"/>
            <w:vMerge w:val="continue"/>
          </w:tcPr>
          <w:p>
            <w:pPr>
              <w:spacing w:after="0"/>
              <w:rPr>
                <w:sz w:val="15"/>
                <w:szCs w:val="15"/>
                <w:color w:val="auto"/>
              </w:rPr>
            </w:pPr>
          </w:p>
        </w:tc>
        <w:tc>
          <w:tcPr>
            <w:tcW w:w="2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07"/>
        </w:trPr>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 (6)</w:t>
            </w:r>
          </w:p>
        </w:tc>
        <w:tc>
          <w:tcPr>
            <w:tcW w:w="210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8"/>
              </w:rPr>
              <w:t>-- -- -- (2,681) 51</w:t>
            </w:r>
          </w:p>
        </w:tc>
        <w:tc>
          <w:tcPr>
            <w:tcW w:w="0" w:type="dxa"/>
            <w:vAlign w:val="bottom"/>
          </w:tcPr>
          <w:p>
            <w:pPr>
              <w:spacing w:after="0"/>
              <w:rPr>
                <w:sz w:val="1"/>
                <w:szCs w:val="1"/>
                <w:color w:val="auto"/>
              </w:rPr>
            </w:pPr>
          </w:p>
        </w:tc>
      </w:tr>
    </w:tbl>
    <w:p>
      <w:pPr>
        <w:ind w:left="460"/>
        <w:spacing w:after="0" w:line="236" w:lineRule="auto"/>
        <w:rPr>
          <w:sz w:val="20"/>
          <w:szCs w:val="20"/>
          <w:color w:val="auto"/>
        </w:rPr>
      </w:pPr>
      <w:r>
        <w:rPr>
          <w:rFonts w:ascii="Courier New" w:cs="Courier New" w:eastAsia="Courier New" w:hAnsi="Courier New"/>
          <w:sz w:val="16"/>
          <w:szCs w:val="16"/>
          <w:color w:val="auto"/>
        </w:rPr>
        <w:t>Common stock issued in</w:t>
      </w:r>
    </w:p>
    <w:p>
      <w:pPr>
        <w:ind w:left="420"/>
        <w:spacing w:after="0" w:line="237" w:lineRule="auto"/>
        <w:rPr>
          <w:sz w:val="20"/>
          <w:szCs w:val="20"/>
          <w:color w:val="auto"/>
        </w:rPr>
      </w:pPr>
      <w:r>
        <w:rPr>
          <w:rFonts w:ascii="Courier New" w:cs="Courier New" w:eastAsia="Courier New" w:hAnsi="Courier New"/>
          <w:sz w:val="16"/>
          <w:szCs w:val="16"/>
          <w:color w:val="auto"/>
        </w:rPr>
        <w:t>connection with lawsuit</w:t>
      </w:r>
    </w:p>
    <w:tbl>
      <w:tblPr>
        <w:tblLayout w:type="fixed"/>
        <w:tblInd w:w="80" w:type="dxa"/>
        <w:tblCellMar>
          <w:top w:w="0" w:type="dxa"/>
          <w:left w:w="0" w:type="dxa"/>
          <w:bottom w:w="0" w:type="dxa"/>
          <w:right w:w="0" w:type="dxa"/>
        </w:tblCellMar>
      </w:tblPr>
      <w:tr>
        <w:trPr>
          <w:trHeight w:val="151"/>
        </w:trPr>
        <w:tc>
          <w:tcPr>
            <w:tcW w:w="1020" w:type="dxa"/>
            <w:vAlign w:val="bottom"/>
            <w:gridSpan w:val="2"/>
          </w:tcPr>
          <w:p>
            <w:pPr>
              <w:spacing w:after="0" w:line="152" w:lineRule="exact"/>
              <w:rPr>
                <w:sz w:val="20"/>
                <w:szCs w:val="20"/>
                <w:color w:val="auto"/>
              </w:rPr>
            </w:pPr>
            <w:r>
              <w:rPr>
                <w:rFonts w:ascii="Courier New" w:cs="Courier New" w:eastAsia="Courier New" w:hAnsi="Courier New"/>
                <w:sz w:val="16"/>
                <w:szCs w:val="16"/>
                <w:color w:val="auto"/>
                <w:w w:val="94"/>
              </w:rPr>
              <w:t>settlements</w:t>
            </w:r>
          </w:p>
        </w:tc>
        <w:tc>
          <w:tcPr>
            <w:tcW w:w="1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2"/>
              </w:rPr>
              <w:t>...................</w:t>
            </w:r>
            <w:r>
              <w:rPr>
                <w:rFonts w:ascii="Courier New" w:cs="Courier New" w:eastAsia="Courier New" w:hAnsi="Courier New"/>
                <w:sz w:val="30"/>
                <w:szCs w:val="30"/>
                <w:color w:val="auto"/>
                <w:w w:val="72"/>
                <w:vertAlign w:val="subscript"/>
              </w:rPr>
              <w:t>Earned</w:t>
            </w:r>
          </w:p>
        </w:tc>
        <w:tc>
          <w:tcPr>
            <w:tcW w:w="0" w:type="dxa"/>
            <w:vAlign w:val="bottom"/>
          </w:tcPr>
          <w:p>
            <w:pPr>
              <w:spacing w:after="0"/>
              <w:rPr>
                <w:sz w:val="1"/>
                <w:szCs w:val="1"/>
                <w:color w:val="auto"/>
              </w:rPr>
            </w:pPr>
          </w:p>
        </w:tc>
      </w:tr>
      <w:tr>
        <w:trPr>
          <w:trHeight w:val="207"/>
        </w:trPr>
        <w:tc>
          <w:tcPr>
            <w:tcW w:w="600" w:type="dxa"/>
            <w:vAlign w:val="bottom"/>
          </w:tcPr>
          <w:p>
            <w:pPr>
              <w:spacing w:after="0"/>
              <w:rPr>
                <w:sz w:val="20"/>
                <w:szCs w:val="20"/>
                <w:color w:val="auto"/>
              </w:rPr>
            </w:pPr>
            <w:r>
              <w:rPr>
                <w:rFonts w:ascii="Courier New" w:cs="Courier New" w:eastAsia="Courier New" w:hAnsi="Courier New"/>
                <w:sz w:val="16"/>
                <w:szCs w:val="16"/>
                <w:color w:val="auto"/>
              </w:rPr>
              <w:t>289 --</w:t>
            </w:r>
          </w:p>
        </w:tc>
        <w:tc>
          <w:tcPr>
            <w:tcW w:w="2200" w:type="dxa"/>
            <w:vAlign w:val="bottom"/>
            <w:gridSpan w:val="2"/>
          </w:tcPr>
          <w:p>
            <w:pPr>
              <w:jc w:val="right"/>
              <w:ind w:right="584"/>
              <w:spacing w:after="0"/>
              <w:rPr>
                <w:sz w:val="20"/>
                <w:szCs w:val="20"/>
                <w:color w:val="auto"/>
              </w:rPr>
            </w:pPr>
            <w:r>
              <w:rPr>
                <w:rFonts w:ascii="Courier New" w:cs="Courier New" w:eastAsia="Courier New" w:hAnsi="Courier New"/>
                <w:sz w:val="16"/>
                <w:szCs w:val="16"/>
                <w:color w:val="auto"/>
                <w:w w:val="98"/>
              </w:rPr>
              <w:t>7 -- -- -- -- --</w:t>
            </w:r>
          </w:p>
        </w:tc>
        <w:tc>
          <w:tcPr>
            <w:tcW w:w="0" w:type="dxa"/>
            <w:vAlign w:val="bottom"/>
          </w:tcPr>
          <w:p>
            <w:pPr>
              <w:spacing w:after="0"/>
              <w:rPr>
                <w:sz w:val="1"/>
                <w:szCs w:val="1"/>
                <w:color w:val="auto"/>
              </w:rPr>
            </w:pPr>
          </w:p>
        </w:tc>
      </w:tr>
    </w:tbl>
    <w:p>
      <w:pPr>
        <w:jc w:val="center"/>
        <w:ind w:right="7259"/>
        <w:spacing w:after="0" w:line="236" w:lineRule="auto"/>
        <w:rPr>
          <w:sz w:val="20"/>
          <w:szCs w:val="20"/>
          <w:color w:val="auto"/>
        </w:rPr>
      </w:pPr>
      <w:r>
        <w:rPr>
          <w:rFonts w:ascii="Courier New" w:cs="Courier New" w:eastAsia="Courier New" w:hAnsi="Courier New"/>
          <w:sz w:val="16"/>
          <w:szCs w:val="16"/>
          <w:color w:val="auto"/>
        </w:rPr>
        <w:t>compensation related to</w:t>
      </w:r>
    </w:p>
    <w:p>
      <w:pPr>
        <w:ind w:left="80"/>
        <w:spacing w:after="0" w:line="237" w:lineRule="auto"/>
        <w:rPr>
          <w:sz w:val="20"/>
          <w:szCs w:val="20"/>
          <w:color w:val="auto"/>
        </w:rPr>
      </w:pPr>
      <w:r>
        <w:rPr>
          <w:rFonts w:ascii="Courier New" w:cs="Courier New" w:eastAsia="Courier New" w:hAnsi="Courier New"/>
          <w:sz w:val="16"/>
          <w:szCs w:val="16"/>
          <w:color w:val="auto"/>
        </w:rPr>
        <w:t>restricted stock..............</w:t>
      </w:r>
    </w:p>
    <w:p>
      <w:pPr>
        <w:jc w:val="center"/>
        <w:ind w:right="7259"/>
        <w:spacing w:after="0" w:line="237" w:lineRule="auto"/>
        <w:rPr>
          <w:sz w:val="20"/>
          <w:szCs w:val="20"/>
          <w:color w:val="auto"/>
        </w:rPr>
      </w:pPr>
      <w:r>
        <w:rPr>
          <w:rFonts w:ascii="Courier New" w:cs="Courier New" w:eastAsia="Courier New" w:hAnsi="Courier New"/>
          <w:sz w:val="16"/>
          <w:szCs w:val="16"/>
          <w:color w:val="auto"/>
        </w:rPr>
        <w:t>-- -- -- -- -- 1 -- --</w:t>
      </w:r>
    </w:p>
    <w:p>
      <w:pPr>
        <w:ind w:left="80"/>
        <w:spacing w:after="0" w:line="237" w:lineRule="auto"/>
        <w:rPr>
          <w:sz w:val="20"/>
          <w:szCs w:val="20"/>
          <w:color w:val="auto"/>
        </w:rPr>
      </w:pPr>
      <w:r>
        <w:rPr>
          <w:rFonts w:ascii="Courier New" w:cs="Courier New" w:eastAsia="Courier New" w:hAnsi="Courier New"/>
          <w:sz w:val="16"/>
          <w:szCs w:val="16"/>
          <w:color w:val="auto"/>
        </w:rPr>
        <w:t>Adjustment for minimum pension</w:t>
      </w:r>
    </w:p>
    <w:p>
      <w:pPr>
        <w:ind w:left="80"/>
        <w:spacing w:after="0" w:line="237" w:lineRule="auto"/>
        <w:rPr>
          <w:sz w:val="20"/>
          <w:szCs w:val="20"/>
          <w:color w:val="auto"/>
        </w:rPr>
      </w:pPr>
      <w:r>
        <w:rPr>
          <w:rFonts w:ascii="Courier New" w:cs="Courier New" w:eastAsia="Courier New" w:hAnsi="Courier New"/>
          <w:sz w:val="16"/>
          <w:szCs w:val="16"/>
          <w:color w:val="auto"/>
        </w:rPr>
        <w:t>liability, net of taxes.......</w:t>
      </w:r>
    </w:p>
    <w:p>
      <w:pPr>
        <w:jc w:val="center"/>
        <w:ind w:right="7259"/>
        <w:spacing w:after="0" w:line="237" w:lineRule="auto"/>
        <w:rPr>
          <w:sz w:val="20"/>
          <w:szCs w:val="20"/>
          <w:color w:val="auto"/>
        </w:rPr>
      </w:pPr>
      <w:r>
        <w:rPr>
          <w:rFonts w:ascii="Courier New" w:cs="Courier New" w:eastAsia="Courier New" w:hAnsi="Courier New"/>
          <w:sz w:val="16"/>
          <w:szCs w:val="16"/>
          <w:color w:val="auto"/>
        </w:rPr>
        <w:t>-- -- -- -- 3 -- -- --</w:t>
      </w:r>
    </w:p>
    <w:p>
      <w:pPr>
        <w:ind w:left="140"/>
        <w:spacing w:after="0" w:line="237" w:lineRule="auto"/>
        <w:rPr>
          <w:sz w:val="20"/>
          <w:szCs w:val="20"/>
          <w:color w:val="auto"/>
        </w:rPr>
      </w:pPr>
      <w:r>
        <w:rPr>
          <w:rFonts w:ascii="Courier New" w:cs="Courier New" w:eastAsia="Courier New" w:hAnsi="Courier New"/>
          <w:sz w:val="16"/>
          <w:szCs w:val="16"/>
          <w:color w:val="auto"/>
        </w:rPr>
        <w:t>Unrealized gain on derivative</w:t>
      </w:r>
    </w:p>
    <w:p>
      <w:pPr>
        <w:ind w:left="80"/>
        <w:spacing w:after="0" w:line="237" w:lineRule="auto"/>
        <w:rPr>
          <w:sz w:val="20"/>
          <w:szCs w:val="20"/>
          <w:color w:val="auto"/>
        </w:rPr>
      </w:pPr>
      <w:r>
        <w:rPr>
          <w:rFonts w:ascii="Courier New" w:cs="Courier New" w:eastAsia="Courier New" w:hAnsi="Courier New"/>
          <w:sz w:val="16"/>
          <w:szCs w:val="16"/>
          <w:color w:val="auto"/>
        </w:rPr>
        <w:t>instruments...................</w:t>
      </w:r>
    </w:p>
    <w:p>
      <w:pPr>
        <w:jc w:val="center"/>
        <w:ind w:right="7259"/>
        <w:spacing w:after="0" w:line="236" w:lineRule="auto"/>
        <w:rPr>
          <w:sz w:val="20"/>
          <w:szCs w:val="20"/>
          <w:color w:val="auto"/>
        </w:rPr>
      </w:pPr>
      <w:r>
        <w:rPr>
          <w:rFonts w:ascii="Courier New" w:cs="Courier New" w:eastAsia="Courier New" w:hAnsi="Courier New"/>
          <w:sz w:val="16"/>
          <w:szCs w:val="16"/>
          <w:color w:val="auto"/>
        </w:rPr>
        <w:t>-- -- -- -- 7 -- -- --</w:t>
      </w:r>
    </w:p>
    <w:p>
      <w:pPr>
        <w:ind w:left="140"/>
        <w:spacing w:after="0" w:line="237" w:lineRule="auto"/>
        <w:rPr>
          <w:sz w:val="20"/>
          <w:szCs w:val="20"/>
          <w:color w:val="auto"/>
        </w:rPr>
      </w:pPr>
      <w:r>
        <w:rPr>
          <w:rFonts w:ascii="Courier New" w:cs="Courier New" w:eastAsia="Courier New" w:hAnsi="Courier New"/>
          <w:sz w:val="16"/>
          <w:szCs w:val="16"/>
          <w:color w:val="auto"/>
        </w:rPr>
        <w:t>Unrealized gain on marketable</w:t>
      </w:r>
    </w:p>
    <w:p>
      <w:pPr>
        <w:ind w:left="80"/>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7259"/>
        <w:spacing w:after="0" w:line="237" w:lineRule="auto"/>
        <w:rPr>
          <w:sz w:val="20"/>
          <w:szCs w:val="20"/>
          <w:color w:val="auto"/>
        </w:rPr>
      </w:pPr>
      <w:r>
        <w:rPr>
          <w:rFonts w:ascii="Courier New" w:cs="Courier New" w:eastAsia="Courier New" w:hAnsi="Courier New"/>
          <w:sz w:val="16"/>
          <w:szCs w:val="16"/>
          <w:color w:val="auto"/>
        </w:rPr>
        <w:t>-- -- -- -- 8 -- -- --</w:t>
      </w:r>
    </w:p>
    <w:p>
      <w:pPr>
        <w:jc w:val="center"/>
        <w:ind w:right="7259"/>
        <w:spacing w:after="0" w:line="237" w:lineRule="auto"/>
        <w:rPr>
          <w:sz w:val="20"/>
          <w:szCs w:val="20"/>
          <w:color w:val="auto"/>
        </w:rPr>
      </w:pPr>
      <w:r>
        <w:rPr>
          <w:rFonts w:ascii="Courier New" w:cs="Courier New" w:eastAsia="Courier New" w:hAnsi="Courier New"/>
          <w:sz w:val="16"/>
          <w:szCs w:val="16"/>
          <w:color w:val="auto"/>
        </w:rPr>
        <w:t>Cumulative translation</w:t>
      </w:r>
    </w:p>
    <w:p>
      <w:pPr>
        <w:jc w:val="center"/>
        <w:ind w:right="7259"/>
        <w:spacing w:after="0" w:line="237" w:lineRule="auto"/>
        <w:rPr>
          <w:sz w:val="20"/>
          <w:szCs w:val="20"/>
          <w:color w:val="auto"/>
        </w:rPr>
      </w:pPr>
      <w:r>
        <w:rPr>
          <w:rFonts w:ascii="Courier New" w:cs="Courier New" w:eastAsia="Courier New" w:hAnsi="Courier New"/>
          <w:sz w:val="16"/>
          <w:szCs w:val="16"/>
          <w:color w:val="auto"/>
        </w:rPr>
        <w:t>adjustment of foreign currency</w:t>
      </w:r>
    </w:p>
    <w:tbl>
      <w:tblPr>
        <w:tblLayout w:type="fixed"/>
        <w:tblInd w:w="0" w:type="dxa"/>
        <w:tblCellMar>
          <w:top w:w="0" w:type="dxa"/>
          <w:left w:w="0" w:type="dxa"/>
          <w:bottom w:w="0" w:type="dxa"/>
          <w:right w:w="0" w:type="dxa"/>
        </w:tblCellMar>
      </w:tblPr>
      <w:tr>
        <w:trPr>
          <w:trHeight w:val="151"/>
        </w:trPr>
        <w:tc>
          <w:tcPr>
            <w:tcW w:w="1020" w:type="dxa"/>
            <w:vAlign w:val="bottom"/>
          </w:tcPr>
          <w:p>
            <w:pPr>
              <w:jc w:val="right"/>
              <w:spacing w:after="0"/>
              <w:rPr>
                <w:sz w:val="20"/>
                <w:szCs w:val="20"/>
                <w:color w:val="auto"/>
              </w:rPr>
            </w:pPr>
            <w:r>
              <w:rPr>
                <w:rFonts w:ascii="Courier New" w:cs="Courier New" w:eastAsia="Courier New" w:hAnsi="Courier New"/>
                <w:sz w:val="7"/>
                <w:szCs w:val="7"/>
                <w:color w:val="auto"/>
                <w:vertAlign w:val="superscript"/>
              </w:rPr>
              <w:t>statements</w:t>
            </w:r>
            <w:r>
              <w:rPr>
                <w:rFonts w:ascii="Courier New" w:cs="Courier New" w:eastAsia="Courier New" w:hAnsi="Courier New"/>
                <w:sz w:val="4"/>
                <w:szCs w:val="4"/>
                <w:color w:val="auto"/>
              </w:rPr>
              <w:t>...........................</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70"/>
              </w:rPr>
              <w:t>....................</w:t>
            </w:r>
            <w:r>
              <w:rPr>
                <w:rFonts w:ascii="Courier New" w:cs="Courier New" w:eastAsia="Courier New" w:hAnsi="Courier New"/>
                <w:sz w:val="29"/>
                <w:szCs w:val="29"/>
                <w:color w:val="auto"/>
                <w:w w:val="70"/>
                <w:vertAlign w:val="subscript"/>
              </w:rPr>
              <w:t>(3)----</w:t>
            </w:r>
          </w:p>
        </w:tc>
        <w:tc>
          <w:tcPr>
            <w:tcW w:w="0" w:type="dxa"/>
            <w:vAlign w:val="bottom"/>
          </w:tcPr>
          <w:p>
            <w:pPr>
              <w:spacing w:after="0"/>
              <w:rPr>
                <w:sz w:val="1"/>
                <w:szCs w:val="1"/>
                <w:color w:val="auto"/>
              </w:rPr>
            </w:pPr>
          </w:p>
        </w:tc>
      </w:tr>
      <w:tr>
        <w:trPr>
          <w:trHeight w:val="304"/>
        </w:trPr>
        <w:tc>
          <w:tcPr>
            <w:tcW w:w="2920" w:type="dxa"/>
            <w:vAlign w:val="bottom"/>
            <w:gridSpan w:val="2"/>
            <w:vMerge w:val="restart"/>
          </w:tcPr>
          <w:p>
            <w:pPr>
              <w:jc w:val="right"/>
              <w:ind w:right="259"/>
              <w:spacing w:after="0"/>
              <w:rPr>
                <w:sz w:val="20"/>
                <w:szCs w:val="20"/>
                <w:color w:val="auto"/>
              </w:rPr>
            </w:pPr>
            <w:r>
              <w:rPr>
                <w:rFonts w:ascii="Courier New" w:cs="Courier New" w:eastAsia="Courier New" w:hAnsi="Courier New"/>
                <w:sz w:val="31"/>
                <w:szCs w:val="31"/>
                <w:color w:val="auto"/>
                <w:w w:val="93"/>
                <w:vertAlign w:val="subscript"/>
              </w:rPr>
              <w:t>Other</w:t>
            </w:r>
            <w:r>
              <w:rPr>
                <w:rFonts w:ascii="Courier New" w:cs="Courier New" w:eastAsia="Courier New" w:hAnsi="Courier New"/>
                <w:sz w:val="16"/>
                <w:szCs w:val="16"/>
                <w:color w:val="auto"/>
                <w:w w:val="93"/>
              </w:rPr>
              <w:t>-- -- -- ----</w:t>
            </w:r>
          </w:p>
        </w:tc>
        <w:tc>
          <w:tcPr>
            <w:tcW w:w="0" w:type="dxa"/>
            <w:vAlign w:val="bottom"/>
          </w:tcPr>
          <w:p>
            <w:pPr>
              <w:spacing w:after="0"/>
              <w:rPr>
                <w:sz w:val="1"/>
                <w:szCs w:val="1"/>
                <w:color w:val="auto"/>
              </w:rPr>
            </w:pPr>
          </w:p>
        </w:tc>
      </w:tr>
      <w:tr>
        <w:trPr>
          <w:trHeight w:val="54"/>
        </w:trPr>
        <w:tc>
          <w:tcPr>
            <w:tcW w:w="1020" w:type="dxa"/>
            <w:vAlign w:val="bottom"/>
            <w:vMerge w:val="continue"/>
          </w:tcPr>
          <w:p>
            <w:pPr>
              <w:spacing w:after="0"/>
              <w:rPr>
                <w:sz w:val="4"/>
                <w:szCs w:val="4"/>
                <w:color w:val="auto"/>
              </w:rPr>
            </w:pPr>
          </w:p>
        </w:tc>
        <w:tc>
          <w:tcPr>
            <w:tcW w:w="1900" w:type="dxa"/>
            <w:vAlign w:val="bottom"/>
            <w:vMerge w:val="restart"/>
          </w:tcPr>
          <w:p>
            <w:pPr>
              <w:jc w:val="right"/>
              <w:ind w:right="579"/>
              <w:spacing w:after="0"/>
              <w:rPr>
                <w:sz w:val="20"/>
                <w:szCs w:val="20"/>
                <w:color w:val="auto"/>
              </w:rPr>
            </w:pPr>
            <w:r>
              <w:rPr>
                <w:rFonts w:ascii="Courier New" w:cs="Courier New" w:eastAsia="Courier New" w:hAnsi="Courier New"/>
                <w:sz w:val="16"/>
                <w:szCs w:val="16"/>
                <w:color w:val="auto"/>
              </w:rPr>
              <w:t>-- (340) 6</w:t>
            </w:r>
          </w:p>
        </w:tc>
        <w:tc>
          <w:tcPr>
            <w:tcW w:w="0" w:type="dxa"/>
            <w:vAlign w:val="bottom"/>
          </w:tcPr>
          <w:p>
            <w:pPr>
              <w:spacing w:after="0"/>
              <w:rPr>
                <w:sz w:val="1"/>
                <w:szCs w:val="1"/>
                <w:color w:val="auto"/>
              </w:rPr>
            </w:pPr>
          </w:p>
        </w:tc>
      </w:tr>
      <w:tr>
        <w:trPr>
          <w:trHeight w:val="207"/>
        </w:trPr>
        <w:tc>
          <w:tcPr>
            <w:tcW w:w="1020" w:type="dxa"/>
            <w:vAlign w:val="bottom"/>
          </w:tcPr>
          <w:p>
            <w:pPr>
              <w:jc w:val="right"/>
              <w:ind w:right="10"/>
              <w:spacing w:after="0"/>
              <w:rPr>
                <w:sz w:val="20"/>
                <w:szCs w:val="20"/>
                <w:color w:val="auto"/>
              </w:rPr>
            </w:pPr>
            <w:r>
              <w:rPr>
                <w:rFonts w:ascii="Courier New" w:cs="Courier New" w:eastAsia="Courier New" w:hAnsi="Courier New"/>
                <w:sz w:val="16"/>
                <w:szCs w:val="16"/>
                <w:color w:val="auto"/>
                <w:w w:val="97"/>
              </w:rPr>
              <w:t>-- -- 1 --</w:t>
            </w:r>
          </w:p>
        </w:tc>
        <w:tc>
          <w:tcPr>
            <w:tcW w:w="1900" w:type="dxa"/>
            <w:vAlign w:val="bottom"/>
            <w:vMerge w:val="continue"/>
          </w:tcPr>
          <w:p>
            <w:pPr>
              <w:jc w:val="right"/>
              <w:spacing w:after="0" w:line="158" w:lineRule="exact"/>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bl>
    <w:p>
      <w:pPr>
        <w:ind w:left="40"/>
        <w:spacing w:after="0" w:line="236" w:lineRule="auto"/>
        <w:rPr>
          <w:sz w:val="20"/>
          <w:szCs w:val="20"/>
          <w:color w:val="auto"/>
        </w:rPr>
      </w:pPr>
      <w:r>
        <w:rPr>
          <w:rFonts w:ascii="Courier New" w:cs="Courier New" w:eastAsia="Courier New" w:hAnsi="Courier New"/>
          <w:sz w:val="16"/>
          <w:szCs w:val="16"/>
          <w:color w:val="auto"/>
        </w:rPr>
        <w:t>- --- ------ ---- ----- ----- -</w:t>
      </w:r>
    </w:p>
    <w:tbl>
      <w:tblPr>
        <w:tblLayout w:type="fixed"/>
        <w:tblInd w:w="80" w:type="dxa"/>
        <w:tblCellMar>
          <w:top w:w="0" w:type="dxa"/>
          <w:left w:w="0" w:type="dxa"/>
          <w:bottom w:w="0" w:type="dxa"/>
          <w:right w:w="0" w:type="dxa"/>
        </w:tblCellMar>
      </w:tblPr>
      <w:tr>
        <w:trPr>
          <w:trHeight w:val="152"/>
        </w:trPr>
        <w:tc>
          <w:tcPr>
            <w:tcW w:w="600" w:type="dxa"/>
            <w:vAlign w:val="bottom"/>
            <w:vMerge w:val="restart"/>
          </w:tcPr>
          <w:p>
            <w:pPr>
              <w:jc w:val="right"/>
              <w:spacing w:after="0"/>
              <w:rPr>
                <w:sz w:val="20"/>
                <w:szCs w:val="20"/>
                <w:color w:val="auto"/>
              </w:rPr>
            </w:pPr>
            <w:r>
              <w:rPr>
                <w:rFonts w:ascii="Courier New" w:cs="Courier New" w:eastAsia="Courier New" w:hAnsi="Courier New"/>
                <w:sz w:val="7"/>
                <w:szCs w:val="7"/>
                <w:color w:val="auto"/>
                <w:vertAlign w:val="superscript"/>
              </w:rPr>
              <w:t>-----</w:t>
            </w:r>
            <w:r>
              <w:rPr>
                <w:rFonts w:ascii="Courier New" w:cs="Courier New" w:eastAsia="Courier New" w:hAnsi="Courier New"/>
                <w:sz w:val="4"/>
                <w:szCs w:val="4"/>
                <w:color w:val="auto"/>
              </w:rPr>
              <w:t>2001............</w:t>
            </w:r>
          </w:p>
        </w:tc>
        <w:tc>
          <w:tcPr>
            <w:tcW w:w="50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w w:val="95"/>
              </w:rPr>
              <w:t>-----</w:t>
            </w:r>
          </w:p>
        </w:tc>
        <w:tc>
          <w:tcPr>
            <w:tcW w:w="1700" w:type="dxa"/>
            <w:vAlign w:val="bottom"/>
            <w:gridSpan w:val="2"/>
          </w:tcPr>
          <w:p>
            <w:pPr>
              <w:jc w:val="right"/>
              <w:spacing w:after="0" w:line="152" w:lineRule="exact"/>
              <w:rPr>
                <w:sz w:val="20"/>
                <w:szCs w:val="20"/>
                <w:color w:val="auto"/>
              </w:rPr>
            </w:pPr>
            <w:r>
              <w:rPr>
                <w:rFonts w:ascii="Courier New" w:cs="Courier New" w:eastAsia="Courier New" w:hAnsi="Courier New"/>
                <w:sz w:val="16"/>
                <w:szCs w:val="16"/>
                <w:color w:val="auto"/>
                <w:w w:val="99"/>
              </w:rPr>
              <w:t>Balance, June 30,</w:t>
            </w:r>
          </w:p>
        </w:tc>
        <w:tc>
          <w:tcPr>
            <w:tcW w:w="0" w:type="dxa"/>
            <w:vAlign w:val="bottom"/>
          </w:tcPr>
          <w:p>
            <w:pPr>
              <w:spacing w:after="0"/>
              <w:rPr>
                <w:sz w:val="1"/>
                <w:szCs w:val="1"/>
                <w:color w:val="auto"/>
              </w:rPr>
            </w:pPr>
          </w:p>
        </w:tc>
      </w:tr>
      <w:tr>
        <w:trPr>
          <w:trHeight w:val="179"/>
        </w:trPr>
        <w:tc>
          <w:tcPr>
            <w:tcW w:w="600" w:type="dxa"/>
            <w:vAlign w:val="bottom"/>
            <w:vMerge w:val="continue"/>
          </w:tcPr>
          <w:p>
            <w:pPr>
              <w:spacing w:after="0"/>
              <w:rPr>
                <w:sz w:val="15"/>
                <w:szCs w:val="15"/>
                <w:color w:val="auto"/>
              </w:rPr>
            </w:pPr>
          </w:p>
        </w:tc>
        <w:tc>
          <w:tcPr>
            <w:tcW w:w="5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$875</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$(111)</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4"/>
              </w:rPr>
              <w:t>629,911 $ 6</w:t>
            </w:r>
          </w:p>
        </w:tc>
        <w:tc>
          <w:tcPr>
            <w:tcW w:w="0" w:type="dxa"/>
            <w:vAlign w:val="bottom"/>
          </w:tcPr>
          <w:p>
            <w:pPr>
              <w:spacing w:after="0"/>
              <w:rPr>
                <w:sz w:val="1"/>
                <w:szCs w:val="1"/>
                <w:color w:val="auto"/>
              </w:rPr>
            </w:pPr>
          </w:p>
        </w:tc>
      </w:tr>
      <w:tr>
        <w:trPr>
          <w:trHeight w:val="207"/>
        </w:trPr>
        <w:tc>
          <w:tcPr>
            <w:tcW w:w="600" w:type="dxa"/>
            <w:vAlign w:val="bottom"/>
          </w:tcPr>
          <w:p>
            <w:pPr>
              <w:jc w:val="right"/>
              <w:spacing w:after="0"/>
              <w:rPr>
                <w:sz w:val="20"/>
                <w:szCs w:val="20"/>
                <w:color w:val="auto"/>
              </w:rPr>
            </w:pPr>
            <w:r>
              <w:rPr>
                <w:rFonts w:ascii="Courier New" w:cs="Courier New" w:eastAsia="Courier New" w:hAnsi="Courier New"/>
                <w:sz w:val="16"/>
                <w:szCs w:val="16"/>
                <w:color w:val="auto"/>
                <w:w w:val="93"/>
              </w:rPr>
              <w:t>$4,499</w:t>
            </w:r>
          </w:p>
        </w:tc>
        <w:tc>
          <w:tcPr>
            <w:tcW w:w="50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(2) 3,951</w:t>
            </w:r>
          </w:p>
        </w:tc>
        <w:tc>
          <w:tcPr>
            <w:tcW w:w="0" w:type="dxa"/>
            <w:vAlign w:val="bottom"/>
          </w:tcPr>
          <w:p>
            <w:pPr>
              <w:spacing w:after="0"/>
              <w:rPr>
                <w:sz w:val="1"/>
                <w:szCs w:val="1"/>
                <w:color w:val="auto"/>
              </w:rPr>
            </w:pPr>
          </w:p>
        </w:tc>
      </w:tr>
    </w:tbl>
    <w:p>
      <w:pPr>
        <w:ind w:left="280" w:hanging="195"/>
        <w:spacing w:after="0" w:line="236" w:lineRule="auto"/>
        <w:tabs>
          <w:tab w:leader="none" w:pos="2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(76) ======= === ====== ====</w:t>
      </w:r>
    </w:p>
    <w:p>
      <w:pPr>
        <w:ind w:left="920" w:hanging="556"/>
        <w:spacing w:after="0"/>
        <w:tabs>
          <w:tab w:leader="none" w:pos="92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2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See notes to condensed consolidated financial statements.</w:t>
      </w:r>
    </w:p>
    <w:p>
      <w:pPr>
        <w:spacing w:after="0" w:line="48"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69"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NOTES TO CONDENSED CONSOLIDATED FINANCIAL STATEMENTS</w:t>
      </w:r>
    </w:p>
    <w:p>
      <w:pPr>
        <w:spacing w:after="0" w:line="2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(DOLLARS IN MILLIONS EXCEPT PER SHARE DATA)</w:t>
      </w: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ind w:right="2779" w:firstLine="465"/>
        <w:spacing w:after="0" w:line="290" w:lineRule="auto"/>
        <w:rPr>
          <w:sz w:val="20"/>
          <w:szCs w:val="20"/>
          <w:color w:val="auto"/>
        </w:rPr>
      </w:pPr>
      <w:r>
        <w:rPr>
          <w:rFonts w:ascii="Courier New" w:cs="Courier New" w:eastAsia="Courier New" w:hAnsi="Courier New"/>
          <w:sz w:val="14"/>
          <w:szCs w:val="14"/>
          <w:color w:val="auto"/>
        </w:rPr>
        <w:t>The condensed consolidated financial statements of Waste Management, Inc. and subsidiaries (collectively referred to herein as the "Company," unless the context indicates otherwise) presented herein are unaudited. In the opinion of management, these financial statements include all adjustments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the Annual Report on Form 10-K for the year ended December 31, 2000.</w:t>
      </w:r>
    </w:p>
    <w:p>
      <w:pPr>
        <w:spacing w:after="0" w:line="64" w:lineRule="exact"/>
        <w:rPr>
          <w:sz w:val="20"/>
          <w:szCs w:val="20"/>
          <w:color w:val="auto"/>
        </w:rPr>
      </w:pPr>
    </w:p>
    <w:p>
      <w:pPr>
        <w:ind w:right="2879" w:firstLine="465"/>
        <w:spacing w:after="0" w:line="286"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requires management to make estimates and assumptions that affect reported amounts of assets, liabilities, income and expenses and disclosures of contingent assets and liabilities at the date of the financial statements and during the reporting period. Specifically, with regard to landfill accounting, the Company uses engineering and accounting estimates when projecting future development and final closure and post-closure costs, forecasting various engineering specifications (including the prediction of waste settlement), and future operational plans and waste volumes. Actual results could differ materially from those estimates. See "Management's Discussion and Analysis" elsewhere herein.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700" w:type="dxa"/>
            <w:vAlign w:val="bottom"/>
          </w:tcPr>
          <w:p>
            <w:pPr>
              <w:spacing w:after="0"/>
              <w:rPr>
                <w:sz w:val="20"/>
                <w:szCs w:val="20"/>
                <w:color w:val="auto"/>
              </w:rPr>
            </w:pPr>
            <w:r>
              <w:rPr>
                <w:rFonts w:ascii="Courier New" w:cs="Courier New" w:eastAsia="Courier New" w:hAnsi="Courier New"/>
                <w:sz w:val="16"/>
                <w:szCs w:val="16"/>
                <w:color w:val="auto"/>
              </w:rPr>
              <w:t>1. LONG-TERM DEBT</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700" w:type="dxa"/>
            <w:vAlign w:val="bottom"/>
          </w:tcPr>
          <w:p>
            <w:pPr>
              <w:jc w:val="center"/>
              <w:spacing w:after="0"/>
              <w:rPr>
                <w:sz w:val="20"/>
                <w:szCs w:val="20"/>
                <w:color w:val="auto"/>
              </w:rPr>
            </w:pPr>
            <w:r>
              <w:rPr>
                <w:rFonts w:ascii="Courier New" w:cs="Courier New" w:eastAsia="Courier New" w:hAnsi="Courier New"/>
                <w:sz w:val="16"/>
                <w:szCs w:val="16"/>
                <w:color w:val="auto"/>
                <w:w w:val="97"/>
              </w:rPr>
              <w:t>Long-term debt consists of the following:</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40" w:type="dxa"/>
            <w:vAlign w:val="bottom"/>
            <w:gridSpan w:val="2"/>
          </w:tcPr>
          <w:p>
            <w:pPr>
              <w:jc w:val="center"/>
              <w:ind w:left="62"/>
              <w:spacing w:after="0"/>
              <w:rPr>
                <w:sz w:val="20"/>
                <w:szCs w:val="20"/>
                <w:color w:val="auto"/>
              </w:rPr>
            </w:pPr>
            <w:r>
              <w:rPr>
                <w:rFonts w:ascii="Courier New" w:cs="Courier New" w:eastAsia="Courier New" w:hAnsi="Courier New"/>
                <w:sz w:val="16"/>
                <w:szCs w:val="16"/>
                <w:color w:val="auto"/>
                <w:w w:val="97"/>
              </w:rPr>
              <w:t>JUNE 30, DECEMBER 31, 2001 2000 -------- ------------</w:t>
            </w:r>
          </w:p>
        </w:tc>
        <w:tc>
          <w:tcPr>
            <w:tcW w:w="0" w:type="dxa"/>
            <w:vAlign w:val="bottom"/>
          </w:tcPr>
          <w:p>
            <w:pPr>
              <w:spacing w:after="0"/>
              <w:rPr>
                <w:sz w:val="1"/>
                <w:szCs w:val="1"/>
                <w:color w:val="auto"/>
              </w:rPr>
            </w:pPr>
          </w:p>
        </w:tc>
      </w:tr>
      <w:tr>
        <w:trPr>
          <w:trHeight w:val="179"/>
        </w:trPr>
        <w:tc>
          <w:tcPr>
            <w:tcW w:w="4700" w:type="dxa"/>
            <w:vAlign w:val="bottom"/>
          </w:tcPr>
          <w:p>
            <w:pPr>
              <w:jc w:val="center"/>
              <w:ind w:left="602"/>
              <w:spacing w:after="0" w:line="179" w:lineRule="exact"/>
              <w:rPr>
                <w:sz w:val="20"/>
                <w:szCs w:val="20"/>
                <w:color w:val="auto"/>
              </w:rPr>
            </w:pPr>
            <w:r>
              <w:rPr>
                <w:rFonts w:ascii="Courier New" w:cs="Courier New" w:eastAsia="Courier New" w:hAnsi="Courier New"/>
                <w:sz w:val="16"/>
                <w:szCs w:val="16"/>
                <w:color w:val="auto"/>
                <w:w w:val="96"/>
              </w:rPr>
              <w:t>Bank credit</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0"/>
              </w:rPr>
              <w:t>$ -- $</w:t>
            </w:r>
          </w:p>
        </w:tc>
        <w:tc>
          <w:tcPr>
            <w:tcW w:w="0" w:type="dxa"/>
            <w:vAlign w:val="bottom"/>
          </w:tcPr>
          <w:p>
            <w:pPr>
              <w:spacing w:after="0"/>
              <w:rPr>
                <w:sz w:val="1"/>
                <w:szCs w:val="1"/>
                <w:color w:val="auto"/>
              </w:rPr>
            </w:pPr>
          </w:p>
        </w:tc>
      </w:tr>
      <w:tr>
        <w:trPr>
          <w:trHeight w:val="207"/>
        </w:trPr>
        <w:tc>
          <w:tcPr>
            <w:tcW w:w="4700" w:type="dxa"/>
            <w:vAlign w:val="bottom"/>
          </w:tcPr>
          <w:p>
            <w:pPr>
              <w:jc w:val="center"/>
              <w:spacing w:after="0"/>
              <w:rPr>
                <w:sz w:val="20"/>
                <w:szCs w:val="20"/>
                <w:color w:val="auto"/>
              </w:rPr>
            </w:pPr>
            <w:r>
              <w:rPr>
                <w:rFonts w:ascii="Courier New" w:cs="Courier New" w:eastAsia="Courier New" w:hAnsi="Courier New"/>
                <w:sz w:val="16"/>
                <w:szCs w:val="16"/>
                <w:color w:val="auto"/>
                <w:w w:val="96"/>
              </w:rPr>
              <w:t>facilities......................................</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line="236" w:lineRule="auto"/>
        <w:rPr>
          <w:sz w:val="20"/>
          <w:szCs w:val="20"/>
          <w:color w:val="auto"/>
        </w:rPr>
      </w:pPr>
      <w:r>
        <w:rPr>
          <w:rFonts w:ascii="Courier New" w:cs="Courier New" w:eastAsia="Courier New" w:hAnsi="Courier New"/>
          <w:sz w:val="16"/>
          <w:szCs w:val="16"/>
          <w:color w:val="auto"/>
        </w:rPr>
        <w:t>120 Senior notes and debentures, interest of 6% to 8 3/4%</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22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5"/>
              </w:rPr>
              <w:t>2029..............................................</w:t>
            </w:r>
          </w:p>
        </w:tc>
        <w:tc>
          <w:tcPr>
            <w:tcW w:w="1820" w:type="dxa"/>
            <w:vAlign w:val="bottom"/>
          </w:tcPr>
          <w:p>
            <w:pPr>
              <w:spacing w:after="0"/>
              <w:rPr>
                <w:sz w:val="20"/>
                <w:szCs w:val="20"/>
                <w:color w:val="auto"/>
              </w:rPr>
            </w:pPr>
            <w:r>
              <w:rPr>
                <w:rFonts w:ascii="Courier New" w:cs="Courier New" w:eastAsia="Courier New" w:hAnsi="Courier New"/>
                <w:sz w:val="16"/>
                <w:szCs w:val="16"/>
                <w:color w:val="auto"/>
              </w:rPr>
              <w:t>through</w:t>
            </w:r>
          </w:p>
        </w:tc>
        <w:tc>
          <w:tcPr>
            <w:tcW w:w="56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6,306</w:t>
            </w:r>
          </w:p>
        </w:tc>
        <w:tc>
          <w:tcPr>
            <w:tcW w:w="0" w:type="dxa"/>
            <w:vAlign w:val="bottom"/>
          </w:tcPr>
          <w:p>
            <w:pPr>
              <w:spacing w:after="0"/>
              <w:rPr>
                <w:sz w:val="1"/>
                <w:szCs w:val="1"/>
                <w:color w:val="auto"/>
              </w:rPr>
            </w:pPr>
          </w:p>
        </w:tc>
      </w:tr>
      <w:tr>
        <w:trPr>
          <w:trHeight w:val="69"/>
        </w:trPr>
        <w:tc>
          <w:tcPr>
            <w:tcW w:w="228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46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6,307 4% Convertible subordinated notes due</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2002..................</w:t>
            </w:r>
          </w:p>
        </w:tc>
        <w:tc>
          <w:tcPr>
            <w:tcW w:w="2940" w:type="dxa"/>
            <w:vAlign w:val="bottom"/>
            <w:gridSpan w:val="3"/>
          </w:tcPr>
          <w:p>
            <w:pPr>
              <w:jc w:val="right"/>
              <w:ind w:right="302"/>
              <w:spacing w:after="0" w:line="179" w:lineRule="exact"/>
              <w:rPr>
                <w:sz w:val="20"/>
                <w:szCs w:val="20"/>
                <w:color w:val="auto"/>
              </w:rPr>
            </w:pPr>
            <w:r>
              <w:rPr>
                <w:rFonts w:ascii="Courier New" w:cs="Courier New" w:eastAsia="Courier New" w:hAnsi="Courier New"/>
                <w:sz w:val="16"/>
                <w:szCs w:val="16"/>
                <w:color w:val="auto"/>
              </w:rPr>
              <w:t>535 535 5.75% Convertible</w:t>
            </w:r>
          </w:p>
        </w:tc>
        <w:tc>
          <w:tcPr>
            <w:tcW w:w="0" w:type="dxa"/>
            <w:vAlign w:val="bottom"/>
          </w:tcPr>
          <w:p>
            <w:pPr>
              <w:spacing w:after="0"/>
              <w:rPr>
                <w:sz w:val="1"/>
                <w:szCs w:val="1"/>
                <w:color w:val="auto"/>
              </w:rPr>
            </w:pPr>
          </w:p>
        </w:tc>
      </w:tr>
      <w:tr>
        <w:trPr>
          <w:trHeight w:val="207"/>
        </w:trPr>
        <w:tc>
          <w:tcPr>
            <w:tcW w:w="41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subordinated notes due 2005...............</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30 31</w:t>
            </w:r>
          </w:p>
        </w:tc>
        <w:tc>
          <w:tcPr>
            <w:tcW w:w="5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Tax-</w:t>
            </w:r>
          </w:p>
        </w:tc>
        <w:tc>
          <w:tcPr>
            <w:tcW w:w="0" w:type="dxa"/>
            <w:vAlign w:val="bottom"/>
          </w:tcPr>
          <w:p>
            <w:pPr>
              <w:spacing w:after="0"/>
              <w:rPr>
                <w:sz w:val="1"/>
                <w:szCs w:val="1"/>
                <w:color w:val="auto"/>
              </w:rPr>
            </w:pPr>
          </w:p>
        </w:tc>
      </w:tr>
    </w:tbl>
    <w:p>
      <w:pPr>
        <w:jc w:val="center"/>
        <w:ind w:right="4819"/>
        <w:spacing w:after="0" w:line="270" w:lineRule="auto"/>
        <w:rPr>
          <w:sz w:val="20"/>
          <w:szCs w:val="20"/>
          <w:color w:val="auto"/>
        </w:rPr>
      </w:pPr>
      <w:r>
        <w:rPr>
          <w:rFonts w:ascii="Courier New" w:cs="Courier New" w:eastAsia="Courier New" w:hAnsi="Courier New"/>
          <w:sz w:val="14"/>
          <w:szCs w:val="14"/>
          <w:color w:val="auto"/>
        </w:rPr>
        <w:t>exempt and project bonds, principal payable in periodic installments, maturing through 2029, fixed and variable interest rates ranging from 2.6% to 10% at June 30, 2001...................................................... 1,296 1,260 Installment loans, notes payable, and other,</w:t>
      </w:r>
    </w:p>
    <w:p>
      <w:pPr>
        <w:jc w:val="center"/>
        <w:ind w:right="4839"/>
        <w:spacing w:after="0"/>
        <w:rPr>
          <w:sz w:val="20"/>
          <w:szCs w:val="20"/>
          <w:color w:val="auto"/>
        </w:rPr>
      </w:pPr>
      <w:r>
        <w:rPr>
          <w:rFonts w:ascii="Courier New" w:cs="Courier New" w:eastAsia="Courier New" w:hAnsi="Courier New"/>
          <w:sz w:val="16"/>
          <w:szCs w:val="16"/>
          <w:color w:val="auto"/>
        </w:rPr>
        <w:t>interest to 14.25%, maturing through</w:t>
      </w:r>
    </w:p>
    <w:tbl>
      <w:tblPr>
        <w:tblLayout w:type="fixed"/>
        <w:tblInd w:w="40" w:type="dxa"/>
        <w:tblCellMar>
          <w:top w:w="0" w:type="dxa"/>
          <w:left w:w="0" w:type="dxa"/>
          <w:bottom w:w="0" w:type="dxa"/>
          <w:right w:w="0" w:type="dxa"/>
        </w:tblCellMar>
      </w:tblPr>
      <w:tr>
        <w:trPr>
          <w:trHeight w:val="151"/>
        </w:trPr>
        <w:tc>
          <w:tcPr>
            <w:tcW w:w="2660" w:type="dxa"/>
            <w:vAlign w:val="bottom"/>
          </w:tcPr>
          <w:p>
            <w:pPr>
              <w:jc w:val="right"/>
              <w:spacing w:after="0" w:line="151" w:lineRule="exact"/>
              <w:rPr>
                <w:sz w:val="20"/>
                <w:szCs w:val="20"/>
                <w:color w:val="auto"/>
              </w:rPr>
            </w:pPr>
            <w:r>
              <w:rPr>
                <w:rFonts w:ascii="Courier New" w:cs="Courier New" w:eastAsia="Courier New" w:hAnsi="Courier New"/>
                <w:sz w:val="16"/>
                <w:szCs w:val="16"/>
                <w:color w:val="auto"/>
                <w:w w:val="83"/>
              </w:rPr>
              <w:t>2015.............................</w:t>
            </w:r>
          </w:p>
        </w:tc>
        <w:tc>
          <w:tcPr>
            <w:tcW w:w="2640" w:type="dxa"/>
            <w:vAlign w:val="bottom"/>
          </w:tcPr>
          <w:p>
            <w:pPr>
              <w:jc w:val="right"/>
              <w:ind w:right="22"/>
              <w:spacing w:after="0" w:line="151" w:lineRule="exact"/>
              <w:rPr>
                <w:sz w:val="20"/>
                <w:szCs w:val="20"/>
                <w:color w:val="auto"/>
              </w:rPr>
            </w:pPr>
            <w:r>
              <w:rPr>
                <w:rFonts w:ascii="Courier New" w:cs="Courier New" w:eastAsia="Courier New" w:hAnsi="Courier New"/>
                <w:sz w:val="16"/>
                <w:szCs w:val="16"/>
                <w:color w:val="auto"/>
              </w:rPr>
              <w:t>194 232 ------ ------</w:t>
            </w:r>
          </w:p>
        </w:tc>
      </w:tr>
      <w:tr>
        <w:trPr>
          <w:trHeight w:val="179"/>
        </w:trPr>
        <w:tc>
          <w:tcPr>
            <w:tcW w:w="266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8,361 8,485</w:t>
            </w:r>
          </w:p>
        </w:tc>
        <w:tc>
          <w:tcPr>
            <w:tcW w:w="264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current</w:t>
            </w:r>
          </w:p>
        </w:tc>
      </w:tr>
      <w:tr>
        <w:trPr>
          <w:trHeight w:val="179"/>
        </w:trPr>
        <w:tc>
          <w:tcPr>
            <w:tcW w:w="2660" w:type="dxa"/>
            <w:vAlign w:val="bottom"/>
          </w:tcPr>
          <w:p>
            <w:pPr>
              <w:jc w:val="right"/>
              <w:spacing w:after="0"/>
              <w:rPr>
                <w:sz w:val="20"/>
                <w:szCs w:val="20"/>
                <w:color w:val="auto"/>
              </w:rPr>
            </w:pPr>
            <w:r>
              <w:rPr>
                <w:rFonts w:ascii="Courier New" w:cs="Courier New" w:eastAsia="Courier New" w:hAnsi="Courier New"/>
                <w:sz w:val="13"/>
                <w:szCs w:val="13"/>
                <w:color w:val="auto"/>
                <w:w w:val="72"/>
              </w:rPr>
              <w:t>maturities.....................................</w:t>
            </w:r>
          </w:p>
        </w:tc>
        <w:tc>
          <w:tcPr>
            <w:tcW w:w="2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690 113 -</w:t>
            </w:r>
          </w:p>
        </w:tc>
      </w:tr>
      <w:tr>
        <w:trPr>
          <w:trHeight w:val="261"/>
        </w:trPr>
        <w:tc>
          <w:tcPr>
            <w:tcW w:w="2660" w:type="dxa"/>
            <w:vAlign w:val="bottom"/>
          </w:tcPr>
          <w:p>
            <w:pPr>
              <w:jc w:val="right"/>
              <w:ind w:right="25"/>
              <w:spacing w:after="0"/>
              <w:rPr>
                <w:sz w:val="20"/>
                <w:szCs w:val="20"/>
                <w:color w:val="auto"/>
              </w:rPr>
            </w:pPr>
            <w:r>
              <w:rPr>
                <w:rFonts w:ascii="Courier New" w:cs="Courier New" w:eastAsia="Courier New" w:hAnsi="Courier New"/>
                <w:sz w:val="16"/>
                <w:szCs w:val="16"/>
                <w:color w:val="auto"/>
              </w:rPr>
              <w:t>----- ------ $7,671</w:t>
            </w:r>
          </w:p>
        </w:tc>
        <w:tc>
          <w:tcPr>
            <w:tcW w:w="2640" w:type="dxa"/>
            <w:vAlign w:val="bottom"/>
          </w:tcPr>
          <w:p>
            <w:pPr>
              <w:spacing w:after="0"/>
              <w:rPr>
                <w:sz w:val="20"/>
                <w:szCs w:val="20"/>
                <w:color w:val="auto"/>
              </w:rPr>
            </w:pPr>
            <w:r>
              <w:rPr>
                <w:rFonts w:ascii="Courier New" w:cs="Courier New" w:eastAsia="Courier New" w:hAnsi="Courier New"/>
                <w:sz w:val="16"/>
                <w:szCs w:val="16"/>
                <w:color w:val="auto"/>
              </w:rPr>
              <w:t>$8,372 ====== ======</w:t>
            </w:r>
          </w:p>
        </w:tc>
      </w:tr>
    </w:tbl>
    <w:p>
      <w:pPr>
        <w:spacing w:after="0" w:line="276"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On June 29, 2001, the Company replaced its prior bank credit facilities with a $750 syndicated line of credit (the "Line of Credit") and a $1,750 syndicated revolving credit facility (the "Revolver"). The Line of Credit requires annual renewal by the lender and provides for a one-year term option at the Company's request while the Revolver matures in June 2006. The Line of Credit and the Revolver are available for borrowings, including letters of credit, and for supporting the issuance of commercial paper. The covenant restrictions for the Line of Credit and the Revolver include, among others, interest coverage, debt to earnings ratio, minimum net worth, and limitations on investments, additional indebtedness and liens.</w:t>
      </w:r>
    </w:p>
    <w:p>
      <w:pPr>
        <w:spacing w:after="0" w:line="95" w:lineRule="exact"/>
        <w:rPr>
          <w:sz w:val="20"/>
          <w:szCs w:val="20"/>
          <w:color w:val="auto"/>
        </w:rPr>
      </w:pPr>
    </w:p>
    <w:p>
      <w:pPr>
        <w:ind w:right="2879" w:firstLine="465"/>
        <w:spacing w:after="0" w:line="289" w:lineRule="auto"/>
        <w:rPr>
          <w:sz w:val="20"/>
          <w:szCs w:val="20"/>
          <w:color w:val="auto"/>
        </w:rPr>
      </w:pPr>
      <w:r>
        <w:rPr>
          <w:rFonts w:ascii="Courier New" w:cs="Courier New" w:eastAsia="Courier New" w:hAnsi="Courier New"/>
          <w:sz w:val="16"/>
          <w:szCs w:val="16"/>
          <w:color w:val="auto"/>
        </w:rPr>
        <w:t>At June 30, 2001, the Company had no borrowings outstanding under the Line of Credit or the Revolver. The facility fees were 0.175% and 0.225% per annum under the Line of Credit and Revolver, respectively, at</w:t>
      </w:r>
    </w:p>
    <w:p>
      <w:pPr>
        <w:spacing w:after="0" w:line="6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69" w:right="1440" w:bottom="1440" w:gutter="0" w:footer="0" w:header="0"/>
        </w:sectPr>
      </w:pPr>
    </w:p>
    <w:bookmarkStart w:id="6" w:name="page7"/>
    <w:bookmarkEnd w:id="6"/>
    <w:p>
      <w:pPr>
        <w:ind w:left="285"/>
        <w:spacing w:after="0"/>
        <w:rPr>
          <w:sz w:val="20"/>
          <w:szCs w:val="20"/>
          <w:color w:val="auto"/>
        </w:rPr>
      </w:pPr>
      <w:r>
        <w:rPr>
          <w:rFonts w:ascii="Courier New" w:cs="Courier New" w:eastAsia="Courier New" w:hAnsi="Courier New"/>
          <w:sz w:val="16"/>
          <w:szCs w:val="16"/>
          <w:color w:val="auto"/>
        </w:rPr>
        <w:t>7</w:t>
      </w:r>
    </w:p>
    <w:p>
      <w:pPr>
        <w:spacing w:after="0" w:line="26"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left="5" w:right="2879"/>
        <w:spacing w:after="0" w:line="289" w:lineRule="auto"/>
        <w:rPr>
          <w:sz w:val="20"/>
          <w:szCs w:val="20"/>
          <w:color w:val="auto"/>
        </w:rPr>
      </w:pPr>
      <w:r>
        <w:rPr>
          <w:rFonts w:ascii="Courier New" w:cs="Courier New" w:eastAsia="Courier New" w:hAnsi="Courier New"/>
          <w:sz w:val="16"/>
          <w:szCs w:val="16"/>
          <w:color w:val="auto"/>
        </w:rPr>
        <w:t>June 30, 2001. The Company had issued letters of credit of approximately $1,474 under the Revolver, leaving unused and available aggregate credit capacity of approximately $1,026 at June 30, 2001.</w:t>
      </w:r>
    </w:p>
    <w:p>
      <w:pPr>
        <w:spacing w:after="0" w:line="61" w:lineRule="exact"/>
        <w:rPr>
          <w:sz w:val="20"/>
          <w:szCs w:val="20"/>
          <w:color w:val="auto"/>
        </w:rPr>
      </w:pPr>
    </w:p>
    <w:p>
      <w:pPr>
        <w:ind w:left="5" w:right="2879" w:firstLine="465"/>
        <w:spacing w:after="0" w:line="291" w:lineRule="auto"/>
        <w:rPr>
          <w:sz w:val="20"/>
          <w:szCs w:val="20"/>
          <w:color w:val="auto"/>
        </w:rPr>
      </w:pPr>
      <w:r>
        <w:rPr>
          <w:rFonts w:ascii="Courier New" w:cs="Courier New" w:eastAsia="Courier New" w:hAnsi="Courier New"/>
          <w:sz w:val="14"/>
          <w:szCs w:val="14"/>
          <w:color w:val="auto"/>
        </w:rPr>
        <w:t>In February 2001, the Company issued $600 of 7 3/8% senior unsecured notes due August 1, 2010. Interest is payable semi-annually on February 1 and August</w:t>
      </w:r>
    </w:p>
    <w:p>
      <w:pPr>
        <w:spacing w:after="0" w:line="1" w:lineRule="exact"/>
        <w:rPr>
          <w:sz w:val="20"/>
          <w:szCs w:val="20"/>
          <w:color w:val="auto"/>
        </w:rPr>
      </w:pPr>
    </w:p>
    <w:p>
      <w:pPr>
        <w:ind w:left="5" w:right="2779" w:hanging="5"/>
        <w:spacing w:after="0" w:line="259" w:lineRule="auto"/>
        <w:tabs>
          <w:tab w:leader="none" w:pos="2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from the offering of the notes were approximately $593, after deducting discounts to the underwriters and expenses. The Company used the net proceeds from this offering, together with cash from operations, to repay $600 of senior notes which matured during the second quarter of 2001.</w:t>
      </w:r>
    </w:p>
    <w:p>
      <w:pPr>
        <w:spacing w:after="0" w:line="84" w:lineRule="exact"/>
        <w:rPr>
          <w:sz w:val="20"/>
          <w:szCs w:val="20"/>
          <w:color w:val="auto"/>
        </w:rPr>
      </w:pPr>
    </w:p>
    <w:p>
      <w:pPr>
        <w:ind w:left="5" w:right="2879" w:firstLine="465"/>
        <w:spacing w:after="0" w:line="254" w:lineRule="auto"/>
        <w:rPr>
          <w:sz w:val="20"/>
          <w:szCs w:val="20"/>
          <w:color w:val="auto"/>
        </w:rPr>
      </w:pPr>
      <w:r>
        <w:rPr>
          <w:rFonts w:ascii="Courier New" w:cs="Courier New" w:eastAsia="Courier New" w:hAnsi="Courier New"/>
          <w:sz w:val="16"/>
          <w:szCs w:val="16"/>
          <w:color w:val="auto"/>
        </w:rPr>
        <w:t>In March 2001, the Company, working with local governmental authorities, refinanced $339 of fixed-rate tax-exempt bonds maturing through 2008 with $326 of variable-rate tax-exempt bonds maturing through 2011 and $17 of fixed-rate bonds maturing through 2001. The new borrowings include $4 of related financing costs. The Company recorded a net extraordinary loss of $1 in the first quarter of 2001 for the remaining unamortized premium and issuance costs related to the retired debt.</w:t>
      </w:r>
    </w:p>
    <w:p>
      <w:pPr>
        <w:spacing w:after="0" w:line="88" w:lineRule="exact"/>
        <w:rPr>
          <w:sz w:val="20"/>
          <w:szCs w:val="20"/>
          <w:color w:val="auto"/>
        </w:rPr>
      </w:pPr>
    </w:p>
    <w:p>
      <w:pPr>
        <w:ind w:left="5" w:right="2959" w:firstLine="465"/>
        <w:spacing w:after="0" w:line="286" w:lineRule="auto"/>
        <w:rPr>
          <w:sz w:val="20"/>
          <w:szCs w:val="20"/>
          <w:color w:val="auto"/>
        </w:rPr>
      </w:pPr>
      <w:r>
        <w:rPr>
          <w:rFonts w:ascii="Courier New" w:cs="Courier New" w:eastAsia="Courier New" w:hAnsi="Courier New"/>
          <w:sz w:val="14"/>
          <w:szCs w:val="14"/>
          <w:color w:val="auto"/>
        </w:rPr>
        <w:t>On July 17, 1998, the Company issued $600 of 6 1/8% mandatorily tendered senior notes, due July 15, 2011. The notes were subject to certain mandatory tender features as described in the indenture, which allowed the Company to purchase all of the outstanding notes on July 15, 2001. The Company used available cash on hand along with funds from the Company's Line of Credit to purchase the notes in July 2001. The Company expects to repay during the remainder of 2001 the amounts borrowed from its Line of Credit for this transaction. Accordingly, the $600 of 6 1/8% senior notes have been classified as current at June 30, 2001. During the third quarter of 2001, the Company expects to record an extraordinary loss of approximately $1 for the early extinguishment of its $600 of 6 1/8% manditorily tendered senior notes.</w:t>
      </w:r>
    </w:p>
    <w:p>
      <w:pPr>
        <w:spacing w:after="0" w:line="257" w:lineRule="exact"/>
        <w:rPr>
          <w:sz w:val="20"/>
          <w:szCs w:val="20"/>
          <w:color w:val="auto"/>
        </w:rPr>
      </w:pPr>
    </w:p>
    <w:p>
      <w:pPr>
        <w:ind w:left="5" w:right="2779" w:firstLine="465"/>
        <w:spacing w:after="0" w:line="258" w:lineRule="auto"/>
        <w:rPr>
          <w:sz w:val="20"/>
          <w:szCs w:val="20"/>
          <w:color w:val="auto"/>
        </w:rPr>
      </w:pPr>
      <w:r>
        <w:rPr>
          <w:rFonts w:ascii="Courier New" w:cs="Courier New" w:eastAsia="Courier New" w:hAnsi="Courier New"/>
          <w:sz w:val="16"/>
          <w:szCs w:val="16"/>
          <w:color w:val="auto"/>
        </w:rPr>
        <w:t>The Company's $535 of 4% convertible subordinated notes are due on February 1, 2002. The Company intends to refinance this amount with other long-term financing. However, the Company has the intent and ability to utilize its Line of Credit and/or Revolver to refinance these borrowings in the event other long-term financing is not available. Therefore, the Company has classified these borrowings as long-term at June 30, 2001.</w:t>
      </w:r>
    </w:p>
    <w:p>
      <w:pPr>
        <w:spacing w:after="0" w:line="8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2. INCOME TAXES</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The difference in federal income taxes computed at the federal statutory</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rate and reported income taxes for the three and six months ended June 30, 2001</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and 2000 is primarily due to state and local income taxes, non-deductible costs</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related to acquired intangibles, and non-deductible costs associated with the</w:t>
      </w:r>
    </w:p>
    <w:p>
      <w:pPr>
        <w:ind w:left="5"/>
        <w:spacing w:after="0" w:line="236" w:lineRule="auto"/>
        <w:rPr>
          <w:sz w:val="20"/>
          <w:szCs w:val="20"/>
          <w:color w:val="auto"/>
        </w:rPr>
      </w:pPr>
      <w:r>
        <w:rPr>
          <w:rFonts w:ascii="Courier New" w:cs="Courier New" w:eastAsia="Courier New" w:hAnsi="Courier New"/>
          <w:sz w:val="16"/>
          <w:szCs w:val="16"/>
          <w:color w:val="auto"/>
        </w:rPr>
        <w:t>impairment and divestiture of certain businesses. Additionally, in the second</w:t>
      </w:r>
    </w:p>
    <w:p>
      <w:pPr>
        <w:ind w:left="5"/>
        <w:spacing w:after="0" w:line="237" w:lineRule="auto"/>
        <w:rPr>
          <w:sz w:val="20"/>
          <w:szCs w:val="20"/>
          <w:color w:val="auto"/>
        </w:rPr>
      </w:pPr>
      <w:r>
        <w:rPr>
          <w:rFonts w:ascii="Courier New" w:cs="Courier New" w:eastAsia="Courier New" w:hAnsi="Courier New"/>
          <w:sz w:val="16"/>
          <w:szCs w:val="16"/>
          <w:color w:val="auto"/>
        </w:rPr>
        <w:t>quarter of 2001, the Company recorded a net tax benefit of $12. Scheduled</w:t>
      </w:r>
    </w:p>
    <w:p>
      <w:pPr>
        <w:ind w:left="5"/>
        <w:spacing w:after="0" w:line="237" w:lineRule="auto"/>
        <w:rPr>
          <w:sz w:val="20"/>
          <w:szCs w:val="20"/>
          <w:color w:val="auto"/>
        </w:rPr>
      </w:pPr>
      <w:r>
        <w:rPr>
          <w:rFonts w:ascii="Courier New" w:cs="Courier New" w:eastAsia="Courier New" w:hAnsi="Courier New"/>
          <w:sz w:val="16"/>
          <w:szCs w:val="16"/>
          <w:color w:val="auto"/>
        </w:rPr>
        <w:t>Canadian federal and provincial tax rate reductions resulted in a benefit of</w:t>
      </w:r>
    </w:p>
    <w:p>
      <w:pPr>
        <w:ind w:left="5"/>
        <w:spacing w:after="0"/>
        <w:rPr>
          <w:sz w:val="20"/>
          <w:szCs w:val="20"/>
          <w:color w:val="auto"/>
        </w:rPr>
      </w:pPr>
      <w:r>
        <w:rPr>
          <w:rFonts w:ascii="Courier New" w:cs="Courier New" w:eastAsia="Courier New" w:hAnsi="Courier New"/>
          <w:sz w:val="14"/>
          <w:szCs w:val="14"/>
          <w:color w:val="auto"/>
        </w:rPr>
        <w:t>$42, which was offset in part by an expense of $30 related to the Company's plan</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to repatriate certain Canadian capital and earnings previously deemed</w:t>
      </w:r>
    </w:p>
    <w:p>
      <w:pPr>
        <w:ind w:left="5"/>
        <w:spacing w:after="0"/>
        <w:rPr>
          <w:sz w:val="20"/>
          <w:szCs w:val="20"/>
          <w:color w:val="auto"/>
        </w:rPr>
      </w:pPr>
      <w:r>
        <w:rPr>
          <w:rFonts w:ascii="Courier New" w:cs="Courier New" w:eastAsia="Courier New" w:hAnsi="Courier New"/>
          <w:sz w:val="16"/>
          <w:szCs w:val="16"/>
          <w:color w:val="auto"/>
        </w:rPr>
        <w:t>permanently invested in Canada.</w:t>
      </w:r>
    </w:p>
    <w:p>
      <w:pPr>
        <w:spacing w:after="0" w:line="149"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269"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EARNINGS PER SHARE</w:t>
      </w:r>
    </w:p>
    <w:p>
      <w:pPr>
        <w:spacing w:after="0" w:line="177" w:lineRule="exact"/>
        <w:rPr>
          <w:sz w:val="20"/>
          <w:szCs w:val="20"/>
          <w:color w:val="auto"/>
        </w:rPr>
      </w:pPr>
    </w:p>
    <w:p>
      <w:pPr>
        <w:ind w:right="2959" w:firstLine="465"/>
        <w:spacing w:after="0" w:line="263" w:lineRule="auto"/>
        <w:rPr>
          <w:sz w:val="20"/>
          <w:szCs w:val="20"/>
          <w:color w:val="auto"/>
        </w:rPr>
      </w:pPr>
      <w:r>
        <w:rPr>
          <w:rFonts w:ascii="Courier New" w:cs="Courier New" w:eastAsia="Courier New" w:hAnsi="Courier New"/>
          <w:sz w:val="16"/>
          <w:szCs w:val="16"/>
          <w:color w:val="auto"/>
        </w:rPr>
        <w:t>The following reconciles the number of common shares outstanding to the weighted average number of common shares outstanding and the weighted average number of common and dilutive potential common shares outstanding for the purposes of calculating basic and diluted earnings per common share at June 30 of each period indicated (shares in thousands):</w:t>
      </w:r>
    </w:p>
    <w:p>
      <w:pPr>
        <w:spacing w:after="0" w:line="80"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THREE MONTHS ENDED SIX MONTHS ENDED JUNE</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30, JUNE 30, ------------------ ---------</w:t>
      </w:r>
    </w:p>
    <w:p>
      <w:pPr>
        <w:ind w:left="40"/>
        <w:spacing w:after="0" w:line="236" w:lineRule="auto"/>
        <w:rPr>
          <w:sz w:val="20"/>
          <w:szCs w:val="20"/>
          <w:color w:val="auto"/>
        </w:rPr>
      </w:pPr>
      <w:r>
        <w:rPr>
          <w:rFonts w:ascii="Courier New" w:cs="Courier New" w:eastAsia="Courier New" w:hAnsi="Courier New"/>
          <w:sz w:val="16"/>
          <w:szCs w:val="16"/>
          <w:color w:val="auto"/>
        </w:rPr>
        <w:t>--------- 2001 2000 2001 2000 ------- ---</w:t>
      </w:r>
    </w:p>
    <w:p>
      <w:pPr>
        <w:ind w:left="220"/>
        <w:spacing w:after="0" w:line="237" w:lineRule="auto"/>
        <w:rPr>
          <w:sz w:val="20"/>
          <w:szCs w:val="20"/>
          <w:color w:val="auto"/>
        </w:rPr>
      </w:pPr>
      <w:r>
        <w:rPr>
          <w:rFonts w:ascii="Courier New" w:cs="Courier New" w:eastAsia="Courier New" w:hAnsi="Courier New"/>
          <w:sz w:val="16"/>
          <w:szCs w:val="16"/>
          <w:color w:val="auto"/>
        </w:rPr>
        <w:t>---- ------- ------- Number of common</w:t>
      </w:r>
    </w:p>
    <w:p>
      <w:pPr>
        <w:jc w:val="center"/>
        <w:ind w:right="6319"/>
        <w:spacing w:after="0" w:line="237" w:lineRule="auto"/>
        <w:rPr>
          <w:sz w:val="20"/>
          <w:szCs w:val="20"/>
          <w:color w:val="auto"/>
        </w:rPr>
      </w:pPr>
      <w:r>
        <w:rPr>
          <w:rFonts w:ascii="Courier New" w:cs="Courier New" w:eastAsia="Courier New" w:hAnsi="Courier New"/>
          <w:sz w:val="16"/>
          <w:szCs w:val="16"/>
          <w:color w:val="auto"/>
        </w:rPr>
        <w:t>shares outstanding at end of</w:t>
      </w:r>
    </w:p>
    <w:p>
      <w:pPr>
        <w:ind w:left="140"/>
        <w:spacing w:after="0" w:line="237" w:lineRule="auto"/>
        <w:rPr>
          <w:sz w:val="20"/>
          <w:szCs w:val="20"/>
          <w:color w:val="auto"/>
        </w:rPr>
      </w:pPr>
      <w:r>
        <w:rPr>
          <w:rFonts w:ascii="Courier New" w:cs="Courier New" w:eastAsia="Courier New" w:hAnsi="Courier New"/>
          <w:sz w:val="16"/>
          <w:szCs w:val="16"/>
          <w:color w:val="auto"/>
        </w:rPr>
        <w:t>period.................................</w:t>
      </w:r>
    </w:p>
    <w:p>
      <w:pPr>
        <w:jc w:val="center"/>
        <w:ind w:right="6319"/>
        <w:spacing w:after="0"/>
        <w:rPr>
          <w:sz w:val="20"/>
          <w:szCs w:val="20"/>
          <w:color w:val="auto"/>
        </w:rPr>
      </w:pPr>
      <w:r>
        <w:rPr>
          <w:rFonts w:ascii="Courier New" w:cs="Courier New" w:eastAsia="Courier New" w:hAnsi="Courier New"/>
          <w:sz w:val="14"/>
          <w:szCs w:val="14"/>
          <w:color w:val="auto"/>
        </w:rPr>
        <w:t>625,960 621,094 625,960 621,094 Effect of</w:t>
      </w:r>
    </w:p>
    <w:p>
      <w:pPr>
        <w:spacing w:after="0" w:line="18"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using weighted average common shares</w:t>
      </w:r>
    </w:p>
    <w:tbl>
      <w:tblPr>
        <w:tblLayout w:type="fixed"/>
        <w:tblInd w:w="40" w:type="dxa"/>
        <w:tblCellMar>
          <w:top w:w="0" w:type="dxa"/>
          <w:left w:w="0" w:type="dxa"/>
          <w:bottom w:w="0" w:type="dxa"/>
          <w:right w:w="0" w:type="dxa"/>
        </w:tblCellMar>
      </w:tblPr>
      <w:tr>
        <w:trPr>
          <w:trHeight w:val="151"/>
        </w:trPr>
        <w:tc>
          <w:tcPr>
            <w:tcW w:w="1480" w:type="dxa"/>
            <w:vAlign w:val="bottom"/>
          </w:tcPr>
          <w:p>
            <w:pPr>
              <w:jc w:val="center"/>
              <w:spacing w:after="0"/>
              <w:rPr>
                <w:sz w:val="20"/>
                <w:szCs w:val="20"/>
                <w:color w:val="auto"/>
              </w:rPr>
            </w:pPr>
            <w:r>
              <w:rPr>
                <w:rFonts w:ascii="Courier New" w:cs="Courier New" w:eastAsia="Courier New" w:hAnsi="Courier New"/>
                <w:sz w:val="10"/>
                <w:szCs w:val="10"/>
                <w:color w:val="auto"/>
                <w:w w:val="70"/>
              </w:rPr>
              <w:t>outstanding........................</w:t>
            </w:r>
          </w:p>
        </w:tc>
        <w:tc>
          <w:tcPr>
            <w:tcW w:w="2340" w:type="dxa"/>
            <w:vAlign w:val="bottom"/>
          </w:tcPr>
          <w:p>
            <w:pPr>
              <w:jc w:val="right"/>
              <w:spacing w:after="0" w:line="151" w:lineRule="exact"/>
              <w:rPr>
                <w:sz w:val="20"/>
                <w:szCs w:val="20"/>
                <w:color w:val="auto"/>
              </w:rPr>
            </w:pPr>
            <w:r>
              <w:rPr>
                <w:rFonts w:ascii="Courier New" w:cs="Courier New" w:eastAsia="Courier New" w:hAnsi="Courier New"/>
                <w:sz w:val="16"/>
                <w:szCs w:val="16"/>
                <w:color w:val="auto"/>
              </w:rPr>
              <w:t>(588)</w:t>
            </w:r>
          </w:p>
        </w:tc>
        <w:tc>
          <w:tcPr>
            <w:tcW w:w="0" w:type="dxa"/>
            <w:vAlign w:val="bottom"/>
          </w:tcPr>
          <w:p>
            <w:pPr>
              <w:spacing w:after="0"/>
              <w:rPr>
                <w:sz w:val="1"/>
                <w:szCs w:val="1"/>
                <w:color w:val="auto"/>
              </w:rPr>
            </w:pPr>
          </w:p>
        </w:tc>
      </w:tr>
      <w:tr>
        <w:trPr>
          <w:trHeight w:val="179"/>
        </w:trPr>
        <w:tc>
          <w:tcPr>
            <w:tcW w:w="38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(29) (1,334) (287) ------- ------- ------</w:t>
            </w:r>
          </w:p>
        </w:tc>
        <w:tc>
          <w:tcPr>
            <w:tcW w:w="0" w:type="dxa"/>
            <w:vAlign w:val="bottom"/>
          </w:tcPr>
          <w:p>
            <w:pPr>
              <w:spacing w:after="0"/>
              <w:rPr>
                <w:sz w:val="1"/>
                <w:szCs w:val="1"/>
                <w:color w:val="auto"/>
              </w:rPr>
            </w:pPr>
          </w:p>
        </w:tc>
      </w:tr>
      <w:tr>
        <w:trPr>
          <w:trHeight w:val="179"/>
        </w:trPr>
        <w:tc>
          <w:tcPr>
            <w:tcW w:w="148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70"/>
              </w:rPr>
              <w:t>outstanding</w:t>
            </w:r>
            <w:r>
              <w:rPr>
                <w:rFonts w:ascii="Courier New" w:cs="Courier New" w:eastAsia="Courier New" w:hAnsi="Courier New"/>
                <w:sz w:val="29"/>
                <w:szCs w:val="29"/>
                <w:color w:val="auto"/>
                <w:w w:val="70"/>
                <w:vertAlign w:val="superscript"/>
              </w:rPr>
              <w:t>--------</w:t>
            </w:r>
          </w:p>
        </w:tc>
        <w:tc>
          <w:tcPr>
            <w:tcW w:w="234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w w:val="96"/>
              </w:rPr>
              <w:t>Basic common shares</w:t>
            </w:r>
          </w:p>
        </w:tc>
        <w:tc>
          <w:tcPr>
            <w:tcW w:w="0" w:type="dxa"/>
            <w:vAlign w:val="bottom"/>
          </w:tcPr>
          <w:p>
            <w:pPr>
              <w:spacing w:after="0"/>
              <w:rPr>
                <w:sz w:val="1"/>
                <w:szCs w:val="1"/>
                <w:color w:val="auto"/>
              </w:rPr>
            </w:pPr>
          </w:p>
        </w:tc>
      </w:tr>
      <w:tr>
        <w:trPr>
          <w:trHeight w:val="207"/>
        </w:trPr>
        <w:tc>
          <w:tcPr>
            <w:tcW w:w="1480" w:type="dxa"/>
            <w:vAlign w:val="bottom"/>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625,372 621,065</w:t>
            </w:r>
          </w:p>
        </w:tc>
        <w:tc>
          <w:tcPr>
            <w:tcW w:w="0" w:type="dxa"/>
            <w:vAlign w:val="bottom"/>
          </w:tcPr>
          <w:p>
            <w:pPr>
              <w:spacing w:after="0"/>
              <w:rPr>
                <w:sz w:val="1"/>
                <w:szCs w:val="1"/>
                <w:color w:val="auto"/>
              </w:rPr>
            </w:pPr>
          </w:p>
        </w:tc>
      </w:tr>
    </w:tbl>
    <w:p>
      <w:pPr>
        <w:jc w:val="center"/>
        <w:ind w:right="6319"/>
        <w:spacing w:after="0"/>
        <w:rPr>
          <w:sz w:val="20"/>
          <w:szCs w:val="20"/>
          <w:color w:val="auto"/>
        </w:rPr>
      </w:pPr>
      <w:r>
        <w:rPr>
          <w:rFonts w:ascii="Courier New" w:cs="Courier New" w:eastAsia="Courier New" w:hAnsi="Courier New"/>
          <w:sz w:val="14"/>
          <w:szCs w:val="14"/>
          <w:color w:val="auto"/>
        </w:rPr>
        <w:t>624,626 620,807 Dilutive effect of common</w:t>
      </w:r>
    </w:p>
    <w:p>
      <w:pPr>
        <w:spacing w:after="0" w:line="18"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stock options and</w:t>
      </w:r>
    </w:p>
    <w:p>
      <w:pPr>
        <w:spacing w:after="0" w:line="236" w:lineRule="auto"/>
        <w:rPr>
          <w:sz w:val="20"/>
          <w:szCs w:val="20"/>
          <w:color w:val="auto"/>
        </w:rPr>
      </w:pPr>
      <w:r>
        <w:rPr>
          <w:rFonts w:ascii="Courier New" w:cs="Courier New" w:eastAsia="Courier New" w:hAnsi="Courier New"/>
          <w:sz w:val="16"/>
          <w:szCs w:val="16"/>
          <w:color w:val="auto"/>
        </w:rPr>
        <w:t>warrants..................................</w:t>
      </w:r>
    </w:p>
    <w:tbl>
      <w:tblPr>
        <w:tblLayout w:type="fixed"/>
        <w:tblInd w:w="0" w:type="dxa"/>
        <w:tblCellMar>
          <w:top w:w="0" w:type="dxa"/>
          <w:left w:w="0" w:type="dxa"/>
          <w:bottom w:w="0" w:type="dxa"/>
          <w:right w:w="0" w:type="dxa"/>
        </w:tblCellMar>
      </w:tblPr>
      <w:tr>
        <w:trPr>
          <w:trHeight w:val="152"/>
        </w:trPr>
        <w:tc>
          <w:tcPr>
            <w:tcW w:w="680" w:type="dxa"/>
            <w:vAlign w:val="bottom"/>
          </w:tcPr>
          <w:p>
            <w:pPr>
              <w:jc w:val="right"/>
              <w:ind w:right="19"/>
              <w:spacing w:after="0" w:line="152" w:lineRule="exact"/>
              <w:rPr>
                <w:sz w:val="20"/>
                <w:szCs w:val="20"/>
                <w:color w:val="auto"/>
              </w:rPr>
            </w:pPr>
            <w:r>
              <w:rPr>
                <w:rFonts w:ascii="Courier New" w:cs="Courier New" w:eastAsia="Courier New" w:hAnsi="Courier New"/>
                <w:sz w:val="16"/>
                <w:szCs w:val="16"/>
                <w:color w:val="auto"/>
              </w:rPr>
              <w:t>4,262</w:t>
            </w:r>
          </w:p>
        </w:tc>
        <w:tc>
          <w:tcPr>
            <w:tcW w:w="3180" w:type="dxa"/>
            <w:vAlign w:val="bottom"/>
            <w:gridSpan w:val="2"/>
          </w:tcPr>
          <w:p>
            <w:pPr>
              <w:spacing w:after="0" w:line="152" w:lineRule="exact"/>
              <w:rPr>
                <w:sz w:val="20"/>
                <w:szCs w:val="20"/>
                <w:color w:val="auto"/>
              </w:rPr>
            </w:pPr>
            <w:r>
              <w:rPr>
                <w:rFonts w:ascii="Courier New" w:cs="Courier New" w:eastAsia="Courier New" w:hAnsi="Courier New"/>
                <w:sz w:val="16"/>
                <w:szCs w:val="16"/>
                <w:color w:val="auto"/>
                <w:w w:val="99"/>
              </w:rPr>
              <w:t>1,795 4,068 1,191 Dilutive effect</w:t>
            </w:r>
          </w:p>
        </w:tc>
        <w:tc>
          <w:tcPr>
            <w:tcW w:w="0" w:type="dxa"/>
            <w:vAlign w:val="bottom"/>
          </w:tcPr>
          <w:p>
            <w:pPr>
              <w:spacing w:after="0"/>
              <w:rPr>
                <w:sz w:val="1"/>
                <w:szCs w:val="1"/>
                <w:color w:val="auto"/>
              </w:rPr>
            </w:pPr>
          </w:p>
        </w:tc>
      </w:tr>
      <w:tr>
        <w:trPr>
          <w:trHeight w:val="261"/>
        </w:trPr>
        <w:tc>
          <w:tcPr>
            <w:tcW w:w="68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87"/>
              </w:rPr>
              <w:t>notes.....................................</w:t>
            </w:r>
          </w:p>
        </w:tc>
        <w:tc>
          <w:tcPr>
            <w:tcW w:w="3180" w:type="dxa"/>
            <w:vAlign w:val="bottom"/>
            <w:gridSpan w:val="2"/>
          </w:tcPr>
          <w:p>
            <w:pPr>
              <w:spacing w:after="0"/>
              <w:rPr>
                <w:sz w:val="20"/>
                <w:szCs w:val="20"/>
                <w:color w:val="auto"/>
              </w:rPr>
            </w:pPr>
            <w:r>
              <w:rPr>
                <w:rFonts w:ascii="Courier New" w:cs="Courier New" w:eastAsia="Courier New" w:hAnsi="Courier New"/>
                <w:sz w:val="16"/>
                <w:szCs w:val="16"/>
                <w:color w:val="auto"/>
              </w:rPr>
              <w:t>of convertible subordinated</w:t>
            </w:r>
          </w:p>
        </w:tc>
        <w:tc>
          <w:tcPr>
            <w:tcW w:w="0" w:type="dxa"/>
            <w:vAlign w:val="bottom"/>
          </w:tcPr>
          <w:p>
            <w:pPr>
              <w:spacing w:after="0"/>
              <w:rPr>
                <w:sz w:val="1"/>
                <w:szCs w:val="1"/>
                <w:color w:val="auto"/>
              </w:rPr>
            </w:pPr>
          </w:p>
        </w:tc>
      </w:tr>
      <w:tr>
        <w:trPr>
          <w:trHeight w:val="97"/>
        </w:trPr>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680" w:type="dxa"/>
            <w:vAlign w:val="bottom"/>
          </w:tcPr>
          <w:p>
            <w:pPr>
              <w:jc w:val="right"/>
              <w:ind w:right="19"/>
              <w:spacing w:after="0" w:line="179" w:lineRule="exact"/>
              <w:rPr>
                <w:sz w:val="20"/>
                <w:szCs w:val="20"/>
                <w:color w:val="auto"/>
              </w:rPr>
            </w:pPr>
            <w:r>
              <w:rPr>
                <w:rFonts w:ascii="Courier New" w:cs="Courier New" w:eastAsia="Courier New" w:hAnsi="Courier New"/>
                <w:sz w:val="16"/>
                <w:szCs w:val="16"/>
                <w:color w:val="auto"/>
              </w:rPr>
              <w:t>12,288</w:t>
            </w:r>
          </w:p>
        </w:tc>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266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Diluted</w:t>
            </w: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common</w:t>
            </w:r>
            <w:r>
              <w:rPr>
                <w:rFonts w:ascii="Courier New" w:cs="Courier New" w:eastAsia="Courier New" w:hAnsi="Courier New"/>
                <w:sz w:val="13"/>
                <w:szCs w:val="13"/>
                <w:color w:val="auto"/>
                <w:w w:val="71"/>
              </w:rPr>
              <w:t>-------</w:t>
            </w:r>
            <w:r>
              <w:rPr>
                <w:rFonts w:ascii="Courier New" w:cs="Courier New" w:eastAsia="Courier New" w:hAnsi="Courier New"/>
                <w:sz w:val="23"/>
                <w:szCs w:val="23"/>
                <w:color w:val="auto"/>
                <w:w w:val="71"/>
                <w:vertAlign w:val="subscript"/>
              </w:rPr>
              <w:t>shares</w:t>
            </w:r>
            <w:r>
              <w:rPr>
                <w:rFonts w:ascii="Courier New" w:cs="Courier New" w:eastAsia="Courier New" w:hAnsi="Courier New"/>
                <w:sz w:val="13"/>
                <w:szCs w:val="13"/>
                <w:color w:val="auto"/>
                <w:w w:val="71"/>
              </w:rPr>
              <w:t>------- -</w:t>
            </w:r>
          </w:p>
        </w:tc>
        <w:tc>
          <w:tcPr>
            <w:tcW w:w="0" w:type="dxa"/>
            <w:vAlign w:val="bottom"/>
          </w:tcPr>
          <w:p>
            <w:pPr>
              <w:spacing w:after="0"/>
              <w:rPr>
                <w:sz w:val="1"/>
                <w:szCs w:val="1"/>
                <w:color w:val="auto"/>
              </w:rPr>
            </w:pPr>
          </w:p>
        </w:tc>
      </w:tr>
      <w:tr>
        <w:trPr>
          <w:trHeight w:val="179"/>
        </w:trPr>
        <w:tc>
          <w:tcPr>
            <w:tcW w:w="3860" w:type="dxa"/>
            <w:vAlign w:val="bottom"/>
            <w:gridSpan w:val="3"/>
            <w:vMerge w:val="restart"/>
          </w:tcPr>
          <w:p>
            <w:pPr>
              <w:jc w:val="right"/>
              <w:ind w:right="2590"/>
              <w:spacing w:after="0"/>
              <w:rPr>
                <w:sz w:val="20"/>
                <w:szCs w:val="20"/>
                <w:color w:val="auto"/>
              </w:rPr>
            </w:pPr>
            <w:r>
              <w:rPr>
                <w:rFonts w:ascii="Courier New" w:cs="Courier New" w:eastAsia="Courier New" w:hAnsi="Courier New"/>
                <w:sz w:val="14"/>
                <w:szCs w:val="14"/>
                <w:color w:val="auto"/>
                <w:w w:val="73"/>
              </w:rPr>
              <w:t>outstanding</w:t>
            </w:r>
            <w:r>
              <w:rPr>
                <w:rFonts w:ascii="Courier New" w:cs="Courier New" w:eastAsia="Courier New" w:hAnsi="Courier New"/>
                <w:sz w:val="28"/>
                <w:szCs w:val="28"/>
                <w:color w:val="auto"/>
                <w:w w:val="73"/>
                <w:vertAlign w:val="superscript"/>
              </w:rPr>
              <w:t>------</w:t>
            </w:r>
          </w:p>
        </w:tc>
        <w:tc>
          <w:tcPr>
            <w:tcW w:w="0" w:type="dxa"/>
            <w:vAlign w:val="bottom"/>
          </w:tcPr>
          <w:p>
            <w:pPr>
              <w:spacing w:after="0"/>
              <w:rPr>
                <w:sz w:val="1"/>
                <w:szCs w:val="1"/>
                <w:color w:val="auto"/>
              </w:rPr>
            </w:pPr>
          </w:p>
        </w:tc>
      </w:tr>
      <w:tr>
        <w:trPr>
          <w:trHeight w:val="207"/>
        </w:trPr>
        <w:tc>
          <w:tcPr>
            <w:tcW w:w="1200" w:type="dxa"/>
            <w:vAlign w:val="bottom"/>
            <w:gridSpan w:val="2"/>
            <w:vMerge w:val="continue"/>
          </w:tcPr>
          <w:p>
            <w:pPr>
              <w:spacing w:after="0"/>
              <w:rPr>
                <w:sz w:val="17"/>
                <w:szCs w:val="17"/>
                <w:color w:val="auto"/>
              </w:rPr>
            </w:pPr>
          </w:p>
        </w:tc>
        <w:tc>
          <w:tcPr>
            <w:tcW w:w="2660" w:type="dxa"/>
            <w:vAlign w:val="bottom"/>
          </w:tcPr>
          <w:p>
            <w:pPr>
              <w:jc w:val="right"/>
              <w:ind w:right="70"/>
              <w:spacing w:after="0"/>
              <w:rPr>
                <w:sz w:val="20"/>
                <w:szCs w:val="20"/>
                <w:color w:val="auto"/>
              </w:rPr>
            </w:pPr>
            <w:r>
              <w:rPr>
                <w:rFonts w:ascii="Courier New" w:cs="Courier New" w:eastAsia="Courier New" w:hAnsi="Courier New"/>
                <w:sz w:val="16"/>
                <w:szCs w:val="16"/>
                <w:color w:val="auto"/>
                <w:w w:val="96"/>
              </w:rPr>
              <w:t>........... 641,922 622,860</w:t>
            </w:r>
          </w:p>
        </w:tc>
        <w:tc>
          <w:tcPr>
            <w:tcW w:w="0" w:type="dxa"/>
            <w:vAlign w:val="bottom"/>
          </w:tcPr>
          <w:p>
            <w:pPr>
              <w:spacing w:after="0"/>
              <w:rPr>
                <w:sz w:val="1"/>
                <w:szCs w:val="1"/>
                <w:color w:val="auto"/>
              </w:rPr>
            </w:pPr>
          </w:p>
        </w:tc>
      </w:tr>
    </w:tbl>
    <w:p>
      <w:pPr>
        <w:jc w:val="center"/>
        <w:ind w:right="6319"/>
        <w:spacing w:after="0" w:line="236" w:lineRule="auto"/>
        <w:rPr>
          <w:sz w:val="20"/>
          <w:szCs w:val="20"/>
          <w:color w:val="auto"/>
        </w:rPr>
      </w:pPr>
      <w:r>
        <w:rPr>
          <w:rFonts w:ascii="Courier New" w:cs="Courier New" w:eastAsia="Courier New" w:hAnsi="Courier New"/>
          <w:sz w:val="16"/>
          <w:szCs w:val="16"/>
          <w:color w:val="auto"/>
        </w:rPr>
        <w:t>628,694 621,998 ======= ======= =======</w:t>
      </w:r>
    </w:p>
    <w:p>
      <w:pPr>
        <w:spacing w:after="0" w:line="1"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w:t>
      </w:r>
    </w:p>
    <w:p>
      <w:pPr>
        <w:spacing w:after="0" w:line="327" w:lineRule="exact"/>
        <w:rPr>
          <w:sz w:val="20"/>
          <w:szCs w:val="20"/>
          <w:color w:val="auto"/>
        </w:rPr>
      </w:pPr>
    </w:p>
    <w:p>
      <w:pPr>
        <w:ind w:right="2779" w:firstLine="465"/>
        <w:spacing w:after="0" w:line="258" w:lineRule="auto"/>
        <w:rPr>
          <w:sz w:val="20"/>
          <w:szCs w:val="20"/>
          <w:color w:val="auto"/>
        </w:rPr>
      </w:pPr>
      <w:r>
        <w:rPr>
          <w:rFonts w:ascii="Courier New" w:cs="Courier New" w:eastAsia="Courier New" w:hAnsi="Courier New"/>
          <w:sz w:val="16"/>
          <w:szCs w:val="16"/>
          <w:color w:val="auto"/>
        </w:rPr>
        <w:t>For the three months ended June 30, 2001, interest (net of taxes) of $3 has been added to net income for the diluted earnings per share calculation. For the six months ended June 30, 2001 and for the three and six months ended June 30, 2000, the effect of the Company's convertible subordinated notes are excluded from the diluted earnings per share calculation since the inclusion of such items would be antidilutive.</w:t>
      </w:r>
    </w:p>
    <w:p>
      <w:pPr>
        <w:spacing w:after="0" w:line="83" w:lineRule="exact"/>
        <w:rPr>
          <w:sz w:val="20"/>
          <w:szCs w:val="20"/>
          <w:color w:val="auto"/>
        </w:rPr>
      </w:pPr>
    </w:p>
    <w:p>
      <w:pPr>
        <w:ind w:right="3159" w:firstLine="465"/>
        <w:spacing w:after="0" w:line="348" w:lineRule="auto"/>
        <w:rPr>
          <w:sz w:val="20"/>
          <w:szCs w:val="20"/>
          <w:color w:val="auto"/>
        </w:rPr>
      </w:pPr>
      <w:r>
        <w:rPr>
          <w:rFonts w:ascii="Courier New" w:cs="Courier New" w:eastAsia="Courier New" w:hAnsi="Courier New"/>
          <w:sz w:val="14"/>
          <w:szCs w:val="14"/>
          <w:color w:val="auto"/>
        </w:rPr>
        <w:t>At June 30, 2001, there were approximately 56 million shares of common stock potentially issuable with respect to stock options, warrants and convertible debt, which could dilute basic earnings per share in the future.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COMPREHENSIVE INCOME (LOSS)</w:t>
      </w:r>
    </w:p>
    <w:p>
      <w:pPr>
        <w:spacing w:after="0" w:line="17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6"/>
          <w:szCs w:val="16"/>
          <w:color w:val="auto"/>
        </w:rPr>
        <w:t>Comprehensive income (loss) represents the change in the Company's equity from transactions and other events and circumstances from non-owner sources and includes all changes in equity except those resulting from investments by owners and distributions to owners.</w:t>
      </w:r>
    </w:p>
    <w:p>
      <w:pPr>
        <w:spacing w:after="0" w:line="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Comprehensive income is as follows:</w:t>
      </w:r>
    </w:p>
    <w:p>
      <w:pPr>
        <w:spacing w:after="0" w:line="177"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THREE MONTHS SIX MONTHS ENDED JUNE 30, ENDED JUNE</w:t>
      </w:r>
    </w:p>
    <w:p>
      <w:pPr>
        <w:spacing w:after="0" w:line="2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30, -------------- -------------- 2001 2000 2001</w:t>
      </w:r>
    </w:p>
    <w:tbl>
      <w:tblPr>
        <w:tblLayout w:type="fixed"/>
        <w:tblInd w:w="0" w:type="dxa"/>
        <w:tblCellMar>
          <w:top w:w="0" w:type="dxa"/>
          <w:left w:w="0" w:type="dxa"/>
          <w:bottom w:w="0" w:type="dxa"/>
          <w:right w:w="0" w:type="dxa"/>
        </w:tblCellMar>
      </w:tblPr>
      <w:tr>
        <w:trPr>
          <w:trHeight w:val="151"/>
        </w:trPr>
        <w:tc>
          <w:tcPr>
            <w:tcW w:w="3340" w:type="dxa"/>
            <w:vAlign w:val="bottom"/>
            <w:gridSpan w:val="3"/>
          </w:tcPr>
          <w:p>
            <w:pPr>
              <w:jc w:val="right"/>
              <w:spacing w:after="0" w:line="151" w:lineRule="exact"/>
              <w:rPr>
                <w:sz w:val="20"/>
                <w:szCs w:val="20"/>
                <w:color w:val="auto"/>
              </w:rPr>
            </w:pPr>
            <w:r>
              <w:rPr>
                <w:rFonts w:ascii="Courier New" w:cs="Courier New" w:eastAsia="Courier New" w:hAnsi="Courier New"/>
                <w:sz w:val="16"/>
                <w:szCs w:val="16"/>
                <w:color w:val="auto"/>
              </w:rPr>
              <w:t>2000 ----- ----- ----- -----</w:t>
            </w:r>
          </w:p>
        </w:tc>
        <w:tc>
          <w:tcPr>
            <w:tcW w:w="1260" w:type="dxa"/>
            <w:vAlign w:val="bottom"/>
          </w:tcPr>
          <w:p>
            <w:pPr>
              <w:jc w:val="right"/>
              <w:ind w:right="722"/>
              <w:spacing w:after="0" w:line="151" w:lineRule="exact"/>
              <w:rPr>
                <w:sz w:val="20"/>
                <w:szCs w:val="20"/>
                <w:color w:val="auto"/>
              </w:rPr>
            </w:pPr>
            <w:r>
              <w:rPr>
                <w:rFonts w:ascii="Courier New" w:cs="Courier New" w:eastAsia="Courier New" w:hAnsi="Courier New"/>
                <w:sz w:val="16"/>
                <w:szCs w:val="16"/>
                <w:color w:val="auto"/>
              </w:rPr>
              <w:t>Net</w:t>
            </w:r>
          </w:p>
        </w:tc>
        <w:tc>
          <w:tcPr>
            <w:tcW w:w="0" w:type="dxa"/>
            <w:vAlign w:val="bottom"/>
          </w:tcPr>
          <w:p>
            <w:pPr>
              <w:spacing w:after="0"/>
              <w:rPr>
                <w:sz w:val="1"/>
                <w:szCs w:val="1"/>
                <w:color w:val="auto"/>
              </w:rPr>
            </w:pPr>
          </w:p>
        </w:tc>
      </w:tr>
      <w:tr>
        <w:trPr>
          <w:trHeight w:val="179"/>
        </w:trPr>
        <w:tc>
          <w:tcPr>
            <w:tcW w:w="1160" w:type="dxa"/>
            <w:vAlign w:val="bottom"/>
          </w:tcPr>
          <w:p>
            <w:pPr>
              <w:jc w:val="right"/>
              <w:spacing w:after="0"/>
              <w:rPr>
                <w:sz w:val="20"/>
                <w:szCs w:val="20"/>
                <w:color w:val="auto"/>
              </w:rPr>
            </w:pPr>
            <w:r>
              <w:rPr>
                <w:rFonts w:ascii="Courier New" w:cs="Courier New" w:eastAsia="Courier New" w:hAnsi="Courier New"/>
                <w:sz w:val="4"/>
                <w:szCs w:val="4"/>
                <w:color w:val="auto"/>
                <w:w w:val="94"/>
              </w:rPr>
              <w:t>income............................................</w:t>
            </w:r>
          </w:p>
        </w:tc>
        <w:tc>
          <w:tcPr>
            <w:tcW w:w="4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3"/>
              </w:rPr>
              <w:t>$315</w:t>
            </w:r>
          </w:p>
        </w:tc>
        <w:tc>
          <w:tcPr>
            <w:tcW w:w="17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$ 55 ---- ---- ----</w:t>
            </w:r>
          </w:p>
        </w:tc>
        <w:tc>
          <w:tcPr>
            <w:tcW w:w="126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rPr>
              <w:t>---- Other</w:t>
            </w:r>
          </w:p>
        </w:tc>
        <w:tc>
          <w:tcPr>
            <w:tcW w:w="0" w:type="dxa"/>
            <w:vAlign w:val="bottom"/>
          </w:tcPr>
          <w:p>
            <w:pPr>
              <w:spacing w:after="0"/>
              <w:rPr>
                <w:sz w:val="1"/>
                <w:szCs w:val="1"/>
                <w:color w:val="auto"/>
              </w:rPr>
            </w:pPr>
          </w:p>
        </w:tc>
      </w:tr>
      <w:tr>
        <w:trPr>
          <w:trHeight w:val="179"/>
        </w:trPr>
        <w:tc>
          <w:tcPr>
            <w:tcW w:w="1160" w:type="dxa"/>
            <w:vAlign w:val="bottom"/>
          </w:tcPr>
          <w:p>
            <w:pPr>
              <w:jc w:val="right"/>
              <w:ind w:right="37"/>
              <w:spacing w:after="0" w:line="179" w:lineRule="exact"/>
              <w:rPr>
                <w:sz w:val="20"/>
                <w:szCs w:val="20"/>
                <w:color w:val="auto"/>
              </w:rPr>
            </w:pPr>
            <w:r>
              <w:rPr>
                <w:rFonts w:ascii="Courier New" w:cs="Courier New" w:eastAsia="Courier New" w:hAnsi="Courier New"/>
                <w:sz w:val="16"/>
                <w:szCs w:val="16"/>
                <w:color w:val="auto"/>
              </w:rPr>
              <w:t>$191 $ --</w:t>
            </w:r>
          </w:p>
        </w:tc>
        <w:tc>
          <w:tcPr>
            <w:tcW w:w="46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comprehensive income (loss): Unrealized gain</w:t>
            </w:r>
          </w:p>
        </w:tc>
        <w:tc>
          <w:tcPr>
            <w:tcW w:w="0" w:type="dxa"/>
            <w:vAlign w:val="bottom"/>
          </w:tcPr>
          <w:p>
            <w:pPr>
              <w:spacing w:after="0"/>
              <w:rPr>
                <w:sz w:val="1"/>
                <w:szCs w:val="1"/>
                <w:color w:val="auto"/>
              </w:rPr>
            </w:pPr>
          </w:p>
        </w:tc>
      </w:tr>
      <w:tr>
        <w:trPr>
          <w:trHeight w:val="179"/>
        </w:trPr>
        <w:tc>
          <w:tcPr>
            <w:tcW w:w="33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(loss) on derivative instruments....</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 -- 7 --</w:t>
            </w:r>
          </w:p>
        </w:tc>
        <w:tc>
          <w:tcPr>
            <w:tcW w:w="0" w:type="dxa"/>
            <w:vAlign w:val="bottom"/>
          </w:tcPr>
          <w:p>
            <w:pPr>
              <w:spacing w:after="0"/>
              <w:rPr>
                <w:sz w:val="1"/>
                <w:szCs w:val="1"/>
                <w:color w:val="auto"/>
              </w:rPr>
            </w:pPr>
          </w:p>
        </w:tc>
      </w:tr>
      <w:tr>
        <w:trPr>
          <w:trHeight w:val="179"/>
        </w:trPr>
        <w:tc>
          <w:tcPr>
            <w:tcW w:w="46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6"/>
              </w:rPr>
              <w:t>Foreign currency translation</w:t>
            </w:r>
          </w:p>
        </w:tc>
        <w:tc>
          <w:tcPr>
            <w:tcW w:w="0" w:type="dxa"/>
            <w:vAlign w:val="bottom"/>
          </w:tcPr>
          <w:p>
            <w:pPr>
              <w:spacing w:after="0"/>
              <w:rPr>
                <w:sz w:val="1"/>
                <w:szCs w:val="1"/>
                <w:color w:val="auto"/>
              </w:rPr>
            </w:pPr>
          </w:p>
        </w:tc>
      </w:tr>
      <w:tr>
        <w:trPr>
          <w:trHeight w:val="179"/>
        </w:trPr>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2"/>
              </w:rPr>
              <w:t>adjustment.............</w:t>
            </w:r>
          </w:p>
        </w:tc>
        <w:tc>
          <w:tcPr>
            <w:tcW w:w="2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43 263 (3) 183 Minimum</w:t>
            </w:r>
          </w:p>
        </w:tc>
        <w:tc>
          <w:tcPr>
            <w:tcW w:w="0" w:type="dxa"/>
            <w:vAlign w:val="bottom"/>
          </w:tcPr>
          <w:p>
            <w:pPr>
              <w:spacing w:after="0"/>
              <w:rPr>
                <w:sz w:val="1"/>
                <w:szCs w:val="1"/>
                <w:color w:val="auto"/>
              </w:rPr>
            </w:pPr>
          </w:p>
        </w:tc>
      </w:tr>
      <w:tr>
        <w:trPr>
          <w:trHeight w:val="179"/>
        </w:trPr>
        <w:tc>
          <w:tcPr>
            <w:tcW w:w="46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pension liability adjustment (net of</w:t>
            </w:r>
          </w:p>
        </w:tc>
        <w:tc>
          <w:tcPr>
            <w:tcW w:w="0" w:type="dxa"/>
            <w:vAlign w:val="bottom"/>
          </w:tcPr>
          <w:p>
            <w:pPr>
              <w:spacing w:after="0"/>
              <w:rPr>
                <w:sz w:val="1"/>
                <w:szCs w:val="1"/>
                <w:color w:val="auto"/>
              </w:rPr>
            </w:pPr>
          </w:p>
        </w:tc>
      </w:tr>
      <w:tr>
        <w:trPr>
          <w:trHeight w:val="179"/>
        </w:trPr>
        <w:tc>
          <w:tcPr>
            <w:tcW w:w="16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taxes)...........................................</w:t>
            </w:r>
          </w:p>
        </w:tc>
        <w:tc>
          <w:tcPr>
            <w:tcW w:w="17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0" w:type="dxa"/>
            <w:vAlign w:val="bottom"/>
            <w:gridSpan w:val="4"/>
          </w:tcPr>
          <w:p>
            <w:pPr>
              <w:jc w:val="center"/>
              <w:spacing w:after="0" w:line="179" w:lineRule="exact"/>
              <w:rPr>
                <w:sz w:val="20"/>
                <w:szCs w:val="20"/>
                <w:color w:val="auto"/>
              </w:rPr>
            </w:pPr>
            <w:r>
              <w:rPr>
                <w:rFonts w:ascii="Courier New" w:cs="Courier New" w:eastAsia="Courier New" w:hAnsi="Courier New"/>
                <w:sz w:val="16"/>
                <w:szCs w:val="16"/>
                <w:color w:val="auto"/>
                <w:w w:val="97"/>
              </w:rPr>
              <w:t>-- 8 3 57 Unrealized gain on marketable</w:t>
            </w:r>
          </w:p>
        </w:tc>
        <w:tc>
          <w:tcPr>
            <w:tcW w:w="0" w:type="dxa"/>
            <w:vAlign w:val="bottom"/>
          </w:tcPr>
          <w:p>
            <w:pPr>
              <w:spacing w:after="0"/>
              <w:rPr>
                <w:sz w:val="1"/>
                <w:szCs w:val="1"/>
                <w:color w:val="auto"/>
              </w:rPr>
            </w:pPr>
          </w:p>
        </w:tc>
      </w:tr>
      <w:tr>
        <w:trPr>
          <w:trHeight w:val="179"/>
        </w:trPr>
        <w:tc>
          <w:tcPr>
            <w:tcW w:w="16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5"/>
              </w:rPr>
              <w:t>securities............</w:t>
            </w:r>
          </w:p>
        </w:tc>
        <w:tc>
          <w:tcPr>
            <w:tcW w:w="29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4 -- 8 -- ---- ---- ---- -</w:t>
            </w:r>
          </w:p>
        </w:tc>
        <w:tc>
          <w:tcPr>
            <w:tcW w:w="0" w:type="dxa"/>
            <w:vAlign w:val="bottom"/>
          </w:tcPr>
          <w:p>
            <w:pPr>
              <w:spacing w:after="0"/>
              <w:rPr>
                <w:sz w:val="1"/>
                <w:szCs w:val="1"/>
                <w:color w:val="auto"/>
              </w:rPr>
            </w:pPr>
          </w:p>
        </w:tc>
      </w:tr>
      <w:tr>
        <w:trPr>
          <w:trHeight w:val="179"/>
        </w:trPr>
        <w:tc>
          <w:tcPr>
            <w:tcW w:w="11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9"/>
              </w:rPr>
              <w:t>income............................</w:t>
            </w:r>
          </w:p>
        </w:tc>
        <w:tc>
          <w:tcPr>
            <w:tcW w:w="3440" w:type="dxa"/>
            <w:vAlign w:val="bottom"/>
            <w:gridSpan w:val="3"/>
          </w:tcPr>
          <w:p>
            <w:pPr>
              <w:jc w:val="center"/>
              <w:ind w:right="1022"/>
              <w:spacing w:after="0" w:line="179" w:lineRule="exact"/>
              <w:rPr>
                <w:sz w:val="20"/>
                <w:szCs w:val="20"/>
                <w:color w:val="auto"/>
              </w:rPr>
            </w:pPr>
            <w:r>
              <w:rPr>
                <w:rFonts w:ascii="Courier New" w:cs="Courier New" w:eastAsia="Courier New" w:hAnsi="Courier New"/>
                <w:sz w:val="16"/>
                <w:szCs w:val="16"/>
                <w:color w:val="auto"/>
                <w:w w:val="96"/>
              </w:rPr>
              <w:t>--- Other comprehensive</w:t>
            </w: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44 271 15 240</w:t>
            </w:r>
          </w:p>
        </w:tc>
        <w:tc>
          <w:tcPr>
            <w:tcW w:w="0" w:type="dxa"/>
            <w:vAlign w:val="bottom"/>
          </w:tcPr>
          <w:p>
            <w:pPr>
              <w:spacing w:after="0"/>
              <w:rPr>
                <w:sz w:val="1"/>
                <w:szCs w:val="1"/>
                <w:color w:val="auto"/>
              </w:rPr>
            </w:pPr>
          </w:p>
        </w:tc>
      </w:tr>
      <w:tr>
        <w:trPr>
          <w:trHeight w:val="179"/>
        </w:trPr>
        <w:tc>
          <w:tcPr>
            <w:tcW w:w="116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income</w:t>
            </w:r>
            <w:r>
              <w:rPr>
                <w:rFonts w:ascii="Courier New" w:cs="Courier New" w:eastAsia="Courier New" w:hAnsi="Courier New"/>
                <w:sz w:val="7"/>
                <w:szCs w:val="7"/>
                <w:color w:val="auto"/>
                <w:vertAlign w:val="superscript"/>
              </w:rPr>
              <w:t>----</w:t>
            </w:r>
            <w:r>
              <w:rPr>
                <w:rFonts w:ascii="Courier New" w:cs="Courier New" w:eastAsia="Courier New" w:hAnsi="Courier New"/>
                <w:sz w:val="4"/>
                <w:szCs w:val="4"/>
                <w:color w:val="auto"/>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gridSpan w:val="2"/>
          </w:tcPr>
          <w:p>
            <w:pPr>
              <w:jc w:val="right"/>
              <w:ind w:right="662"/>
              <w:spacing w:after="0" w:line="179" w:lineRule="exact"/>
              <w:rPr>
                <w:sz w:val="20"/>
                <w:szCs w:val="20"/>
                <w:color w:val="auto"/>
              </w:rPr>
            </w:pPr>
            <w:r>
              <w:rPr>
                <w:rFonts w:ascii="Courier New" w:cs="Courier New" w:eastAsia="Courier New" w:hAnsi="Courier New"/>
                <w:sz w:val="16"/>
                <w:szCs w:val="16"/>
                <w:color w:val="auto"/>
              </w:rPr>
              <w:t>---- ---- Comprehensive</w:t>
            </w:r>
          </w:p>
        </w:tc>
        <w:tc>
          <w:tcPr>
            <w:tcW w:w="0" w:type="dxa"/>
            <w:vAlign w:val="bottom"/>
          </w:tcPr>
          <w:p>
            <w:pPr>
              <w:spacing w:after="0"/>
              <w:rPr>
                <w:sz w:val="1"/>
                <w:szCs w:val="1"/>
                <w:color w:val="auto"/>
              </w:rPr>
            </w:pPr>
          </w:p>
        </w:tc>
      </w:tr>
      <w:tr>
        <w:trPr>
          <w:trHeight w:val="179"/>
        </w:trPr>
        <w:tc>
          <w:tcPr>
            <w:tcW w:w="1160" w:type="dxa"/>
            <w:vAlign w:val="bottom"/>
            <w:vMerge w:val="continue"/>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$330</w:t>
            </w:r>
          </w:p>
        </w:tc>
        <w:tc>
          <w:tcPr>
            <w:tcW w:w="1720" w:type="dxa"/>
            <w:vAlign w:val="bottom"/>
          </w:tcPr>
          <w:p>
            <w:pPr>
              <w:spacing w:after="0"/>
              <w:rPr>
                <w:sz w:val="15"/>
                <w:szCs w:val="15"/>
                <w:color w:val="auto"/>
              </w:rPr>
            </w:pPr>
          </w:p>
        </w:tc>
        <w:tc>
          <w:tcPr>
            <w:tcW w:w="12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$235</w:t>
            </w:r>
          </w:p>
        </w:tc>
        <w:tc>
          <w:tcPr>
            <w:tcW w:w="0" w:type="dxa"/>
            <w:vAlign w:val="bottom"/>
          </w:tcPr>
          <w:p>
            <w:pPr>
              <w:spacing w:after="0"/>
              <w:rPr>
                <w:sz w:val="1"/>
                <w:szCs w:val="1"/>
                <w:color w:val="auto"/>
              </w:rPr>
            </w:pPr>
          </w:p>
        </w:tc>
      </w:tr>
      <w:tr>
        <w:trPr>
          <w:trHeight w:val="261"/>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$271</w:t>
            </w:r>
          </w:p>
        </w:tc>
        <w:tc>
          <w:tcPr>
            <w:tcW w:w="460" w:type="dxa"/>
            <w:vAlign w:val="bottom"/>
            <w:vMerge w:val="continue"/>
          </w:tcPr>
          <w:p>
            <w:pPr>
              <w:spacing w:after="0"/>
              <w:rPr>
                <w:sz w:val="22"/>
                <w:szCs w:val="22"/>
                <w:color w:val="auto"/>
              </w:rPr>
            </w:pPr>
          </w:p>
        </w:tc>
        <w:tc>
          <w:tcPr>
            <w:tcW w:w="298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w w:val="98"/>
              </w:rPr>
              <w:t>$295 ==== ==== ====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9" w:right="1440" w:bottom="1440" w:gutter="0" w:footer="0" w:header="0"/>
        </w:sectPr>
      </w:pPr>
    </w:p>
    <w:p>
      <w:pPr>
        <w:spacing w:after="0" w:line="76"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69" w:right="1440" w:bottom="1440" w:gutter="0" w:footer="0" w:header="0"/>
          <w:type w:val="continuous"/>
        </w:sectPr>
      </w:pPr>
    </w:p>
    <w:bookmarkStart w:id="8" w:name="page9"/>
    <w:bookmarkEnd w:id="8"/>
    <w:p>
      <w:pPr>
        <w:ind w:left="285"/>
        <w:spacing w:after="0"/>
        <w:rPr>
          <w:sz w:val="20"/>
          <w:szCs w:val="20"/>
          <w:color w:val="auto"/>
        </w:rPr>
      </w:pPr>
      <w:r>
        <w:rPr>
          <w:rFonts w:ascii="Courier New" w:cs="Courier New" w:eastAsia="Courier New" w:hAnsi="Courier New"/>
          <w:sz w:val="16"/>
          <w:szCs w:val="16"/>
          <w:color w:val="auto"/>
        </w:rPr>
        <w:t>9</w:t>
      </w:r>
    </w:p>
    <w:p>
      <w:pPr>
        <w:spacing w:after="0" w:line="26"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The components of accumulated other comprehensive loss were as follows:</w:t>
      </w:r>
    </w:p>
    <w:p>
      <w:pPr>
        <w:spacing w:after="0" w:line="177"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JUNE 30, DECEMBER 31, 2001</w:t>
      </w:r>
    </w:p>
    <w:p>
      <w:pPr>
        <w:spacing w:after="0" w:line="23" w:lineRule="exact"/>
        <w:rPr>
          <w:sz w:val="20"/>
          <w:szCs w:val="20"/>
          <w:color w:val="auto"/>
        </w:rPr>
      </w:pPr>
    </w:p>
    <w:p>
      <w:pPr>
        <w:ind w:left="225"/>
        <w:spacing w:after="0"/>
        <w:rPr>
          <w:sz w:val="20"/>
          <w:szCs w:val="20"/>
          <w:color w:val="auto"/>
        </w:rPr>
      </w:pPr>
      <w:r>
        <w:rPr>
          <w:rFonts w:ascii="Courier New" w:cs="Courier New" w:eastAsia="Courier New" w:hAnsi="Courier New"/>
          <w:sz w:val="16"/>
          <w:szCs w:val="16"/>
          <w:color w:val="auto"/>
        </w:rPr>
        <w:t>2000 -------- ------------</w:t>
      </w:r>
    </w:p>
    <w:p>
      <w:pPr>
        <w:jc w:val="center"/>
        <w:ind w:right="7355"/>
        <w:spacing w:after="0" w:line="236" w:lineRule="auto"/>
        <w:rPr>
          <w:sz w:val="20"/>
          <w:szCs w:val="20"/>
          <w:color w:val="auto"/>
        </w:rPr>
      </w:pPr>
      <w:r>
        <w:rPr>
          <w:rFonts w:ascii="Courier New" w:cs="Courier New" w:eastAsia="Courier New" w:hAnsi="Courier New"/>
          <w:sz w:val="16"/>
          <w:szCs w:val="16"/>
          <w:color w:val="auto"/>
        </w:rPr>
        <w:t>Foreign currency translation</w:t>
      </w:r>
    </w:p>
    <w:p>
      <w:pPr>
        <w:spacing w:after="0" w:line="1" w:lineRule="exact"/>
        <w:rPr>
          <w:sz w:val="20"/>
          <w:szCs w:val="20"/>
          <w:color w:val="auto"/>
        </w:rPr>
      </w:pPr>
    </w:p>
    <w:p>
      <w:pPr>
        <w:jc w:val="center"/>
        <w:ind w:right="7335"/>
        <w:spacing w:after="0"/>
        <w:rPr>
          <w:sz w:val="20"/>
          <w:szCs w:val="20"/>
          <w:color w:val="auto"/>
        </w:rPr>
      </w:pPr>
      <w:r>
        <w:rPr>
          <w:rFonts w:ascii="Courier New" w:cs="Courier New" w:eastAsia="Courier New" w:hAnsi="Courier New"/>
          <w:sz w:val="14"/>
          <w:szCs w:val="14"/>
          <w:color w:val="auto"/>
        </w:rPr>
        <w:t>adjustment.....................</w:t>
      </w:r>
    </w:p>
    <w:p>
      <w:pPr>
        <w:spacing w:after="0" w:line="18" w:lineRule="exact"/>
        <w:rPr>
          <w:sz w:val="20"/>
          <w:szCs w:val="20"/>
          <w:color w:val="auto"/>
        </w:rPr>
      </w:pPr>
    </w:p>
    <w:p>
      <w:pPr>
        <w:jc w:val="center"/>
        <w:ind w:right="7355"/>
        <w:spacing w:after="0"/>
        <w:rPr>
          <w:sz w:val="20"/>
          <w:szCs w:val="20"/>
          <w:color w:val="auto"/>
        </w:rPr>
      </w:pPr>
      <w:r>
        <w:rPr>
          <w:rFonts w:ascii="Courier New" w:cs="Courier New" w:eastAsia="Courier New" w:hAnsi="Courier New"/>
          <w:sz w:val="16"/>
          <w:szCs w:val="16"/>
          <w:color w:val="auto"/>
        </w:rPr>
        <w:t>$(126) $(123) Minimum pension</w:t>
      </w:r>
    </w:p>
    <w:p>
      <w:pPr>
        <w:jc w:val="center"/>
        <w:ind w:right="7355"/>
        <w:spacing w:after="0" w:line="236" w:lineRule="auto"/>
        <w:rPr>
          <w:sz w:val="20"/>
          <w:szCs w:val="20"/>
          <w:color w:val="auto"/>
        </w:rPr>
      </w:pPr>
      <w:r>
        <w:rPr>
          <w:rFonts w:ascii="Courier New" w:cs="Courier New" w:eastAsia="Courier New" w:hAnsi="Courier New"/>
          <w:sz w:val="16"/>
          <w:szCs w:val="16"/>
          <w:color w:val="auto"/>
        </w:rPr>
        <w:t>liability adjustment (net of</w:t>
      </w:r>
    </w:p>
    <w:p>
      <w:pPr>
        <w:jc w:val="center"/>
        <w:ind w:right="7355"/>
        <w:spacing w:after="0" w:line="237" w:lineRule="auto"/>
        <w:rPr>
          <w:sz w:val="20"/>
          <w:szCs w:val="20"/>
          <w:color w:val="auto"/>
        </w:rPr>
      </w:pPr>
      <w:r>
        <w:rPr>
          <w:rFonts w:ascii="Courier New" w:cs="Courier New" w:eastAsia="Courier New" w:hAnsi="Courier New"/>
          <w:sz w:val="16"/>
          <w:szCs w:val="16"/>
          <w:color w:val="auto"/>
        </w:rPr>
        <w:t>tax)........... -- (3)</w:t>
      </w:r>
    </w:p>
    <w:p>
      <w:pPr>
        <w:ind w:left="45"/>
        <w:spacing w:after="0" w:line="237" w:lineRule="auto"/>
        <w:rPr>
          <w:sz w:val="20"/>
          <w:szCs w:val="20"/>
          <w:color w:val="auto"/>
        </w:rPr>
      </w:pPr>
      <w:r>
        <w:rPr>
          <w:rFonts w:ascii="Courier New" w:cs="Courier New" w:eastAsia="Courier New" w:hAnsi="Courier New"/>
          <w:sz w:val="16"/>
          <w:szCs w:val="16"/>
          <w:color w:val="auto"/>
        </w:rPr>
        <w:t>Accumulated unrealized gain on</w:t>
      </w:r>
    </w:p>
    <w:p>
      <w:pPr>
        <w:ind w:left="85"/>
        <w:spacing w:after="0" w:line="237" w:lineRule="auto"/>
        <w:rPr>
          <w:sz w:val="20"/>
          <w:szCs w:val="20"/>
          <w:color w:val="auto"/>
        </w:rPr>
      </w:pPr>
      <w:r>
        <w:rPr>
          <w:rFonts w:ascii="Courier New" w:cs="Courier New" w:eastAsia="Courier New" w:hAnsi="Courier New"/>
          <w:sz w:val="16"/>
          <w:szCs w:val="16"/>
          <w:color w:val="auto"/>
        </w:rPr>
        <w:t>derivative instruments.......</w:t>
      </w:r>
    </w:p>
    <w:p>
      <w:pPr>
        <w:jc w:val="center"/>
        <w:ind w:right="7355"/>
        <w:spacing w:after="0" w:line="237" w:lineRule="auto"/>
        <w:rPr>
          <w:sz w:val="20"/>
          <w:szCs w:val="20"/>
          <w:color w:val="auto"/>
        </w:rPr>
      </w:pPr>
      <w:r>
        <w:rPr>
          <w:rFonts w:ascii="Courier New" w:cs="Courier New" w:eastAsia="Courier New" w:hAnsi="Courier New"/>
          <w:sz w:val="16"/>
          <w:szCs w:val="16"/>
          <w:color w:val="auto"/>
        </w:rPr>
        <w:t>7 -- Accumulated unrealized</w:t>
      </w:r>
    </w:p>
    <w:p>
      <w:pPr>
        <w:jc w:val="center"/>
        <w:ind w:right="7355"/>
        <w:spacing w:after="0" w:line="237" w:lineRule="auto"/>
        <w:rPr>
          <w:sz w:val="20"/>
          <w:szCs w:val="20"/>
          <w:color w:val="auto"/>
        </w:rPr>
      </w:pPr>
      <w:r>
        <w:rPr>
          <w:rFonts w:ascii="Courier New" w:cs="Courier New" w:eastAsia="Courier New" w:hAnsi="Courier New"/>
          <w:sz w:val="16"/>
          <w:szCs w:val="16"/>
          <w:color w:val="auto"/>
        </w:rPr>
        <w:t>gain on marketable</w:t>
      </w:r>
    </w:p>
    <w:p>
      <w:pPr>
        <w:ind w:left="85"/>
        <w:spacing w:after="0" w:line="237" w:lineRule="auto"/>
        <w:rPr>
          <w:sz w:val="20"/>
          <w:szCs w:val="20"/>
          <w:color w:val="auto"/>
        </w:rPr>
      </w:pPr>
      <w:r>
        <w:rPr>
          <w:rFonts w:ascii="Courier New" w:cs="Courier New" w:eastAsia="Courier New" w:hAnsi="Courier New"/>
          <w:sz w:val="16"/>
          <w:szCs w:val="16"/>
          <w:color w:val="auto"/>
        </w:rPr>
        <w:t>securities........ 8 -- -----</w:t>
      </w:r>
    </w:p>
    <w:p>
      <w:pPr>
        <w:ind w:left="825" w:hanging="550"/>
        <w:spacing w:after="0" w:line="237" w:lineRule="auto"/>
        <w:tabs>
          <w:tab w:leader="none" w:pos="825"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$(111) $(126) =====</w:t>
      </w:r>
    </w:p>
    <w:p>
      <w:pPr>
        <w:ind w:left="120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27" w:lineRule="exact"/>
        <w:rPr>
          <w:rFonts w:ascii="Courier New" w:cs="Courier New" w:eastAsia="Courier New" w:hAnsi="Courier New"/>
          <w:sz w:val="16"/>
          <w:szCs w:val="16"/>
          <w:color w:val="auto"/>
        </w:rPr>
      </w:pPr>
    </w:p>
    <w:p>
      <w:pPr>
        <w:ind w:left="285" w:hanging="285"/>
        <w:spacing w:after="0"/>
        <w:tabs>
          <w:tab w:leader="none" w:pos="28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LIABILITIES</w:t>
      </w:r>
    </w:p>
    <w:p>
      <w:pPr>
        <w:spacing w:after="0" w:line="177" w:lineRule="exact"/>
        <w:rPr>
          <w:sz w:val="20"/>
          <w:szCs w:val="20"/>
          <w:color w:val="auto"/>
        </w:rPr>
      </w:pPr>
    </w:p>
    <w:p>
      <w:pPr>
        <w:ind w:left="5" w:right="2779" w:firstLine="465"/>
        <w:spacing w:after="0" w:line="277" w:lineRule="auto"/>
        <w:rPr>
          <w:sz w:val="20"/>
          <w:szCs w:val="20"/>
          <w:color w:val="auto"/>
        </w:rPr>
      </w:pPr>
      <w:r>
        <w:rPr>
          <w:rFonts w:ascii="Courier New" w:cs="Courier New" w:eastAsia="Courier New" w:hAnsi="Courier New"/>
          <w:sz w:val="14"/>
          <w:szCs w:val="14"/>
          <w:color w:val="auto"/>
        </w:rPr>
        <w:t>The Company has material financial commitments for the costs associated with its future obligations for final closure and post-closure obligations with respect to the landfills it owns or operates. Estimates for final closure and post-closure costs are developed using input from the Company's engineers and accountants and are reviewed by management, typically at least once per year. The estimates are based on the Company's interpretation of current requirements and proposed regulatory changes. For landfills, the present value of final closure and post-closure liabilities is accrued using the calculated rate per ton and charged to expense as airspace is consumed. The present value of total estimated final closure and post-closure costs will be fully accrued for each landfill at the time the site discontinues accepting waste and is closed.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purchased disposal sites, the Company assesses and records a present value-based final closure and post-closure liability at the time the Company assumes closure responsibility. This liability is based on the estimated final closure and post-closure costs and the percentage of airspace used as of the date the Company has assumed the closure responsibility. Thereafter, the difference between the final closure and post-closure liability recorded at the time of acquisition and the present value of total estimated final closure and post-closure costs to be incurred is accrued using the calculated rate and charged to expense as airspace is consumed.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 w:right="2779" w:firstLine="465"/>
        <w:spacing w:after="0" w:line="263" w:lineRule="auto"/>
        <w:rPr>
          <w:sz w:val="20"/>
          <w:szCs w:val="20"/>
          <w:color w:val="auto"/>
        </w:rPr>
      </w:pPr>
      <w:r>
        <w:rPr>
          <w:rFonts w:ascii="Courier New" w:cs="Courier New" w:eastAsia="Courier New" w:hAnsi="Courier New"/>
          <w:sz w:val="16"/>
          <w:szCs w:val="16"/>
          <w:color w:val="auto"/>
        </w:rPr>
        <w:t>In the United States, the final closure and post-closure requirements are established by regulations issued by the EPA pursuant to the Solid Waste Disposal Act, as implemented and applied on a state-by-state basis. The costs to comply with these requirements could increase in the future as a result of legislation or regulation.</w:t>
      </w:r>
    </w:p>
    <w:p>
      <w:pPr>
        <w:spacing w:after="0" w:line="80" w:lineRule="exact"/>
        <w:rPr>
          <w:sz w:val="20"/>
          <w:szCs w:val="20"/>
          <w:color w:val="auto"/>
        </w:rPr>
      </w:pPr>
    </w:p>
    <w:p>
      <w:pPr>
        <w:ind w:left="5" w:right="2779" w:firstLine="465"/>
        <w:spacing w:after="0" w:line="286" w:lineRule="auto"/>
        <w:rPr>
          <w:sz w:val="20"/>
          <w:szCs w:val="20"/>
          <w:color w:val="auto"/>
        </w:rPr>
      </w:pPr>
      <w:r>
        <w:rPr>
          <w:rFonts w:ascii="Courier New" w:cs="Courier New" w:eastAsia="Courier New" w:hAnsi="Courier New"/>
          <w:sz w:val="14"/>
          <w:szCs w:val="14"/>
          <w:color w:val="auto"/>
        </w:rPr>
        <w:t>The Company routinely reviews and evaluates sites that require remediation, including sites listed on the EPA's National Priorities List ("NPL sites"). As of June 30, 2001, the Company or its subsidiaries had been notified that they are potentially responsible parties ("PRPs") in connection with 80 locations listed on the NPL. Of these 80 NPL sites at which claims have been made against the Company, 17 are sites which the Company has come to own over time. At some of these sites, the Company's liability is well defined as a consequence of a governmental decision as to the appropriate remedy and an agreement among liable parties as to the share each will pay for implementing that remedy. At other sites where no remedy has been selected or the liable parties have been unable to agree on an appropriate allocation, the Company's future costs are uncertain.</w:t>
      </w:r>
    </w:p>
    <w:p>
      <w:pPr>
        <w:spacing w:after="0" w:line="68" w:lineRule="exact"/>
        <w:rPr>
          <w:sz w:val="20"/>
          <w:szCs w:val="20"/>
          <w:color w:val="auto"/>
        </w:rPr>
      </w:pPr>
    </w:p>
    <w:p>
      <w:pPr>
        <w:ind w:left="5" w:right="2779" w:firstLine="465"/>
        <w:spacing w:after="0" w:line="296" w:lineRule="auto"/>
        <w:rPr>
          <w:sz w:val="20"/>
          <w:szCs w:val="20"/>
          <w:color w:val="auto"/>
        </w:rPr>
      </w:pPr>
      <w:r>
        <w:rPr>
          <w:rFonts w:ascii="Courier New" w:cs="Courier New" w:eastAsia="Courier New" w:hAnsi="Courier New"/>
          <w:sz w:val="14"/>
          <w:szCs w:val="14"/>
          <w:color w:val="auto"/>
        </w:rPr>
        <w:t>As part of its review and evaluation of sites, the Company considers whether the Company was an owner, operator, transporter, or generator at the site, the amount and type of waste hauled to the site, and the number of years the Company was connected with the site. The Company also reviews the same information with respect to other named and unnamed PRPs. The Company then reviews the estimated cost for the likely remedy, which is based on management's judgment and experience in remediating such sites for the Company</w:t>
      </w:r>
    </w:p>
    <w:p>
      <w:pPr>
        <w:sectPr>
          <w:pgSz w:w="11900" w:h="16838" w:orient="portrait"/>
          <w:cols w:equalWidth="0" w:num="1">
            <w:col w:w="10224"/>
          </w:cols>
          <w:pgMar w:left="235" w:top="269" w:right="1440" w:bottom="1440" w:gutter="0" w:footer="0" w:header="0"/>
        </w:sectPr>
      </w:pPr>
    </w:p>
    <w:p>
      <w:pPr>
        <w:spacing w:after="0" w:line="62" w:lineRule="exact"/>
        <w:rPr>
          <w:sz w:val="20"/>
          <w:szCs w:val="20"/>
          <w:color w:val="auto"/>
        </w:rPr>
      </w:pPr>
    </w:p>
    <w:p>
      <w:pPr>
        <w:ind w:left="3725"/>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24"/>
          </w:cols>
          <w:pgMar w:left="235" w:top="269" w:right="1440" w:bottom="1440"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right="2779"/>
        <w:spacing w:after="0" w:line="248" w:lineRule="auto"/>
        <w:rPr>
          <w:sz w:val="20"/>
          <w:szCs w:val="20"/>
          <w:color w:val="auto"/>
        </w:rPr>
      </w:pPr>
      <w:r>
        <w:rPr>
          <w:rFonts w:ascii="Courier New" w:cs="Courier New" w:eastAsia="Courier New" w:hAnsi="Courier New"/>
          <w:sz w:val="16"/>
          <w:szCs w:val="16"/>
          <w:color w:val="auto"/>
        </w:rPr>
        <w:t>as well as for unrelated parties, information available from regulatory agencies as to costs of remediation, and the number, financial resources and relative degree of responsibility of other PRPs who may be liable for remediation of a specific site, as well as the typical allocation of costs among PRPs. These estimates are sometimes a range of possible outcomes. In those cases, the Company provides for the amount within the range which constitutes its best estimate. If no amount within the range appears to be a better estimate than any other amount, the Company provides for the minimum amount within the range in accordance with Statement of Financial Accounting Standards No. 5, Accounting for Contingencies.</w:t>
      </w:r>
    </w:p>
    <w:p>
      <w:pPr>
        <w:spacing w:after="0" w:line="95" w:lineRule="exact"/>
        <w:rPr>
          <w:sz w:val="20"/>
          <w:szCs w:val="20"/>
          <w:color w:val="auto"/>
        </w:rPr>
      </w:pPr>
    </w:p>
    <w:p>
      <w:pPr>
        <w:ind w:right="2779" w:firstLine="465"/>
        <w:spacing w:after="0" w:line="282" w:lineRule="auto"/>
        <w:rPr>
          <w:sz w:val="20"/>
          <w:szCs w:val="20"/>
          <w:color w:val="auto"/>
        </w:rPr>
      </w:pPr>
      <w:r>
        <w:rPr>
          <w:rFonts w:ascii="Courier New" w:cs="Courier New" w:eastAsia="Courier New" w:hAnsi="Courier New"/>
          <w:sz w:val="14"/>
          <w:szCs w:val="14"/>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 to the Company's financial statements.</w:t>
      </w:r>
    </w:p>
    <w:p>
      <w:pPr>
        <w:spacing w:after="0" w:line="261" w:lineRule="exact"/>
        <w:rPr>
          <w:sz w:val="20"/>
          <w:szCs w:val="20"/>
          <w:color w:val="auto"/>
        </w:rPr>
      </w:pPr>
    </w:p>
    <w:p>
      <w:pPr>
        <w:ind w:right="2779" w:firstLine="465"/>
        <w:spacing w:after="0" w:line="251" w:lineRule="auto"/>
        <w:rPr>
          <w:sz w:val="20"/>
          <w:szCs w:val="20"/>
          <w:color w:val="auto"/>
        </w:rPr>
      </w:pPr>
      <w:r>
        <w:rPr>
          <w:rFonts w:ascii="Courier New" w:cs="Courier New" w:eastAsia="Courier New" w:hAnsi="Courier New"/>
          <w:sz w:val="16"/>
          <w:szCs w:val="16"/>
          <w:color w:val="auto"/>
        </w:rPr>
        <w:t>As part of its ongoing operations, the Company reviews its reserve requirements for remediation and other environmental matters based on an analysis of, among other things, the regulatory context surrounding landfills and remaining airspace capacity in light of changes to operational efficiencies. Accordingly, revisions to remediation reserve requirements may result in upward or downward adjustments to income from operations in any given period. Adjustments for final closure and post-closure estimates are accounted for prospectively over the remaining capacity of the landfill.</w:t>
      </w:r>
    </w:p>
    <w:p>
      <w:pPr>
        <w:spacing w:after="0" w:line="94"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Where the Company believes that both the amount of a particular environmental liability and the timing of the payments are reliably determinable, the cost in current dollars is inflated (by 2.5% per annum at June 30, 2001 and December 31, 2000) until expected time of payment and then discounted to present value (by 6.0% per annum at June 30, 2001 and December 31, 2000). The accretion of the interest related to the discounted environmental liabilities is included in the annual calculation of the landfill's final closure and post-closure cost per ton and is charged to operating expense as landfill airspace is consumed. The current portion of the environmental liabilities disclosed below are recorded in accrued liabilities on the balance sheet.</w:t>
      </w:r>
    </w:p>
    <w:p>
      <w:pPr>
        <w:spacing w:after="0" w:line="9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Environmental liabilities consist of the following:</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JUNE 30, 2001 DECEMBER 31,</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2000 ----------------------</w:t>
      </w:r>
    </w:p>
    <w:p>
      <w:pPr>
        <w:ind w:left="40"/>
        <w:spacing w:after="0" w:line="236" w:lineRule="auto"/>
        <w:rPr>
          <w:sz w:val="20"/>
          <w:szCs w:val="20"/>
          <w:color w:val="auto"/>
        </w:rPr>
      </w:pPr>
      <w:r>
        <w:rPr>
          <w:rFonts w:ascii="Courier New" w:cs="Courier New" w:eastAsia="Courier New" w:hAnsi="Courier New"/>
          <w:sz w:val="16"/>
          <w:szCs w:val="16"/>
          <w:color w:val="auto"/>
        </w:rPr>
        <w:t>------------ --------------</w:t>
      </w:r>
    </w:p>
    <w:p>
      <w:pPr>
        <w:ind w:left="360"/>
        <w:spacing w:after="0" w:line="237" w:lineRule="auto"/>
        <w:rPr>
          <w:sz w:val="20"/>
          <w:szCs w:val="20"/>
          <w:color w:val="auto"/>
        </w:rPr>
      </w:pPr>
      <w:r>
        <w:rPr>
          <w:rFonts w:ascii="Courier New" w:cs="Courier New" w:eastAsia="Courier New" w:hAnsi="Courier New"/>
          <w:sz w:val="16"/>
          <w:szCs w:val="16"/>
          <w:color w:val="auto"/>
        </w:rPr>
        <w:t>--------------------</w:t>
      </w:r>
    </w:p>
    <w:p>
      <w:pPr>
        <w:ind w:left="220"/>
        <w:spacing w:after="0" w:line="237" w:lineRule="auto"/>
        <w:rPr>
          <w:sz w:val="20"/>
          <w:szCs w:val="20"/>
          <w:color w:val="auto"/>
        </w:rPr>
      </w:pPr>
      <w:r>
        <w:rPr>
          <w:rFonts w:ascii="Courier New" w:cs="Courier New" w:eastAsia="Courier New" w:hAnsi="Courier New"/>
          <w:sz w:val="16"/>
          <w:szCs w:val="16"/>
          <w:color w:val="auto"/>
        </w:rPr>
        <w:t>CLOSURE/ CLOSURE/ POST-</w:t>
      </w:r>
    </w:p>
    <w:p>
      <w:pPr>
        <w:ind w:left="140"/>
        <w:spacing w:after="0" w:line="237" w:lineRule="auto"/>
        <w:rPr>
          <w:sz w:val="20"/>
          <w:szCs w:val="20"/>
          <w:color w:val="auto"/>
        </w:rPr>
      </w:pPr>
      <w:r>
        <w:rPr>
          <w:rFonts w:ascii="Courier New" w:cs="Courier New" w:eastAsia="Courier New" w:hAnsi="Courier New"/>
          <w:sz w:val="16"/>
          <w:szCs w:val="16"/>
          <w:color w:val="auto"/>
        </w:rPr>
        <w:t>CLOSURE REMEDIATION TOTAL</w:t>
      </w:r>
    </w:p>
    <w:p>
      <w:pPr>
        <w:ind w:left="180"/>
        <w:spacing w:after="0" w:line="237" w:lineRule="auto"/>
        <w:rPr>
          <w:sz w:val="20"/>
          <w:szCs w:val="20"/>
          <w:color w:val="auto"/>
        </w:rPr>
      </w:pPr>
      <w:r>
        <w:rPr>
          <w:rFonts w:ascii="Courier New" w:cs="Courier New" w:eastAsia="Courier New" w:hAnsi="Courier New"/>
          <w:sz w:val="16"/>
          <w:szCs w:val="16"/>
          <w:color w:val="auto"/>
        </w:rPr>
        <w:t>POST-CLOSURE REMEDIATION</w:t>
      </w:r>
    </w:p>
    <w:p>
      <w:pPr>
        <w:ind w:left="40"/>
        <w:spacing w:after="0" w:line="237" w:lineRule="auto"/>
        <w:rPr>
          <w:sz w:val="20"/>
          <w:szCs w:val="20"/>
          <w:color w:val="auto"/>
        </w:rPr>
      </w:pPr>
      <w:r>
        <w:rPr>
          <w:rFonts w:ascii="Courier New" w:cs="Courier New" w:eastAsia="Courier New" w:hAnsi="Courier New"/>
          <w:sz w:val="16"/>
          <w:szCs w:val="16"/>
          <w:color w:val="auto"/>
        </w:rPr>
        <w:t>TOTAL ------------ --------</w:t>
      </w:r>
    </w:p>
    <w:p>
      <w:pPr>
        <w:ind w:left="420" w:hanging="381"/>
        <w:spacing w:after="0" w:line="237"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7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37" w:lineRule="auto"/>
        <w:rPr>
          <w:sz w:val="20"/>
          <w:szCs w:val="20"/>
          <w:color w:val="auto"/>
        </w:rPr>
      </w:pPr>
      <w:r>
        <w:rPr>
          <w:rFonts w:ascii="Courier New" w:cs="Courier New" w:eastAsia="Courier New" w:hAnsi="Courier New"/>
          <w:sz w:val="16"/>
          <w:szCs w:val="16"/>
          <w:color w:val="auto"/>
        </w:rPr>
        <w:t>Current.....................</w:t>
      </w:r>
    </w:p>
    <w:p>
      <w:pPr>
        <w:spacing w:after="0" w:line="1" w:lineRule="exact"/>
        <w:rPr>
          <w:sz w:val="20"/>
          <w:szCs w:val="20"/>
          <w:color w:val="auto"/>
        </w:rPr>
      </w:pPr>
    </w:p>
    <w:p>
      <w:pPr>
        <w:ind w:left="880" w:right="7799" w:hanging="701"/>
        <w:spacing w:after="0" w:line="236" w:lineRule="auto"/>
        <w:tabs>
          <w:tab w:leader="none" w:pos="36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53 $ 71 $124 $ 54 $ 99 $153 Non-</w:t>
      </w:r>
    </w:p>
    <w:tbl>
      <w:tblPr>
        <w:tblLayout w:type="fixed"/>
        <w:tblInd w:w="40" w:type="dxa"/>
        <w:tblCellMar>
          <w:top w:w="0" w:type="dxa"/>
          <w:left w:w="0" w:type="dxa"/>
          <w:bottom w:w="0" w:type="dxa"/>
          <w:right w:w="0" w:type="dxa"/>
        </w:tblCellMar>
      </w:tblPr>
      <w:tr>
        <w:trPr>
          <w:trHeight w:val="152"/>
        </w:trPr>
        <w:tc>
          <w:tcPr>
            <w:tcW w:w="148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w w:val="72"/>
              </w:rPr>
              <w:t>current.................</w:t>
            </w:r>
          </w:p>
        </w:tc>
        <w:tc>
          <w:tcPr>
            <w:tcW w:w="104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w w:val="95"/>
              </w:rPr>
              <w:t>250 809</w:t>
            </w:r>
          </w:p>
        </w:tc>
        <w:tc>
          <w:tcPr>
            <w:tcW w:w="0" w:type="dxa"/>
            <w:vAlign w:val="bottom"/>
          </w:tcPr>
          <w:p>
            <w:pPr>
              <w:spacing w:after="0"/>
              <w:rPr>
                <w:sz w:val="1"/>
                <w:szCs w:val="1"/>
                <w:color w:val="auto"/>
              </w:rPr>
            </w:pPr>
          </w:p>
        </w:tc>
      </w:tr>
      <w:tr>
        <w:trPr>
          <w:trHeight w:val="207"/>
        </w:trPr>
        <w:tc>
          <w:tcPr>
            <w:tcW w:w="320" w:type="dxa"/>
            <w:vAlign w:val="bottom"/>
          </w:tcPr>
          <w:p>
            <w:pPr>
              <w:jc w:val="right"/>
              <w:spacing w:after="0"/>
              <w:rPr>
                <w:sz w:val="20"/>
                <w:szCs w:val="20"/>
                <w:color w:val="auto"/>
              </w:rPr>
            </w:pPr>
            <w:r>
              <w:rPr>
                <w:rFonts w:ascii="Courier New" w:cs="Courier New" w:eastAsia="Courier New" w:hAnsi="Courier New"/>
                <w:sz w:val="16"/>
                <w:szCs w:val="16"/>
                <w:color w:val="auto"/>
                <w:w w:val="90"/>
              </w:rPr>
              <w:t>568</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271 839 559</w:t>
            </w:r>
          </w:p>
        </w:tc>
        <w:tc>
          <w:tcPr>
            <w:tcW w:w="1040" w:type="dxa"/>
            <w:vAlign w:val="bottom"/>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ind w:left="280" w:hanging="194"/>
        <w:spacing w:after="0" w:line="236" w:lineRule="auto"/>
        <w:tabs>
          <w:tab w:leader="none" w:pos="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w:t>
      </w:r>
    </w:p>
    <w:p>
      <w:pPr>
        <w:jc w:val="both"/>
        <w:ind w:left="180" w:right="7799"/>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$621 $342 $963 $613 $349 $962 ==== ==== ==== ====</w:t>
      </w:r>
    </w:p>
    <w:p>
      <w:pPr>
        <w:ind w:left="1340" w:hanging="463"/>
        <w:spacing w:after="0"/>
        <w:tabs>
          <w:tab w:leader="none" w:pos="134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27" w:lineRule="exact"/>
        <w:rPr>
          <w:sz w:val="20"/>
          <w:szCs w:val="20"/>
          <w:color w:val="auto"/>
        </w:rPr>
      </w:pPr>
    </w:p>
    <w:p>
      <w:pPr>
        <w:ind w:right="2879" w:firstLine="465"/>
        <w:spacing w:after="0" w:line="342" w:lineRule="auto"/>
        <w:rPr>
          <w:sz w:val="20"/>
          <w:szCs w:val="20"/>
          <w:color w:val="auto"/>
        </w:rPr>
      </w:pPr>
      <w:r>
        <w:rPr>
          <w:rFonts w:ascii="Courier New" w:cs="Courier New" w:eastAsia="Courier New" w:hAnsi="Courier New"/>
          <w:sz w:val="16"/>
          <w:szCs w:val="16"/>
          <w:color w:val="auto"/>
        </w:rPr>
        <w:t>The changes to environmental liabilities for the six months ended June 30, 2001 are as follows:</w:t>
      </w:r>
    </w:p>
    <w:p>
      <w:pPr>
        <w:spacing w:after="0" w:line="378" w:lineRule="exact"/>
        <w:rPr>
          <w:sz w:val="20"/>
          <w:szCs w:val="20"/>
          <w:color w:val="auto"/>
        </w:rPr>
      </w:pPr>
    </w:p>
    <w:p>
      <w:pPr>
        <w:spacing w:after="0"/>
        <w:tabs>
          <w:tab w:leader="dot" w:pos="5740" w:val="left"/>
        </w:tabs>
        <w:rPr>
          <w:sz w:val="20"/>
          <w:szCs w:val="20"/>
          <w:color w:val="auto"/>
        </w:rPr>
      </w:pPr>
      <w:r>
        <w:rPr>
          <w:rFonts w:ascii="Courier New" w:cs="Courier New" w:eastAsia="Courier New" w:hAnsi="Courier New"/>
          <w:sz w:val="16"/>
          <w:szCs w:val="16"/>
          <w:color w:val="auto"/>
        </w:rPr>
        <w:t>December 31, 2000</w:t>
      </w:r>
      <w:r>
        <w:rPr>
          <w:sz w:val="20"/>
          <w:szCs w:val="20"/>
          <w:color w:val="auto"/>
        </w:rPr>
        <w:tab/>
      </w:r>
      <w:r>
        <w:rPr>
          <w:rFonts w:ascii="Courier New" w:cs="Courier New" w:eastAsia="Courier New" w:hAnsi="Courier New"/>
          <w:sz w:val="14"/>
          <w:szCs w:val="14"/>
          <w:color w:val="auto"/>
        </w:rPr>
        <w:t>$962</w:t>
      </w:r>
    </w:p>
    <w:p>
      <w:pPr>
        <w:spacing w:after="0" w:line="23" w:lineRule="exact"/>
        <w:rPr>
          <w:sz w:val="20"/>
          <w:szCs w:val="20"/>
          <w:color w:val="auto"/>
        </w:rPr>
      </w:pPr>
    </w:p>
    <w:p>
      <w:pPr>
        <w:ind w:left="180"/>
        <w:spacing w:after="0"/>
        <w:tabs>
          <w:tab w:leader="dot" w:pos="5920" w:val="left"/>
        </w:tabs>
        <w:rPr>
          <w:sz w:val="20"/>
          <w:szCs w:val="20"/>
          <w:color w:val="auto"/>
        </w:rPr>
      </w:pPr>
      <w:r>
        <w:rPr>
          <w:rFonts w:ascii="Courier New" w:cs="Courier New" w:eastAsia="Courier New" w:hAnsi="Courier New"/>
          <w:sz w:val="16"/>
          <w:szCs w:val="16"/>
          <w:color w:val="auto"/>
        </w:rPr>
        <w:t>Expense</w:t>
      </w:r>
      <w:r>
        <w:rPr>
          <w:sz w:val="20"/>
          <w:szCs w:val="20"/>
          <w:color w:val="auto"/>
        </w:rPr>
        <w:tab/>
      </w:r>
      <w:r>
        <w:rPr>
          <w:rFonts w:ascii="Courier New" w:cs="Courier New" w:eastAsia="Courier New" w:hAnsi="Courier New"/>
          <w:sz w:val="16"/>
          <w:szCs w:val="16"/>
          <w:color w:val="auto"/>
        </w:rPr>
        <w:t>34</w:t>
      </w:r>
    </w:p>
    <w:p>
      <w:pPr>
        <w:ind w:left="180"/>
        <w:spacing w:after="0"/>
        <w:tabs>
          <w:tab w:leader="dot" w:pos="5840" w:val="left"/>
        </w:tabs>
        <w:rPr>
          <w:sz w:val="20"/>
          <w:szCs w:val="20"/>
          <w:color w:val="auto"/>
        </w:rPr>
      </w:pPr>
      <w:r>
        <w:rPr>
          <w:rFonts w:ascii="Courier New" w:cs="Courier New" w:eastAsia="Courier New" w:hAnsi="Courier New"/>
          <w:sz w:val="16"/>
          <w:szCs w:val="16"/>
          <w:color w:val="auto"/>
        </w:rPr>
        <w:t>Spending</w:t>
      </w:r>
      <w:r>
        <w:rPr>
          <w:sz w:val="20"/>
          <w:szCs w:val="20"/>
          <w:color w:val="auto"/>
        </w:rPr>
        <w:tab/>
      </w:r>
      <w:r>
        <w:rPr>
          <w:rFonts w:ascii="Courier New" w:cs="Courier New" w:eastAsia="Courier New" w:hAnsi="Courier New"/>
          <w:sz w:val="14"/>
          <w:szCs w:val="14"/>
          <w:color w:val="auto"/>
        </w:rPr>
        <w:t>(42)</w:t>
      </w:r>
    </w:p>
    <w:p>
      <w:pPr>
        <w:ind w:left="180"/>
        <w:spacing w:after="0" w:line="237" w:lineRule="auto"/>
        <w:tabs>
          <w:tab w:leader="dot" w:pos="6020" w:val="left"/>
        </w:tabs>
        <w:rPr>
          <w:sz w:val="20"/>
          <w:szCs w:val="20"/>
          <w:color w:val="auto"/>
        </w:rPr>
      </w:pPr>
      <w:r>
        <w:rPr>
          <w:rFonts w:ascii="Courier New" w:cs="Courier New" w:eastAsia="Courier New" w:hAnsi="Courier New"/>
          <w:sz w:val="16"/>
          <w:szCs w:val="16"/>
          <w:color w:val="auto"/>
        </w:rPr>
        <w:t>Acquisitions, divestitures and other adjustments</w:t>
      </w:r>
      <w:r>
        <w:rPr>
          <w:sz w:val="20"/>
          <w:szCs w:val="20"/>
          <w:color w:val="auto"/>
        </w:rPr>
        <w:tab/>
      </w:r>
      <w:r>
        <w:rPr>
          <w:rFonts w:ascii="Courier New" w:cs="Courier New" w:eastAsia="Courier New" w:hAnsi="Courier New"/>
          <w:sz w:val="16"/>
          <w:szCs w:val="16"/>
          <w:color w:val="auto"/>
        </w:rPr>
        <w:t>9</w:t>
      </w:r>
    </w:p>
    <w:p>
      <w:pPr>
        <w:ind w:left="5760"/>
        <w:spacing w:after="0" w:line="237" w:lineRule="auto"/>
        <w:rPr>
          <w:sz w:val="20"/>
          <w:szCs w:val="20"/>
          <w:color w:val="auto"/>
        </w:rPr>
      </w:pPr>
      <w:r>
        <w:rPr>
          <w:rFonts w:ascii="Courier New" w:cs="Courier New" w:eastAsia="Courier New" w:hAnsi="Courier New"/>
          <w:sz w:val="16"/>
          <w:szCs w:val="16"/>
          <w:color w:val="auto"/>
        </w:rPr>
        <w:t>----</w:t>
      </w:r>
    </w:p>
    <w:p>
      <w:pPr>
        <w:spacing w:after="0"/>
        <w:tabs>
          <w:tab w:leader="dot" w:pos="5740" w:val="left"/>
        </w:tabs>
        <w:rPr>
          <w:sz w:val="20"/>
          <w:szCs w:val="20"/>
          <w:color w:val="auto"/>
        </w:rPr>
      </w:pPr>
      <w:r>
        <w:rPr>
          <w:rFonts w:ascii="Courier New" w:cs="Courier New" w:eastAsia="Courier New" w:hAnsi="Courier New"/>
          <w:sz w:val="16"/>
          <w:szCs w:val="16"/>
          <w:color w:val="auto"/>
        </w:rPr>
        <w:t>June 30, 2001</w:t>
      </w:r>
      <w:r>
        <w:rPr>
          <w:sz w:val="20"/>
          <w:szCs w:val="20"/>
          <w:color w:val="auto"/>
        </w:rPr>
        <w:tab/>
      </w:r>
      <w:r>
        <w:rPr>
          <w:rFonts w:ascii="Courier New" w:cs="Courier New" w:eastAsia="Courier New" w:hAnsi="Courier New"/>
          <w:sz w:val="14"/>
          <w:szCs w:val="14"/>
          <w:color w:val="auto"/>
        </w:rPr>
        <w:t>$963</w:t>
      </w:r>
    </w:p>
    <w:p>
      <w:pPr>
        <w:ind w:left="57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69" w:right="1440" w:bottom="0" w:gutter="0" w:footer="0" w:header="0"/>
        </w:sectPr>
      </w:pP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219"/>
          </w:cols>
          <w:pgMar w:left="240" w:top="269" w:right="1440" w:bottom="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COMMITMENTS AND CONTINGENCIES</w:t>
      </w:r>
    </w:p>
    <w:p>
      <w:pPr>
        <w:spacing w:after="0" w:line="177" w:lineRule="exact"/>
        <w:rPr>
          <w:sz w:val="20"/>
          <w:szCs w:val="20"/>
          <w:color w:val="auto"/>
        </w:rPr>
      </w:pPr>
    </w:p>
    <w:p>
      <w:pPr>
        <w:ind w:right="2879" w:firstLine="465"/>
        <w:spacing w:after="0" w:line="285" w:lineRule="auto"/>
        <w:rPr>
          <w:sz w:val="20"/>
          <w:szCs w:val="20"/>
          <w:color w:val="auto"/>
        </w:rPr>
      </w:pPr>
      <w:r>
        <w:rPr>
          <w:rFonts w:ascii="Courier New" w:cs="Courier New" w:eastAsia="Courier New" w:hAnsi="Courier New"/>
          <w:sz w:val="14"/>
          <w:szCs w:val="14"/>
          <w:color w:val="auto"/>
        </w:rPr>
        <w:t>Financial instruments -- Letters of credit, performance bonds, and insurance policies have been provided by the Company to support tax-exempt bonds, contracts, performance of landfill final closure and post-closure requirements, and other obligations. The Company uses captive insurance, or insurance policies issued by a wholly-owned insurance company subsidiary, the sole business of which is to issue such policies to the Company. In those instances where the use of captive insurance is not acceptable, the Company has available alternative bonding mechanisms. The Company has not experienced difficulty in obtaining performance bonds or letters of credit for its current operations. Because virtually no claims have been made against these financial instruments in the past, management does not expect these instruments will have a material adverse effect on the Company's consolidated financial statements.</w:t>
      </w:r>
    </w:p>
    <w:p>
      <w:pPr>
        <w:spacing w:after="0" w:line="254" w:lineRule="exact"/>
        <w:rPr>
          <w:sz w:val="20"/>
          <w:szCs w:val="20"/>
          <w:color w:val="auto"/>
        </w:rPr>
      </w:pPr>
    </w:p>
    <w:p>
      <w:pPr>
        <w:ind w:right="2779" w:firstLine="465"/>
        <w:spacing w:after="0" w:line="244" w:lineRule="auto"/>
        <w:rPr>
          <w:sz w:val="20"/>
          <w:szCs w:val="20"/>
          <w:color w:val="auto"/>
        </w:rPr>
      </w:pPr>
      <w:r>
        <w:rPr>
          <w:rFonts w:ascii="Courier New" w:cs="Courier New" w:eastAsia="Courier New" w:hAnsi="Courier New"/>
          <w:sz w:val="16"/>
          <w:szCs w:val="16"/>
          <w:color w:val="auto"/>
        </w:rPr>
        <w:t>For the 14 months ending January 1, 2000, the Company insured certain risks, including auto, general and workers' compensation, with Reliance National Insurance Company ("Reliance"). On May 29, 2001 a Pennsylvania Court entered an order appointing the Pennsylvania Insurance Commissioner as Rehabilitator and directing the Rehabilitator to take immediate possession of Reliance's assets and business. On June 11, 2001, Reliance's ultimate parent, Reliance Group Holdings, Inc., filed for bankruptcy under Chapter 11 of the United States Bankruptcy Code of 1978, as amended (the "Bankruptcy Code"). As a result of these developments, Reliance may not be able to honor all future claims against the Company that it insured. It is not possible to predict the outcome of the litigation that might be subject to this insurance coverage, nor is it possible at this time to predict the outcome of Reliance's rehabilitation. At the present time, Reliance continues to honor its obligations and continues to pay claims. However, management is currently unable to predict the outcome of this situation.</w:t>
      </w:r>
    </w:p>
    <w:p>
      <w:pPr>
        <w:spacing w:after="0" w:line="98" w:lineRule="exact"/>
        <w:rPr>
          <w:sz w:val="20"/>
          <w:szCs w:val="20"/>
          <w:color w:val="auto"/>
        </w:rPr>
      </w:pPr>
    </w:p>
    <w:p>
      <w:pPr>
        <w:ind w:right="2779" w:firstLine="465"/>
        <w:spacing w:after="0" w:line="281" w:lineRule="auto"/>
        <w:rPr>
          <w:sz w:val="20"/>
          <w:szCs w:val="20"/>
          <w:color w:val="auto"/>
        </w:rPr>
      </w:pPr>
      <w:r>
        <w:rPr>
          <w:rFonts w:ascii="Courier New" w:cs="Courier New" w:eastAsia="Courier New" w:hAnsi="Courier New"/>
          <w:sz w:val="14"/>
          <w:szCs w:val="14"/>
          <w:color w:val="auto"/>
        </w:rPr>
        <w:t>Credit risk -- During 2000, increases in wholesale power prices far exceeded the retail prices that certain California utilities were able to charge customers due to retail rate freezes, resulting in significant under recovery of costs for those utilities. As a result the utilities have faced severe financial drains. In April 2001, Pacific Gas and Electric Company ("PG&amp;E") filed for bankruptcy under Chapter 11 of the Bankruptcy Code, as amended. Certain of the Company's independent power projects ("IPPs") sell power to PG&amp;E under long-term contracts and were owed $34 from PG&amp;E as of June 30, 2001. On July 14, 2001, the bankruptcy court approved an agreement between these IPPs and PG&amp;E whereby PG&amp;E agreed to assume the contracts and pay the Company in full the past due amounts on the earlier of the effective date of PG&amp;E's plan of reorganization or July 15, 2005. The Company's IPPs also sell power to Southern California Edison, Inc. ("SCE") under long-term contracts similar to those with PG&amp;E. Although SCE has not filed for bankruptcy, it has also faced severe financial difficulties, and the Company's IPPs have a receivable from SCE of approximately $13 as of June 30, 2001.</w:t>
      </w:r>
    </w:p>
    <w:p>
      <w:pPr>
        <w:spacing w:after="0" w:line="256" w:lineRule="exact"/>
        <w:rPr>
          <w:sz w:val="20"/>
          <w:szCs w:val="20"/>
          <w:color w:val="auto"/>
        </w:rPr>
      </w:pPr>
    </w:p>
    <w:p>
      <w:pPr>
        <w:ind w:right="2879" w:firstLine="465"/>
        <w:spacing w:after="0" w:line="272" w:lineRule="auto"/>
        <w:rPr>
          <w:sz w:val="20"/>
          <w:szCs w:val="20"/>
          <w:color w:val="auto"/>
        </w:rPr>
      </w:pPr>
      <w:r>
        <w:rPr>
          <w:rFonts w:ascii="Courier New" w:cs="Courier New" w:eastAsia="Courier New" w:hAnsi="Courier New"/>
          <w:sz w:val="16"/>
          <w:szCs w:val="16"/>
          <w:color w:val="auto"/>
        </w:rPr>
        <w:t>This credit risk is a contingency which is not probable of assertion or susceptible to estimate at this time. Accordingly, the Company has not recorded an allowance for doubtful accounts associated with these receivables as of June 30, 2001.</w:t>
      </w:r>
    </w:p>
    <w:p>
      <w:pPr>
        <w:spacing w:after="0" w:line="73" w:lineRule="exact"/>
        <w:rPr>
          <w:sz w:val="20"/>
          <w:szCs w:val="20"/>
          <w:color w:val="auto"/>
        </w:rPr>
      </w:pPr>
    </w:p>
    <w:p>
      <w:pPr>
        <w:ind w:right="2959" w:firstLine="465"/>
        <w:spacing w:after="0" w:line="292" w:lineRule="auto"/>
        <w:rPr>
          <w:sz w:val="20"/>
          <w:szCs w:val="20"/>
          <w:color w:val="auto"/>
        </w:rPr>
      </w:pPr>
      <w:r>
        <w:rPr>
          <w:rFonts w:ascii="Courier New" w:cs="Courier New" w:eastAsia="Courier New" w:hAnsi="Courier New"/>
          <w:sz w:val="14"/>
          <w:szCs w:val="14"/>
          <w:color w:val="auto"/>
        </w:rPr>
        <w:t>Environmental matters -- The business in which the Company is engaged is intrinsically connected with the protection of the environment. As such, a significant portion of the Company's operating costs and capital expenditures could be characterized as costs of environmental protection. Such costs may increase in the future as a result of legislation or regulation, however, the Company believes that in general it tends to benefit when environmental regulation increases, which may increase the demand for its services, and that it has the resources and experience to manage environmental risk.</w:t>
      </w:r>
    </w:p>
    <w:p>
      <w:pPr>
        <w:spacing w:after="0" w:line="66" w:lineRule="exact"/>
        <w:rPr>
          <w:sz w:val="20"/>
          <w:szCs w:val="20"/>
          <w:color w:val="auto"/>
        </w:rPr>
      </w:pPr>
    </w:p>
    <w:p>
      <w:pPr>
        <w:ind w:right="2959" w:firstLine="465"/>
        <w:spacing w:after="0" w:line="342" w:lineRule="auto"/>
        <w:rPr>
          <w:sz w:val="20"/>
          <w:szCs w:val="20"/>
          <w:color w:val="auto"/>
        </w:rPr>
      </w:pPr>
      <w:r>
        <w:rPr>
          <w:rFonts w:ascii="Courier New" w:cs="Courier New" w:eastAsia="Courier New" w:hAnsi="Courier New"/>
          <w:sz w:val="16"/>
          <w:szCs w:val="16"/>
          <w:color w:val="auto"/>
        </w:rPr>
        <w:t>For more information regarding commitments and contingencies with respect to environmental matters, see Note 5.</w:t>
      </w:r>
    </w:p>
    <w:p>
      <w:pPr>
        <w:spacing w:after="0" w:line="20" w:lineRule="exact"/>
        <w:rPr>
          <w:sz w:val="20"/>
          <w:szCs w:val="20"/>
          <w:color w:val="auto"/>
        </w:rPr>
      </w:pPr>
    </w:p>
    <w:p>
      <w:pPr>
        <w:ind w:right="2959" w:firstLine="465"/>
        <w:spacing w:after="0" w:line="249" w:lineRule="auto"/>
        <w:rPr>
          <w:sz w:val="20"/>
          <w:szCs w:val="20"/>
          <w:color w:val="auto"/>
        </w:rPr>
      </w:pPr>
      <w:r>
        <w:rPr>
          <w:rFonts w:ascii="Courier New" w:cs="Courier New" w:eastAsia="Courier New" w:hAnsi="Courier New"/>
          <w:sz w:val="16"/>
          <w:szCs w:val="16"/>
          <w:color w:val="auto"/>
        </w:rPr>
        <w:t>Litigation -- On July 16, 1998, the Company acquired Waste Management Holdings, Inc. ("WM Holdings") which was then known as Waste Management, Inc., but whose name was changed at the time of</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69"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right="2779"/>
        <w:spacing w:after="0" w:line="246" w:lineRule="auto"/>
        <w:rPr>
          <w:sz w:val="20"/>
          <w:szCs w:val="20"/>
          <w:color w:val="auto"/>
        </w:rPr>
      </w:pPr>
      <w:r>
        <w:rPr>
          <w:rFonts w:ascii="Courier New" w:cs="Courier New" w:eastAsia="Courier New" w:hAnsi="Courier New"/>
          <w:sz w:val="16"/>
          <w:szCs w:val="16"/>
          <w:color w:val="auto"/>
        </w:rPr>
        <w:t>the merger ("WM Holdings Merger"). In July 1998, a seller of a business to WM Holdings in exchange for WM Holdings common stock filed a class action alleging breach of warranty. In October 1999, the court certified a class consisting of all sellers of business assets to WM Holdings between January 1, 1990 and February 24, 1998 whose agreements contained express warranties regarding the accuracy of WM Holdings' financial statements. In March 2000, the certification order was upheld by the court of appeals and the trial court granted summary judgment on the breach of warranty claim in favor of all but certain members of the class whose claims may have expired under applicable statutes of limitations. The parties to the action have reached an agreement to settle these claims by the Company's payment of approximately $25. The settlement is subject to final non-appealable court approval.</w:t>
      </w:r>
    </w:p>
    <w:p>
      <w:pPr>
        <w:spacing w:after="0" w:line="96" w:lineRule="exact"/>
        <w:rPr>
          <w:sz w:val="20"/>
          <w:szCs w:val="20"/>
          <w:color w:val="auto"/>
        </w:rPr>
      </w:pPr>
    </w:p>
    <w:p>
      <w:pPr>
        <w:ind w:right="2959" w:firstLine="465"/>
        <w:spacing w:after="0" w:line="309" w:lineRule="auto"/>
        <w:rPr>
          <w:sz w:val="20"/>
          <w:szCs w:val="20"/>
          <w:color w:val="auto"/>
        </w:rPr>
      </w:pPr>
      <w:r>
        <w:rPr>
          <w:rFonts w:ascii="Courier New" w:cs="Courier New" w:eastAsia="Courier New" w:hAnsi="Courier New"/>
          <w:sz w:val="14"/>
          <w:szCs w:val="14"/>
          <w:color w:val="auto"/>
        </w:rPr>
        <w:t>In March 2000, a group of companies that sold assets to WM Holdings in exchange for common stock in March 1996 brought a separate action against the Company for breach of contract and fraud, among other things. The parties have agreed to resolve this dispute either through mediation or arbitration. The extent of damages, if any, in the dispute has not yet been determined.</w:t>
      </w:r>
    </w:p>
    <w:p>
      <w:pPr>
        <w:spacing w:after="0" w:line="52" w:lineRule="exact"/>
        <w:rPr>
          <w:sz w:val="20"/>
          <w:szCs w:val="20"/>
          <w:color w:val="auto"/>
        </w:rPr>
      </w:pPr>
    </w:p>
    <w:p>
      <w:pPr>
        <w:ind w:right="2779" w:firstLine="465"/>
        <w:spacing w:after="0" w:line="293" w:lineRule="auto"/>
        <w:rPr>
          <w:sz w:val="20"/>
          <w:szCs w:val="20"/>
          <w:color w:val="auto"/>
        </w:rPr>
      </w:pPr>
      <w:r>
        <w:rPr>
          <w:rFonts w:ascii="Courier New" w:cs="Courier New" w:eastAsia="Courier New" w:hAnsi="Courier New"/>
          <w:sz w:val="14"/>
          <w:szCs w:val="14"/>
          <w:color w:val="auto"/>
        </w:rPr>
        <w:t>In December 1999, an individual brought an action against the Company, five former officers of WM Holdings, and WM Holdings' auditors in Illinois state court on behalf of a proposed class of individuals who purchased WM Holdings common stock before November 3, 1994, and who held that stock through February 24, 1998, for alleged acts of common law fraud, negligence, and breach of fiduciary duty. In May 2001, the court granted in part and denied in part the defendants' motion to dismiss. This action remains in its early stages and the extent of possible damages, if any, has not yet been determined.</w:t>
      </w:r>
    </w:p>
    <w:p>
      <w:pPr>
        <w:spacing w:after="0" w:line="255"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The Company is also aware that the SEC has commenced a formal investigation with respect to WM Holdings' previously filed financial statements for the calendar years in the period from 1993 through 1996 (which were subsequently restated in 1998) and related accounting policies, procedures and system of internal controls. The Company has cooperated fully with the investigation, and does not believe that the SEC will seek any action against the Company in connection with the investigation.</w:t>
      </w:r>
    </w:p>
    <w:p>
      <w:pPr>
        <w:spacing w:after="0" w:line="88" w:lineRule="exact"/>
        <w:rPr>
          <w:sz w:val="20"/>
          <w:szCs w:val="20"/>
          <w:color w:val="auto"/>
        </w:rPr>
      </w:pPr>
    </w:p>
    <w:p>
      <w:pPr>
        <w:ind w:right="2779" w:firstLine="465"/>
        <w:spacing w:after="0" w:line="285" w:lineRule="auto"/>
        <w:rPr>
          <w:sz w:val="20"/>
          <w:szCs w:val="20"/>
          <w:color w:val="auto"/>
        </w:rPr>
      </w:pPr>
      <w:r>
        <w:rPr>
          <w:rFonts w:ascii="Courier New" w:cs="Courier New" w:eastAsia="Courier New" w:hAnsi="Courier New"/>
          <w:sz w:val="14"/>
          <w:szCs w:val="14"/>
          <w:color w:val="auto"/>
        </w:rPr>
        <w:t>On July 6 and July 29, 1999, the Company announced that it had lowered its expected earnings per share for the three months ended June 30, 1999. On August 3, 1999, the Company provided additional information regarding its expected earnings for that period, including that its reported operating income for the three months ended March 31, 1999 might have included certain unusual pretax income items. More than 30 lawsuits based on one or more of these announcements were filed against the Company and certain of its current and former officers and directors. These lawsuits have been consolidated into a single action pending in the United States District Court for the Southern District of Texas. On May 8, 2000, the court entered an order appointing the Connecticut Retirement Plan and Trust Funds as lead plaintiff and appointing the law firm of Goodkind Labaton Rudoff &amp; Suchrow LLP as lead plaintiff's counsel.</w:t>
      </w:r>
    </w:p>
    <w:p>
      <w:pPr>
        <w:spacing w:after="0" w:line="254" w:lineRule="exact"/>
        <w:rPr>
          <w:sz w:val="20"/>
          <w:szCs w:val="20"/>
          <w:color w:val="auto"/>
        </w:rPr>
      </w:pPr>
    </w:p>
    <w:p>
      <w:pPr>
        <w:ind w:right="2779" w:firstLine="465"/>
        <w:spacing w:after="0" w:line="247" w:lineRule="auto"/>
        <w:rPr>
          <w:sz w:val="20"/>
          <w:szCs w:val="20"/>
          <w:color w:val="auto"/>
        </w:rPr>
      </w:pPr>
      <w:r>
        <w:rPr>
          <w:rFonts w:ascii="Courier New" w:cs="Courier New" w:eastAsia="Courier New" w:hAnsi="Courier New"/>
          <w:sz w:val="16"/>
          <w:szCs w:val="16"/>
          <w:color w:val="auto"/>
        </w:rPr>
        <w:t>The lead plaintiff filed its Amended Consolidated Class Action Complaint (the "Complaint") on July 14, 2000. The Complaint pleads claims on behalf of a putative class consisting of all purchasers of Company securities (including common stock, debentures and call options), and all sellers of put options, from June 11, 1998 through November 9, 1999. The Complaint also pleads additional claims on behalf of two putative subclasses: (i) the "Merger Subclass," consisting of all WM Holdings stockholders who received Company common stock pursuant to the WM Holdings Merger, and (ii) the "Eastern Merger Subclass," consisting of all Eastern Environmental Services, Inc. ("Eastern") stockholders who received Company common stock pursuant to the Company's acquisition of Eastern on December 31, 1998.</w:t>
      </w:r>
    </w:p>
    <w:p>
      <w:pPr>
        <w:spacing w:after="0" w:line="95" w:lineRule="exact"/>
        <w:rPr>
          <w:sz w:val="20"/>
          <w:szCs w:val="20"/>
          <w:color w:val="auto"/>
        </w:rPr>
      </w:pPr>
    </w:p>
    <w:p>
      <w:pPr>
        <w:ind w:right="2779" w:firstLine="465"/>
        <w:spacing w:after="0" w:line="254" w:lineRule="auto"/>
        <w:rPr>
          <w:sz w:val="20"/>
          <w:szCs w:val="20"/>
          <w:color w:val="auto"/>
        </w:rPr>
      </w:pPr>
      <w:r>
        <w:rPr>
          <w:rFonts w:ascii="Courier New" w:cs="Courier New" w:eastAsia="Courier New" w:hAnsi="Courier New"/>
          <w:sz w:val="16"/>
          <w:szCs w:val="16"/>
          <w:color w:val="auto"/>
        </w:rPr>
        <w:t>Among other things, the plaintiff alleges that the Company and certain of its current and former officers and directors (i) made misrepresentations in the registration statement and prospectus filed with the SEC in connection with the WM Holdings Merger, (ii) made knowingly false earnings projections for the three months ended June 30, 1999, (iii) failed to adequately disclose facts relating to its earnings projections that the plaintiff claims would have been material to purchasers of the Company's common stock and (iv) made</w:t>
      </w:r>
    </w:p>
    <w:p>
      <w:pPr>
        <w:sectPr>
          <w:pgSz w:w="11900" w:h="16838" w:orient="portrait"/>
          <w:cols w:equalWidth="0" w:num="1">
            <w:col w:w="10219"/>
          </w:cols>
          <w:pgMar w:left="240" w:top="269" w:right="1440" w:bottom="1440" w:gutter="0" w:footer="0" w:header="0"/>
        </w:sectPr>
      </w:pPr>
    </w:p>
    <w:p>
      <w:pPr>
        <w:spacing w:after="0" w:line="88"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19"/>
          </w:cols>
          <w:pgMar w:left="240" w:top="269"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right="2779"/>
        <w:spacing w:after="0" w:line="244" w:lineRule="auto"/>
        <w:rPr>
          <w:sz w:val="20"/>
          <w:szCs w:val="20"/>
          <w:color w:val="auto"/>
        </w:rPr>
      </w:pPr>
      <w:r>
        <w:rPr>
          <w:rFonts w:ascii="Courier New" w:cs="Courier New" w:eastAsia="Courier New" w:hAnsi="Courier New"/>
          <w:sz w:val="16"/>
          <w:szCs w:val="16"/>
          <w:color w:val="auto"/>
        </w:rPr>
        <w:t>separate and distinct misrepresentations about the Company's operations and finances on and after July 29, 1999, culminating in the Company's pre-tax charge of $1,763 in the third quarter of 1999. The plaintiff also alleges that certain of the Company's current and former officers and directors sold common stock between May 10, 1999 and June 9, 1999 at prices known to have been inflated by material misstatements and omissions. The plaintiff in this action seeks damages with interest, costs and such other relief as the court deems proper. Defendants filed a motion to dismiss on October 3, 2000, which is pending. The Company believes it has substantial defenses to the putative class action and continues to assert these defenses in the court in which the action is pending. At the same time, the Company has considered, and will continue to consider, potential settlement options that are appropriate and in the Company's best interest. No provision for any adverse determination in this pending litigation has been made because the amount of the loss, if any, from this action cannot be reasonably estimated at this time.</w:t>
      </w:r>
    </w:p>
    <w:p>
      <w:pPr>
        <w:spacing w:after="0" w:line="98"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On June 29, 2000, a putative class action was filed against the Company in Delaware state court by a class of former Eastern stockholders falling within the scope of the Eastern Merger Subclass described above. The plaintiffs allege that the Company stock they received in exchange for their Eastern shares was overvalued for the same reasons alleged in the consolidated class actions in Texas. On August 4, 2000, the Company removed the case from the state court to federal court and asked to have the case transferred to the Texas federal court where the consolidated Texas class action is pending. On September 1, 2000, the plaintiffs asked to remand the case to the Delaware state court, which the Company opposed. The plaintiffs also asked the Delaware federal court not to consider the Company's motion to transfer the case to Texas until it rules on the motion to remand. All motions currently are pending. The case is at an early stage, and the extent of possible damages, if any, cannot yet be determined.</w:t>
      </w:r>
    </w:p>
    <w:p>
      <w:pPr>
        <w:spacing w:after="0" w:line="260" w:lineRule="exact"/>
        <w:rPr>
          <w:sz w:val="20"/>
          <w:szCs w:val="20"/>
          <w:color w:val="auto"/>
        </w:rPr>
      </w:pPr>
    </w:p>
    <w:p>
      <w:pPr>
        <w:ind w:right="2959" w:firstLine="465"/>
        <w:spacing w:after="0" w:line="247" w:lineRule="auto"/>
        <w:rPr>
          <w:sz w:val="20"/>
          <w:szCs w:val="20"/>
          <w:color w:val="auto"/>
        </w:rPr>
      </w:pPr>
      <w:r>
        <w:rPr>
          <w:rFonts w:ascii="Courier New" w:cs="Courier New" w:eastAsia="Courier New" w:hAnsi="Courier New"/>
          <w:sz w:val="16"/>
          <w:szCs w:val="16"/>
          <w:color w:val="auto"/>
        </w:rPr>
        <w:t>Two lawsuits are pending against the Company that were brought by individuals who received common stock in the sales of their businesses to the Company or to a company later acquired by the Company. For reasons similar to those alleged in the class actions described above, the sellers of the businesses allege that the stock they received was overvalued. One of these cases is pending in the Virginia state court and one has been removed from the Michigan state court and is now pending in federal court in Michigan. In the latter, the plaintiffs have moved to remand the case to the Michigan state court, and the Company has opposed the motion, which is pending. Each of these cases is at an early stage and the extent of possible damages, if any, cannot yet be determined.</w:t>
      </w:r>
    </w:p>
    <w:p>
      <w:pPr>
        <w:spacing w:after="0" w:line="95" w:lineRule="exact"/>
        <w:rPr>
          <w:sz w:val="20"/>
          <w:szCs w:val="20"/>
          <w:color w:val="auto"/>
        </w:rPr>
      </w:pPr>
    </w:p>
    <w:p>
      <w:pPr>
        <w:ind w:right="2779" w:firstLine="465"/>
        <w:spacing w:after="0" w:line="245" w:lineRule="auto"/>
        <w:rPr>
          <w:sz w:val="20"/>
          <w:szCs w:val="20"/>
          <w:color w:val="auto"/>
        </w:rPr>
      </w:pPr>
      <w:r>
        <w:rPr>
          <w:rFonts w:ascii="Courier New" w:cs="Courier New" w:eastAsia="Courier New" w:hAnsi="Courier New"/>
          <w:sz w:val="16"/>
          <w:szCs w:val="16"/>
          <w:color w:val="auto"/>
        </w:rPr>
        <w:t>On June 14, 2001, the Company filed a motion with the Judicial Panel on Multidistrict Litigation (the "MDL Panel") to transfer certain cases to the United States District Court for the Southern District of Texas for coordinated or consolidated pre-trial proceedings. The transfer motion covers all cases that are pending in or might later be filed in or removed to other federal courts and that relate to the claims asserted against the Company in the consolidated putative class actions pending in the Texas court that are described above. The transfer motion therefore covers the Delaware putative class action and the Michigan case, both described above. Immediately after filing its motion with the MDL Panel, the Company moved to stay the Delaware and Michigan cases until the MDL Panel rules on the transfer motion. The Delaware and Michigan plaintiffs have opposed the Company's MDL transfer motion and the stay motions. All motions are currently pending.</w:t>
      </w:r>
    </w:p>
    <w:p>
      <w:pPr>
        <w:spacing w:after="0" w:line="99" w:lineRule="exact"/>
        <w:rPr>
          <w:sz w:val="20"/>
          <w:szCs w:val="20"/>
          <w:color w:val="auto"/>
        </w:rPr>
      </w:pPr>
    </w:p>
    <w:p>
      <w:pPr>
        <w:ind w:right="2879" w:firstLine="465"/>
        <w:spacing w:after="0" w:line="245" w:lineRule="auto"/>
        <w:rPr>
          <w:sz w:val="20"/>
          <w:szCs w:val="20"/>
          <w:color w:val="auto"/>
        </w:rPr>
      </w:pPr>
      <w:r>
        <w:rPr>
          <w:rFonts w:ascii="Courier New" w:cs="Courier New" w:eastAsia="Courier New" w:hAnsi="Courier New"/>
          <w:sz w:val="16"/>
          <w:szCs w:val="16"/>
          <w:color w:val="auto"/>
        </w:rPr>
        <w:t>In addition, three derivative lawsuits have been filed against certain current and former officers and directors of the Company alleging derivative claims on behalf of the Company against these individuals for breaches of fiduciary duty resulting from their common stock sales during the three months ended June 30, 1999 and/or their oversight of the Company's affairs. Two of the lawsuits, filed in the Chancery Court of the State of Delaware on July 16, 1999 and August 18, 1999, were consolidated into a single action. The third suit was filed in the United States District Court for the Southern District of Texas on July 27, 1999. Both of the lawsuits name the Company as a nominal defendant and seek compensatory and punitive damages with interest, equitable and/or injunctive relief, costs and such other relief as the courts deem proper. On December 1, 2000, the Company moved to dismiss the consolidated derivative suit in Delaware. The same</w:t>
      </w:r>
    </w:p>
    <w:p>
      <w:pPr>
        <w:sectPr>
          <w:pgSz w:w="11900" w:h="16838" w:orient="portrait"/>
          <w:cols w:equalWidth="0" w:num="1">
            <w:col w:w="10219"/>
          </w:cols>
          <w:pgMar w:left="240" w:top="269" w:right="1440" w:bottom="1440" w:gutter="0" w:footer="0" w:header="0"/>
        </w:sectPr>
      </w:pPr>
    </w:p>
    <w:p>
      <w:pPr>
        <w:spacing w:after="0" w:line="99"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19"/>
          </w:cols>
          <w:pgMar w:left="240" w:top="269" w:right="1440" w:bottom="1440" w:gutter="0" w:footer="0" w:header="0"/>
          <w:type w:val="continuous"/>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right="2779"/>
        <w:spacing w:after="0" w:line="246" w:lineRule="auto"/>
        <w:rPr>
          <w:sz w:val="20"/>
          <w:szCs w:val="20"/>
          <w:color w:val="auto"/>
        </w:rPr>
      </w:pPr>
      <w:r>
        <w:rPr>
          <w:rFonts w:ascii="Courier New" w:cs="Courier New" w:eastAsia="Courier New" w:hAnsi="Courier New"/>
          <w:sz w:val="16"/>
          <w:szCs w:val="16"/>
          <w:color w:val="auto"/>
        </w:rPr>
        <w:t>day, the Company asked the court in Texas to stay the Texas derivative suit until the Delaware court acts on the motion to dismiss. The Company and plaintiffs in the consolidated Delaware case have reached a settlement of the claims made in that case. The settlement has been submitted to the Delaware Chancery Court, which has issued a scheduling order and approved the mailing of the notice of the proposed settlement to stockholders. The Court has scheduled a hearing for September 2001 to consider whether to approve the settlement. If the Court approves the settlement, the plaintiffs in the Texas action will join with the Company in a motion to dismiss the Texas case. The Company is unable to predict whether the Delaware Chancery Court will approve the settlement; nor can the Company predict the outcome of the litigation if the settlement is not approved.</w:t>
      </w:r>
    </w:p>
    <w:p>
      <w:pPr>
        <w:spacing w:after="0" w:line="96"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A derivative lawsuit was filed on July 3, 2001 in Texas state court against the Company's independent auditor alleging derivative claims on behalf of the Company against the auditor for professional negligence, improper professional conduct and breach of contract in connection with certain services that the auditor performed for the Company. The Company, which is a nominal defendant in the lawsuit, is neutral with respect to the merits of the claims made in the suit. The Company's independent auditor has informed the Company that the complaint will not affect its independence as the Company's auditor. This action is in its early stages and the Company is unable to predict the outcome of the action at this time.</w:t>
      </w:r>
    </w:p>
    <w:p>
      <w:pPr>
        <w:spacing w:after="0" w:line="95" w:lineRule="exact"/>
        <w:rPr>
          <w:sz w:val="20"/>
          <w:szCs w:val="20"/>
          <w:color w:val="auto"/>
        </w:rPr>
      </w:pPr>
    </w:p>
    <w:p>
      <w:pPr>
        <w:ind w:right="2879" w:firstLine="465"/>
        <w:spacing w:after="0" w:line="288" w:lineRule="auto"/>
        <w:rPr>
          <w:sz w:val="20"/>
          <w:szCs w:val="20"/>
          <w:color w:val="auto"/>
        </w:rPr>
      </w:pPr>
      <w:r>
        <w:rPr>
          <w:rFonts w:ascii="Courier New" w:cs="Courier New" w:eastAsia="Courier New" w:hAnsi="Courier New"/>
          <w:sz w:val="14"/>
          <w:szCs w:val="14"/>
          <w:color w:val="auto"/>
        </w:rPr>
        <w:t>Two groups of stockholders have filed separate lawsuits in state courts in Texas against the Company and certain of its former officers. The petitions allege that the plaintiffs are substantial shareholders of the Company's common stock who intended to sell their stock in 1999, or otherwise protect against loss, but that the individual defendants made false and misleading statements regarding the Company's prospects that, along with public statements, induced the plaintiffs to retain their stock. Plaintiffs assert that the value of their retained stock declined dramatically. Plaintiffs asserted claims for fraud, negligent misrepresentation, and conspiracy. The cases are in early stages and the extent of damages, if any, cannot yet be determined.</w:t>
      </w:r>
    </w:p>
    <w:p>
      <w:pPr>
        <w:spacing w:after="0" w:line="255" w:lineRule="exact"/>
        <w:rPr>
          <w:sz w:val="20"/>
          <w:szCs w:val="20"/>
          <w:color w:val="auto"/>
        </w:rPr>
      </w:pPr>
    </w:p>
    <w:p>
      <w:pPr>
        <w:ind w:right="2779" w:firstLine="465"/>
        <w:spacing w:after="0" w:line="282" w:lineRule="auto"/>
        <w:rPr>
          <w:sz w:val="20"/>
          <w:szCs w:val="20"/>
          <w:color w:val="auto"/>
        </w:rPr>
      </w:pPr>
      <w:r>
        <w:rPr>
          <w:rFonts w:ascii="Courier New" w:cs="Courier New" w:eastAsia="Courier New" w:hAnsi="Courier New"/>
          <w:sz w:val="14"/>
          <w:szCs w:val="14"/>
          <w:color w:val="auto"/>
        </w:rPr>
        <w:t>The Company is engaged in a business that is intrinsically connected with the protection of the environment and for which there is the potential for the unintended or unpermitted discharge of materials into the environment. From time to time, the Company pays fines or penalties in environmental proceedings relating primarily to waste treatment, storage or disposal facilities. As of June 30, 2001, there were four proceedings involving Company subsidiaries where the sanctions involved could potentially exceed one hundred thousand dollars. The matters involve allegations that subsidiaries (i) operated a hazardous waste incinerator in such a way that its air emissions exceeded permit limits, (ii) engaged in the importation and disposal of hazardous waste in contravention of applicable federal regulations, (iii) disposed of waste outside of the disposal area designated by the applicable permit, and (iv) violated state department of environmental protection and state department of transportation laws, rules and regulations relating to waste hauling vehicles.</w:t>
      </w:r>
    </w:p>
    <w:p>
      <w:pPr>
        <w:spacing w:after="0" w:line="261" w:lineRule="exact"/>
        <w:rPr>
          <w:sz w:val="20"/>
          <w:szCs w:val="20"/>
          <w:color w:val="auto"/>
        </w:rPr>
      </w:pPr>
    </w:p>
    <w:p>
      <w:pPr>
        <w:ind w:right="2779" w:firstLine="465"/>
        <w:spacing w:after="0" w:line="248" w:lineRule="auto"/>
        <w:rPr>
          <w:sz w:val="20"/>
          <w:szCs w:val="20"/>
          <w:color w:val="auto"/>
        </w:rPr>
      </w:pPr>
      <w:r>
        <w:rPr>
          <w:rFonts w:ascii="Courier New" w:cs="Courier New" w:eastAsia="Courier New" w:hAnsi="Courier New"/>
          <w:sz w:val="16"/>
          <w:szCs w:val="16"/>
          <w:color w:val="auto"/>
        </w:rPr>
        <w:t>On July 29, 1998, the EPA inspected one of the Company's subsidiaries' operations, and notified the Company of alleged violations relating to the disposal of chlorofluorocarbons ("CFCs"). In January 1999, the EPA issued an Administrative Order requiring the Company's subsidiary to comply with the CFC regulations. In June 1999, the Company was notified that the EPA is conducting a civil investigation relating to the alleged CFC disposal violations to determine whether further enforcement measures are warranted. The Company and its subsidiary are cooperating with the investigation and the Company believes that the ultimate outcome of this matter will not have a material adverse effect on the Company's financial statements.</w:t>
      </w:r>
    </w:p>
    <w:p>
      <w:pPr>
        <w:spacing w:after="0" w:line="95" w:lineRule="exact"/>
        <w:rPr>
          <w:sz w:val="20"/>
          <w:szCs w:val="20"/>
          <w:color w:val="auto"/>
        </w:rPr>
      </w:pPr>
    </w:p>
    <w:p>
      <w:pPr>
        <w:ind w:right="2779" w:firstLine="465"/>
        <w:spacing w:after="0"/>
        <w:rPr>
          <w:sz w:val="20"/>
          <w:szCs w:val="20"/>
          <w:color w:val="auto"/>
        </w:rPr>
      </w:pPr>
      <w:r>
        <w:rPr>
          <w:rFonts w:ascii="Courier New" w:cs="Courier New" w:eastAsia="Courier New" w:hAnsi="Courier New"/>
          <w:sz w:val="16"/>
          <w:szCs w:val="16"/>
          <w:color w:val="auto"/>
        </w:rPr>
        <w:t>The Company has brought suit against numerous insurance carriers in an action entitled Waste Management, Inc., et al. v. The Admiral Insurance Company, et al., pending in the Superior Court in Hudson County, New Jersey. The Company is seeking (i) a declaratory judgment that past and future environmental liabilities asserted against it or its subsidiaries are covered by its insurance policies and (ii) to recover defense and remediation costs and other damages incurred as a result of the insurance carriers' denial of coverage of environmental liabilities. The defendants have denied liability and are contesting the claims vigorously. Discovery is complete as to 12 of approximately 134 sites, but remaining discovery could go on for years. In</w:t>
      </w: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69"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right="2879"/>
        <w:spacing w:after="0" w:line="292" w:lineRule="auto"/>
        <w:rPr>
          <w:sz w:val="20"/>
          <w:szCs w:val="20"/>
          <w:color w:val="auto"/>
        </w:rPr>
      </w:pPr>
      <w:r>
        <w:rPr>
          <w:rFonts w:ascii="Courier New" w:cs="Courier New" w:eastAsia="Courier New" w:hAnsi="Courier New"/>
          <w:sz w:val="14"/>
          <w:szCs w:val="14"/>
          <w:color w:val="auto"/>
        </w:rPr>
        <w:t>August 2000, the court denied the insurance carriers' motions for summary judgment with respect to five of the sites where discovery is complete and at the same time granted summary judgment in favor of the Company for defense and indemnity with respect to one of the sites. A trial date has been set for October 2001 with respect to five of the sites where discovery is complete, and the court has ordered the parties to mediate prior to trial. The Company is unable at this time to predict the outcome of this proceeding. No amounts have been recognized in the Company's financial statements for potential recoveries.</w:t>
      </w:r>
    </w:p>
    <w:p>
      <w:pPr>
        <w:spacing w:after="0" w:line="66"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It is not possible at this time to predict the impact that the above lawsuits, proceedings, investigations and inquiries may have on the Company, nor is it possible to predict whether any other suits or claims may arise out of these matters in the future. The Company and each of its subsidiaries intend to defend themselves vigorously in all the above matters. However, it is reasonably possible that the outcome of any present or future litigation, proceedings, investigations or inquiries may have a material adverse impact on their respective financial conditions or results of operations in one or more future periods.</w:t>
      </w:r>
    </w:p>
    <w:p>
      <w:pPr>
        <w:spacing w:after="0" w:line="90" w:lineRule="exact"/>
        <w:rPr>
          <w:sz w:val="20"/>
          <w:szCs w:val="20"/>
          <w:color w:val="auto"/>
        </w:rPr>
      </w:pPr>
    </w:p>
    <w:p>
      <w:pPr>
        <w:ind w:right="2779" w:firstLine="465"/>
        <w:spacing w:after="0" w:line="309" w:lineRule="auto"/>
        <w:rPr>
          <w:sz w:val="20"/>
          <w:szCs w:val="20"/>
          <w:color w:val="auto"/>
        </w:rPr>
      </w:pPr>
      <w:r>
        <w:rPr>
          <w:rFonts w:ascii="Courier New" w:cs="Courier New" w:eastAsia="Courier New" w:hAnsi="Courier New"/>
          <w:sz w:val="14"/>
          <w:szCs w:val="14"/>
          <w:color w:val="auto"/>
        </w:rPr>
        <w:t>The Company and certain of its subsidiaries are also currently involved in other routine civil litigation and governmental proceedings relating to the conduct of their business. The outcome of any particular lawsuit or governmental investigation cannot be predicted with certainty and these matters could have a material adverse impact on the Company's financial statements.</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SEGMENT AND RELATED INFORMATION</w:t>
      </w:r>
    </w:p>
    <w:p>
      <w:pPr>
        <w:spacing w:after="0" w:line="177" w:lineRule="exact"/>
        <w:rPr>
          <w:sz w:val="20"/>
          <w:szCs w:val="20"/>
          <w:color w:val="auto"/>
        </w:rPr>
      </w:pPr>
    </w:p>
    <w:p>
      <w:pPr>
        <w:ind w:right="2779" w:firstLine="465"/>
        <w:spacing w:after="0" w:line="243" w:lineRule="auto"/>
        <w:rPr>
          <w:sz w:val="20"/>
          <w:szCs w:val="20"/>
          <w:color w:val="auto"/>
        </w:rPr>
      </w:pPr>
      <w:r>
        <w:rPr>
          <w:rFonts w:ascii="Courier New" w:cs="Courier New" w:eastAsia="Courier New" w:hAnsi="Courier New"/>
          <w:sz w:val="16"/>
          <w:szCs w:val="16"/>
          <w:color w:val="auto"/>
        </w:rPr>
        <w:t>The Company's North American solid waste, or "NASW," operations is the Company's principal reportable segment. This segment provides integrated waste management services consisting of collection, transfer, disposal (solid waste landfill, hazardous waste landfill and waste-to-energy facilities), recycling, and other related services to commercial, industrial, municipal and residential customers in North America. The Company's other operating units consist of waste management services in international markets outside of North America and non-solid waste services. These operating units were disclosed separately in the Company's Form 10-K for the year ended December 31, 2000. However, both are aggregated in a single column ("Other") for this reporting presentation. During 2000, the Company sold substantially all of its waste management operations outside of North America and many of its non-solid waste businesses. The remaining waste management operations outside of North America and the remaining non-solid waste businesses are actively being marketed for sale and are classified as held-for-sale as of June 30, 2001 for financial reporting purposes.</w:t>
      </w:r>
    </w:p>
    <w:p>
      <w:pPr>
        <w:spacing w:after="0" w:line="10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69" w:right="1440" w:bottom="1440" w:gutter="0" w:footer="0" w:header="0"/>
        </w:sectPr>
      </w:pPr>
    </w:p>
    <w:bookmarkStart w:id="15" w:name="page16"/>
    <w:bookmarkEnd w:id="15"/>
    <w:p>
      <w:pPr>
        <w:ind w:left="285"/>
        <w:spacing w:after="0"/>
        <w:rPr>
          <w:sz w:val="20"/>
          <w:szCs w:val="20"/>
          <w:color w:val="auto"/>
        </w:rPr>
      </w:pPr>
      <w:r>
        <w:rPr>
          <w:rFonts w:ascii="Courier New" w:cs="Courier New" w:eastAsia="Courier New" w:hAnsi="Courier New"/>
          <w:sz w:val="16"/>
          <w:szCs w:val="16"/>
          <w:color w:val="auto"/>
        </w:rPr>
        <w:t>16</w:t>
      </w:r>
    </w:p>
    <w:p>
      <w:pPr>
        <w:spacing w:after="0" w:line="26"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left="5" w:right="3439" w:firstLine="465"/>
        <w:spacing w:after="0" w:line="342" w:lineRule="auto"/>
        <w:rPr>
          <w:sz w:val="20"/>
          <w:szCs w:val="20"/>
          <w:color w:val="auto"/>
        </w:rPr>
      </w:pPr>
      <w:r>
        <w:rPr>
          <w:rFonts w:ascii="Courier New" w:cs="Courier New" w:eastAsia="Courier New" w:hAnsi="Courier New"/>
          <w:sz w:val="16"/>
          <w:szCs w:val="16"/>
          <w:color w:val="auto"/>
        </w:rPr>
        <w:t>Summarized financial information concerning the Company's reportable segments is shown in the following table.</w:t>
      </w:r>
    </w:p>
    <w:p>
      <w:pPr>
        <w:spacing w:after="0" w:line="20"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CORPORATE NASW OTHER FUNCTIONS(A) TOTAL</w:t>
      </w:r>
    </w:p>
    <w:tbl>
      <w:tblPr>
        <w:tblLayout w:type="fixed"/>
        <w:tblInd w:w="5" w:type="dxa"/>
        <w:tblCellMar>
          <w:top w:w="0" w:type="dxa"/>
          <w:left w:w="0" w:type="dxa"/>
          <w:bottom w:w="0" w:type="dxa"/>
          <w:right w:w="0" w:type="dxa"/>
        </w:tblCellMar>
      </w:tblPr>
      <w:tr>
        <w:trPr>
          <w:trHeight w:val="177"/>
        </w:trPr>
        <w:tc>
          <w:tcPr>
            <w:tcW w:w="1260" w:type="dxa"/>
            <w:vAlign w:val="bottom"/>
          </w:tcPr>
          <w:p>
            <w:pPr>
              <w:jc w:val="center"/>
              <w:spacing w:after="0" w:line="176" w:lineRule="exact"/>
              <w:rPr>
                <w:sz w:val="20"/>
                <w:szCs w:val="20"/>
                <w:color w:val="auto"/>
              </w:rPr>
            </w:pPr>
            <w:r>
              <w:rPr>
                <w:rFonts w:ascii="Courier New" w:cs="Courier New" w:eastAsia="Courier New" w:hAnsi="Courier New"/>
                <w:sz w:val="16"/>
                <w:szCs w:val="16"/>
                <w:color w:val="auto"/>
                <w:w w:val="97"/>
              </w:rPr>
              <w:t>------ -----</w:t>
            </w:r>
          </w:p>
        </w:tc>
        <w:tc>
          <w:tcPr>
            <w:tcW w:w="180" w:type="dxa"/>
            <w:vAlign w:val="bottom"/>
          </w:tcPr>
          <w:p>
            <w:pPr>
              <w:ind w:left="40"/>
              <w:spacing w:after="0"/>
              <w:rPr>
                <w:sz w:val="20"/>
                <w:szCs w:val="20"/>
                <w:color w:val="auto"/>
              </w:rPr>
            </w:pPr>
            <w:r>
              <w:rPr>
                <w:rFonts w:ascii="Courier New" w:cs="Courier New" w:eastAsia="Courier New" w:hAnsi="Courier New"/>
                <w:sz w:val="2"/>
                <w:szCs w:val="2"/>
                <w:color w:val="auto"/>
                <w:w w:val="82"/>
              </w:rPr>
              <w:t>------------</w:t>
            </w:r>
          </w:p>
        </w:tc>
        <w:tc>
          <w:tcPr>
            <w:tcW w:w="2240" w:type="dxa"/>
            <w:vAlign w:val="bottom"/>
          </w:tcPr>
          <w:p>
            <w:pPr>
              <w:jc w:val="right"/>
              <w:spacing w:after="0" w:line="176" w:lineRule="exact"/>
              <w:rPr>
                <w:sz w:val="20"/>
                <w:szCs w:val="20"/>
                <w:color w:val="auto"/>
              </w:rPr>
            </w:pPr>
            <w:r>
              <w:rPr>
                <w:rFonts w:ascii="Courier New" w:cs="Courier New" w:eastAsia="Courier New" w:hAnsi="Courier New"/>
                <w:sz w:val="16"/>
                <w:szCs w:val="16"/>
                <w:color w:val="auto"/>
              </w:rPr>
              <w:t>------ THREE</w:t>
            </w:r>
          </w:p>
        </w:tc>
        <w:tc>
          <w:tcPr>
            <w:tcW w:w="0" w:type="dxa"/>
            <w:vAlign w:val="bottom"/>
          </w:tcPr>
          <w:p>
            <w:pPr>
              <w:spacing w:after="0"/>
              <w:rPr>
                <w:sz w:val="1"/>
                <w:szCs w:val="1"/>
                <w:color w:val="auto"/>
              </w:rPr>
            </w:pPr>
          </w:p>
        </w:tc>
      </w:tr>
      <w:tr>
        <w:trPr>
          <w:trHeight w:val="179"/>
        </w:trPr>
        <w:tc>
          <w:tcPr>
            <w:tcW w:w="36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MONTHS ENDED: June 30, 2001 Net</w:t>
            </w:r>
          </w:p>
        </w:tc>
        <w:tc>
          <w:tcPr>
            <w:tcW w:w="0" w:type="dxa"/>
            <w:vAlign w:val="bottom"/>
          </w:tcPr>
          <w:p>
            <w:pPr>
              <w:spacing w:after="0"/>
              <w:rPr>
                <w:sz w:val="1"/>
                <w:szCs w:val="1"/>
                <w:color w:val="auto"/>
              </w:rPr>
            </w:pPr>
          </w:p>
        </w:tc>
      </w:tr>
      <w:tr>
        <w:trPr>
          <w:trHeight w:val="261"/>
        </w:trPr>
        <w:tc>
          <w:tcPr>
            <w:tcW w:w="144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3"/>
              </w:rPr>
              <w:t>revenues(b).............................</w:t>
            </w:r>
          </w:p>
        </w:tc>
        <w:tc>
          <w:tcPr>
            <w:tcW w:w="2240" w:type="dxa"/>
            <w:vAlign w:val="bottom"/>
          </w:tcPr>
          <w:p>
            <w:pPr>
              <w:jc w:val="center"/>
              <w:ind w:right="1322"/>
              <w:spacing w:after="0"/>
              <w:rPr>
                <w:sz w:val="20"/>
                <w:szCs w:val="20"/>
                <w:color w:val="auto"/>
              </w:rPr>
            </w:pPr>
            <w:r>
              <w:rPr>
                <w:rFonts w:ascii="Courier New" w:cs="Courier New" w:eastAsia="Courier New" w:hAnsi="Courier New"/>
                <w:sz w:val="16"/>
                <w:szCs w:val="16"/>
                <w:color w:val="auto"/>
                <w:w w:val="97"/>
              </w:rPr>
              <w:t>operating</w:t>
            </w:r>
          </w:p>
        </w:tc>
        <w:tc>
          <w:tcPr>
            <w:tcW w:w="0" w:type="dxa"/>
            <w:vAlign w:val="bottom"/>
          </w:tcPr>
          <w:p>
            <w:pPr>
              <w:spacing w:after="0"/>
              <w:rPr>
                <w:sz w:val="1"/>
                <w:szCs w:val="1"/>
                <w:color w:val="auto"/>
              </w:rPr>
            </w:pPr>
          </w:p>
        </w:tc>
      </w:tr>
      <w:tr>
        <w:trPr>
          <w:trHeight w:val="97"/>
        </w:trPr>
        <w:tc>
          <w:tcPr>
            <w:tcW w:w="1260" w:type="dxa"/>
            <w:vAlign w:val="bottom"/>
            <w:vMerge w:val="continue"/>
          </w:tcPr>
          <w:p>
            <w:pPr>
              <w:spacing w:after="0"/>
              <w:rPr>
                <w:sz w:val="8"/>
                <w:szCs w:val="8"/>
                <w:color w:val="auto"/>
              </w:rPr>
            </w:pPr>
          </w:p>
        </w:tc>
        <w:tc>
          <w:tcPr>
            <w:tcW w:w="180" w:type="dxa"/>
            <w:vAlign w:val="bottom"/>
            <w:vMerge w:val="restart"/>
          </w:tcPr>
          <w:p>
            <w:pPr>
              <w:jc w:val="right"/>
              <w:ind w:right="46"/>
              <w:spacing w:after="0"/>
              <w:rPr>
                <w:sz w:val="20"/>
                <w:szCs w:val="20"/>
                <w:color w:val="auto"/>
              </w:rPr>
            </w:pPr>
            <w:r>
              <w:rPr>
                <w:rFonts w:ascii="Courier New" w:cs="Courier New" w:eastAsia="Courier New" w:hAnsi="Courier New"/>
                <w:sz w:val="14"/>
                <w:szCs w:val="14"/>
                <w:color w:val="auto"/>
                <w:w w:val="70"/>
              </w:rPr>
              <w:t>$</w:t>
            </w:r>
          </w:p>
        </w:tc>
        <w:tc>
          <w:tcPr>
            <w:tcW w:w="22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5"/>
              </w:rPr>
              <w:t>-- $2,915 EBIT(c), (d),</w:t>
            </w:r>
          </w:p>
        </w:tc>
        <w:tc>
          <w:tcPr>
            <w:tcW w:w="0" w:type="dxa"/>
            <w:vAlign w:val="bottom"/>
          </w:tcPr>
          <w:p>
            <w:pPr>
              <w:spacing w:after="0"/>
              <w:rPr>
                <w:sz w:val="1"/>
                <w:szCs w:val="1"/>
                <w:color w:val="auto"/>
              </w:rPr>
            </w:pPr>
          </w:p>
        </w:tc>
      </w:tr>
      <w:tr>
        <w:trPr>
          <w:trHeight w:val="179"/>
        </w:trPr>
        <w:tc>
          <w:tcPr>
            <w:tcW w:w="12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$2,819 $ 96</w:t>
            </w:r>
          </w:p>
        </w:tc>
        <w:tc>
          <w:tcPr>
            <w:tcW w:w="1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4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5"/>
              </w:rPr>
              <w:t>(f)................................</w:t>
            </w:r>
          </w:p>
        </w:tc>
        <w:tc>
          <w:tcPr>
            <w:tcW w:w="2240" w:type="dxa"/>
            <w:vAlign w:val="bottom"/>
          </w:tcPr>
          <w:p>
            <w:pPr>
              <w:jc w:val="center"/>
              <w:ind w:right="1342"/>
              <w:spacing w:after="0" w:line="179" w:lineRule="exact"/>
              <w:rPr>
                <w:sz w:val="20"/>
                <w:szCs w:val="20"/>
                <w:color w:val="auto"/>
              </w:rPr>
            </w:pPr>
            <w:r>
              <w:rPr>
                <w:rFonts w:ascii="Courier New" w:cs="Courier New" w:eastAsia="Courier New" w:hAnsi="Courier New"/>
                <w:sz w:val="16"/>
                <w:szCs w:val="16"/>
                <w:color w:val="auto"/>
                <w:w w:val="98"/>
              </w:rPr>
              <w:t>(e),</w:t>
            </w:r>
          </w:p>
        </w:tc>
        <w:tc>
          <w:tcPr>
            <w:tcW w:w="0" w:type="dxa"/>
            <w:vAlign w:val="bottom"/>
          </w:tcPr>
          <w:p>
            <w:pPr>
              <w:spacing w:after="0"/>
              <w:rPr>
                <w:sz w:val="1"/>
                <w:szCs w:val="1"/>
                <w:color w:val="auto"/>
              </w:rPr>
            </w:pPr>
          </w:p>
        </w:tc>
      </w:tr>
      <w:tr>
        <w:trPr>
          <w:trHeight w:val="179"/>
        </w:trPr>
        <w:tc>
          <w:tcPr>
            <w:tcW w:w="1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575</w:t>
            </w:r>
          </w:p>
        </w:tc>
        <w:tc>
          <w:tcPr>
            <w:tcW w:w="0" w:type="dxa"/>
            <w:vAlign w:val="bottom"/>
          </w:tcPr>
          <w:p>
            <w:pPr>
              <w:spacing w:after="0"/>
              <w:rPr>
                <w:sz w:val="1"/>
                <w:szCs w:val="1"/>
                <w:color w:val="auto"/>
              </w:rPr>
            </w:pPr>
          </w:p>
        </w:tc>
      </w:tr>
      <w:tr>
        <w:trPr>
          <w:trHeight w:val="179"/>
        </w:trPr>
        <w:tc>
          <w:tcPr>
            <w:tcW w:w="36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14 (148) 441 June 30, 2000 Net</w:t>
            </w:r>
          </w:p>
        </w:tc>
        <w:tc>
          <w:tcPr>
            <w:tcW w:w="0" w:type="dxa"/>
            <w:vAlign w:val="bottom"/>
          </w:tcPr>
          <w:p>
            <w:pPr>
              <w:spacing w:after="0"/>
              <w:rPr>
                <w:sz w:val="1"/>
                <w:szCs w:val="1"/>
                <w:color w:val="auto"/>
              </w:rPr>
            </w:pPr>
          </w:p>
        </w:tc>
      </w:tr>
      <w:tr>
        <w:trPr>
          <w:trHeight w:val="261"/>
        </w:trPr>
        <w:tc>
          <w:tcPr>
            <w:tcW w:w="144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3"/>
              </w:rPr>
              <w:t>revenues(b).............................</w:t>
            </w:r>
          </w:p>
        </w:tc>
        <w:tc>
          <w:tcPr>
            <w:tcW w:w="2240" w:type="dxa"/>
            <w:vAlign w:val="bottom"/>
          </w:tcPr>
          <w:p>
            <w:pPr>
              <w:jc w:val="center"/>
              <w:ind w:right="1322"/>
              <w:spacing w:after="0"/>
              <w:rPr>
                <w:sz w:val="20"/>
                <w:szCs w:val="20"/>
                <w:color w:val="auto"/>
              </w:rPr>
            </w:pPr>
            <w:r>
              <w:rPr>
                <w:rFonts w:ascii="Courier New" w:cs="Courier New" w:eastAsia="Courier New" w:hAnsi="Courier New"/>
                <w:sz w:val="16"/>
                <w:szCs w:val="16"/>
                <w:color w:val="auto"/>
                <w:w w:val="97"/>
              </w:rPr>
              <w:t>operating</w:t>
            </w:r>
          </w:p>
        </w:tc>
        <w:tc>
          <w:tcPr>
            <w:tcW w:w="0" w:type="dxa"/>
            <w:vAlign w:val="bottom"/>
          </w:tcPr>
          <w:p>
            <w:pPr>
              <w:spacing w:after="0"/>
              <w:rPr>
                <w:sz w:val="1"/>
                <w:szCs w:val="1"/>
                <w:color w:val="auto"/>
              </w:rPr>
            </w:pPr>
          </w:p>
        </w:tc>
      </w:tr>
      <w:tr>
        <w:trPr>
          <w:trHeight w:val="97"/>
        </w:trPr>
        <w:tc>
          <w:tcPr>
            <w:tcW w:w="1260" w:type="dxa"/>
            <w:vAlign w:val="bottom"/>
            <w:vMerge w:val="continue"/>
          </w:tcPr>
          <w:p>
            <w:pPr>
              <w:spacing w:after="0"/>
              <w:rPr>
                <w:sz w:val="8"/>
                <w:szCs w:val="8"/>
                <w:color w:val="auto"/>
              </w:rPr>
            </w:pPr>
          </w:p>
        </w:tc>
        <w:tc>
          <w:tcPr>
            <w:tcW w:w="1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w:t>
            </w:r>
          </w:p>
        </w:tc>
        <w:tc>
          <w:tcPr>
            <w:tcW w:w="2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 $3,266 EBIT(c), (d),</w:t>
            </w:r>
          </w:p>
        </w:tc>
        <w:tc>
          <w:tcPr>
            <w:tcW w:w="0" w:type="dxa"/>
            <w:vAlign w:val="bottom"/>
          </w:tcPr>
          <w:p>
            <w:pPr>
              <w:spacing w:after="0"/>
              <w:rPr>
                <w:sz w:val="1"/>
                <w:szCs w:val="1"/>
                <w:color w:val="auto"/>
              </w:rPr>
            </w:pPr>
          </w:p>
        </w:tc>
      </w:tr>
      <w:tr>
        <w:trPr>
          <w:trHeight w:val="179"/>
        </w:trPr>
        <w:tc>
          <w:tcPr>
            <w:tcW w:w="12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$2,912 $ 354</w:t>
            </w:r>
          </w:p>
        </w:tc>
        <w:tc>
          <w:tcPr>
            <w:tcW w:w="1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4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5"/>
              </w:rPr>
              <w:t>(f)................................</w:t>
            </w:r>
          </w:p>
        </w:tc>
        <w:tc>
          <w:tcPr>
            <w:tcW w:w="2240" w:type="dxa"/>
            <w:vAlign w:val="bottom"/>
          </w:tcPr>
          <w:p>
            <w:pPr>
              <w:jc w:val="center"/>
              <w:ind w:right="1342"/>
              <w:spacing w:after="0" w:line="179" w:lineRule="exact"/>
              <w:rPr>
                <w:sz w:val="20"/>
                <w:szCs w:val="20"/>
                <w:color w:val="auto"/>
              </w:rPr>
            </w:pPr>
            <w:r>
              <w:rPr>
                <w:rFonts w:ascii="Courier New" w:cs="Courier New" w:eastAsia="Courier New" w:hAnsi="Courier New"/>
                <w:sz w:val="16"/>
                <w:szCs w:val="16"/>
                <w:color w:val="auto"/>
                <w:w w:val="98"/>
              </w:rPr>
              <w:t>(e),</w:t>
            </w:r>
          </w:p>
        </w:tc>
        <w:tc>
          <w:tcPr>
            <w:tcW w:w="0" w:type="dxa"/>
            <w:vAlign w:val="bottom"/>
          </w:tcPr>
          <w:p>
            <w:pPr>
              <w:spacing w:after="0"/>
              <w:rPr>
                <w:sz w:val="1"/>
                <w:szCs w:val="1"/>
                <w:color w:val="auto"/>
              </w:rPr>
            </w:pPr>
          </w:p>
        </w:tc>
      </w:tr>
      <w:tr>
        <w:trPr>
          <w:trHeight w:val="207"/>
        </w:trPr>
        <w:tc>
          <w:tcPr>
            <w:tcW w:w="1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599</w:t>
            </w:r>
          </w:p>
        </w:tc>
        <w:tc>
          <w:tcPr>
            <w:tcW w:w="0" w:type="dxa"/>
            <w:vAlign w:val="bottom"/>
          </w:tcPr>
          <w:p>
            <w:pPr>
              <w:spacing w:after="0"/>
              <w:rPr>
                <w:sz w:val="1"/>
                <w:szCs w:val="1"/>
                <w:color w:val="auto"/>
              </w:rPr>
            </w:pPr>
          </w:p>
        </w:tc>
      </w:tr>
    </w:tbl>
    <w:p>
      <w:pPr>
        <w:ind w:left="845" w:right="6599" w:hanging="752"/>
        <w:spacing w:after="0" w:line="236" w:lineRule="auto"/>
        <w:tabs>
          <w:tab w:leader="none" w:pos="65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(176) 293 SIX MONTHS ENDED: June 30, 2001 Net operating</w:t>
      </w:r>
    </w:p>
    <w:p>
      <w:pPr>
        <w:ind w:left="5"/>
        <w:spacing w:after="0" w:line="238" w:lineRule="auto"/>
        <w:rPr>
          <w:sz w:val="20"/>
          <w:szCs w:val="20"/>
          <w:color w:val="auto"/>
        </w:rPr>
      </w:pPr>
      <w:r>
        <w:rPr>
          <w:rFonts w:ascii="Courier New" w:cs="Courier New" w:eastAsia="Courier New" w:hAnsi="Courier New"/>
          <w:sz w:val="16"/>
          <w:szCs w:val="16"/>
          <w:color w:val="auto"/>
        </w:rPr>
        <w:t>revenues(b).............................</w:t>
      </w:r>
    </w:p>
    <w:p>
      <w:pPr>
        <w:jc w:val="center"/>
        <w:ind w:right="6495"/>
        <w:spacing w:after="0" w:line="237" w:lineRule="auto"/>
        <w:rPr>
          <w:sz w:val="20"/>
          <w:szCs w:val="20"/>
          <w:color w:val="auto"/>
        </w:rPr>
      </w:pPr>
      <w:r>
        <w:rPr>
          <w:rFonts w:ascii="Courier New" w:cs="Courier New" w:eastAsia="Courier New" w:hAnsi="Courier New"/>
          <w:sz w:val="16"/>
          <w:szCs w:val="16"/>
          <w:color w:val="auto"/>
        </w:rPr>
        <w:t>$5,462 $ 172 $ -- $5,634 EBIT(c), (d),</w:t>
      </w:r>
    </w:p>
    <w:p>
      <w:pPr>
        <w:jc w:val="center"/>
        <w:ind w:right="6495"/>
        <w:spacing w:after="0" w:line="237" w:lineRule="auto"/>
        <w:rPr>
          <w:sz w:val="20"/>
          <w:szCs w:val="20"/>
          <w:color w:val="auto"/>
        </w:rPr>
      </w:pPr>
      <w:r>
        <w:rPr>
          <w:rFonts w:ascii="Courier New" w:cs="Courier New" w:eastAsia="Courier New" w:hAnsi="Courier New"/>
          <w:sz w:val="16"/>
          <w:szCs w:val="16"/>
          <w:color w:val="auto"/>
        </w:rPr>
        <w:t>(e),</w:t>
      </w:r>
    </w:p>
    <w:p>
      <w:pPr>
        <w:ind w:left="225"/>
        <w:spacing w:after="0" w:line="237" w:lineRule="auto"/>
        <w:rPr>
          <w:sz w:val="20"/>
          <w:szCs w:val="20"/>
          <w:color w:val="auto"/>
        </w:rPr>
      </w:pPr>
      <w:r>
        <w:rPr>
          <w:rFonts w:ascii="Courier New" w:cs="Courier New" w:eastAsia="Courier New" w:hAnsi="Courier New"/>
          <w:sz w:val="16"/>
          <w:szCs w:val="16"/>
          <w:color w:val="auto"/>
        </w:rPr>
        <w:t>(f)................................</w:t>
      </w:r>
    </w:p>
    <w:p>
      <w:pPr>
        <w:jc w:val="center"/>
        <w:ind w:right="6495"/>
        <w:spacing w:after="0" w:line="237" w:lineRule="auto"/>
        <w:rPr>
          <w:sz w:val="20"/>
          <w:szCs w:val="20"/>
          <w:color w:val="auto"/>
        </w:rPr>
      </w:pPr>
      <w:r>
        <w:rPr>
          <w:rFonts w:ascii="Courier New" w:cs="Courier New" w:eastAsia="Courier New" w:hAnsi="Courier New"/>
          <w:sz w:val="16"/>
          <w:szCs w:val="16"/>
          <w:color w:val="auto"/>
        </w:rPr>
        <w:t>1,067 (1) (281) 785 June 30, 2000 Net</w:t>
      </w:r>
    </w:p>
    <w:p>
      <w:pPr>
        <w:jc w:val="center"/>
        <w:ind w:right="6495"/>
        <w:spacing w:after="0" w:line="237" w:lineRule="auto"/>
        <w:rPr>
          <w:sz w:val="20"/>
          <w:szCs w:val="20"/>
          <w:color w:val="auto"/>
        </w:rPr>
      </w:pPr>
      <w:r>
        <w:rPr>
          <w:rFonts w:ascii="Courier New" w:cs="Courier New" w:eastAsia="Courier New" w:hAnsi="Courier New"/>
          <w:sz w:val="16"/>
          <w:szCs w:val="16"/>
          <w:color w:val="auto"/>
        </w:rPr>
        <w:t>operating</w:t>
      </w:r>
    </w:p>
    <w:p>
      <w:pPr>
        <w:ind w:left="5"/>
        <w:spacing w:after="0" w:line="236" w:lineRule="auto"/>
        <w:rPr>
          <w:sz w:val="20"/>
          <w:szCs w:val="20"/>
          <w:color w:val="auto"/>
        </w:rPr>
      </w:pPr>
      <w:r>
        <w:rPr>
          <w:rFonts w:ascii="Courier New" w:cs="Courier New" w:eastAsia="Courier New" w:hAnsi="Courier New"/>
          <w:sz w:val="16"/>
          <w:szCs w:val="16"/>
          <w:color w:val="auto"/>
        </w:rPr>
        <w:t>revenues(b).............................</w:t>
      </w:r>
    </w:p>
    <w:p>
      <w:pPr>
        <w:jc w:val="center"/>
        <w:ind w:right="6495"/>
        <w:spacing w:after="0" w:line="237" w:lineRule="auto"/>
        <w:rPr>
          <w:sz w:val="20"/>
          <w:szCs w:val="20"/>
          <w:color w:val="auto"/>
        </w:rPr>
      </w:pPr>
      <w:r>
        <w:rPr>
          <w:rFonts w:ascii="Courier New" w:cs="Courier New" w:eastAsia="Courier New" w:hAnsi="Courier New"/>
          <w:sz w:val="16"/>
          <w:szCs w:val="16"/>
          <w:color w:val="auto"/>
        </w:rPr>
        <w:t>$5,622 $ 861 $ -- $6,483 EBIT(c), (d),</w:t>
      </w:r>
    </w:p>
    <w:p>
      <w:pPr>
        <w:jc w:val="center"/>
        <w:ind w:right="6495"/>
        <w:spacing w:after="0" w:line="237" w:lineRule="auto"/>
        <w:rPr>
          <w:sz w:val="20"/>
          <w:szCs w:val="20"/>
          <w:color w:val="auto"/>
        </w:rPr>
      </w:pPr>
      <w:r>
        <w:rPr>
          <w:rFonts w:ascii="Courier New" w:cs="Courier New" w:eastAsia="Courier New" w:hAnsi="Courier New"/>
          <w:sz w:val="16"/>
          <w:szCs w:val="16"/>
          <w:color w:val="auto"/>
        </w:rPr>
        <w:t>(e),</w:t>
      </w:r>
    </w:p>
    <w:p>
      <w:pPr>
        <w:ind w:left="225"/>
        <w:spacing w:after="0" w:line="237" w:lineRule="auto"/>
        <w:rPr>
          <w:sz w:val="20"/>
          <w:szCs w:val="20"/>
          <w:color w:val="auto"/>
        </w:rPr>
      </w:pPr>
      <w:r>
        <w:rPr>
          <w:rFonts w:ascii="Courier New" w:cs="Courier New" w:eastAsia="Courier New" w:hAnsi="Courier New"/>
          <w:sz w:val="16"/>
          <w:szCs w:val="16"/>
          <w:color w:val="auto"/>
        </w:rPr>
        <w:t>(f)................................</w:t>
      </w:r>
    </w:p>
    <w:p>
      <w:pPr>
        <w:ind w:left="925"/>
        <w:spacing w:after="0"/>
        <w:rPr>
          <w:sz w:val="20"/>
          <w:szCs w:val="20"/>
          <w:color w:val="auto"/>
        </w:rPr>
      </w:pPr>
      <w:r>
        <w:rPr>
          <w:rFonts w:ascii="Courier New" w:cs="Courier New" w:eastAsia="Courier New" w:hAnsi="Courier New"/>
          <w:sz w:val="16"/>
          <w:szCs w:val="16"/>
          <w:color w:val="auto"/>
        </w:rPr>
        <w:t>1,141 (74) (449) 618</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365" w:right="2779" w:hanging="365"/>
        <w:spacing w:after="0" w:line="254"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functions include the corporate treasury function, legal function, information technology function, administration of the corporate tax function, the corporate insurance function, management of the closed landfill and related insurance recovery functions, along with other typical administrative functions.</w:t>
      </w:r>
    </w:p>
    <w:p>
      <w:pPr>
        <w:spacing w:after="0" w:line="86" w:lineRule="exact"/>
        <w:rPr>
          <w:rFonts w:ascii="Courier New" w:cs="Courier New" w:eastAsia="Courier New" w:hAnsi="Courier New"/>
          <w:sz w:val="16"/>
          <w:szCs w:val="16"/>
          <w:color w:val="auto"/>
        </w:rPr>
      </w:pPr>
    </w:p>
    <w:p>
      <w:pPr>
        <w:jc w:val="both"/>
        <w:ind w:left="365" w:right="3059" w:hanging="365"/>
        <w:spacing w:after="0" w:line="272"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operations are net of intersegment revenue with NASW of $13 and $19 for the three and six months ended June 30, 2001 respectively and $12 and $16 for the corresponding periods of 2000. There are no other significant sales between segments.</w:t>
      </w:r>
    </w:p>
    <w:p>
      <w:pPr>
        <w:spacing w:after="0" w:line="72" w:lineRule="exact"/>
        <w:rPr>
          <w:rFonts w:ascii="Courier New" w:cs="Courier New" w:eastAsia="Courier New" w:hAnsi="Courier New"/>
          <w:sz w:val="16"/>
          <w:szCs w:val="16"/>
          <w:color w:val="auto"/>
        </w:rPr>
      </w:pPr>
    </w:p>
    <w:p>
      <w:pPr>
        <w:ind w:left="365" w:right="2959" w:hanging="365"/>
        <w:spacing w:after="0" w:line="406" w:lineRule="auto"/>
        <w:tabs>
          <w:tab w:leader="none" w:pos="3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 is defined as "Earnings Before Interest and Taxes." EBIT is the earnings measurement used by management to evaluate operating performance.</w:t>
      </w:r>
    </w:p>
    <w:p>
      <w:pPr>
        <w:ind w:left="365" w:right="3059" w:hanging="365"/>
        <w:spacing w:after="0" w:line="272"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those items included in the determination of EBIT, the accounting policies of the segments are generally the same as those described in the summary of significant accounting policies in the Company's Form 10-K for the year ended December 31, 2000.</w:t>
      </w:r>
    </w:p>
    <w:p>
      <w:pPr>
        <w:spacing w:after="0" w:line="72" w:lineRule="exact"/>
        <w:rPr>
          <w:rFonts w:ascii="Courier New" w:cs="Courier New" w:eastAsia="Courier New" w:hAnsi="Courier New"/>
          <w:sz w:val="16"/>
          <w:szCs w:val="16"/>
          <w:color w:val="auto"/>
        </w:rPr>
      </w:pPr>
    </w:p>
    <w:p>
      <w:pPr>
        <w:ind w:left="365" w:right="2779" w:hanging="365"/>
        <w:spacing w:after="0" w:line="342" w:lineRule="auto"/>
        <w:tabs>
          <w:tab w:leader="none" w:pos="36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material asymmetrical allocations of EBIT versus assets between segments or corporate.</w:t>
      </w:r>
    </w:p>
    <w:p>
      <w:pPr>
        <w:spacing w:after="0" w:line="20" w:lineRule="exact"/>
        <w:rPr>
          <w:rFonts w:ascii="Courier New" w:cs="Courier New" w:eastAsia="Courier New" w:hAnsi="Courier New"/>
          <w:sz w:val="16"/>
          <w:szCs w:val="16"/>
          <w:color w:val="auto"/>
        </w:rPr>
      </w:pPr>
    </w:p>
    <w:p>
      <w:pPr>
        <w:ind w:left="365" w:right="2779" w:hanging="365"/>
        <w:spacing w:after="0" w:line="309" w:lineRule="auto"/>
        <w:tabs>
          <w:tab w:leader="none" w:pos="36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operations classified as held-for-sale at the beginning of each quarter, the Company suspends depreciation on fixed assets. Had the Company not classified any operations as held-for-sale, depreciation expense would have been greater by $4 and $7 for the three and six months ended June 30, 2001, and $32 and $83 respectively for the corresponding periods of 2000.</w:t>
      </w:r>
    </w:p>
    <w:p>
      <w:pPr>
        <w:spacing w:after="0" w:line="52"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24"/>
          </w:cols>
          <w:pgMar w:left="235" w:top="269" w:right="1440" w:bottom="1440" w:gutter="0" w:footer="0" w:header="0"/>
        </w:sectPr>
      </w:pPr>
    </w:p>
    <w:bookmarkStart w:id="16" w:name="page17"/>
    <w:bookmarkEnd w:id="16"/>
    <w:p>
      <w:pPr>
        <w:ind w:left="285"/>
        <w:spacing w:after="0"/>
        <w:rPr>
          <w:sz w:val="20"/>
          <w:szCs w:val="20"/>
          <w:color w:val="auto"/>
        </w:rPr>
      </w:pPr>
      <w:r>
        <w:rPr>
          <w:rFonts w:ascii="Courier New" w:cs="Courier New" w:eastAsia="Courier New" w:hAnsi="Courier New"/>
          <w:sz w:val="16"/>
          <w:szCs w:val="16"/>
          <w:color w:val="auto"/>
        </w:rPr>
        <w:t>17</w:t>
      </w:r>
    </w:p>
    <w:p>
      <w:pPr>
        <w:spacing w:after="0" w:line="26"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8. OPERATIONS HELD-FOR-SALE</w:t>
      </w:r>
    </w:p>
    <w:p>
      <w:pPr>
        <w:spacing w:after="0" w:line="177" w:lineRule="exact"/>
        <w:rPr>
          <w:sz w:val="20"/>
          <w:szCs w:val="20"/>
          <w:color w:val="auto"/>
        </w:rPr>
      </w:pPr>
    </w:p>
    <w:p>
      <w:pPr>
        <w:ind w:left="5" w:right="2779" w:firstLine="465"/>
        <w:spacing w:after="0" w:line="248" w:lineRule="auto"/>
        <w:rPr>
          <w:sz w:val="20"/>
          <w:szCs w:val="20"/>
          <w:color w:val="auto"/>
        </w:rPr>
      </w:pPr>
      <w:r>
        <w:rPr>
          <w:rFonts w:ascii="Courier New" w:cs="Courier New" w:eastAsia="Courier New" w:hAnsi="Courier New"/>
          <w:sz w:val="16"/>
          <w:szCs w:val="16"/>
          <w:color w:val="auto"/>
        </w:rPr>
        <w:t>As of June 30, 2001, the primary components within operations held-for-sale consisted of remaining international operations outside of North America and non-solid waste operations, certain NASW operations and the Company's surplus real estate portfolio. For operations classified as held-for-sale, the Company suspends depreciation and amortization on the underlying assets. The amount of depreciation suspended for the three and six months ended June 30, 2001 for held-for-sale operations was $4 and $7, respectively and $32 and $83 for the corresponding periods of 2000. The remaining international operations outside of North America and non-solid waste operations have been aggregated as a single column "Other" for this reporting presentation.</w:t>
      </w:r>
    </w:p>
    <w:p>
      <w:pPr>
        <w:spacing w:after="0" w:line="95" w:lineRule="exact"/>
        <w:rPr>
          <w:sz w:val="20"/>
          <w:szCs w:val="20"/>
          <w:color w:val="auto"/>
        </w:rPr>
      </w:pPr>
    </w:p>
    <w:p>
      <w:pPr>
        <w:ind w:left="5" w:right="2779" w:firstLine="465"/>
        <w:spacing w:after="0" w:line="289" w:lineRule="auto"/>
        <w:rPr>
          <w:sz w:val="20"/>
          <w:szCs w:val="20"/>
          <w:color w:val="auto"/>
        </w:rPr>
      </w:pPr>
      <w:r>
        <w:rPr>
          <w:rFonts w:ascii="Courier New" w:cs="Courier New" w:eastAsia="Courier New" w:hAnsi="Courier New"/>
          <w:sz w:val="16"/>
          <w:szCs w:val="16"/>
          <w:color w:val="auto"/>
        </w:rPr>
        <w:t>Operational information included in the condensed consolidated statements of operations regarding the businesses classified as operations held-for-sale at June 30, 2001, is as follows:</w:t>
      </w:r>
    </w:p>
    <w:p>
      <w:pPr>
        <w:spacing w:after="0" w:line="5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NASW OTHER TOTAL ----</w:t>
            </w:r>
          </w:p>
        </w:tc>
        <w:tc>
          <w:tcPr>
            <w:tcW w:w="2240" w:type="dxa"/>
            <w:vAlign w:val="bottom"/>
          </w:tcPr>
          <w:p>
            <w:pPr>
              <w:jc w:val="right"/>
              <w:spacing w:after="0"/>
              <w:rPr>
                <w:sz w:val="20"/>
                <w:szCs w:val="20"/>
                <w:color w:val="auto"/>
              </w:rPr>
            </w:pPr>
            <w:r>
              <w:rPr>
                <w:rFonts w:ascii="Courier New" w:cs="Courier New" w:eastAsia="Courier New" w:hAnsi="Courier New"/>
                <w:sz w:val="16"/>
                <w:szCs w:val="16"/>
                <w:color w:val="auto"/>
              </w:rPr>
              <w:t>----- ----- SIX MONTHS</w:t>
            </w:r>
          </w:p>
        </w:tc>
        <w:tc>
          <w:tcPr>
            <w:tcW w:w="0" w:type="dxa"/>
            <w:vAlign w:val="bottom"/>
          </w:tcPr>
          <w:p>
            <w:pPr>
              <w:spacing w:after="0"/>
              <w:rPr>
                <w:sz w:val="1"/>
                <w:szCs w:val="1"/>
                <w:color w:val="auto"/>
              </w:rPr>
            </w:pPr>
          </w:p>
        </w:tc>
      </w:tr>
      <w:tr>
        <w:trPr>
          <w:trHeight w:val="179"/>
        </w:trPr>
        <w:tc>
          <w:tcPr>
            <w:tcW w:w="4320" w:type="dxa"/>
            <w:vAlign w:val="bottom"/>
            <w:gridSpan w:val="2"/>
          </w:tcPr>
          <w:p>
            <w:pPr>
              <w:jc w:val="right"/>
              <w:ind w:right="582"/>
              <w:spacing w:after="0" w:line="179" w:lineRule="exact"/>
              <w:rPr>
                <w:sz w:val="20"/>
                <w:szCs w:val="20"/>
                <w:color w:val="auto"/>
              </w:rPr>
            </w:pPr>
            <w:r>
              <w:rPr>
                <w:rFonts w:ascii="Courier New" w:cs="Courier New" w:eastAsia="Courier New" w:hAnsi="Courier New"/>
                <w:sz w:val="16"/>
                <w:szCs w:val="16"/>
                <w:color w:val="auto"/>
              </w:rPr>
              <w:t>ENDED: June 30, 2001 Operating</w:t>
            </w:r>
          </w:p>
        </w:tc>
        <w:tc>
          <w:tcPr>
            <w:tcW w:w="0" w:type="dxa"/>
            <w:vAlign w:val="bottom"/>
          </w:tcPr>
          <w:p>
            <w:pPr>
              <w:spacing w:after="0"/>
              <w:rPr>
                <w:sz w:val="1"/>
                <w:szCs w:val="1"/>
                <w:color w:val="auto"/>
              </w:rPr>
            </w:pPr>
          </w:p>
        </w:tc>
      </w:tr>
      <w:tr>
        <w:trPr>
          <w:trHeight w:val="179"/>
        </w:trPr>
        <w:tc>
          <w:tcPr>
            <w:tcW w:w="2080" w:type="dxa"/>
            <w:vAlign w:val="bottom"/>
          </w:tcPr>
          <w:p>
            <w:pPr>
              <w:jc w:val="right"/>
              <w:spacing w:after="0"/>
              <w:rPr>
                <w:sz w:val="20"/>
                <w:szCs w:val="20"/>
                <w:color w:val="auto"/>
              </w:rPr>
            </w:pPr>
            <w:r>
              <w:rPr>
                <w:rFonts w:ascii="Courier New" w:cs="Courier New" w:eastAsia="Courier New" w:hAnsi="Courier New"/>
                <w:sz w:val="10"/>
                <w:szCs w:val="10"/>
                <w:color w:val="auto"/>
                <w:w w:val="71"/>
              </w:rPr>
              <w:t>revenues........................................</w:t>
            </w:r>
          </w:p>
        </w:tc>
        <w:tc>
          <w:tcPr>
            <w:tcW w:w="2240" w:type="dxa"/>
            <w:vAlign w:val="bottom"/>
            <w:vMerge w:val="restart"/>
          </w:tcPr>
          <w:p>
            <w:pPr>
              <w:jc w:val="right"/>
              <w:ind w:right="942"/>
              <w:spacing w:after="0"/>
              <w:rPr>
                <w:sz w:val="20"/>
                <w:szCs w:val="20"/>
                <w:color w:val="auto"/>
              </w:rPr>
            </w:pPr>
            <w:r>
              <w:rPr>
                <w:rFonts w:ascii="Courier New" w:cs="Courier New" w:eastAsia="Courier New" w:hAnsi="Courier New"/>
                <w:sz w:val="16"/>
                <w:szCs w:val="16"/>
                <w:color w:val="auto"/>
                <w:w w:val="96"/>
              </w:rPr>
              <w:t>$170 EBIT(a),</w:t>
            </w:r>
          </w:p>
        </w:tc>
        <w:tc>
          <w:tcPr>
            <w:tcW w:w="0" w:type="dxa"/>
            <w:vAlign w:val="bottom"/>
          </w:tcPr>
          <w:p>
            <w:pPr>
              <w:spacing w:after="0"/>
              <w:rPr>
                <w:sz w:val="1"/>
                <w:szCs w:val="1"/>
                <w:color w:val="auto"/>
              </w:rPr>
            </w:pPr>
          </w:p>
        </w:tc>
      </w:tr>
      <w:tr>
        <w:trPr>
          <w:trHeight w:val="179"/>
        </w:trPr>
        <w:tc>
          <w:tcPr>
            <w:tcW w:w="2080" w:type="dxa"/>
            <w:vAlign w:val="bottom"/>
          </w:tcPr>
          <w:p>
            <w:pPr>
              <w:jc w:val="right"/>
              <w:ind w:right="8"/>
              <w:spacing w:after="0" w:line="179" w:lineRule="exact"/>
              <w:rPr>
                <w:sz w:val="20"/>
                <w:szCs w:val="20"/>
                <w:color w:val="auto"/>
              </w:rPr>
            </w:pPr>
            <w:r>
              <w:rPr>
                <w:rFonts w:ascii="Courier New" w:cs="Courier New" w:eastAsia="Courier New" w:hAnsi="Courier New"/>
                <w:sz w:val="16"/>
                <w:szCs w:val="16"/>
                <w:color w:val="auto"/>
              </w:rPr>
              <w:t>$ 2 $168</w:t>
            </w: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1"/>
              </w:rPr>
              <w:t>(b)..............................................</w:t>
            </w:r>
          </w:p>
        </w:tc>
        <w:tc>
          <w:tcPr>
            <w:tcW w:w="0" w:type="dxa"/>
            <w:vAlign w:val="bottom"/>
          </w:tcPr>
          <w:p>
            <w:pPr>
              <w:spacing w:after="0"/>
              <w:rPr>
                <w:sz w:val="1"/>
                <w:szCs w:val="1"/>
                <w:color w:val="auto"/>
              </w:rPr>
            </w:pPr>
          </w:p>
        </w:tc>
      </w:tr>
    </w:tbl>
    <w:p>
      <w:pPr>
        <w:ind w:left="45" w:right="5719" w:firstLine="652"/>
        <w:spacing w:after="0" w:line="270" w:lineRule="auto"/>
        <w:tabs>
          <w:tab w:leader="none" w:pos="1068"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(1) June 30, 2000 Operating revenues........................................</w:t>
      </w:r>
    </w:p>
    <w:p>
      <w:pPr>
        <w:ind w:left="12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$ 2 $127 $129 EBIT(a),</w:t>
      </w:r>
    </w:p>
    <w:p>
      <w:pPr>
        <w:ind w:left="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w:t>
      </w:r>
    </w:p>
    <w:p>
      <w:pPr>
        <w:ind w:left="1865" w:right="5859" w:hanging="1680"/>
        <w:spacing w:after="0" w:line="236" w:lineRule="auto"/>
        <w:tabs>
          <w:tab w:leader="none" w:pos="56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(5) (6) THREE MONTHS ENDED: June 30, 2001 Operating</w:t>
      </w:r>
    </w:p>
    <w:p>
      <w:pPr>
        <w:ind w:left="45"/>
        <w:spacing w:after="0" w:line="238" w:lineRule="auto"/>
        <w:rPr>
          <w:sz w:val="20"/>
          <w:szCs w:val="20"/>
          <w:color w:val="auto"/>
        </w:rPr>
      </w:pPr>
      <w:r>
        <w:rPr>
          <w:rFonts w:ascii="Courier New" w:cs="Courier New" w:eastAsia="Courier New" w:hAnsi="Courier New"/>
          <w:sz w:val="16"/>
          <w:szCs w:val="16"/>
          <w:color w:val="auto"/>
        </w:rPr>
        <w:t>revenues........................................</w:t>
      </w:r>
    </w:p>
    <w:p>
      <w:pPr>
        <w:jc w:val="center"/>
        <w:ind w:right="5655"/>
        <w:spacing w:after="0" w:line="237" w:lineRule="auto"/>
        <w:rPr>
          <w:sz w:val="20"/>
          <w:szCs w:val="20"/>
          <w:color w:val="auto"/>
        </w:rPr>
      </w:pPr>
      <w:r>
        <w:rPr>
          <w:rFonts w:ascii="Courier New" w:cs="Courier New" w:eastAsia="Courier New" w:hAnsi="Courier New"/>
          <w:sz w:val="16"/>
          <w:szCs w:val="16"/>
          <w:color w:val="auto"/>
        </w:rPr>
        <w:t>$ 1 $ 98 $ 99 EBIT(a),</w:t>
      </w:r>
    </w:p>
    <w:p>
      <w:pPr>
        <w:ind w:left="5"/>
        <w:spacing w:after="0" w:line="237" w:lineRule="auto"/>
        <w:rPr>
          <w:sz w:val="20"/>
          <w:szCs w:val="20"/>
          <w:color w:val="auto"/>
        </w:rPr>
      </w:pPr>
      <w:r>
        <w:rPr>
          <w:rFonts w:ascii="Courier New" w:cs="Courier New" w:eastAsia="Courier New" w:hAnsi="Courier New"/>
          <w:sz w:val="16"/>
          <w:szCs w:val="16"/>
          <w:color w:val="auto"/>
        </w:rPr>
        <w:t>(b)..............................................</w:t>
      </w:r>
    </w:p>
    <w:p>
      <w:pPr>
        <w:jc w:val="center"/>
        <w:ind w:right="5655"/>
        <w:spacing w:after="0" w:line="237" w:lineRule="auto"/>
        <w:rPr>
          <w:sz w:val="20"/>
          <w:szCs w:val="20"/>
          <w:color w:val="auto"/>
        </w:rPr>
      </w:pPr>
      <w:r>
        <w:rPr>
          <w:rFonts w:ascii="Courier New" w:cs="Courier New" w:eastAsia="Courier New" w:hAnsi="Courier New"/>
          <w:sz w:val="16"/>
          <w:szCs w:val="16"/>
          <w:color w:val="auto"/>
        </w:rPr>
        <w:t>-- 3 3 June 30, 2000 Operating</w:t>
      </w:r>
    </w:p>
    <w:p>
      <w:pPr>
        <w:ind w:left="45"/>
        <w:spacing w:after="0" w:line="237" w:lineRule="auto"/>
        <w:rPr>
          <w:sz w:val="20"/>
          <w:szCs w:val="20"/>
          <w:color w:val="auto"/>
        </w:rPr>
      </w:pPr>
      <w:r>
        <w:rPr>
          <w:rFonts w:ascii="Courier New" w:cs="Courier New" w:eastAsia="Courier New" w:hAnsi="Courier New"/>
          <w:sz w:val="16"/>
          <w:szCs w:val="16"/>
          <w:color w:val="auto"/>
        </w:rPr>
        <w:t>revenues........................................</w:t>
      </w:r>
    </w:p>
    <w:p>
      <w:pPr>
        <w:jc w:val="center"/>
        <w:ind w:right="5655"/>
        <w:spacing w:after="0" w:line="237" w:lineRule="auto"/>
        <w:rPr>
          <w:sz w:val="20"/>
          <w:szCs w:val="20"/>
          <w:color w:val="auto"/>
        </w:rPr>
      </w:pPr>
      <w:r>
        <w:rPr>
          <w:rFonts w:ascii="Courier New" w:cs="Courier New" w:eastAsia="Courier New" w:hAnsi="Courier New"/>
          <w:sz w:val="16"/>
          <w:szCs w:val="16"/>
          <w:color w:val="auto"/>
        </w:rPr>
        <w:t>$ 1 $ 79 $ 80 EBIT(a),</w:t>
      </w:r>
    </w:p>
    <w:p>
      <w:pPr>
        <w:ind w:left="5"/>
        <w:spacing w:after="0" w:line="236" w:lineRule="auto"/>
        <w:rPr>
          <w:sz w:val="20"/>
          <w:szCs w:val="20"/>
          <w:color w:val="auto"/>
        </w:rPr>
      </w:pPr>
      <w:r>
        <w:rPr>
          <w:rFonts w:ascii="Courier New" w:cs="Courier New" w:eastAsia="Courier New" w:hAnsi="Courier New"/>
          <w:sz w:val="16"/>
          <w:szCs w:val="16"/>
          <w:color w:val="auto"/>
        </w:rPr>
        <w:t>(b)..............................................</w:t>
      </w:r>
    </w:p>
    <w:p>
      <w:pPr>
        <w:spacing w:after="0" w:line="1" w:lineRule="exact"/>
        <w:rPr>
          <w:sz w:val="20"/>
          <w:szCs w:val="20"/>
          <w:color w:val="auto"/>
        </w:rPr>
      </w:pPr>
    </w:p>
    <w:p>
      <w:pPr>
        <w:ind w:left="1805"/>
        <w:spacing w:after="0"/>
        <w:rPr>
          <w:sz w:val="20"/>
          <w:szCs w:val="20"/>
          <w:color w:val="auto"/>
        </w:rPr>
      </w:pPr>
      <w:r>
        <w:rPr>
          <w:rFonts w:ascii="Courier New" w:cs="Courier New" w:eastAsia="Courier New" w:hAnsi="Courier New"/>
          <w:sz w:val="16"/>
          <w:szCs w:val="16"/>
          <w:color w:val="auto"/>
        </w:rPr>
        <w:t>-- (2) (2)</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365" w:right="2959" w:hanging="365"/>
        <w:spacing w:after="0" w:line="383" w:lineRule="auto"/>
        <w:tabs>
          <w:tab w:leader="none" w:pos="365"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EBIT is defined as "Earnings Before Interest and Taxes." EBIT is the earnings measurement used by management to evaluate operating performance.</w:t>
      </w:r>
    </w:p>
    <w:p>
      <w:pPr>
        <w:spacing w:after="0" w:line="2" w:lineRule="exact"/>
        <w:rPr>
          <w:rFonts w:ascii="Courier New" w:cs="Courier New" w:eastAsia="Courier New" w:hAnsi="Courier New"/>
          <w:sz w:val="14"/>
          <w:szCs w:val="14"/>
          <w:color w:val="auto"/>
        </w:rPr>
      </w:pPr>
    </w:p>
    <w:p>
      <w:pPr>
        <w:ind w:left="365" w:right="3059" w:hanging="365"/>
        <w:spacing w:after="0" w:line="272" w:lineRule="auto"/>
        <w:tabs>
          <w:tab w:leader="none" w:pos="36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those items included in the determination of EBIT, the accounting policies of the segments are generally the same as those described in the summary of significant accounting policies in the Company's Form 10-K for the year ended December 31, 2000.</w:t>
      </w:r>
    </w:p>
    <w:p>
      <w:pPr>
        <w:spacing w:after="0" w:line="73"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269" w:right="1440" w:bottom="1440" w:gutter="0" w:footer="0" w:header="0"/>
        </w:sectPr>
      </w:pPr>
    </w:p>
    <w:bookmarkStart w:id="17" w:name="page18"/>
    <w:bookmarkEnd w:id="17"/>
    <w:p>
      <w:pPr>
        <w:ind w:left="285"/>
        <w:spacing w:after="0"/>
        <w:rPr>
          <w:sz w:val="20"/>
          <w:szCs w:val="20"/>
          <w:color w:val="auto"/>
        </w:rPr>
      </w:pPr>
      <w:r>
        <w:rPr>
          <w:rFonts w:ascii="Courier New" w:cs="Courier New" w:eastAsia="Courier New" w:hAnsi="Courier New"/>
          <w:sz w:val="16"/>
          <w:szCs w:val="16"/>
          <w:color w:val="auto"/>
        </w:rPr>
        <w:t>18</w:t>
      </w:r>
    </w:p>
    <w:p>
      <w:pPr>
        <w:spacing w:after="0" w:line="26"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5"/>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left="5" w:right="2879" w:firstLine="465"/>
        <w:spacing w:after="0" w:line="263" w:lineRule="auto"/>
        <w:rPr>
          <w:sz w:val="20"/>
          <w:szCs w:val="20"/>
          <w:color w:val="auto"/>
        </w:rPr>
      </w:pPr>
      <w:r>
        <w:rPr>
          <w:rFonts w:ascii="Courier New" w:cs="Courier New" w:eastAsia="Courier New" w:hAnsi="Courier New"/>
          <w:sz w:val="16"/>
          <w:szCs w:val="16"/>
          <w:color w:val="auto"/>
        </w:rPr>
        <w:t>The Company has classified as current operations held-for-sale its remaining international operations outside of North America and non-solid waste operations, and select NASW operations, which management believes will be divested prior to June 30, 2002. The Company has classified its surplus real estate portfolio as non-current operations held-for-sale.</w:t>
      </w:r>
    </w:p>
    <w:p>
      <w:pPr>
        <w:spacing w:after="0" w:line="78"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7"/>
              </w:rPr>
              <w:t>NASW OTHER TOTAL</w:t>
            </w:r>
          </w:p>
        </w:tc>
        <w:tc>
          <w:tcPr>
            <w:tcW w:w="1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 ----- -----</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w w:val="95"/>
              </w:rPr>
              <w:t>As of June 30,</w:t>
            </w:r>
          </w:p>
        </w:tc>
        <w:tc>
          <w:tcPr>
            <w:tcW w:w="0" w:type="dxa"/>
            <w:vAlign w:val="bottom"/>
          </w:tcPr>
          <w:p>
            <w:pPr>
              <w:spacing w:after="0"/>
              <w:rPr>
                <w:sz w:val="1"/>
                <w:szCs w:val="1"/>
                <w:color w:val="auto"/>
              </w:rPr>
            </w:pPr>
          </w:p>
        </w:tc>
      </w:tr>
      <w:tr>
        <w:trPr>
          <w:trHeight w:val="179"/>
        </w:trPr>
        <w:tc>
          <w:tcPr>
            <w:tcW w:w="4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2001: Accounts receivable,</w:t>
            </w:r>
          </w:p>
        </w:tc>
        <w:tc>
          <w:tcPr>
            <w:tcW w:w="0" w:type="dxa"/>
            <w:vAlign w:val="bottom"/>
          </w:tcPr>
          <w:p>
            <w:pPr>
              <w:spacing w:after="0"/>
              <w:rPr>
                <w:sz w:val="1"/>
                <w:szCs w:val="1"/>
                <w:color w:val="auto"/>
              </w:rPr>
            </w:pPr>
          </w:p>
        </w:tc>
      </w:tr>
      <w:tr>
        <w:trPr>
          <w:trHeight w:val="336"/>
        </w:trPr>
        <w:tc>
          <w:tcPr>
            <w:tcW w:w="1520" w:type="dxa"/>
            <w:vAlign w:val="bottom"/>
          </w:tcPr>
          <w:p>
            <w:pPr>
              <w:jc w:val="right"/>
              <w:spacing w:after="0"/>
              <w:rPr>
                <w:sz w:val="20"/>
                <w:szCs w:val="20"/>
                <w:color w:val="auto"/>
              </w:rPr>
            </w:pPr>
            <w:r>
              <w:rPr>
                <w:rFonts w:ascii="Courier New" w:cs="Courier New" w:eastAsia="Courier New" w:hAnsi="Courier New"/>
                <w:sz w:val="7"/>
                <w:szCs w:val="7"/>
                <w:color w:val="auto"/>
                <w:w w:val="76"/>
                <w:vertAlign w:val="superscript"/>
              </w:rPr>
              <w:t>net..................................</w:t>
            </w:r>
            <w:r>
              <w:rPr>
                <w:rFonts w:ascii="Courier New" w:cs="Courier New" w:eastAsia="Courier New" w:hAnsi="Courier New"/>
                <w:sz w:val="4"/>
                <w:szCs w:val="4"/>
                <w:color w:val="auto"/>
                <w:w w:val="76"/>
              </w:rPr>
              <w:t>......................................</w:t>
            </w:r>
          </w:p>
        </w:tc>
        <w:tc>
          <w:tcPr>
            <w:tcW w:w="1680" w:type="dxa"/>
            <w:vAlign w:val="bottom"/>
            <w:vMerge w:val="restart"/>
          </w:tcPr>
          <w:p>
            <w:pPr>
              <w:jc w:val="center"/>
              <w:ind w:right="102"/>
              <w:spacing w:after="0"/>
              <w:rPr>
                <w:sz w:val="20"/>
                <w:szCs w:val="20"/>
                <w:color w:val="auto"/>
              </w:rPr>
            </w:pPr>
            <w:r>
              <w:rPr>
                <w:rFonts w:ascii="Courier New" w:cs="Courier New" w:eastAsia="Courier New" w:hAnsi="Courier New"/>
                <w:sz w:val="16"/>
                <w:szCs w:val="16"/>
                <w:color w:val="auto"/>
                <w:w w:val="97"/>
              </w:rPr>
              <w:t>70 Other current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$ 70 $</w:t>
            </w:r>
          </w:p>
        </w:tc>
        <w:tc>
          <w:tcPr>
            <w:tcW w:w="0" w:type="dxa"/>
            <w:vAlign w:val="bottom"/>
          </w:tcPr>
          <w:p>
            <w:pPr>
              <w:spacing w:after="0"/>
              <w:rPr>
                <w:sz w:val="1"/>
                <w:szCs w:val="1"/>
                <w:color w:val="auto"/>
              </w:rPr>
            </w:pPr>
          </w:p>
        </w:tc>
      </w:tr>
      <w:tr>
        <w:trPr>
          <w:trHeight w:val="104"/>
        </w:trPr>
        <w:tc>
          <w:tcPr>
            <w:tcW w:w="15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assets</w:t>
            </w:r>
          </w:p>
        </w:tc>
        <w:tc>
          <w:tcPr>
            <w:tcW w:w="1680" w:type="dxa"/>
            <w:vAlign w:val="bottom"/>
            <w:vMerge w:val="continue"/>
          </w:tcPr>
          <w:p>
            <w:pPr>
              <w:spacing w:after="0"/>
              <w:rPr>
                <w:sz w:val="9"/>
                <w:szCs w:val="9"/>
                <w:color w:val="auto"/>
              </w:rPr>
            </w:pPr>
          </w:p>
        </w:tc>
        <w:tc>
          <w:tcPr>
            <w:tcW w:w="1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97"/>
        </w:trPr>
        <w:tc>
          <w:tcPr>
            <w:tcW w:w="1520" w:type="dxa"/>
            <w:vAlign w:val="bottom"/>
            <w:vMerge w:val="continue"/>
          </w:tcPr>
          <w:p>
            <w:pPr>
              <w:spacing w:after="0"/>
              <w:rPr>
                <w:sz w:val="8"/>
                <w:szCs w:val="8"/>
                <w:color w:val="auto"/>
              </w:rPr>
            </w:pPr>
          </w:p>
        </w:tc>
        <w:tc>
          <w:tcPr>
            <w:tcW w:w="16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55 70 Property and equipment and other non-</w:t>
            </w:r>
          </w:p>
        </w:tc>
        <w:tc>
          <w:tcPr>
            <w:tcW w:w="0" w:type="dxa"/>
            <w:vAlign w:val="bottom"/>
          </w:tcPr>
          <w:p>
            <w:pPr>
              <w:spacing w:after="0"/>
              <w:rPr>
                <w:sz w:val="1"/>
                <w:szCs w:val="1"/>
                <w:color w:val="auto"/>
              </w:rPr>
            </w:pPr>
          </w:p>
        </w:tc>
      </w:tr>
      <w:tr>
        <w:trPr>
          <w:trHeight w:val="179"/>
        </w:trPr>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4"/>
              </w:rPr>
              <w:t>current assets.......</w:t>
            </w:r>
          </w:p>
        </w:tc>
        <w:tc>
          <w:tcPr>
            <w:tcW w:w="298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35 82 117 Other current</w:t>
            </w:r>
          </w:p>
        </w:tc>
        <w:tc>
          <w:tcPr>
            <w:tcW w:w="0" w:type="dxa"/>
            <w:vAlign w:val="bottom"/>
          </w:tcPr>
          <w:p>
            <w:pPr>
              <w:spacing w:after="0"/>
              <w:rPr>
                <w:sz w:val="1"/>
                <w:szCs w:val="1"/>
                <w:color w:val="auto"/>
              </w:rPr>
            </w:pPr>
          </w:p>
        </w:tc>
      </w:tr>
      <w:tr>
        <w:trPr>
          <w:trHeight w:val="179"/>
        </w:trPr>
        <w:tc>
          <w:tcPr>
            <w:tcW w:w="3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73"/>
              </w:rPr>
              <w:t>liabilities.................................</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3200" w:type="dxa"/>
            <w:vAlign w:val="bottom"/>
            <w:gridSpan w:val="2"/>
          </w:tcPr>
          <w:p>
            <w:pPr>
              <w:jc w:val="center"/>
              <w:ind w:left="1271"/>
              <w:spacing w:after="0" w:line="179" w:lineRule="exact"/>
              <w:rPr>
                <w:sz w:val="20"/>
                <w:szCs w:val="20"/>
                <w:color w:val="auto"/>
              </w:rPr>
            </w:pPr>
            <w:r>
              <w:rPr>
                <w:rFonts w:ascii="Courier New" w:cs="Courier New" w:eastAsia="Courier New" w:hAnsi="Courier New"/>
                <w:sz w:val="16"/>
                <w:szCs w:val="16"/>
                <w:color w:val="auto"/>
                <w:w w:val="96"/>
              </w:rPr>
              <w:t>(48) (48) Noncurrent</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8"/>
              </w:rPr>
              <w:t>liabilities....................................</w:t>
            </w: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(3) (41) (44) Minority</w:t>
            </w:r>
          </w:p>
        </w:tc>
        <w:tc>
          <w:tcPr>
            <w:tcW w:w="0" w:type="dxa"/>
            <w:vAlign w:val="bottom"/>
          </w:tcPr>
          <w:p>
            <w:pPr>
              <w:spacing w:after="0"/>
              <w:rPr>
                <w:sz w:val="1"/>
                <w:szCs w:val="1"/>
                <w:color w:val="auto"/>
              </w:rPr>
            </w:pPr>
          </w:p>
        </w:tc>
      </w:tr>
      <w:tr>
        <w:trPr>
          <w:trHeight w:val="179"/>
        </w:trPr>
        <w:tc>
          <w:tcPr>
            <w:tcW w:w="1520" w:type="dxa"/>
            <w:vAlign w:val="bottom"/>
          </w:tcPr>
          <w:p>
            <w:pPr>
              <w:jc w:val="right"/>
              <w:spacing w:after="0"/>
              <w:rPr>
                <w:sz w:val="20"/>
                <w:szCs w:val="20"/>
                <w:color w:val="auto"/>
              </w:rPr>
            </w:pPr>
            <w:r>
              <w:rPr>
                <w:rFonts w:ascii="Courier New" w:cs="Courier New" w:eastAsia="Courier New" w:hAnsi="Courier New"/>
                <w:sz w:val="4"/>
                <w:szCs w:val="4"/>
                <w:color w:val="auto"/>
              </w:rPr>
              <w:t>interest.........................................</w:t>
            </w:r>
            <w:r>
              <w:rPr>
                <w:rFonts w:ascii="Courier New" w:cs="Courier New" w:eastAsia="Courier New" w:hAnsi="Courier New"/>
                <w:sz w:val="7"/>
                <w:szCs w:val="7"/>
                <w:color w:val="auto"/>
                <w:vertAlign w:val="subscript"/>
              </w:rPr>
              <w:t>----</w:t>
            </w:r>
          </w:p>
        </w:tc>
        <w:tc>
          <w:tcPr>
            <w:tcW w:w="2980" w:type="dxa"/>
            <w:vAlign w:val="bottom"/>
            <w:gridSpan w:val="2"/>
            <w:vMerge w:val="restart"/>
          </w:tcPr>
          <w:p>
            <w:pPr>
              <w:jc w:val="center"/>
              <w:spacing w:after="0"/>
              <w:rPr>
                <w:sz w:val="20"/>
                <w:szCs w:val="20"/>
                <w:color w:val="auto"/>
              </w:rPr>
            </w:pPr>
            <w:r>
              <w:rPr>
                <w:rFonts w:ascii="Courier New" w:cs="Courier New" w:eastAsia="Courier New" w:hAnsi="Courier New"/>
                <w:sz w:val="16"/>
                <w:szCs w:val="16"/>
                <w:color w:val="auto"/>
                <w:w w:val="96"/>
              </w:rPr>
              <w:t>---- Net operations held-for-</w:t>
            </w:r>
          </w:p>
        </w:tc>
        <w:tc>
          <w:tcPr>
            <w:tcW w:w="0" w:type="dxa"/>
            <w:vAlign w:val="bottom"/>
          </w:tcPr>
          <w:p>
            <w:pPr>
              <w:spacing w:after="0"/>
              <w:rPr>
                <w:sz w:val="1"/>
                <w:szCs w:val="1"/>
                <w:color w:val="auto"/>
              </w:rPr>
            </w:pPr>
          </w:p>
        </w:tc>
      </w:tr>
      <w:tr>
        <w:trPr>
          <w:trHeight w:val="179"/>
        </w:trPr>
        <w:tc>
          <w:tcPr>
            <w:tcW w:w="152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-- 4 4 ---</w:t>
            </w:r>
          </w:p>
        </w:tc>
        <w:tc>
          <w:tcPr>
            <w:tcW w:w="29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tcPr>
          <w:p>
            <w:pPr>
              <w:ind w:left="80"/>
              <w:spacing w:after="0"/>
              <w:rPr>
                <w:sz w:val="20"/>
                <w:szCs w:val="20"/>
                <w:color w:val="auto"/>
              </w:rPr>
            </w:pPr>
            <w:r>
              <w:rPr>
                <w:rFonts w:ascii="Courier New" w:cs="Courier New" w:eastAsia="Courier New" w:hAnsi="Courier New"/>
                <w:sz w:val="11"/>
                <w:szCs w:val="11"/>
                <w:color w:val="auto"/>
                <w:w w:val="74"/>
              </w:rPr>
              <w:t>sale.........................</w:t>
            </w:r>
          </w:p>
        </w:tc>
        <w:tc>
          <w:tcPr>
            <w:tcW w:w="1680" w:type="dxa"/>
            <w:vAlign w:val="bottom"/>
          </w:tcPr>
          <w:p>
            <w:pPr>
              <w:jc w:val="center"/>
              <w:ind w:left="1242"/>
              <w:spacing w:after="0" w:line="179" w:lineRule="exact"/>
              <w:rPr>
                <w:sz w:val="20"/>
                <w:szCs w:val="20"/>
                <w:color w:val="auto"/>
              </w:rPr>
            </w:pPr>
            <w:r>
              <w:rPr>
                <w:rFonts w:ascii="Courier New" w:cs="Courier New" w:eastAsia="Courier New" w:hAnsi="Courier New"/>
                <w:sz w:val="16"/>
                <w:szCs w:val="16"/>
                <w:color w:val="auto"/>
                <w:w w:val="97"/>
              </w:rPr>
              <w:t>$47</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$122 $169 ===</w:t>
            </w:r>
          </w:p>
        </w:tc>
        <w:tc>
          <w:tcPr>
            <w:tcW w:w="0" w:type="dxa"/>
            <w:vAlign w:val="bottom"/>
          </w:tcPr>
          <w:p>
            <w:pPr>
              <w:spacing w:after="0"/>
              <w:rPr>
                <w:sz w:val="1"/>
                <w:szCs w:val="1"/>
                <w:color w:val="auto"/>
              </w:rPr>
            </w:pPr>
          </w:p>
        </w:tc>
      </w:tr>
      <w:tr>
        <w:trPr>
          <w:trHeight w:val="179"/>
        </w:trPr>
        <w:tc>
          <w:tcPr>
            <w:tcW w:w="4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 ==== Current assets: Operations held-for-</w:t>
            </w:r>
          </w:p>
        </w:tc>
        <w:tc>
          <w:tcPr>
            <w:tcW w:w="0" w:type="dxa"/>
            <w:vAlign w:val="bottom"/>
          </w:tcPr>
          <w:p>
            <w:pPr>
              <w:spacing w:after="0"/>
              <w:rPr>
                <w:sz w:val="1"/>
                <w:szCs w:val="1"/>
                <w:color w:val="auto"/>
              </w:rPr>
            </w:pPr>
          </w:p>
        </w:tc>
      </w:tr>
      <w:tr>
        <w:trPr>
          <w:trHeight w:val="179"/>
        </w:trPr>
        <w:tc>
          <w:tcPr>
            <w:tcW w:w="3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84"/>
              </w:rPr>
              <w:t>sale..................................</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$15 $207</w:t>
            </w:r>
          </w:p>
        </w:tc>
        <w:tc>
          <w:tcPr>
            <w:tcW w:w="0" w:type="dxa"/>
            <w:vAlign w:val="bottom"/>
          </w:tcPr>
          <w:p>
            <w:pPr>
              <w:spacing w:after="0"/>
              <w:rPr>
                <w:sz w:val="1"/>
                <w:szCs w:val="1"/>
                <w:color w:val="auto"/>
              </w:rPr>
            </w:pPr>
          </w:p>
        </w:tc>
      </w:tr>
      <w:tr>
        <w:trPr>
          <w:trHeight w:val="179"/>
        </w:trPr>
        <w:tc>
          <w:tcPr>
            <w:tcW w:w="4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$222 Long-term assets: Operations held-for-sale</w:t>
            </w:r>
          </w:p>
        </w:tc>
        <w:tc>
          <w:tcPr>
            <w:tcW w:w="0" w:type="dxa"/>
            <w:vAlign w:val="bottom"/>
          </w:tcPr>
          <w:p>
            <w:pPr>
              <w:spacing w:after="0"/>
              <w:rPr>
                <w:sz w:val="1"/>
                <w:szCs w:val="1"/>
                <w:color w:val="auto"/>
              </w:rPr>
            </w:pPr>
          </w:p>
        </w:tc>
      </w:tr>
      <w:tr>
        <w:trPr>
          <w:trHeight w:val="179"/>
        </w:trPr>
        <w:tc>
          <w:tcPr>
            <w:tcW w:w="3200" w:type="dxa"/>
            <w:vAlign w:val="bottom"/>
            <w:gridSpan w:val="2"/>
          </w:tcPr>
          <w:p>
            <w:pPr>
              <w:ind w:left="320"/>
              <w:spacing w:after="0" w:line="179" w:lineRule="exact"/>
              <w:rPr>
                <w:sz w:val="20"/>
                <w:szCs w:val="20"/>
                <w:color w:val="auto"/>
              </w:rPr>
            </w:pPr>
            <w:r>
              <w:rPr>
                <w:rFonts w:ascii="Courier New" w:cs="Courier New" w:eastAsia="Courier New" w:hAnsi="Courier New"/>
                <w:sz w:val="16"/>
                <w:szCs w:val="16"/>
                <w:color w:val="auto"/>
                <w:w w:val="90"/>
              </w:rPr>
              <w:t>(included in other assets).......</w:t>
            </w:r>
          </w:p>
        </w:tc>
        <w:tc>
          <w:tcPr>
            <w:tcW w:w="13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35 -- 35</w:t>
            </w:r>
          </w:p>
        </w:tc>
        <w:tc>
          <w:tcPr>
            <w:tcW w:w="0" w:type="dxa"/>
            <w:vAlign w:val="bottom"/>
          </w:tcPr>
          <w:p>
            <w:pPr>
              <w:spacing w:after="0"/>
              <w:rPr>
                <w:sz w:val="1"/>
                <w:szCs w:val="1"/>
                <w:color w:val="auto"/>
              </w:rPr>
            </w:pPr>
          </w:p>
        </w:tc>
      </w:tr>
      <w:tr>
        <w:trPr>
          <w:trHeight w:val="179"/>
        </w:trPr>
        <w:tc>
          <w:tcPr>
            <w:tcW w:w="45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Current liabilities: Operations held-for-</w:t>
            </w:r>
          </w:p>
        </w:tc>
        <w:tc>
          <w:tcPr>
            <w:tcW w:w="0" w:type="dxa"/>
            <w:vAlign w:val="bottom"/>
          </w:tcPr>
          <w:p>
            <w:pPr>
              <w:spacing w:after="0"/>
              <w:rPr>
                <w:sz w:val="1"/>
                <w:szCs w:val="1"/>
                <w:color w:val="auto"/>
              </w:rPr>
            </w:pPr>
          </w:p>
        </w:tc>
      </w:tr>
      <w:tr>
        <w:trPr>
          <w:trHeight w:val="179"/>
        </w:trPr>
        <w:tc>
          <w:tcPr>
            <w:tcW w:w="320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84"/>
              </w:rPr>
              <w:t>sale..................................</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 (85)</w:t>
            </w:r>
          </w:p>
        </w:tc>
        <w:tc>
          <w:tcPr>
            <w:tcW w:w="0" w:type="dxa"/>
            <w:vAlign w:val="bottom"/>
          </w:tcPr>
          <w:p>
            <w:pPr>
              <w:spacing w:after="0"/>
              <w:rPr>
                <w:sz w:val="1"/>
                <w:szCs w:val="1"/>
                <w:color w:val="auto"/>
              </w:rPr>
            </w:pPr>
          </w:p>
        </w:tc>
      </w:tr>
      <w:tr>
        <w:trPr>
          <w:trHeight w:val="179"/>
        </w:trPr>
        <w:tc>
          <w:tcPr>
            <w:tcW w:w="152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w w:val="97"/>
              </w:rPr>
              <w:t>(88) --- ----</w:t>
            </w:r>
          </w:p>
        </w:tc>
        <w:tc>
          <w:tcPr>
            <w:tcW w:w="2980" w:type="dxa"/>
            <w:vAlign w:val="bottom"/>
            <w:gridSpan w:val="2"/>
          </w:tcPr>
          <w:p>
            <w:pPr>
              <w:jc w:val="right"/>
              <w:ind w:right="142"/>
              <w:spacing w:after="0" w:line="179" w:lineRule="exact"/>
              <w:rPr>
                <w:sz w:val="20"/>
                <w:szCs w:val="20"/>
                <w:color w:val="auto"/>
              </w:rPr>
            </w:pPr>
            <w:r>
              <w:rPr>
                <w:rFonts w:ascii="Courier New" w:cs="Courier New" w:eastAsia="Courier New" w:hAnsi="Courier New"/>
                <w:sz w:val="16"/>
                <w:szCs w:val="16"/>
                <w:color w:val="auto"/>
                <w:w w:val="98"/>
              </w:rPr>
              <w:t>---- Net operations held-for-</w:t>
            </w:r>
          </w:p>
        </w:tc>
        <w:tc>
          <w:tcPr>
            <w:tcW w:w="0" w:type="dxa"/>
            <w:vAlign w:val="bottom"/>
          </w:tcPr>
          <w:p>
            <w:pPr>
              <w:spacing w:after="0"/>
              <w:rPr>
                <w:sz w:val="1"/>
                <w:szCs w:val="1"/>
                <w:color w:val="auto"/>
              </w:rPr>
            </w:pPr>
          </w:p>
        </w:tc>
      </w:tr>
      <w:tr>
        <w:trPr>
          <w:trHeight w:val="179"/>
        </w:trPr>
        <w:tc>
          <w:tcPr>
            <w:tcW w:w="1520" w:type="dxa"/>
            <w:vAlign w:val="bottom"/>
          </w:tcPr>
          <w:p>
            <w:pPr>
              <w:ind w:left="80"/>
              <w:spacing w:after="0"/>
              <w:rPr>
                <w:sz w:val="20"/>
                <w:szCs w:val="20"/>
                <w:color w:val="auto"/>
              </w:rPr>
            </w:pPr>
            <w:r>
              <w:rPr>
                <w:rFonts w:ascii="Courier New" w:cs="Courier New" w:eastAsia="Courier New" w:hAnsi="Courier New"/>
                <w:sz w:val="11"/>
                <w:szCs w:val="11"/>
                <w:color w:val="auto"/>
                <w:w w:val="74"/>
              </w:rPr>
              <w:t>sale.........................</w:t>
            </w:r>
          </w:p>
        </w:tc>
        <w:tc>
          <w:tcPr>
            <w:tcW w:w="1680" w:type="dxa"/>
            <w:vAlign w:val="bottom"/>
          </w:tcPr>
          <w:p>
            <w:pPr>
              <w:jc w:val="center"/>
              <w:ind w:left="1242"/>
              <w:spacing w:after="0" w:line="179" w:lineRule="exact"/>
              <w:rPr>
                <w:sz w:val="20"/>
                <w:szCs w:val="20"/>
                <w:color w:val="auto"/>
              </w:rPr>
            </w:pPr>
            <w:r>
              <w:rPr>
                <w:rFonts w:ascii="Courier New" w:cs="Courier New" w:eastAsia="Courier New" w:hAnsi="Courier New"/>
                <w:sz w:val="16"/>
                <w:szCs w:val="16"/>
                <w:color w:val="auto"/>
                <w:w w:val="97"/>
              </w:rPr>
              <w:t>$47</w:t>
            </w: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$122 $169 ===</w:t>
            </w:r>
          </w:p>
        </w:tc>
        <w:tc>
          <w:tcPr>
            <w:tcW w:w="0" w:type="dxa"/>
            <w:vAlign w:val="bottom"/>
          </w:tcPr>
          <w:p>
            <w:pPr>
              <w:spacing w:after="0"/>
              <w:rPr>
                <w:sz w:val="1"/>
                <w:szCs w:val="1"/>
                <w:color w:val="auto"/>
              </w:rPr>
            </w:pPr>
          </w:p>
        </w:tc>
      </w:tr>
      <w:tr>
        <w:trPr>
          <w:trHeight w:val="261"/>
        </w:trPr>
        <w:tc>
          <w:tcPr>
            <w:tcW w:w="1520" w:type="dxa"/>
            <w:vAlign w:val="bottom"/>
          </w:tcPr>
          <w:p>
            <w:pPr>
              <w:spacing w:after="0"/>
              <w:rPr>
                <w:sz w:val="22"/>
                <w:szCs w:val="22"/>
                <w:color w:val="auto"/>
              </w:rPr>
            </w:pPr>
          </w:p>
        </w:tc>
        <w:tc>
          <w:tcPr>
            <w:tcW w:w="168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7"/>
              </w:rPr>
              <w:t>==== ====</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 w:right="2779" w:firstLine="465"/>
        <w:spacing w:after="0" w:line="272" w:lineRule="auto"/>
        <w:rPr>
          <w:sz w:val="20"/>
          <w:szCs w:val="20"/>
          <w:color w:val="auto"/>
        </w:rPr>
      </w:pPr>
      <w:r>
        <w:rPr>
          <w:rFonts w:ascii="Courier New" w:cs="Courier New" w:eastAsia="Courier New" w:hAnsi="Courier New"/>
          <w:sz w:val="16"/>
          <w:szCs w:val="16"/>
          <w:color w:val="auto"/>
        </w:rPr>
        <w:t>As of December 31, 2000, the primary components within operations held-for-sale consisted of the Company's remaining international operations outside of North America and non-solid waste operations, certain NASW operations and the Company's surplus real estate portfolio.</w:t>
      </w:r>
    </w:p>
    <w:p>
      <w:pPr>
        <w:spacing w:after="0" w:line="70" w:lineRule="exact"/>
        <w:rPr>
          <w:sz w:val="20"/>
          <w:szCs w:val="20"/>
          <w:color w:val="auto"/>
        </w:rPr>
      </w:pPr>
    </w:p>
    <w:tbl>
      <w:tblPr>
        <w:tblLayout w:type="fixed"/>
        <w:tblInd w:w="45" w:type="dxa"/>
        <w:tblCellMar>
          <w:top w:w="0" w:type="dxa"/>
          <w:left w:w="0" w:type="dxa"/>
          <w:bottom w:w="0" w:type="dxa"/>
          <w:right w:w="0" w:type="dxa"/>
        </w:tblCellMar>
      </w:tblPr>
      <w:tr>
        <w:trPr>
          <w:trHeight w:val="181"/>
        </w:trPr>
        <w:tc>
          <w:tcPr>
            <w:tcW w:w="1480" w:type="dxa"/>
            <w:vAlign w:val="bottom"/>
          </w:tcPr>
          <w:p>
            <w:pPr>
              <w:jc w:val="right"/>
              <w:spacing w:after="0"/>
              <w:rPr>
                <w:sz w:val="20"/>
                <w:szCs w:val="20"/>
                <w:color w:val="auto"/>
              </w:rPr>
            </w:pPr>
            <w:r>
              <w:rPr>
                <w:rFonts w:ascii="Courier New" w:cs="Courier New" w:eastAsia="Courier New" w:hAnsi="Courier New"/>
                <w:sz w:val="16"/>
                <w:szCs w:val="16"/>
                <w:color w:val="auto"/>
                <w:w w:val="95"/>
              </w:rPr>
              <w:t>NASW OTHER TOTAL</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w w:val="99"/>
              </w:rPr>
              <w:t>---- ----- ----- As of December</w:t>
            </w:r>
          </w:p>
        </w:tc>
        <w:tc>
          <w:tcPr>
            <w:tcW w:w="0" w:type="dxa"/>
            <w:vAlign w:val="bottom"/>
          </w:tcPr>
          <w:p>
            <w:pPr>
              <w:spacing w:after="0"/>
              <w:rPr>
                <w:sz w:val="1"/>
                <w:szCs w:val="1"/>
                <w:color w:val="auto"/>
              </w:rPr>
            </w:pPr>
          </w:p>
        </w:tc>
      </w:tr>
      <w:tr>
        <w:trPr>
          <w:trHeight w:val="179"/>
        </w:trPr>
        <w:tc>
          <w:tcPr>
            <w:tcW w:w="44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31, 2000: Accounts receivable,</w:t>
            </w:r>
          </w:p>
        </w:tc>
        <w:tc>
          <w:tcPr>
            <w:tcW w:w="0" w:type="dxa"/>
            <w:vAlign w:val="bottom"/>
          </w:tcPr>
          <w:p>
            <w:pPr>
              <w:spacing w:after="0"/>
              <w:rPr>
                <w:sz w:val="1"/>
                <w:szCs w:val="1"/>
                <w:color w:val="auto"/>
              </w:rPr>
            </w:pPr>
          </w:p>
        </w:tc>
      </w:tr>
      <w:tr>
        <w:trPr>
          <w:trHeight w:val="179"/>
        </w:trPr>
        <w:tc>
          <w:tcPr>
            <w:tcW w:w="1480" w:type="dxa"/>
            <w:vAlign w:val="bottom"/>
          </w:tcPr>
          <w:p>
            <w:pPr>
              <w:jc w:val="right"/>
              <w:spacing w:after="0"/>
              <w:rPr>
                <w:sz w:val="20"/>
                <w:szCs w:val="20"/>
                <w:color w:val="auto"/>
              </w:rPr>
            </w:pPr>
            <w:r>
              <w:rPr>
                <w:rFonts w:ascii="Courier New" w:cs="Courier New" w:eastAsia="Courier New" w:hAnsi="Courier New"/>
                <w:sz w:val="9"/>
                <w:szCs w:val="9"/>
                <w:color w:val="auto"/>
                <w:w w:val="73"/>
              </w:rPr>
              <w:t>net..................................</w:t>
            </w:r>
          </w:p>
        </w:tc>
        <w:tc>
          <w:tcPr>
            <w:tcW w:w="2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$ 84 $</w:t>
            </w:r>
          </w:p>
        </w:tc>
        <w:tc>
          <w:tcPr>
            <w:tcW w:w="0" w:type="dxa"/>
            <w:vAlign w:val="bottom"/>
          </w:tcPr>
          <w:p>
            <w:pPr>
              <w:spacing w:after="0"/>
              <w:rPr>
                <w:sz w:val="1"/>
                <w:szCs w:val="1"/>
                <w:color w:val="auto"/>
              </w:rPr>
            </w:pPr>
          </w:p>
        </w:tc>
      </w:tr>
      <w:tr>
        <w:trPr>
          <w:trHeight w:val="179"/>
        </w:trPr>
        <w:tc>
          <w:tcPr>
            <w:tcW w:w="148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78"/>
              </w:rPr>
              <w:t>assets......................................</w:t>
            </w:r>
          </w:p>
        </w:tc>
        <w:tc>
          <w:tcPr>
            <w:tcW w:w="2980" w:type="dxa"/>
            <w:vAlign w:val="bottom"/>
          </w:tcPr>
          <w:p>
            <w:pPr>
              <w:jc w:val="center"/>
              <w:ind w:right="1402"/>
              <w:spacing w:after="0" w:line="179" w:lineRule="exact"/>
              <w:rPr>
                <w:sz w:val="20"/>
                <w:szCs w:val="20"/>
                <w:color w:val="auto"/>
              </w:rPr>
            </w:pPr>
            <w:r>
              <w:rPr>
                <w:rFonts w:ascii="Courier New" w:cs="Courier New" w:eastAsia="Courier New" w:hAnsi="Courier New"/>
                <w:sz w:val="16"/>
                <w:szCs w:val="16"/>
                <w:color w:val="auto"/>
                <w:w w:val="97"/>
              </w:rPr>
              <w:t>84 Other current</w:t>
            </w:r>
          </w:p>
        </w:tc>
        <w:tc>
          <w:tcPr>
            <w:tcW w:w="0" w:type="dxa"/>
            <w:vAlign w:val="bottom"/>
          </w:tcPr>
          <w:p>
            <w:pPr>
              <w:spacing w:after="0"/>
              <w:rPr>
                <w:sz w:val="1"/>
                <w:szCs w:val="1"/>
                <w:color w:val="auto"/>
              </w:rPr>
            </w:pPr>
          </w:p>
        </w:tc>
      </w:tr>
      <w:tr>
        <w:trPr>
          <w:trHeight w:val="179"/>
        </w:trPr>
        <w:tc>
          <w:tcPr>
            <w:tcW w:w="1480" w:type="dxa"/>
            <w:vAlign w:val="bottom"/>
            <w:vMerge w:val="continue"/>
          </w:tcPr>
          <w:p>
            <w:pPr>
              <w:spacing w:after="0"/>
              <w:rPr>
                <w:sz w:val="15"/>
                <w:szCs w:val="15"/>
                <w:color w:val="auto"/>
              </w:rPr>
            </w:pPr>
          </w:p>
        </w:tc>
        <w:tc>
          <w:tcPr>
            <w:tcW w:w="29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46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71 71 Property and equipment and other non-</w:t>
            </w:r>
          </w:p>
        </w:tc>
        <w:tc>
          <w:tcPr>
            <w:tcW w:w="0" w:type="dxa"/>
            <w:vAlign w:val="bottom"/>
          </w:tcPr>
          <w:p>
            <w:pPr>
              <w:spacing w:after="0"/>
              <w:rPr>
                <w:sz w:val="1"/>
                <w:szCs w:val="1"/>
                <w:color w:val="auto"/>
              </w:rPr>
            </w:pPr>
          </w:p>
        </w:tc>
      </w:tr>
      <w:tr>
        <w:trPr>
          <w:trHeight w:val="179"/>
        </w:trPr>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2"/>
              </w:rPr>
              <w:t>current assets.......</w:t>
            </w:r>
          </w:p>
        </w:tc>
        <w:tc>
          <w:tcPr>
            <w:tcW w:w="29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53 123 176 Other current</w:t>
            </w:r>
          </w:p>
        </w:tc>
        <w:tc>
          <w:tcPr>
            <w:tcW w:w="0" w:type="dxa"/>
            <w:vAlign w:val="bottom"/>
          </w:tcPr>
          <w:p>
            <w:pPr>
              <w:spacing w:after="0"/>
              <w:rPr>
                <w:sz w:val="1"/>
                <w:szCs w:val="1"/>
                <w:color w:val="auto"/>
              </w:rPr>
            </w:pPr>
          </w:p>
        </w:tc>
      </w:tr>
      <w:tr>
        <w:trPr>
          <w:trHeight w:val="207"/>
        </w:trPr>
        <w:tc>
          <w:tcPr>
            <w:tcW w:w="1480" w:type="dxa"/>
            <w:vAlign w:val="bottom"/>
          </w:tcPr>
          <w:p>
            <w:pPr>
              <w:jc w:val="right"/>
              <w:spacing w:after="0"/>
              <w:rPr>
                <w:sz w:val="20"/>
                <w:szCs w:val="20"/>
                <w:color w:val="auto"/>
              </w:rPr>
            </w:pPr>
            <w:r>
              <w:rPr>
                <w:rFonts w:ascii="Courier New" w:cs="Courier New" w:eastAsia="Courier New" w:hAnsi="Courier New"/>
                <w:sz w:val="7"/>
                <w:szCs w:val="7"/>
                <w:color w:val="auto"/>
                <w:w w:val="78"/>
              </w:rPr>
              <w:t>liabilities.................................</w:t>
            </w: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261"/>
        </w:trPr>
        <w:tc>
          <w:tcPr>
            <w:tcW w:w="1240" w:type="dxa"/>
            <w:vAlign w:val="bottom"/>
            <w:vMerge w:val="restart"/>
          </w:tcPr>
          <w:p>
            <w:pPr>
              <w:ind w:left="80"/>
              <w:spacing w:after="0"/>
              <w:rPr>
                <w:sz w:val="20"/>
                <w:szCs w:val="20"/>
                <w:color w:val="auto"/>
              </w:rPr>
            </w:pPr>
            <w:r>
              <w:rPr>
                <w:rFonts w:ascii="Courier New" w:cs="Courier New" w:eastAsia="Courier New" w:hAnsi="Courier New"/>
                <w:sz w:val="7"/>
                <w:szCs w:val="7"/>
                <w:color w:val="auto"/>
                <w:w w:val="88"/>
                <w:vertAlign w:val="superscript"/>
              </w:rPr>
              <w:t>liabilities</w:t>
            </w:r>
            <w:r>
              <w:rPr>
                <w:rFonts w:ascii="Courier New" w:cs="Courier New" w:eastAsia="Courier New" w:hAnsi="Courier New"/>
                <w:sz w:val="4"/>
                <w:szCs w:val="4"/>
                <w:color w:val="auto"/>
                <w:w w:val="88"/>
              </w:rPr>
              <w:t>.........................................</w:t>
            </w:r>
          </w:p>
        </w:tc>
        <w:tc>
          <w:tcPr>
            <w:tcW w:w="2080" w:type="dxa"/>
            <w:vAlign w:val="bottom"/>
          </w:tcPr>
          <w:p>
            <w:pPr>
              <w:ind w:left="20"/>
              <w:spacing w:after="0"/>
              <w:rPr>
                <w:sz w:val="20"/>
                <w:szCs w:val="20"/>
                <w:color w:val="auto"/>
              </w:rPr>
            </w:pPr>
            <w:r>
              <w:rPr>
                <w:rFonts w:ascii="Courier New" w:cs="Courier New" w:eastAsia="Courier New" w:hAnsi="Courier New"/>
                <w:sz w:val="16"/>
                <w:szCs w:val="16"/>
                <w:color w:val="auto"/>
                <w:w w:val="96"/>
              </w:rPr>
              <w:t>(100) (100) Noncurrent</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240" w:type="dxa"/>
            <w:vAlign w:val="bottom"/>
            <w:vMerge w:val="continue"/>
          </w:tcPr>
          <w:p>
            <w:pPr>
              <w:ind w:left="1120"/>
              <w:spacing w:after="0"/>
              <w:rPr>
                <w:sz w:val="20"/>
                <w:szCs w:val="20"/>
                <w:color w:val="auto"/>
              </w:rPr>
            </w:pPr>
            <w:r>
              <w:rPr>
                <w:rFonts w:ascii="Courier New" w:cs="Courier New" w:eastAsia="Courier New" w:hAnsi="Courier New"/>
                <w:sz w:val="1"/>
                <w:szCs w:val="1"/>
                <w:color w:val="auto"/>
                <w:w w:val="46"/>
              </w:rPr>
              <w:t>....................................</w:t>
            </w:r>
          </w:p>
        </w:tc>
        <w:tc>
          <w:tcPr>
            <w:tcW w:w="2080" w:type="dxa"/>
            <w:vAlign w:val="bottom"/>
            <w:vMerge w:val="restart"/>
          </w:tcPr>
          <w:p>
            <w:pPr>
              <w:spacing w:after="0"/>
              <w:rPr>
                <w:sz w:val="20"/>
                <w:szCs w:val="20"/>
                <w:color w:val="auto"/>
              </w:rPr>
            </w:pPr>
            <w:r>
              <w:rPr>
                <w:rFonts w:ascii="Courier New" w:cs="Courier New" w:eastAsia="Courier New" w:hAnsi="Courier New"/>
                <w:sz w:val="16"/>
                <w:szCs w:val="16"/>
                <w:color w:val="auto"/>
                <w:w w:val="97"/>
              </w:rPr>
              <w:t>(3) (50) (53) Minority</w:t>
            </w: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1240" w:type="dxa"/>
            <w:vAlign w:val="bottom"/>
            <w:vMerge w:val="restart"/>
          </w:tcPr>
          <w:p>
            <w:pPr>
              <w:spacing w:after="0"/>
              <w:rPr>
                <w:sz w:val="20"/>
                <w:szCs w:val="20"/>
                <w:color w:val="auto"/>
              </w:rPr>
            </w:pPr>
            <w:r>
              <w:rPr>
                <w:rFonts w:ascii="Courier New" w:cs="Courier New" w:eastAsia="Courier New" w:hAnsi="Courier New"/>
                <w:sz w:val="16"/>
                <w:szCs w:val="16"/>
                <w:color w:val="auto"/>
              </w:rPr>
              <w:t>interest</w:t>
            </w:r>
          </w:p>
        </w:tc>
        <w:tc>
          <w:tcPr>
            <w:tcW w:w="20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240" w:type="dxa"/>
            <w:vAlign w:val="bottom"/>
            <w:vMerge w:val="continue"/>
          </w:tcPr>
          <w:p>
            <w:pPr>
              <w:ind w:left="1120"/>
              <w:spacing w:after="0"/>
              <w:rPr>
                <w:sz w:val="20"/>
                <w:szCs w:val="20"/>
                <w:color w:val="auto"/>
              </w:rPr>
            </w:pPr>
            <w:r>
              <w:rPr>
                <w:rFonts w:ascii="Courier New" w:cs="Courier New" w:eastAsia="Courier New" w:hAnsi="Courier New"/>
                <w:sz w:val="4"/>
                <w:szCs w:val="4"/>
                <w:color w:val="auto"/>
                <w:w w:val="82"/>
              </w:rPr>
              <w:t>-----</w:t>
            </w:r>
          </w:p>
        </w:tc>
        <w:tc>
          <w:tcPr>
            <w:tcW w:w="3220" w:type="dxa"/>
            <w:vAlign w:val="bottom"/>
            <w:gridSpan w:val="3"/>
            <w:vMerge w:val="restart"/>
          </w:tcPr>
          <w:p>
            <w:pPr>
              <w:ind w:left="420"/>
              <w:spacing w:after="0"/>
              <w:rPr>
                <w:sz w:val="20"/>
                <w:szCs w:val="20"/>
                <w:color w:val="auto"/>
              </w:rPr>
            </w:pPr>
            <w:r>
              <w:rPr>
                <w:rFonts w:ascii="Courier New" w:cs="Courier New" w:eastAsia="Courier New" w:hAnsi="Courier New"/>
                <w:sz w:val="16"/>
                <w:szCs w:val="16"/>
                <w:color w:val="auto"/>
                <w:w w:val="96"/>
              </w:rPr>
              <w:t>----- Net operations held-for-</w:t>
            </w:r>
          </w:p>
        </w:tc>
        <w:tc>
          <w:tcPr>
            <w:tcW w:w="0" w:type="dxa"/>
            <w:vAlign w:val="bottom"/>
          </w:tcPr>
          <w:p>
            <w:pPr>
              <w:spacing w:after="0"/>
              <w:rPr>
                <w:sz w:val="1"/>
                <w:szCs w:val="1"/>
                <w:color w:val="auto"/>
              </w:rPr>
            </w:pPr>
          </w:p>
        </w:tc>
      </w:tr>
      <w:tr>
        <w:trPr>
          <w:trHeight w:val="179"/>
        </w:trPr>
        <w:tc>
          <w:tcPr>
            <w:tcW w:w="12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-- 2 2 ---</w:t>
            </w:r>
          </w:p>
        </w:tc>
        <w:tc>
          <w:tcPr>
            <w:tcW w:w="3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240" w:type="dxa"/>
            <w:vAlign w:val="bottom"/>
          </w:tcPr>
          <w:p>
            <w:pPr>
              <w:ind w:left="180"/>
              <w:spacing w:after="0"/>
              <w:rPr>
                <w:sz w:val="20"/>
                <w:szCs w:val="20"/>
                <w:color w:val="auto"/>
              </w:rPr>
            </w:pPr>
            <w:r>
              <w:rPr>
                <w:rFonts w:ascii="Courier New" w:cs="Courier New" w:eastAsia="Courier New" w:hAnsi="Courier New"/>
                <w:sz w:val="8"/>
                <w:szCs w:val="8"/>
                <w:color w:val="auto"/>
                <w:w w:val="74"/>
              </w:rPr>
              <w:t>sale.........................</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$50</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w w:val="95"/>
              </w:rPr>
              <w:t>$ 130</w:t>
            </w:r>
          </w:p>
        </w:tc>
        <w:tc>
          <w:tcPr>
            <w:tcW w:w="60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$ 180</w:t>
            </w:r>
          </w:p>
        </w:tc>
        <w:tc>
          <w:tcPr>
            <w:tcW w:w="0" w:type="dxa"/>
            <w:vAlign w:val="bottom"/>
          </w:tcPr>
          <w:p>
            <w:pPr>
              <w:spacing w:after="0"/>
              <w:rPr>
                <w:sz w:val="1"/>
                <w:szCs w:val="1"/>
                <w:color w:val="auto"/>
              </w:rPr>
            </w:pPr>
          </w:p>
        </w:tc>
      </w:tr>
    </w:tbl>
    <w:p>
      <w:pPr>
        <w:ind w:left="45"/>
        <w:spacing w:after="0" w:line="236" w:lineRule="auto"/>
        <w:rPr>
          <w:sz w:val="20"/>
          <w:szCs w:val="20"/>
          <w:color w:val="auto"/>
        </w:rPr>
      </w:pPr>
      <w:r>
        <w:rPr>
          <w:rFonts w:ascii="Courier New" w:cs="Courier New" w:eastAsia="Courier New" w:hAnsi="Courier New"/>
          <w:sz w:val="16"/>
          <w:szCs w:val="16"/>
          <w:color w:val="auto"/>
        </w:rPr>
        <w:t>=== ===== ===== Current assets: Operations held-</w:t>
      </w:r>
    </w:p>
    <w:p>
      <w:pPr>
        <w:ind w:left="45"/>
        <w:spacing w:after="0" w:line="237" w:lineRule="auto"/>
        <w:rPr>
          <w:sz w:val="20"/>
          <w:szCs w:val="20"/>
          <w:color w:val="auto"/>
        </w:rPr>
      </w:pPr>
      <w:r>
        <w:rPr>
          <w:rFonts w:ascii="Courier New" w:cs="Courier New" w:eastAsia="Courier New" w:hAnsi="Courier New"/>
          <w:sz w:val="16"/>
          <w:szCs w:val="16"/>
          <w:color w:val="auto"/>
        </w:rPr>
        <w:t>for-sale.................................. $11 $</w:t>
      </w:r>
    </w:p>
    <w:p>
      <w:pPr>
        <w:ind w:left="45"/>
        <w:spacing w:after="0" w:line="237" w:lineRule="auto"/>
        <w:rPr>
          <w:sz w:val="20"/>
          <w:szCs w:val="20"/>
          <w:color w:val="auto"/>
        </w:rPr>
      </w:pPr>
      <w:r>
        <w:rPr>
          <w:rFonts w:ascii="Courier New" w:cs="Courier New" w:eastAsia="Courier New" w:hAnsi="Courier New"/>
          <w:sz w:val="16"/>
          <w:szCs w:val="16"/>
          <w:color w:val="auto"/>
        </w:rPr>
        <w:t>278 $ 289 Long-term assets: Operations held-for-</w:t>
      </w:r>
    </w:p>
    <w:tbl>
      <w:tblPr>
        <w:tblLayout w:type="fixed"/>
        <w:tblInd w:w="45" w:type="dxa"/>
        <w:tblCellMar>
          <w:top w:w="0" w:type="dxa"/>
          <w:left w:w="0" w:type="dxa"/>
          <w:bottom w:w="0" w:type="dxa"/>
          <w:right w:w="0" w:type="dxa"/>
        </w:tblCellMar>
      </w:tblPr>
      <w:tr>
        <w:trPr>
          <w:trHeight w:val="151"/>
        </w:trPr>
        <w:tc>
          <w:tcPr>
            <w:tcW w:w="2240" w:type="dxa"/>
            <w:vAlign w:val="bottom"/>
            <w:gridSpan w:val="2"/>
          </w:tcPr>
          <w:p>
            <w:pPr>
              <w:jc w:val="right"/>
              <w:spacing w:after="0" w:line="152" w:lineRule="exact"/>
              <w:rPr>
                <w:sz w:val="20"/>
                <w:szCs w:val="20"/>
                <w:color w:val="auto"/>
              </w:rPr>
            </w:pPr>
            <w:r>
              <w:rPr>
                <w:rFonts w:ascii="Courier New" w:cs="Courier New" w:eastAsia="Courier New" w:hAnsi="Courier New"/>
                <w:sz w:val="16"/>
                <w:szCs w:val="16"/>
                <w:color w:val="auto"/>
                <w:w w:val="97"/>
              </w:rPr>
              <w:t>sale (included in other</w:t>
            </w:r>
          </w:p>
        </w:tc>
        <w:tc>
          <w:tcPr>
            <w:tcW w:w="1060" w:type="dxa"/>
            <w:vAlign w:val="bottom"/>
          </w:tcPr>
          <w:p>
            <w:pPr>
              <w:ind w:left="40"/>
              <w:spacing w:after="0" w:line="152" w:lineRule="exact"/>
              <w:rPr>
                <w:sz w:val="20"/>
                <w:szCs w:val="20"/>
                <w:color w:val="auto"/>
              </w:rPr>
            </w:pPr>
            <w:r>
              <w:rPr>
                <w:rFonts w:ascii="Courier New" w:cs="Courier New" w:eastAsia="Courier New" w:hAnsi="Courier New"/>
                <w:sz w:val="16"/>
                <w:szCs w:val="16"/>
                <w:color w:val="auto"/>
                <w:w w:val="74"/>
              </w:rPr>
              <w:t>assets).......</w:t>
            </w:r>
          </w:p>
        </w:tc>
        <w:tc>
          <w:tcPr>
            <w:tcW w:w="116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42 -- 42</w:t>
            </w:r>
          </w:p>
        </w:tc>
      </w:tr>
      <w:tr>
        <w:trPr>
          <w:trHeight w:val="179"/>
        </w:trPr>
        <w:tc>
          <w:tcPr>
            <w:tcW w:w="22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Current liabilities:</w:t>
            </w:r>
          </w:p>
        </w:tc>
        <w:tc>
          <w:tcPr>
            <w:tcW w:w="22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Operations held-for-</w:t>
            </w:r>
          </w:p>
        </w:tc>
      </w:tr>
      <w:tr>
        <w:trPr>
          <w:trHeight w:val="179"/>
        </w:trPr>
        <w:tc>
          <w:tcPr>
            <w:tcW w:w="22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sale..................................</w:t>
            </w:r>
          </w:p>
        </w:tc>
        <w:tc>
          <w:tcPr>
            <w:tcW w:w="106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 (148)</w:t>
            </w:r>
          </w:p>
        </w:tc>
      </w:tr>
      <w:tr>
        <w:trPr>
          <w:trHeight w:val="179"/>
        </w:trPr>
        <w:tc>
          <w:tcPr>
            <w:tcW w:w="214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(151) --- ----- -----</w:t>
            </w:r>
          </w:p>
        </w:tc>
        <w:tc>
          <w:tcPr>
            <w:tcW w:w="2320" w:type="dxa"/>
            <w:vAlign w:val="bottom"/>
            <w:gridSpan w:val="3"/>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Net operations held-for-</w:t>
            </w:r>
          </w:p>
        </w:tc>
      </w:tr>
      <w:tr>
        <w:trPr>
          <w:trHeight w:val="207"/>
        </w:trPr>
        <w:tc>
          <w:tcPr>
            <w:tcW w:w="22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9"/>
              </w:rPr>
              <w:t>sale.........................</w:t>
            </w:r>
          </w:p>
        </w:tc>
        <w:tc>
          <w:tcPr>
            <w:tcW w:w="10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4"/>
              </w:rPr>
              <w:t>$ 130 $ 180</w:t>
            </w:r>
          </w:p>
        </w:tc>
      </w:tr>
    </w:tbl>
    <w:p>
      <w:pPr>
        <w:ind w:left="1945" w:hanging="364"/>
        <w:spacing w:after="0"/>
        <w:tabs>
          <w:tab w:leader="none" w:pos="1945"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27" w:lineRule="exact"/>
        <w:rPr>
          <w:rFonts w:ascii="Courier New" w:cs="Courier New" w:eastAsia="Courier New" w:hAnsi="Courier New"/>
          <w:sz w:val="16"/>
          <w:szCs w:val="16"/>
          <w:color w:val="auto"/>
        </w:rPr>
      </w:pPr>
    </w:p>
    <w:p>
      <w:pPr>
        <w:ind w:left="285" w:hanging="285"/>
        <w:spacing w:after="0"/>
        <w:tabs>
          <w:tab w:leader="none" w:pos="28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DERIVATIVES AND HEDGING ACTIVITIES</w:t>
      </w:r>
    </w:p>
    <w:p>
      <w:pPr>
        <w:spacing w:after="0" w:line="177" w:lineRule="exact"/>
        <w:rPr>
          <w:sz w:val="20"/>
          <w:szCs w:val="20"/>
          <w:color w:val="auto"/>
        </w:rPr>
      </w:pPr>
    </w:p>
    <w:p>
      <w:pPr>
        <w:jc w:val="both"/>
        <w:ind w:left="5" w:right="2779" w:firstLine="465"/>
        <w:spacing w:after="0" w:line="289" w:lineRule="auto"/>
        <w:rPr>
          <w:sz w:val="20"/>
          <w:szCs w:val="20"/>
          <w:color w:val="auto"/>
        </w:rPr>
      </w:pPr>
      <w:r>
        <w:rPr>
          <w:rFonts w:ascii="Courier New" w:cs="Courier New" w:eastAsia="Courier New" w:hAnsi="Courier New"/>
          <w:sz w:val="16"/>
          <w:szCs w:val="16"/>
          <w:color w:val="auto"/>
        </w:rPr>
        <w:t>Statement of Financial Accounting Standards 133, "Accounting for Derivative Instruments and Hedging Activities," ("SFAS No. 133") as amended by SFAS No. 137 and 138, was effective for the Company on</w:t>
      </w:r>
    </w:p>
    <w:p>
      <w:pPr>
        <w:spacing w:after="0" w:line="61"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4"/>
          </w:cols>
          <w:pgMar w:left="235" w:top="269"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19</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ind w:right="2879"/>
        <w:spacing w:after="0" w:line="283" w:lineRule="auto"/>
        <w:rPr>
          <w:sz w:val="20"/>
          <w:szCs w:val="20"/>
          <w:color w:val="auto"/>
        </w:rPr>
      </w:pPr>
      <w:r>
        <w:rPr>
          <w:rFonts w:ascii="Courier New" w:cs="Courier New" w:eastAsia="Courier New" w:hAnsi="Courier New"/>
          <w:sz w:val="14"/>
          <w:szCs w:val="14"/>
          <w:color w:val="auto"/>
        </w:rPr>
        <w:t>January 1, 2001. These statements establish accounting and reporting standards requiring that all derivative instruments, including certain derivative instruments embedded in other contracts, be recorded as either assets or liabilities measured at fair value. These statements also require that changes in the derivative's fair value be recognized currently in earnings unless specific hedge accounting criteria are met. The criteria for cash flow and fair value hedges requires that hedging relationships must be designated and documented upon inception. The documentation must include the consideration of the hedged item, the specific risk being hedged, identification of the hedging instrument, the Company's risk management strategy, and how effectiveness will be assessed. The effectiveness assessment must have a historical basis that supports the assertion that the hedge will be effective prospectively. Any ineffectiveness in a hedging relationship is recognized currently in earnings.</w:t>
      </w:r>
    </w:p>
    <w:p>
      <w:pPr>
        <w:spacing w:after="0" w:line="260"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When a termination of a cash flow hedge occurs, the Company continues to include in accumulated other comprehensive income the deferred gain or deferred loss that arose before the date the hedge was terminated only if it is still probable that the forecasted transactions will occur. Prospectively the deferred gain or deferred loss included in accumulated other comprehensive income is amortized into earnings as the forecasted transactions occur. In a termination of a fair value hedge the Company derecognizes any derivative assets or liabilities previously recognized and recognizes a corresponding gain or loss currently in earnings.</w:t>
      </w:r>
    </w:p>
    <w:p>
      <w:pPr>
        <w:spacing w:after="0" w:line="90" w:lineRule="exact"/>
        <w:rPr>
          <w:sz w:val="20"/>
          <w:szCs w:val="20"/>
          <w:color w:val="auto"/>
        </w:rPr>
      </w:pPr>
    </w:p>
    <w:p>
      <w:pPr>
        <w:ind w:right="2779" w:firstLine="465"/>
        <w:spacing w:after="0" w:line="282" w:lineRule="auto"/>
        <w:rPr>
          <w:sz w:val="20"/>
          <w:szCs w:val="20"/>
          <w:color w:val="auto"/>
        </w:rPr>
      </w:pPr>
      <w:r>
        <w:rPr>
          <w:rFonts w:ascii="Courier New" w:cs="Courier New" w:eastAsia="Courier New" w:hAnsi="Courier New"/>
          <w:sz w:val="14"/>
          <w:szCs w:val="14"/>
          <w:color w:val="auto"/>
        </w:rPr>
        <w:t>All of the Company's derivatives are utilized to manage specific economic risks and not for speculative purposes. The Company currently engages in waste paper hedges in order to secure margins on certain paper items to be sold from its material recovery facilities. The objective is expected to be achieved by entering into the hedges to mitigate the variability in cash flows from sales of paper products at floating prices, resulting in a fixed price being received from sales of such products. In addition, the Company engages in interest rate swaps in order to maintain an optimal fixed-to-floating rate debt ratio. By managing the fixed-to-floating rate ratio of the existing debt portfolio, the Company is able to take advantage of lower interest rates on floating rate debt while limiting interest rate exposure through the use of fixed rate debt instruments. Also, prior to the issuance of debt instruments, the Company may secure the current market interest rate in order to hedge the exposure of an increase in interest rates.</w:t>
      </w:r>
    </w:p>
    <w:p>
      <w:pPr>
        <w:spacing w:after="0" w:line="261" w:lineRule="exact"/>
        <w:rPr>
          <w:sz w:val="20"/>
          <w:szCs w:val="20"/>
          <w:color w:val="auto"/>
        </w:rPr>
      </w:pPr>
    </w:p>
    <w:p>
      <w:pPr>
        <w:ind w:right="2779" w:firstLine="465"/>
        <w:spacing w:after="0" w:line="288" w:lineRule="auto"/>
        <w:rPr>
          <w:sz w:val="20"/>
          <w:szCs w:val="20"/>
          <w:color w:val="auto"/>
        </w:rPr>
      </w:pPr>
      <w:r>
        <w:rPr>
          <w:rFonts w:ascii="Courier New" w:cs="Courier New" w:eastAsia="Courier New" w:hAnsi="Courier New"/>
          <w:sz w:val="14"/>
          <w:szCs w:val="14"/>
          <w:color w:val="auto"/>
        </w:rPr>
        <w:t>The effect of adopting SFAS No. 133 on January 1, 2001 was a gain, net of taxes, for waste paper hedges of $3 and a loss, net of taxes, of $1 for interest rate swaps. The net gain of $2 is reflected as a cumulative effect of change in accounting principle for the six months ended June 30, 2001. In addition, the Company recorded a loss of approximately $1 and a gain of $5 for its hedging activity for the three and six months ended June 30, 2001, respectively. Waste paper swaps had a gain of $1 and $7 for the three and six months ended June 30, 2001 which is included as an offset to operating costs and expenses. Interest rate swaps had a loss of $2 for the three and six months ended June 30, 2001 which is included as an offset to interest expense.</w:t>
      </w:r>
    </w:p>
    <w:p>
      <w:pPr>
        <w:spacing w:after="0" w:line="255" w:lineRule="exact"/>
        <w:rPr>
          <w:sz w:val="20"/>
          <w:szCs w:val="20"/>
          <w:color w:val="auto"/>
        </w:rPr>
      </w:pPr>
    </w:p>
    <w:p>
      <w:pPr>
        <w:ind w:right="2779" w:firstLine="465"/>
        <w:spacing w:after="0" w:line="243" w:lineRule="auto"/>
        <w:rPr>
          <w:sz w:val="20"/>
          <w:szCs w:val="20"/>
          <w:color w:val="auto"/>
        </w:rPr>
      </w:pPr>
      <w:r>
        <w:rPr>
          <w:rFonts w:ascii="Courier New" w:cs="Courier New" w:eastAsia="Courier New" w:hAnsi="Courier New"/>
          <w:sz w:val="16"/>
          <w:szCs w:val="16"/>
          <w:color w:val="auto"/>
        </w:rPr>
        <w:t>In addition, the Company recorded a deferred gain of $2 and $12 related to its waste paper swaps for the three and six months ended June 30, 2001, respectively, which is included in accumulated other comprehensive income. Further, the estimated net amount of the existing gains for waste paper hedge transactions, which are included in accumulated other comprehensive income as of June 30, 2001, expected to be reclassified into earnings within the next 12 months is approximately $7. The Company's current waste paper swaps have an average hedge exposure of approximately two years with the maximum exposure to the variability of market prices of seven years. Also included in accumulated other comprehensive income is a deferred loss of $5 for the three and six months ended June 30, 2001 related to a financing transaction entered into by the Company in January to secure the then current market interest rate in anticipation of its February issuance of $600 of 7 3/8% senior unsecured notes due August 1, 2010. Approximately $1 of this deferred loss, which is included in accumulated other comprehensive income, is expected to be reclassified into interest expense over the next 12 months.</w:t>
      </w:r>
    </w:p>
    <w:p>
      <w:pPr>
        <w:spacing w:after="0" w:line="10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69"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20</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CONDENSED CONSOLIDATING FINANCIAL STATEMENTS</w:t>
      </w:r>
    </w:p>
    <w:p>
      <w:pPr>
        <w:spacing w:after="0" w:line="177" w:lineRule="exact"/>
        <w:rPr>
          <w:sz w:val="20"/>
          <w:szCs w:val="20"/>
          <w:color w:val="auto"/>
        </w:rPr>
      </w:pPr>
    </w:p>
    <w:p>
      <w:pPr>
        <w:ind w:right="2779" w:firstLine="465"/>
        <w:spacing w:after="0" w:line="283" w:lineRule="auto"/>
        <w:rPr>
          <w:sz w:val="20"/>
          <w:szCs w:val="20"/>
          <w:color w:val="auto"/>
        </w:rPr>
      </w:pPr>
      <w:r>
        <w:rPr>
          <w:rFonts w:ascii="Courier New" w:cs="Courier New" w:eastAsia="Courier New" w:hAnsi="Courier New"/>
          <w:sz w:val="14"/>
          <w:szCs w:val="14"/>
          <w:color w:val="auto"/>
        </w:rPr>
        <w:t>WM Holdings ("Guarantor"), which is 100% owned by Waste Management, Inc. ("Parent"), has fully and unconditionally guaranteed all of the senior indebtedness of the Parent, as well as the Parent's 4% convertible subordinated notes due 2002. The Parent has fully and unconditionally guaranteed all of the senior indebtedness of WM Holdings, as well as WM Holdings' 5.75% convertible subordinated debentures due 2005. However, none of the Company's nor WM Holdings' debt is guaranteed by any of the Parent's indirect subsidiaries or WM Holdings' subsidiaries ("Non-Guarantors"). Accordingly, the following unaudited condensed consolidating balance sheet as of June 30, 2001 and the condensed consolidated balance sheet as of December 31, 2000, the unaudited condensed consolidated statements of operations for the three and six months ended June 30, 2001 and 2000, along with the related unaudited statements of cash flows for the six months ended June 30, 2001 and 2000, have been provided below.</w:t>
      </w:r>
    </w:p>
    <w:p>
      <w:pPr>
        <w:spacing w:after="0" w:line="26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69"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21</w:t>
      </w:r>
    </w:p>
    <w:p>
      <w:pPr>
        <w:spacing w:after="0" w:line="2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CONDENSED CONSOLIDATED FINANCIAL STATEMENTS -- (CONTINUED)</w:t>
      </w:r>
    </w:p>
    <w:p>
      <w:pPr>
        <w:spacing w:after="0" w:line="19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CONDENSED CONSOLIDATING BALANCE SHEETS</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JUNE 30, 2001</w:t>
      </w:r>
    </w:p>
    <w:p>
      <w:pPr>
        <w:spacing w:after="0" w:line="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PARENT GUARANTOR NON-GUARANTORS</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ELIMINATIONS CONSOLIDATION ------ -------</w:t>
      </w:r>
    </w:p>
    <w:p>
      <w:pPr>
        <w:ind w:left="320" w:hanging="282"/>
        <w:spacing w:after="0" w:line="236" w:lineRule="auto"/>
        <w:tabs>
          <w:tab w:leader="none" w:pos="3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60" w:hanging="375"/>
        <w:spacing w:after="0" w:line="236" w:lineRule="auto"/>
        <w:tabs>
          <w:tab w:leader="none" w:pos="46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Current assets: Cash and cash</w:t>
      </w:r>
    </w:p>
    <w:tbl>
      <w:tblPr>
        <w:tblLayout w:type="fixed"/>
        <w:tblInd w:w="40" w:type="dxa"/>
        <w:tblCellMar>
          <w:top w:w="0" w:type="dxa"/>
          <w:left w:w="0" w:type="dxa"/>
          <w:bottom w:w="0" w:type="dxa"/>
          <w:right w:w="0" w:type="dxa"/>
        </w:tblCellMar>
      </w:tblPr>
      <w:tr>
        <w:trPr>
          <w:trHeight w:val="152"/>
        </w:trPr>
        <w:tc>
          <w:tcPr>
            <w:tcW w:w="2420" w:type="dxa"/>
            <w:vAlign w:val="bottom"/>
            <w:gridSpan w:val="3"/>
          </w:tcPr>
          <w:p>
            <w:pPr>
              <w:jc w:val="right"/>
              <w:spacing w:after="0" w:line="152" w:lineRule="exact"/>
              <w:rPr>
                <w:sz w:val="20"/>
                <w:szCs w:val="20"/>
                <w:color w:val="auto"/>
              </w:rPr>
            </w:pPr>
            <w:r>
              <w:rPr>
                <w:rFonts w:ascii="Courier New" w:cs="Courier New" w:eastAsia="Courier New" w:hAnsi="Courier New"/>
                <w:sz w:val="16"/>
                <w:szCs w:val="16"/>
                <w:color w:val="auto"/>
                <w:w w:val="83"/>
              </w:rPr>
              <w:t>equivalents...................</w:t>
            </w:r>
          </w:p>
        </w:tc>
        <w:tc>
          <w:tcPr>
            <w:tcW w:w="1300" w:type="dxa"/>
            <w:vAlign w:val="bottom"/>
          </w:tcPr>
          <w:p>
            <w:pPr>
              <w:jc w:val="right"/>
              <w:ind w:right="24"/>
              <w:spacing w:after="0" w:line="152" w:lineRule="exact"/>
              <w:rPr>
                <w:sz w:val="20"/>
                <w:szCs w:val="20"/>
                <w:color w:val="auto"/>
              </w:rPr>
            </w:pPr>
            <w:r>
              <w:rPr>
                <w:rFonts w:ascii="Courier New" w:cs="Courier New" w:eastAsia="Courier New" w:hAnsi="Courier New"/>
                <w:sz w:val="16"/>
                <w:szCs w:val="16"/>
                <w:color w:val="auto"/>
              </w:rPr>
              <w:t>$ 65 $ 6</w:t>
            </w:r>
          </w:p>
        </w:tc>
        <w:tc>
          <w:tcPr>
            <w:tcW w:w="10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w w:val="82"/>
              </w:rPr>
              <w:t>$</w:t>
            </w:r>
          </w:p>
        </w:tc>
        <w:tc>
          <w:tcPr>
            <w:tcW w:w="0" w:type="dxa"/>
            <w:vAlign w:val="bottom"/>
          </w:tcPr>
          <w:p>
            <w:pPr>
              <w:spacing w:after="0"/>
              <w:rPr>
                <w:sz w:val="1"/>
                <w:szCs w:val="1"/>
                <w:color w:val="auto"/>
              </w:rPr>
            </w:pPr>
          </w:p>
        </w:tc>
      </w:tr>
      <w:tr>
        <w:trPr>
          <w:trHeight w:val="179"/>
        </w:trPr>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325 $ --</w:t>
            </w:r>
          </w:p>
        </w:tc>
        <w:tc>
          <w:tcPr>
            <w:tcW w:w="2560" w:type="dxa"/>
            <w:vAlign w:val="bottom"/>
            <w:gridSpan w:val="2"/>
          </w:tcPr>
          <w:p>
            <w:pPr>
              <w:jc w:val="right"/>
              <w:ind w:right="444"/>
              <w:spacing w:after="0" w:line="179" w:lineRule="exact"/>
              <w:rPr>
                <w:sz w:val="20"/>
                <w:szCs w:val="20"/>
                <w:color w:val="auto"/>
              </w:rPr>
            </w:pPr>
            <w:r>
              <w:rPr>
                <w:rFonts w:ascii="Courier New" w:cs="Courier New" w:eastAsia="Courier New" w:hAnsi="Courier New"/>
                <w:sz w:val="16"/>
                <w:szCs w:val="16"/>
                <w:color w:val="auto"/>
              </w:rPr>
              <w:t>$ 396 Other current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0"/>
              </w:rPr>
              <w:t>assets</w:t>
            </w:r>
          </w:p>
        </w:tc>
        <w:tc>
          <w:tcPr>
            <w:tcW w:w="164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2,311</w:t>
            </w:r>
          </w:p>
        </w:tc>
        <w:tc>
          <w:tcPr>
            <w:tcW w:w="1300" w:type="dxa"/>
            <w:vAlign w:val="bottom"/>
          </w:tcPr>
          <w:p>
            <w:pPr>
              <w:jc w:val="right"/>
              <w:ind w:right="64"/>
              <w:spacing w:after="0" w:line="179" w:lineRule="exact"/>
              <w:rPr>
                <w:sz w:val="20"/>
                <w:szCs w:val="20"/>
                <w:color w:val="auto"/>
              </w:rPr>
            </w:pPr>
            <w:r>
              <w:rPr>
                <w:rFonts w:ascii="Courier New" w:cs="Courier New" w:eastAsia="Courier New" w:hAnsi="Courier New"/>
                <w:sz w:val="16"/>
                <w:szCs w:val="16"/>
                <w:color w:val="auto"/>
              </w:rPr>
              <w: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2,311 --</w:t>
            </w:r>
          </w:p>
        </w:tc>
        <w:tc>
          <w:tcPr>
            <w:tcW w:w="164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 ------</w:t>
            </w:r>
          </w:p>
        </w:tc>
        <w:tc>
          <w:tcPr>
            <w:tcW w:w="140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2"/>
              </w:rPr>
              <w:t>2,707</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Property</w:t>
            </w:r>
            <w:r>
              <w:rPr>
                <w:rFonts w:ascii="Courier New" w:cs="Courier New" w:eastAsia="Courier New" w:hAnsi="Courier New"/>
                <w:sz w:val="22"/>
                <w:szCs w:val="22"/>
                <w:color w:val="auto"/>
                <w:w w:val="72"/>
                <w:vertAlign w:val="superscript"/>
              </w:rPr>
              <w:t>----</w:t>
            </w:r>
          </w:p>
        </w:tc>
        <w:tc>
          <w:tcPr>
            <w:tcW w:w="0" w:type="dxa"/>
            <w:vAlign w:val="bottom"/>
          </w:tcPr>
          <w:p>
            <w:pPr>
              <w:spacing w:after="0"/>
              <w:rPr>
                <w:sz w:val="1"/>
                <w:szCs w:val="1"/>
                <w:color w:val="auto"/>
              </w:rPr>
            </w:pPr>
          </w:p>
        </w:tc>
      </w:tr>
      <w:tr>
        <w:trPr>
          <w:trHeight w:val="179"/>
        </w:trPr>
        <w:tc>
          <w:tcPr>
            <w:tcW w:w="1160" w:type="dxa"/>
            <w:vAlign w:val="bottom"/>
            <w:gridSpan w:val="2"/>
          </w:tcPr>
          <w:p>
            <w:pPr>
              <w:jc w:val="right"/>
              <w:ind w:right="29"/>
              <w:spacing w:after="0" w:line="179" w:lineRule="exact"/>
              <w:rPr>
                <w:sz w:val="20"/>
                <w:szCs w:val="20"/>
                <w:color w:val="auto"/>
              </w:rPr>
            </w:pPr>
            <w:r>
              <w:rPr>
                <w:rFonts w:ascii="Courier New" w:cs="Courier New" w:eastAsia="Courier New" w:hAnsi="Courier New"/>
                <w:sz w:val="16"/>
                <w:szCs w:val="16"/>
                <w:color w:val="auto"/>
                <w:w w:val="98"/>
              </w:rPr>
              <w:t>--- -------</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65 6 2,636 --</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2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7"/>
              </w:rPr>
              <w:t>and equipment, net...................</w:t>
            </w: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-- 10,028 --</w:t>
            </w:r>
          </w:p>
        </w:tc>
        <w:tc>
          <w:tcPr>
            <w:tcW w:w="2560" w:type="dxa"/>
            <w:vAlign w:val="bottom"/>
            <w:gridSpan w:val="2"/>
          </w:tcPr>
          <w:p>
            <w:pPr>
              <w:jc w:val="right"/>
              <w:ind w:right="64"/>
              <w:spacing w:after="0" w:line="179" w:lineRule="exact"/>
              <w:rPr>
                <w:sz w:val="20"/>
                <w:szCs w:val="20"/>
                <w:color w:val="auto"/>
              </w:rPr>
            </w:pPr>
            <w:r>
              <w:rPr>
                <w:rFonts w:ascii="Courier New" w:cs="Courier New" w:eastAsia="Courier New" w:hAnsi="Courier New"/>
                <w:sz w:val="16"/>
                <w:szCs w:val="16"/>
                <w:color w:val="auto"/>
              </w:rPr>
              <w:t>10,028 Intercompany and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86"/>
              </w:rPr>
              <w:t>investment in subsidiaries...</w:t>
            </w: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9,557 5,216</w:t>
            </w:r>
          </w:p>
        </w:tc>
        <w:tc>
          <w:tcPr>
            <w:tcW w:w="0" w:type="dxa"/>
            <w:vAlign w:val="bottom"/>
          </w:tcPr>
          <w:p>
            <w:pPr>
              <w:spacing w:after="0"/>
              <w:rPr>
                <w:sz w:val="1"/>
                <w:szCs w:val="1"/>
                <w:color w:val="auto"/>
              </w:rPr>
            </w:pPr>
          </w:p>
        </w:tc>
      </w:tr>
      <w:tr>
        <w:trPr>
          <w:trHeight w:val="261"/>
        </w:trPr>
        <w:tc>
          <w:tcPr>
            <w:tcW w:w="780" w:type="dxa"/>
            <w:vAlign w:val="bottom"/>
            <w:vMerge w:val="restart"/>
          </w:tcPr>
          <w:p>
            <w:pPr>
              <w:jc w:val="center"/>
              <w:spacing w:after="0"/>
              <w:rPr>
                <w:sz w:val="20"/>
                <w:szCs w:val="20"/>
                <w:color w:val="auto"/>
              </w:rPr>
            </w:pPr>
            <w:r>
              <w:rPr>
                <w:rFonts w:ascii="Courier New" w:cs="Courier New" w:eastAsia="Courier New" w:hAnsi="Courier New"/>
                <w:sz w:val="2"/>
                <w:szCs w:val="2"/>
                <w:color w:val="auto"/>
                <w:w w:val="84"/>
              </w:rPr>
              <w:t>assets..................................</w:t>
            </w:r>
            <w:r>
              <w:rPr>
                <w:rFonts w:ascii="Courier New" w:cs="Courier New" w:eastAsia="Courier New" w:hAnsi="Courier New"/>
                <w:sz w:val="4"/>
                <w:szCs w:val="4"/>
                <w:color w:val="auto"/>
                <w:w w:val="84"/>
                <w:vertAlign w:val="subscript"/>
              </w:rPr>
              <w:t>.........................</w:t>
            </w:r>
          </w:p>
        </w:tc>
        <w:tc>
          <w:tcPr>
            <w:tcW w:w="16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(9,504) (5,269) --</w:t>
            </w:r>
          </w:p>
        </w:tc>
        <w:tc>
          <w:tcPr>
            <w:tcW w:w="1300" w:type="dxa"/>
            <w:vAlign w:val="bottom"/>
          </w:tcPr>
          <w:p>
            <w:pPr>
              <w:jc w:val="right"/>
              <w:ind w:right="624"/>
              <w:spacing w:after="0"/>
              <w:rPr>
                <w:sz w:val="20"/>
                <w:szCs w:val="20"/>
                <w:color w:val="auto"/>
              </w:rPr>
            </w:pPr>
            <w:r>
              <w:rPr>
                <w:rFonts w:ascii="Courier New" w:cs="Courier New" w:eastAsia="Courier New" w:hAnsi="Courier New"/>
                <w:sz w:val="16"/>
                <w:szCs w:val="16"/>
                <w:color w:val="auto"/>
              </w:rPr>
              <w:t>Other</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780" w:type="dxa"/>
            <w:vAlign w:val="bottom"/>
            <w:vMerge w:val="continue"/>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Courier New" w:cs="Courier New" w:eastAsia="Courier New" w:hAnsi="Courier New"/>
                <w:sz w:val="11"/>
                <w:szCs w:val="11"/>
                <w:color w:val="auto"/>
              </w:rPr>
              <w: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5,974 ------</w:t>
            </w: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12 6 5,956</w:t>
            </w:r>
          </w:p>
        </w:tc>
        <w:tc>
          <w:tcPr>
            <w:tcW w:w="1260" w:type="dxa"/>
            <w:vAlign w:val="bottom"/>
            <w:vMerge w:val="continue"/>
          </w:tcPr>
          <w:p>
            <w:pPr>
              <w:spacing w:after="0"/>
              <w:rPr>
                <w:sz w:val="15"/>
                <w:szCs w:val="15"/>
                <w:color w:val="auto"/>
              </w:rPr>
            </w:pPr>
          </w:p>
        </w:tc>
        <w:tc>
          <w:tcPr>
            <w:tcW w:w="1400" w:type="dxa"/>
            <w:vAlign w:val="bottom"/>
            <w:gridSpan w:val="2"/>
            <w:vMerge w:val="restart"/>
          </w:tcPr>
          <w:p>
            <w:pPr>
              <w:jc w:val="right"/>
              <w:spacing w:after="0"/>
              <w:rPr>
                <w:sz w:val="20"/>
                <w:szCs w:val="20"/>
                <w:color w:val="auto"/>
              </w:rPr>
            </w:pPr>
            <w:r>
              <w:rPr>
                <w:rFonts w:ascii="Courier New" w:cs="Courier New" w:eastAsia="Courier New" w:hAnsi="Courier New"/>
                <w:sz w:val="31"/>
                <w:szCs w:val="31"/>
                <w:color w:val="auto"/>
                <w:w w:val="70"/>
                <w:vertAlign w:val="subscript"/>
              </w:rPr>
              <w:t>Total</w:t>
            </w:r>
            <w:r>
              <w:rPr>
                <w:rFonts w:ascii="Courier New" w:cs="Courier New" w:eastAsia="Courier New" w:hAnsi="Courier New"/>
                <w:sz w:val="16"/>
                <w:szCs w:val="16"/>
                <w:color w:val="auto"/>
                <w:w w:val="70"/>
              </w:rPr>
              <w:t>------ -------</w:t>
            </w:r>
          </w:p>
        </w:tc>
        <w:tc>
          <w:tcPr>
            <w:tcW w:w="0" w:type="dxa"/>
            <w:vAlign w:val="bottom"/>
          </w:tcPr>
          <w:p>
            <w:pPr>
              <w:spacing w:after="0"/>
              <w:rPr>
                <w:sz w:val="1"/>
                <w:szCs w:val="1"/>
                <w:color w:val="auto"/>
              </w:rPr>
            </w:pPr>
          </w:p>
        </w:tc>
      </w:tr>
      <w:tr>
        <w:trPr>
          <w:trHeight w:val="179"/>
        </w:trPr>
        <w:tc>
          <w:tcPr>
            <w:tcW w:w="78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7"/>
              </w:rPr>
              <w:t>assets</w:t>
            </w:r>
          </w:p>
        </w:tc>
        <w:tc>
          <w:tcPr>
            <w:tcW w:w="16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w:t>
            </w: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$9,634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$5,228</w:t>
            </w:r>
          </w:p>
        </w:tc>
        <w:tc>
          <w:tcPr>
            <w:tcW w:w="29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$ 9,116 $(5,269) $18,709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720" w:type="dxa"/>
            <w:vAlign w:val="bottom"/>
            <w:gridSpan w:val="4"/>
          </w:tcPr>
          <w:p>
            <w:pPr>
              <w:jc w:val="right"/>
              <w:ind w:right="344"/>
              <w:spacing w:after="0"/>
              <w:rPr>
                <w:sz w:val="20"/>
                <w:szCs w:val="20"/>
                <w:color w:val="auto"/>
              </w:rPr>
            </w:pPr>
            <w:r>
              <w:rPr>
                <w:rFonts w:ascii="Courier New" w:cs="Courier New" w:eastAsia="Courier New" w:hAnsi="Courier New"/>
                <w:sz w:val="16"/>
                <w:szCs w:val="16"/>
                <w:color w:val="auto"/>
              </w:rPr>
              <w:t>====== ======= ======= =======</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0" w:type="dxa"/>
            <w:vAlign w:val="bottom"/>
            <w:gridSpan w:val="4"/>
          </w:tcPr>
          <w:p>
            <w:pPr>
              <w:jc w:val="center"/>
              <w:spacing w:after="0"/>
              <w:rPr>
                <w:sz w:val="20"/>
                <w:szCs w:val="20"/>
                <w:color w:val="auto"/>
              </w:rPr>
            </w:pPr>
            <w:r>
              <w:rPr>
                <w:rFonts w:ascii="Courier New" w:cs="Courier New" w:eastAsia="Courier New" w:hAnsi="Courier New"/>
                <w:sz w:val="16"/>
                <w:szCs w:val="16"/>
                <w:color w:val="auto"/>
                <w:w w:val="73"/>
              </w:rPr>
              <w:t>of long-term debt........</w:t>
            </w:r>
          </w:p>
        </w:tc>
        <w:tc>
          <w:tcPr>
            <w:tcW w:w="1220" w:type="dxa"/>
            <w:vAlign w:val="bottom"/>
          </w:tcPr>
          <w:p>
            <w:pPr>
              <w:jc w:val="center"/>
              <w:ind w:left="482"/>
              <w:spacing w:after="0"/>
              <w:rPr>
                <w:sz w:val="20"/>
                <w:szCs w:val="20"/>
                <w:color w:val="auto"/>
              </w:rPr>
            </w:pPr>
            <w:r>
              <w:rPr>
                <w:rFonts w:ascii="Courier New" w:cs="Courier New" w:eastAsia="Courier New" w:hAnsi="Courier New"/>
                <w:sz w:val="16"/>
                <w:szCs w:val="16"/>
                <w:color w:val="auto"/>
                <w:w w:val="95"/>
              </w:rPr>
              <w:t>$ 597</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 -- $ 93</w:t>
            </w:r>
          </w:p>
        </w:tc>
        <w:tc>
          <w:tcPr>
            <w:tcW w:w="0" w:type="dxa"/>
            <w:vAlign w:val="bottom"/>
          </w:tcPr>
          <w:p>
            <w:pPr>
              <w:spacing w:after="0"/>
              <w:rPr>
                <w:sz w:val="1"/>
                <w:szCs w:val="1"/>
                <w:color w:val="auto"/>
              </w:rPr>
            </w:pPr>
          </w:p>
        </w:tc>
      </w:tr>
      <w:tr>
        <w:trPr>
          <w:trHeight w:val="179"/>
        </w:trPr>
        <w:tc>
          <w:tcPr>
            <w:tcW w:w="64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 --</w:t>
            </w:r>
          </w:p>
        </w:tc>
        <w:tc>
          <w:tcPr>
            <w:tcW w:w="3220" w:type="dxa"/>
            <w:vAlign w:val="bottom"/>
            <w:gridSpan w:val="5"/>
          </w:tcPr>
          <w:p>
            <w:pPr>
              <w:jc w:val="right"/>
              <w:ind w:right="124"/>
              <w:spacing w:after="0" w:line="179" w:lineRule="exact"/>
              <w:rPr>
                <w:sz w:val="20"/>
                <w:szCs w:val="20"/>
                <w:color w:val="auto"/>
              </w:rPr>
            </w:pPr>
            <w:r>
              <w:rPr>
                <w:rFonts w:ascii="Courier New" w:cs="Courier New" w:eastAsia="Courier New" w:hAnsi="Courier New"/>
                <w:sz w:val="16"/>
                <w:szCs w:val="16"/>
                <w:color w:val="auto"/>
                <w:w w:val="97"/>
              </w:rPr>
              <w:t>$ 690 Accounts payable and other</w:t>
            </w:r>
          </w:p>
        </w:tc>
        <w:tc>
          <w:tcPr>
            <w:tcW w:w="0" w:type="dxa"/>
            <w:vAlign w:val="bottom"/>
          </w:tcPr>
          <w:p>
            <w:pPr>
              <w:spacing w:after="0"/>
              <w:rPr>
                <w:sz w:val="1"/>
                <w:szCs w:val="1"/>
                <w:color w:val="auto"/>
              </w:rPr>
            </w:pPr>
          </w:p>
        </w:tc>
      </w:tr>
      <w:tr>
        <w:trPr>
          <w:trHeight w:val="261"/>
        </w:trPr>
        <w:tc>
          <w:tcPr>
            <w:tcW w:w="1440" w:type="dxa"/>
            <w:vAlign w:val="bottom"/>
            <w:gridSpan w:val="3"/>
            <w:vMerge w:val="restart"/>
          </w:tcPr>
          <w:p>
            <w:pPr>
              <w:jc w:val="right"/>
              <w:ind w:right="357"/>
              <w:spacing w:after="0"/>
              <w:rPr>
                <w:sz w:val="20"/>
                <w:szCs w:val="20"/>
                <w:color w:val="auto"/>
              </w:rPr>
            </w:pPr>
            <w:r>
              <w:rPr>
                <w:rFonts w:ascii="Courier New" w:cs="Courier New" w:eastAsia="Courier New" w:hAnsi="Courier New"/>
                <w:sz w:val="16"/>
                <w:szCs w:val="16"/>
                <w:color w:val="auto"/>
                <w:w w:val="94"/>
              </w:rPr>
              <w:t>liabilities</w:t>
            </w:r>
          </w:p>
        </w:tc>
        <w:tc>
          <w:tcPr>
            <w:tcW w:w="1580" w:type="dxa"/>
            <w:vAlign w:val="bottom"/>
            <w:gridSpan w:val="2"/>
          </w:tcPr>
          <w:p>
            <w:pPr>
              <w:jc w:val="center"/>
              <w:ind w:right="482"/>
              <w:spacing w:after="0"/>
              <w:rPr>
                <w:sz w:val="20"/>
                <w:szCs w:val="20"/>
                <w:color w:val="auto"/>
              </w:rPr>
            </w:pPr>
            <w:r>
              <w:rPr>
                <w:rFonts w:ascii="Courier New" w:cs="Courier New" w:eastAsia="Courier New" w:hAnsi="Courier New"/>
                <w:sz w:val="16"/>
                <w:szCs w:val="16"/>
                <w:color w:val="auto"/>
                <w:w w:val="98"/>
              </w:rPr>
              <w:t>accrued</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1440" w:type="dxa"/>
            <w:vAlign w:val="bottom"/>
            <w:gridSpan w:val="3"/>
            <w:vMerge w:val="continue"/>
          </w:tcPr>
          <w:p>
            <w:pPr>
              <w:jc w:val="right"/>
              <w:spacing w:after="0" w:line="97" w:lineRule="exact"/>
              <w:rPr>
                <w:sz w:val="20"/>
                <w:szCs w:val="20"/>
                <w:color w:val="auto"/>
              </w:rPr>
            </w:pPr>
            <w:r>
              <w:rPr>
                <w:rFonts w:ascii="Courier New" w:cs="Courier New" w:eastAsia="Courier New" w:hAnsi="Courier New"/>
                <w:sz w:val="8"/>
                <w:szCs w:val="8"/>
                <w:color w:val="auto"/>
              </w:rPr>
              <w:t>...............................</w:t>
            </w:r>
            <w:r>
              <w:rPr>
                <w:rFonts w:ascii="Courier New" w:cs="Courier New" w:eastAsia="Courier New" w:hAnsi="Courier New"/>
                <w:sz w:val="11"/>
                <w:szCs w:val="11"/>
                <w:color w:val="auto"/>
                <w:vertAlign w:val="subscript"/>
              </w:rPr>
              <w:t>--</w:t>
            </w:r>
          </w:p>
        </w:tc>
        <w:tc>
          <w:tcPr>
            <w:tcW w:w="1580" w:type="dxa"/>
            <w:vAlign w:val="bottom"/>
            <w:gridSpan w:val="2"/>
            <w:vMerge w:val="restart"/>
          </w:tcPr>
          <w:p>
            <w:pPr>
              <w:ind w:left="80"/>
              <w:spacing w:after="0"/>
              <w:rPr>
                <w:sz w:val="20"/>
                <w:szCs w:val="20"/>
                <w:color w:val="auto"/>
              </w:rPr>
            </w:pPr>
            <w:r>
              <w:rPr>
                <w:rFonts w:ascii="Courier New" w:cs="Courier New" w:eastAsia="Courier New" w:hAnsi="Courier New"/>
                <w:sz w:val="16"/>
                <w:szCs w:val="16"/>
                <w:color w:val="auto"/>
              </w:rPr>
              <w:t>2,503</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87 101</w:t>
            </w:r>
          </w:p>
        </w:tc>
        <w:tc>
          <w:tcPr>
            <w:tcW w:w="800" w:type="dxa"/>
            <w:vAlign w:val="bottom"/>
            <w:gridSpan w:val="2"/>
          </w:tcPr>
          <w:p>
            <w:pPr>
              <w:jc w:val="center"/>
              <w:ind w:right="177"/>
              <w:spacing w:after="0" w:line="179" w:lineRule="exact"/>
              <w:rPr>
                <w:sz w:val="20"/>
                <w:szCs w:val="20"/>
                <w:color w:val="auto"/>
              </w:rPr>
            </w:pPr>
            <w:r>
              <w:rPr>
                <w:rFonts w:ascii="Courier New" w:cs="Courier New" w:eastAsia="Courier New" w:hAnsi="Courier New"/>
                <w:sz w:val="16"/>
                <w:szCs w:val="16"/>
                <w:color w:val="auto"/>
                <w:w w:val="99"/>
              </w:rPr>
              <w:t>2,315</w:t>
            </w:r>
          </w:p>
        </w:tc>
        <w:tc>
          <w:tcPr>
            <w:tcW w:w="1580" w:type="dxa"/>
            <w:vAlign w:val="bottom"/>
            <w:gridSpan w:val="2"/>
            <w:vMerge w:val="continue"/>
          </w:tcPr>
          <w:p>
            <w:pPr>
              <w:jc w:val="center"/>
              <w:ind w:left="290"/>
              <w:spacing w:after="0" w:line="158" w:lineRule="exact"/>
              <w:rPr>
                <w:sz w:val="20"/>
                <w:szCs w:val="20"/>
                <w:color w:val="auto"/>
              </w:rPr>
            </w:pPr>
            <w:r>
              <w:rPr>
                <w:rFonts w:ascii="Courier New" w:cs="Courier New" w:eastAsia="Courier New" w:hAnsi="Courier New"/>
                <w:sz w:val="16"/>
                <w:szCs w:val="16"/>
                <w:color w:val="auto"/>
                <w:w w:val="97"/>
              </w:rPr>
              <w:t>------ ------</w:t>
            </w:r>
          </w:p>
        </w:tc>
        <w:tc>
          <w:tcPr>
            <w:tcW w:w="84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2"/>
              </w:rPr>
              <w:t>-- 3,193</w:t>
            </w:r>
            <w:r>
              <w:rPr>
                <w:rFonts w:ascii="Courier New" w:cs="Courier New" w:eastAsia="Courier New" w:hAnsi="Courier New"/>
                <w:sz w:val="25"/>
                <w:szCs w:val="25"/>
                <w:color w:val="auto"/>
                <w:w w:val="72"/>
                <w:vertAlign w:val="superscript"/>
              </w:rPr>
              <w:t>-----</w:t>
            </w:r>
          </w:p>
        </w:tc>
        <w:tc>
          <w:tcPr>
            <w:tcW w:w="0" w:type="dxa"/>
            <w:vAlign w:val="bottom"/>
          </w:tcPr>
          <w:p>
            <w:pPr>
              <w:spacing w:after="0"/>
              <w:rPr>
                <w:sz w:val="1"/>
                <w:szCs w:val="1"/>
                <w:color w:val="auto"/>
              </w:rPr>
            </w:pPr>
          </w:p>
        </w:tc>
      </w:tr>
      <w:tr>
        <w:trPr>
          <w:trHeight w:val="179"/>
        </w:trPr>
        <w:tc>
          <w:tcPr>
            <w:tcW w:w="8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79"/>
              </w:rPr>
              <w:t>-- -------</w:t>
            </w:r>
          </w:p>
        </w:tc>
        <w:tc>
          <w:tcPr>
            <w:tcW w:w="980" w:type="dxa"/>
            <w:vAlign w:val="bottom"/>
            <w:gridSpan w:val="2"/>
          </w:tcPr>
          <w:p>
            <w:pPr>
              <w:jc w:val="right"/>
              <w:ind w:right="1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684 101 2,408</w:t>
            </w: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3220" w:type="dxa"/>
            <w:vAlign w:val="bottom"/>
            <w:gridSpan w:val="5"/>
          </w:tcPr>
          <w:p>
            <w:pPr>
              <w:jc w:val="center"/>
              <w:ind w:right="544"/>
              <w:spacing w:after="0" w:line="179" w:lineRule="exact"/>
              <w:rPr>
                <w:sz w:val="20"/>
                <w:szCs w:val="20"/>
                <w:color w:val="auto"/>
              </w:rPr>
            </w:pPr>
            <w:r>
              <w:rPr>
                <w:rFonts w:ascii="Courier New" w:cs="Courier New" w:eastAsia="Courier New" w:hAnsi="Courier New"/>
                <w:sz w:val="16"/>
                <w:szCs w:val="16"/>
                <w:color w:val="auto"/>
                <w:w w:val="96"/>
              </w:rPr>
              <w:t>Long-term debt, less current</w:t>
            </w:r>
          </w:p>
        </w:tc>
        <w:tc>
          <w:tcPr>
            <w:tcW w:w="0" w:type="dxa"/>
            <w:vAlign w:val="bottom"/>
          </w:tcPr>
          <w:p>
            <w:pPr>
              <w:spacing w:after="0"/>
              <w:rPr>
                <w:sz w:val="1"/>
                <w:szCs w:val="1"/>
                <w:color w:val="auto"/>
              </w:rPr>
            </w:pPr>
          </w:p>
        </w:tc>
      </w:tr>
      <w:tr>
        <w:trPr>
          <w:trHeight w:val="179"/>
        </w:trPr>
        <w:tc>
          <w:tcPr>
            <w:tcW w:w="14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maturities.....</w:t>
            </w:r>
          </w:p>
        </w:tc>
        <w:tc>
          <w:tcPr>
            <w:tcW w:w="2420" w:type="dxa"/>
            <w:vAlign w:val="bottom"/>
            <w:gridSpan w:val="3"/>
          </w:tcPr>
          <w:p>
            <w:pPr>
              <w:jc w:val="center"/>
              <w:ind w:left="10"/>
              <w:spacing w:after="0" w:line="179" w:lineRule="exact"/>
              <w:rPr>
                <w:sz w:val="20"/>
                <w:szCs w:val="20"/>
                <w:color w:val="auto"/>
              </w:rPr>
            </w:pPr>
            <w:r>
              <w:rPr>
                <w:rFonts w:ascii="Courier New" w:cs="Courier New" w:eastAsia="Courier New" w:hAnsi="Courier New"/>
                <w:sz w:val="16"/>
                <w:szCs w:val="16"/>
                <w:color w:val="auto"/>
                <w:w w:val="96"/>
              </w:rPr>
              <w:t>3,759 2,515 1,397 --</w:t>
            </w:r>
          </w:p>
        </w:tc>
        <w:tc>
          <w:tcPr>
            <w:tcW w:w="0" w:type="dxa"/>
            <w:vAlign w:val="bottom"/>
          </w:tcPr>
          <w:p>
            <w:pPr>
              <w:spacing w:after="0"/>
              <w:rPr>
                <w:sz w:val="1"/>
                <w:szCs w:val="1"/>
                <w:color w:val="auto"/>
              </w:rPr>
            </w:pPr>
          </w:p>
        </w:tc>
      </w:tr>
      <w:tr>
        <w:trPr>
          <w:trHeight w:val="261"/>
        </w:trPr>
        <w:tc>
          <w:tcPr>
            <w:tcW w:w="1440" w:type="dxa"/>
            <w:vAlign w:val="bottom"/>
            <w:gridSpan w:val="3"/>
            <w:vMerge w:val="restart"/>
          </w:tcPr>
          <w:p>
            <w:pPr>
              <w:jc w:val="right"/>
              <w:spacing w:after="0"/>
              <w:rPr>
                <w:sz w:val="20"/>
                <w:szCs w:val="20"/>
                <w:color w:val="auto"/>
              </w:rPr>
            </w:pPr>
            <w:r>
              <w:rPr>
                <w:rFonts w:ascii="Courier New" w:cs="Courier New" w:eastAsia="Courier New" w:hAnsi="Courier New"/>
                <w:sz w:val="8"/>
                <w:szCs w:val="8"/>
                <w:color w:val="auto"/>
                <w:w w:val="77"/>
              </w:rPr>
              <w:t>liabilities...........................</w:t>
            </w:r>
          </w:p>
        </w:tc>
        <w:tc>
          <w:tcPr>
            <w:tcW w:w="1580" w:type="dxa"/>
            <w:vAlign w:val="bottom"/>
            <w:gridSpan w:val="2"/>
          </w:tcPr>
          <w:p>
            <w:pPr>
              <w:jc w:val="center"/>
              <w:ind w:right="482"/>
              <w:spacing w:after="0"/>
              <w:rPr>
                <w:sz w:val="20"/>
                <w:szCs w:val="20"/>
                <w:color w:val="auto"/>
              </w:rPr>
            </w:pPr>
            <w:r>
              <w:rPr>
                <w:rFonts w:ascii="Courier New" w:cs="Courier New" w:eastAsia="Courier New" w:hAnsi="Courier New"/>
                <w:sz w:val="16"/>
                <w:szCs w:val="16"/>
                <w:color w:val="auto"/>
                <w:w w:val="96"/>
              </w:rPr>
              <w:t>7,671 Other</w:t>
            </w:r>
          </w:p>
        </w:tc>
        <w:tc>
          <w:tcPr>
            <w:tcW w:w="8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1440" w:type="dxa"/>
            <w:vAlign w:val="bottom"/>
            <w:gridSpan w:val="3"/>
            <w:vMerge w:val="continue"/>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8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8"/>
              </w:rPr>
              <w:t>-- 2,637</w:t>
            </w:r>
          </w:p>
        </w:tc>
        <w:tc>
          <w:tcPr>
            <w:tcW w:w="980" w:type="dxa"/>
            <w:vAlign w:val="bottom"/>
            <w:gridSpan w:val="2"/>
          </w:tcPr>
          <w:p>
            <w:pPr>
              <w:jc w:val="right"/>
              <w:spacing w:after="0"/>
              <w:rPr>
                <w:sz w:val="20"/>
                <w:szCs w:val="20"/>
                <w:color w:val="auto"/>
              </w:rPr>
            </w:pPr>
            <w:r>
              <w:rPr>
                <w:rFonts w:ascii="Courier New" w:cs="Courier New" w:eastAsia="Courier New" w:hAnsi="Courier New"/>
                <w:sz w:val="7"/>
                <w:szCs w:val="7"/>
                <w:color w:val="auto"/>
                <w:w w:val="85"/>
                <w:vertAlign w:val="superscript"/>
              </w:rPr>
              <w:t>-- 2,637</w:t>
            </w:r>
            <w:r>
              <w:rPr>
                <w:rFonts w:ascii="Courier New" w:cs="Courier New" w:eastAsia="Courier New" w:hAnsi="Courier New"/>
                <w:sz w:val="7"/>
                <w:szCs w:val="7"/>
                <w:color w:val="auto"/>
                <w:w w:val="85"/>
                <w:vertAlign w:val="subscript"/>
              </w:rPr>
              <w:t>....................</w:t>
            </w:r>
            <w:r>
              <w:rPr>
                <w:rFonts w:ascii="Courier New" w:cs="Courier New" w:eastAsia="Courier New" w:hAnsi="Courier New"/>
                <w:sz w:val="4"/>
                <w:szCs w:val="4"/>
                <w:color w:val="auto"/>
                <w:w w:val="85"/>
              </w:rPr>
              <w:t>-------</w:t>
            </w:r>
            <w:r>
              <w:rPr>
                <w:rFonts w:ascii="Courier New" w:cs="Courier New" w:eastAsia="Courier New" w:hAnsi="Courier New"/>
                <w:sz w:val="7"/>
                <w:szCs w:val="7"/>
                <w:color w:val="auto"/>
                <w:w w:val="85"/>
                <w:vertAlign w:val="superscript"/>
              </w:rPr>
              <w:t>------</w:t>
            </w:r>
          </w:p>
        </w:tc>
        <w:tc>
          <w:tcPr>
            <w:tcW w:w="20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4"/>
              </w:rPr>
              <w:t>------</w:t>
            </w:r>
            <w:r>
              <w:rPr>
                <w:rFonts w:ascii="Courier New" w:cs="Courier New" w:eastAsia="Courier New" w:hAnsi="Courier New"/>
                <w:sz w:val="31"/>
                <w:szCs w:val="31"/>
                <w:color w:val="auto"/>
                <w:w w:val="94"/>
                <w:vertAlign w:val="subscript"/>
              </w:rPr>
              <w:t>Total</w:t>
            </w:r>
            <w:r>
              <w:rPr>
                <w:rFonts w:ascii="Courier New" w:cs="Courier New" w:eastAsia="Courier New" w:hAnsi="Courier New"/>
                <w:sz w:val="16"/>
                <w:szCs w:val="16"/>
                <w:color w:val="auto"/>
                <w:w w:val="94"/>
              </w:rPr>
              <w:t xml:space="preserve"> ------- -</w:t>
            </w:r>
          </w:p>
        </w:tc>
        <w:tc>
          <w:tcPr>
            <w:tcW w:w="0" w:type="dxa"/>
            <w:vAlign w:val="bottom"/>
          </w:tcPr>
          <w:p>
            <w:pPr>
              <w:spacing w:after="0"/>
              <w:rPr>
                <w:sz w:val="1"/>
                <w:szCs w:val="1"/>
                <w:color w:val="auto"/>
              </w:rPr>
            </w:pPr>
          </w:p>
        </w:tc>
      </w:tr>
      <w:tr>
        <w:trPr>
          <w:trHeight w:val="276"/>
        </w:trPr>
        <w:tc>
          <w:tcPr>
            <w:tcW w:w="1800" w:type="dxa"/>
            <w:vAlign w:val="bottom"/>
            <w:gridSpan w:val="4"/>
            <w:vMerge w:val="restart"/>
          </w:tcPr>
          <w:p>
            <w:pPr>
              <w:jc w:val="center"/>
              <w:spacing w:after="0"/>
              <w:rPr>
                <w:sz w:val="20"/>
                <w:szCs w:val="20"/>
                <w:color w:val="auto"/>
              </w:rPr>
            </w:pPr>
            <w:r>
              <w:rPr>
                <w:rFonts w:ascii="Courier New" w:cs="Courier New" w:eastAsia="Courier New" w:hAnsi="Courier New"/>
                <w:sz w:val="16"/>
                <w:szCs w:val="16"/>
                <w:color w:val="auto"/>
                <w:w w:val="75"/>
              </w:rPr>
              <w:t>liabilities</w:t>
            </w:r>
            <w:r>
              <w:rPr>
                <w:rFonts w:ascii="Courier New" w:cs="Courier New" w:eastAsia="Courier New" w:hAnsi="Courier New"/>
                <w:sz w:val="31"/>
                <w:szCs w:val="31"/>
                <w:color w:val="auto"/>
                <w:w w:val="75"/>
                <w:vertAlign w:val="superscript"/>
              </w:rPr>
              <w:t>------</w:t>
            </w:r>
          </w:p>
        </w:tc>
        <w:tc>
          <w:tcPr>
            <w:tcW w:w="1220" w:type="dxa"/>
            <w:vAlign w:val="bottom"/>
            <w:vMerge w:val="continue"/>
          </w:tcPr>
          <w:p>
            <w:pPr>
              <w:spacing w:after="0"/>
              <w:rPr>
                <w:sz w:val="24"/>
                <w:szCs w:val="24"/>
                <w:color w:val="auto"/>
              </w:rPr>
            </w:pPr>
          </w:p>
        </w:tc>
        <w:tc>
          <w:tcPr>
            <w:tcW w:w="840" w:type="dxa"/>
            <w:vAlign w:val="bottom"/>
            <w:vMerge w:val="restart"/>
          </w:tcPr>
          <w:p>
            <w:pPr>
              <w:jc w:val="right"/>
              <w:ind w:right="124"/>
              <w:spacing w:after="0"/>
              <w:rPr>
                <w:sz w:val="20"/>
                <w:szCs w:val="20"/>
                <w:color w:val="auto"/>
              </w:rPr>
            </w:pPr>
            <w:r>
              <w:rPr>
                <w:rFonts w:ascii="Courier New" w:cs="Courier New" w:eastAsia="Courier New" w:hAnsi="Courier New"/>
                <w:sz w:val="16"/>
                <w:szCs w:val="16"/>
                <w:color w:val="auto"/>
              </w:rPr>
              <w:t>4,443</w:t>
            </w:r>
          </w:p>
        </w:tc>
        <w:tc>
          <w:tcPr>
            <w:tcW w:w="0" w:type="dxa"/>
            <w:vAlign w:val="bottom"/>
          </w:tcPr>
          <w:p>
            <w:pPr>
              <w:spacing w:after="0"/>
              <w:rPr>
                <w:sz w:val="1"/>
                <w:szCs w:val="1"/>
                <w:color w:val="auto"/>
              </w:rPr>
            </w:pPr>
          </w:p>
        </w:tc>
      </w:tr>
      <w:tr>
        <w:trPr>
          <w:trHeight w:val="82"/>
        </w:trPr>
        <w:tc>
          <w:tcPr>
            <w:tcW w:w="144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14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2,616 6,442 --</w:t>
            </w:r>
          </w:p>
        </w:tc>
        <w:tc>
          <w:tcPr>
            <w:tcW w:w="242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rPr>
              <w:t>13,501 Minority interest</w:t>
            </w:r>
          </w:p>
        </w:tc>
        <w:tc>
          <w:tcPr>
            <w:tcW w:w="0" w:type="dxa"/>
            <w:vAlign w:val="bottom"/>
          </w:tcPr>
          <w:p>
            <w:pPr>
              <w:spacing w:after="0"/>
              <w:rPr>
                <w:sz w:val="1"/>
                <w:szCs w:val="1"/>
                <w:color w:val="auto"/>
              </w:rPr>
            </w:pPr>
          </w:p>
        </w:tc>
      </w:tr>
      <w:tr>
        <w:trPr>
          <w:trHeight w:val="179"/>
        </w:trPr>
        <w:tc>
          <w:tcPr>
            <w:tcW w:w="14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in subsidiaries</w:t>
            </w:r>
          </w:p>
        </w:tc>
        <w:tc>
          <w:tcPr>
            <w:tcW w:w="360" w:type="dxa"/>
            <w:vAlign w:val="bottom"/>
          </w:tcPr>
          <w:p>
            <w:pPr>
              <w:jc w:val="right"/>
              <w:spacing w:after="0"/>
              <w:rPr>
                <w:sz w:val="20"/>
                <w:szCs w:val="20"/>
                <w:color w:val="auto"/>
              </w:rPr>
            </w:pPr>
            <w:r>
              <w:rPr>
                <w:rFonts w:ascii="Courier New" w:cs="Courier New" w:eastAsia="Courier New" w:hAnsi="Courier New"/>
                <w:sz w:val="7"/>
                <w:szCs w:val="7"/>
                <w:color w:val="auto"/>
                <w:w w:val="73"/>
              </w:rPr>
              <w:t>...........</w:t>
            </w:r>
          </w:p>
        </w:tc>
        <w:tc>
          <w:tcPr>
            <w:tcW w:w="2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-- 17 -- 17</w:t>
            </w:r>
          </w:p>
        </w:tc>
        <w:tc>
          <w:tcPr>
            <w:tcW w:w="0" w:type="dxa"/>
            <w:vAlign w:val="bottom"/>
          </w:tcPr>
          <w:p>
            <w:pPr>
              <w:spacing w:after="0"/>
              <w:rPr>
                <w:sz w:val="1"/>
                <w:szCs w:val="1"/>
                <w:color w:val="auto"/>
              </w:rPr>
            </w:pPr>
          </w:p>
        </w:tc>
      </w:tr>
      <w:tr>
        <w:trPr>
          <w:trHeight w:val="336"/>
        </w:trPr>
        <w:tc>
          <w:tcPr>
            <w:tcW w:w="820" w:type="dxa"/>
            <w:vAlign w:val="bottom"/>
            <w:gridSpan w:val="2"/>
            <w:vMerge w:val="restart"/>
          </w:tcPr>
          <w:p>
            <w:pPr>
              <w:ind w:left="280"/>
              <w:spacing w:after="0"/>
              <w:rPr>
                <w:sz w:val="20"/>
                <w:szCs w:val="20"/>
                <w:color w:val="auto"/>
              </w:rPr>
            </w:pPr>
            <w:r>
              <w:rPr>
                <w:rFonts w:ascii="Courier New" w:cs="Courier New" w:eastAsia="Courier New" w:hAnsi="Courier New"/>
                <w:sz w:val="16"/>
                <w:szCs w:val="16"/>
                <w:color w:val="auto"/>
                <w:w w:val="90"/>
              </w:rPr>
              <w:t>equity</w:t>
            </w:r>
          </w:p>
        </w:tc>
        <w:tc>
          <w:tcPr>
            <w:tcW w:w="2200" w:type="dxa"/>
            <w:vAlign w:val="bottom"/>
            <w:gridSpan w:val="3"/>
          </w:tcPr>
          <w:p>
            <w:pPr>
              <w:jc w:val="center"/>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4"/>
                <w:szCs w:val="24"/>
                <w:color w:val="auto"/>
                <w:w w:val="70"/>
                <w:vertAlign w:val="superscript"/>
              </w:rPr>
              <w:t>Stockholders'</w:t>
            </w:r>
          </w:p>
        </w:tc>
        <w:tc>
          <w:tcPr>
            <w:tcW w:w="840" w:type="dxa"/>
            <w:vAlign w:val="bottom"/>
            <w:vMerge w:val="restart"/>
          </w:tcPr>
          <w:p>
            <w:pPr>
              <w:jc w:val="right"/>
              <w:ind w:right="164"/>
              <w:spacing w:after="0"/>
              <w:rPr>
                <w:sz w:val="20"/>
                <w:szCs w:val="20"/>
                <w:color w:val="auto"/>
              </w:rPr>
            </w:pPr>
            <w:r>
              <w:rPr>
                <w:rFonts w:ascii="Courier New" w:cs="Courier New" w:eastAsia="Courier New" w:hAnsi="Courier New"/>
                <w:sz w:val="16"/>
                <w:szCs w:val="16"/>
                <w:color w:val="auto"/>
              </w:rPr>
              <w:t>5,191</w:t>
            </w:r>
          </w:p>
        </w:tc>
        <w:tc>
          <w:tcPr>
            <w:tcW w:w="0" w:type="dxa"/>
            <w:vAlign w:val="bottom"/>
          </w:tcPr>
          <w:p>
            <w:pPr>
              <w:spacing w:after="0"/>
              <w:rPr>
                <w:sz w:val="1"/>
                <w:szCs w:val="1"/>
                <w:color w:val="auto"/>
              </w:rPr>
            </w:pPr>
          </w:p>
        </w:tc>
      </w:tr>
      <w:tr>
        <w:trPr>
          <w:trHeight w:val="22"/>
        </w:trPr>
        <w:tc>
          <w:tcPr>
            <w:tcW w:w="82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5,191 ------</w:t>
            </w: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80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7"/>
              </w:rPr>
              <w:t>2,612 2,657 (5,269)</w:t>
            </w:r>
          </w:p>
        </w:tc>
        <w:tc>
          <w:tcPr>
            <w:tcW w:w="1220" w:type="dxa"/>
            <w:vAlign w:val="bottom"/>
            <w:vMerge w:val="continue"/>
          </w:tcPr>
          <w:p>
            <w:pPr>
              <w:spacing w:after="0"/>
              <w:rPr>
                <w:sz w:val="15"/>
                <w:szCs w:val="15"/>
                <w:color w:val="auto"/>
              </w:rPr>
            </w:pP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3"/>
              </w:rPr>
              <w:t>------</w:t>
            </w:r>
          </w:p>
        </w:tc>
        <w:tc>
          <w:tcPr>
            <w:tcW w:w="8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1"/>
                <w:szCs w:val="11"/>
                <w:color w:val="auto"/>
                <w:w w:val="73"/>
              </w:rPr>
              <w:t>-------</w:t>
            </w:r>
          </w:p>
        </w:tc>
        <w:tc>
          <w:tcPr>
            <w:tcW w:w="2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Total liabilities</w:t>
            </w: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and stockholders'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40" w:type="dxa"/>
            <w:vAlign w:val="bottom"/>
            <w:gridSpan w:val="3"/>
          </w:tcPr>
          <w:p>
            <w:pPr>
              <w:jc w:val="right"/>
              <w:spacing w:after="0"/>
              <w:rPr>
                <w:sz w:val="20"/>
                <w:szCs w:val="20"/>
                <w:color w:val="auto"/>
              </w:rPr>
            </w:pPr>
            <w:r>
              <w:rPr>
                <w:rFonts w:ascii="Courier New" w:cs="Courier New" w:eastAsia="Courier New" w:hAnsi="Courier New"/>
                <w:sz w:val="9"/>
                <w:szCs w:val="9"/>
                <w:color w:val="auto"/>
                <w:w w:val="75"/>
              </w:rPr>
              <w:t>equity.............................</w:t>
            </w:r>
          </w:p>
        </w:tc>
        <w:tc>
          <w:tcPr>
            <w:tcW w:w="15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7"/>
              </w:rPr>
              <w:t>$ 9,116 $(5,269)</w:t>
            </w:r>
          </w:p>
        </w:tc>
        <w:tc>
          <w:tcPr>
            <w:tcW w:w="840" w:type="dxa"/>
            <w:vAlign w:val="bottom"/>
            <w:vMerge w:val="restart"/>
          </w:tcPr>
          <w:p>
            <w:pPr>
              <w:jc w:val="right"/>
              <w:ind w:right="64"/>
              <w:spacing w:after="0"/>
              <w:rPr>
                <w:sz w:val="20"/>
                <w:szCs w:val="20"/>
                <w:color w:val="auto"/>
              </w:rPr>
            </w:pPr>
            <w:r>
              <w:rPr>
                <w:rFonts w:ascii="Courier New" w:cs="Courier New" w:eastAsia="Courier New" w:hAnsi="Courier New"/>
                <w:sz w:val="16"/>
                <w:szCs w:val="16"/>
                <w:color w:val="auto"/>
              </w:rPr>
              <w:t>$18,709</w:t>
            </w:r>
          </w:p>
        </w:tc>
        <w:tc>
          <w:tcPr>
            <w:tcW w:w="0" w:type="dxa"/>
            <w:vAlign w:val="bottom"/>
          </w:tcPr>
          <w:p>
            <w:pPr>
              <w:spacing w:after="0"/>
              <w:rPr>
                <w:sz w:val="1"/>
                <w:szCs w:val="1"/>
                <w:color w:val="auto"/>
              </w:rPr>
            </w:pPr>
          </w:p>
        </w:tc>
      </w:tr>
      <w:tr>
        <w:trPr>
          <w:trHeight w:val="207"/>
        </w:trPr>
        <w:tc>
          <w:tcPr>
            <w:tcW w:w="8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$9,634</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w w:val="93"/>
              </w:rPr>
              <w:t>$5,228</w:t>
            </w:r>
          </w:p>
        </w:tc>
        <w:tc>
          <w:tcPr>
            <w:tcW w:w="15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Courier New" w:cs="Courier New" w:eastAsia="Courier New" w:hAnsi="Courier New"/>
          <w:sz w:val="16"/>
          <w:szCs w:val="16"/>
          <w:color w:val="auto"/>
        </w:rPr>
        <w:t>====== ====== ======= ======= =======</w:t>
      </w:r>
    </w:p>
    <w:p>
      <w:pPr>
        <w:spacing w:after="0" w:line="327"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DECEMBER 31, 2000</w:t>
      </w:r>
    </w:p>
    <w:p>
      <w:pPr>
        <w:spacing w:after="0" w:line="177" w:lineRule="exact"/>
        <w:rPr>
          <w:sz w:val="20"/>
          <w:szCs w:val="20"/>
          <w:color w:val="auto"/>
        </w:rPr>
      </w:pPr>
    </w:p>
    <w:p>
      <w:pPr>
        <w:jc w:val="center"/>
        <w:ind w:right="6319"/>
        <w:spacing w:after="0"/>
        <w:rPr>
          <w:sz w:val="20"/>
          <w:szCs w:val="20"/>
          <w:color w:val="auto"/>
        </w:rPr>
      </w:pPr>
      <w:r>
        <w:rPr>
          <w:rFonts w:ascii="Courier New" w:cs="Courier New" w:eastAsia="Courier New" w:hAnsi="Courier New"/>
          <w:sz w:val="16"/>
          <w:szCs w:val="16"/>
          <w:color w:val="auto"/>
        </w:rPr>
        <w:t>PARENT GUARANTOR NON-GUARANTORS</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ELIMINATIONS CONSOLIDATION ------ -------</w:t>
      </w:r>
    </w:p>
    <w:p>
      <w:pPr>
        <w:ind w:left="320" w:hanging="282"/>
        <w:spacing w:after="0" w:line="236" w:lineRule="auto"/>
        <w:tabs>
          <w:tab w:leader="none" w:pos="3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60" w:hanging="375"/>
        <w:spacing w:after="0" w:line="236" w:lineRule="auto"/>
        <w:tabs>
          <w:tab w:leader="none" w:pos="46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ASSETS Current assets: Cash and cash</w:t>
      </w:r>
    </w:p>
    <w:tbl>
      <w:tblPr>
        <w:tblLayout w:type="fixed"/>
        <w:tblInd w:w="40" w:type="dxa"/>
        <w:tblCellMar>
          <w:top w:w="0" w:type="dxa"/>
          <w:left w:w="0" w:type="dxa"/>
          <w:bottom w:w="0" w:type="dxa"/>
          <w:right w:w="0" w:type="dxa"/>
        </w:tblCellMar>
      </w:tblPr>
      <w:tr>
        <w:trPr>
          <w:trHeight w:val="152"/>
        </w:trPr>
        <w:tc>
          <w:tcPr>
            <w:tcW w:w="2380" w:type="dxa"/>
            <w:vAlign w:val="bottom"/>
            <w:gridSpan w:val="3"/>
          </w:tcPr>
          <w:p>
            <w:pPr>
              <w:ind w:left="40"/>
              <w:spacing w:after="0" w:line="152" w:lineRule="exact"/>
              <w:rPr>
                <w:sz w:val="20"/>
                <w:szCs w:val="20"/>
                <w:color w:val="auto"/>
              </w:rPr>
            </w:pPr>
            <w:r>
              <w:rPr>
                <w:rFonts w:ascii="Courier New" w:cs="Courier New" w:eastAsia="Courier New" w:hAnsi="Courier New"/>
                <w:sz w:val="16"/>
                <w:szCs w:val="16"/>
                <w:color w:val="auto"/>
                <w:w w:val="80"/>
              </w:rPr>
              <w:t>equivalents...................</w:t>
            </w:r>
          </w:p>
        </w:tc>
        <w:tc>
          <w:tcPr>
            <w:tcW w:w="40" w:type="dxa"/>
            <w:vAlign w:val="bottom"/>
          </w:tcPr>
          <w:p>
            <w:pPr>
              <w:spacing w:after="0"/>
              <w:rPr>
                <w:sz w:val="13"/>
                <w:szCs w:val="13"/>
                <w:color w:val="auto"/>
              </w:rPr>
            </w:pPr>
          </w:p>
        </w:tc>
        <w:tc>
          <w:tcPr>
            <w:tcW w:w="700" w:type="dxa"/>
            <w:vAlign w:val="bottom"/>
          </w:tcPr>
          <w:p>
            <w:pPr>
              <w:jc w:val="right"/>
              <w:ind w:right="26"/>
              <w:spacing w:after="0" w:line="152"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line="152" w:lineRule="exact"/>
              <w:rPr>
                <w:sz w:val="20"/>
                <w:szCs w:val="20"/>
                <w:color w:val="auto"/>
              </w:rPr>
            </w:pPr>
            <w:r>
              <w:rPr>
                <w:rFonts w:ascii="Courier New" w:cs="Courier New" w:eastAsia="Courier New" w:hAnsi="Courier New"/>
                <w:sz w:val="16"/>
                <w:szCs w:val="16"/>
                <w:color w:val="auto"/>
              </w:rPr>
              <w:t>72 $ 14</w:t>
            </w:r>
          </w:p>
        </w:tc>
        <w:tc>
          <w:tcPr>
            <w:tcW w:w="0" w:type="dxa"/>
            <w:vAlign w:val="bottom"/>
          </w:tcPr>
          <w:p>
            <w:pPr>
              <w:spacing w:after="0"/>
              <w:rPr>
                <w:sz w:val="1"/>
                <w:szCs w:val="1"/>
                <w:color w:val="auto"/>
              </w:rPr>
            </w:pPr>
          </w:p>
        </w:tc>
      </w:tr>
      <w:tr>
        <w:trPr>
          <w:trHeight w:val="179"/>
        </w:trPr>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$ 8 $</w:t>
            </w:r>
          </w:p>
        </w:tc>
        <w:tc>
          <w:tcPr>
            <w:tcW w:w="2700" w:type="dxa"/>
            <w:vAlign w:val="bottom"/>
            <w:gridSpan w:val="4"/>
          </w:tcPr>
          <w:p>
            <w:pPr>
              <w:jc w:val="right"/>
              <w:ind w:right="582"/>
              <w:spacing w:after="0" w:line="179" w:lineRule="exact"/>
              <w:rPr>
                <w:sz w:val="20"/>
                <w:szCs w:val="20"/>
                <w:color w:val="auto"/>
              </w:rPr>
            </w:pPr>
            <w:r>
              <w:rPr>
                <w:rFonts w:ascii="Courier New" w:cs="Courier New" w:eastAsia="Courier New" w:hAnsi="Courier New"/>
                <w:sz w:val="16"/>
                <w:szCs w:val="16"/>
                <w:color w:val="auto"/>
              </w:rPr>
              <w:t>-- $ 94 Other current</w:t>
            </w:r>
          </w:p>
        </w:tc>
        <w:tc>
          <w:tcPr>
            <w:tcW w:w="0" w:type="dxa"/>
            <w:vAlign w:val="bottom"/>
          </w:tcPr>
          <w:p>
            <w:pPr>
              <w:spacing w:after="0"/>
              <w:rPr>
                <w:sz w:val="1"/>
                <w:szCs w:val="1"/>
                <w:color w:val="auto"/>
              </w:rPr>
            </w:pPr>
          </w:p>
        </w:tc>
      </w:tr>
      <w:tr>
        <w:trPr>
          <w:trHeight w:val="179"/>
        </w:trPr>
        <w:tc>
          <w:tcPr>
            <w:tcW w:w="78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w w:val="90"/>
              </w:rPr>
              <w:t>assets</w:t>
            </w:r>
          </w:p>
        </w:tc>
        <w:tc>
          <w:tcPr>
            <w:tcW w:w="1640" w:type="dxa"/>
            <w:vAlign w:val="bottom"/>
            <w:gridSpan w:val="3"/>
            <w:vMerge w:val="restart"/>
          </w:tcPr>
          <w:p>
            <w:pPr>
              <w:jc w:val="right"/>
              <w:spacing w:after="0"/>
              <w:rPr>
                <w:sz w:val="20"/>
                <w:szCs w:val="20"/>
                <w:color w:val="auto"/>
              </w:rPr>
            </w:pPr>
            <w:r>
              <w:rPr>
                <w:rFonts w:ascii="Courier New" w:cs="Courier New" w:eastAsia="Courier New" w:hAnsi="Courier New"/>
                <w:sz w:val="12"/>
                <w:szCs w:val="12"/>
                <w:color w:val="auto"/>
                <w:w w:val="74"/>
              </w:rPr>
              <w:t>........................</w:t>
            </w:r>
            <w:r>
              <w:rPr>
                <w:rFonts w:ascii="Courier New" w:cs="Courier New" w:eastAsia="Courier New" w:hAnsi="Courier New"/>
                <w:sz w:val="22"/>
                <w:szCs w:val="22"/>
                <w:color w:val="auto"/>
                <w:w w:val="74"/>
                <w:vertAlign w:val="subscript"/>
              </w:rPr>
              <w:t>2,363</w:t>
            </w:r>
          </w:p>
        </w:tc>
        <w:tc>
          <w:tcPr>
            <w:tcW w:w="700" w:type="dxa"/>
            <w:vAlign w:val="bottom"/>
          </w:tcPr>
          <w:p>
            <w:pPr>
              <w:spacing w:after="0"/>
              <w:rPr>
                <w:sz w:val="15"/>
                <w:szCs w:val="15"/>
                <w:color w:val="auto"/>
              </w:rPr>
            </w:pPr>
          </w:p>
        </w:tc>
        <w:tc>
          <w:tcPr>
            <w:tcW w:w="7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7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2,363 --</w:t>
            </w:r>
          </w:p>
        </w:tc>
        <w:tc>
          <w:tcPr>
            <w:tcW w:w="1640" w:type="dxa"/>
            <w:vAlign w:val="bottom"/>
            <w:gridSpan w:val="3"/>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 ------</w:t>
            </w:r>
          </w:p>
        </w:tc>
        <w:tc>
          <w:tcPr>
            <w:tcW w:w="140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2"/>
              </w:rPr>
              <w:t>2,457</w:t>
            </w:r>
            <w:r>
              <w:rPr>
                <w:rFonts w:ascii="Courier New" w:cs="Courier New" w:eastAsia="Courier New" w:hAnsi="Courier New"/>
                <w:sz w:val="22"/>
                <w:szCs w:val="22"/>
                <w:color w:val="auto"/>
                <w:w w:val="72"/>
                <w:vertAlign w:val="superscript"/>
              </w:rPr>
              <w:t>-------</w:t>
            </w:r>
            <w:r>
              <w:rPr>
                <w:rFonts w:ascii="Courier New" w:cs="Courier New" w:eastAsia="Courier New" w:hAnsi="Courier New"/>
                <w:sz w:val="12"/>
                <w:szCs w:val="12"/>
                <w:color w:val="auto"/>
                <w:w w:val="72"/>
              </w:rPr>
              <w:t>Property</w:t>
            </w:r>
            <w:r>
              <w:rPr>
                <w:rFonts w:ascii="Courier New" w:cs="Courier New" w:eastAsia="Courier New" w:hAnsi="Courier New"/>
                <w:sz w:val="22"/>
                <w:szCs w:val="22"/>
                <w:color w:val="auto"/>
                <w:w w:val="72"/>
                <w:vertAlign w:val="superscript"/>
              </w:rPr>
              <w:t>----</w:t>
            </w:r>
          </w:p>
        </w:tc>
        <w:tc>
          <w:tcPr>
            <w:tcW w:w="0" w:type="dxa"/>
            <w:vAlign w:val="bottom"/>
          </w:tcPr>
          <w:p>
            <w:pPr>
              <w:spacing w:after="0"/>
              <w:rPr>
                <w:sz w:val="1"/>
                <w:szCs w:val="1"/>
                <w:color w:val="auto"/>
              </w:rPr>
            </w:pPr>
          </w:p>
        </w:tc>
      </w:tr>
      <w:tr>
        <w:trPr>
          <w:trHeight w:val="179"/>
        </w:trPr>
        <w:tc>
          <w:tcPr>
            <w:tcW w:w="1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w:t>
            </w:r>
          </w:p>
        </w:tc>
        <w:tc>
          <w:tcPr>
            <w:tcW w:w="13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72 14 2,371 --</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420" w:type="dxa"/>
            <w:vAlign w:val="bottom"/>
            <w:gridSpan w:val="4"/>
          </w:tcPr>
          <w:p>
            <w:pPr>
              <w:ind w:left="40"/>
              <w:spacing w:after="0"/>
              <w:rPr>
                <w:sz w:val="20"/>
                <w:szCs w:val="20"/>
                <w:color w:val="auto"/>
              </w:rPr>
            </w:pPr>
            <w:r>
              <w:rPr>
                <w:rFonts w:ascii="Courier New" w:cs="Courier New" w:eastAsia="Courier New" w:hAnsi="Courier New"/>
                <w:sz w:val="14"/>
                <w:szCs w:val="14"/>
                <w:color w:val="auto"/>
                <w:w w:val="75"/>
              </w:rPr>
              <w:t>and equipment, net...................</w:t>
            </w:r>
          </w:p>
        </w:tc>
        <w:tc>
          <w:tcPr>
            <w:tcW w:w="700" w:type="dxa"/>
            <w:vAlign w:val="bottom"/>
          </w:tcPr>
          <w:p>
            <w:pPr>
              <w:spacing w:after="0"/>
              <w:rPr>
                <w:sz w:val="15"/>
                <w:szCs w:val="15"/>
                <w:color w:val="auto"/>
              </w:rPr>
            </w:pPr>
          </w:p>
        </w:tc>
        <w:tc>
          <w:tcPr>
            <w:tcW w:w="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9"/>
              </w:rPr>
              <w:t>-- 10,126</w:t>
            </w:r>
          </w:p>
        </w:tc>
        <w:tc>
          <w:tcPr>
            <w:tcW w:w="2700" w:type="dxa"/>
            <w:vAlign w:val="bottom"/>
            <w:gridSpan w:val="4"/>
          </w:tcPr>
          <w:p>
            <w:pPr>
              <w:jc w:val="right"/>
              <w:ind w:right="162"/>
              <w:spacing w:after="0" w:line="179" w:lineRule="exact"/>
              <w:rPr>
                <w:sz w:val="20"/>
                <w:szCs w:val="20"/>
                <w:color w:val="auto"/>
              </w:rPr>
            </w:pPr>
            <w:r>
              <w:rPr>
                <w:rFonts w:ascii="Courier New" w:cs="Courier New" w:eastAsia="Courier New" w:hAnsi="Courier New"/>
                <w:sz w:val="16"/>
                <w:szCs w:val="16"/>
                <w:color w:val="auto"/>
                <w:w w:val="97"/>
              </w:rPr>
              <w:t>-- 10,126 Intercompany and</w:t>
            </w:r>
          </w:p>
        </w:tc>
        <w:tc>
          <w:tcPr>
            <w:tcW w:w="0" w:type="dxa"/>
            <w:vAlign w:val="bottom"/>
          </w:tcPr>
          <w:p>
            <w:pPr>
              <w:spacing w:after="0"/>
              <w:rPr>
                <w:sz w:val="1"/>
                <w:szCs w:val="1"/>
                <w:color w:val="auto"/>
              </w:rPr>
            </w:pPr>
          </w:p>
        </w:tc>
      </w:tr>
      <w:tr>
        <w:trPr>
          <w:trHeight w:val="179"/>
        </w:trPr>
        <w:tc>
          <w:tcPr>
            <w:tcW w:w="242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6"/>
              </w:rPr>
              <w:t>investment in subsidiaries</w:t>
            </w:r>
          </w:p>
        </w:tc>
        <w:tc>
          <w:tcPr>
            <w:tcW w:w="14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 8,893 5,210</w:t>
            </w:r>
          </w:p>
        </w:tc>
        <w:tc>
          <w:tcPr>
            <w:tcW w:w="0" w:type="dxa"/>
            <w:vAlign w:val="bottom"/>
          </w:tcPr>
          <w:p>
            <w:pPr>
              <w:spacing w:after="0"/>
              <w:rPr>
                <w:sz w:val="1"/>
                <w:szCs w:val="1"/>
                <w:color w:val="auto"/>
              </w:rPr>
            </w:pPr>
          </w:p>
        </w:tc>
      </w:tr>
      <w:tr>
        <w:trPr>
          <w:trHeight w:val="261"/>
        </w:trPr>
        <w:tc>
          <w:tcPr>
            <w:tcW w:w="780" w:type="dxa"/>
            <w:vAlign w:val="bottom"/>
            <w:vMerge w:val="restart"/>
          </w:tcPr>
          <w:p>
            <w:pPr>
              <w:ind w:left="40"/>
              <w:spacing w:after="0"/>
              <w:rPr>
                <w:sz w:val="20"/>
                <w:szCs w:val="20"/>
                <w:color w:val="auto"/>
              </w:rPr>
            </w:pPr>
            <w:r>
              <w:rPr>
                <w:rFonts w:ascii="Courier New" w:cs="Courier New" w:eastAsia="Courier New" w:hAnsi="Courier New"/>
                <w:sz w:val="2"/>
                <w:szCs w:val="2"/>
                <w:color w:val="auto"/>
                <w:w w:val="81"/>
              </w:rPr>
              <w:t>assets..................................</w:t>
            </w:r>
            <w:r>
              <w:rPr>
                <w:rFonts w:ascii="Courier New" w:cs="Courier New" w:eastAsia="Courier New" w:hAnsi="Courier New"/>
                <w:sz w:val="4"/>
                <w:szCs w:val="4"/>
                <w:color w:val="auto"/>
                <w:w w:val="81"/>
                <w:vertAlign w:val="subscript"/>
              </w:rPr>
              <w:t>.........................</w:t>
            </w:r>
          </w:p>
        </w:tc>
        <w:tc>
          <w:tcPr>
            <w:tcW w:w="16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3"/>
              </w:rPr>
              <w:t>(9,716) (4,387) --</w:t>
            </w:r>
          </w:p>
        </w:tc>
        <w:tc>
          <w:tcPr>
            <w:tcW w:w="700" w:type="dxa"/>
            <w:vAlign w:val="bottom"/>
          </w:tcPr>
          <w:p>
            <w:pPr>
              <w:jc w:val="right"/>
              <w:ind w:right="26"/>
              <w:spacing w:after="0"/>
              <w:rPr>
                <w:sz w:val="20"/>
                <w:szCs w:val="20"/>
                <w:color w:val="auto"/>
              </w:rPr>
            </w:pPr>
            <w:r>
              <w:rPr>
                <w:rFonts w:ascii="Courier New" w:cs="Courier New" w:eastAsia="Courier New" w:hAnsi="Courier New"/>
                <w:sz w:val="16"/>
                <w:szCs w:val="16"/>
                <w:color w:val="auto"/>
              </w:rPr>
              <w:t>Other</w:t>
            </w: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780" w:type="dxa"/>
            <w:vAlign w:val="bottom"/>
            <w:vMerge w:val="continue"/>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Courier New" w:cs="Courier New" w:eastAsia="Courier New" w:hAnsi="Courier New"/>
                <w:sz w:val="11"/>
                <w:szCs w:val="11"/>
                <w:color w:val="auto"/>
              </w:rPr>
              <w:t>--</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5,982 ------</w:t>
            </w: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2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6 7 5,969</w:t>
            </w:r>
          </w:p>
        </w:tc>
        <w:tc>
          <w:tcPr>
            <w:tcW w:w="1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gridSpan w:val="2"/>
            <w:vMerge w:val="restart"/>
          </w:tcPr>
          <w:p>
            <w:pPr>
              <w:jc w:val="right"/>
              <w:spacing w:after="0"/>
              <w:rPr>
                <w:sz w:val="20"/>
                <w:szCs w:val="20"/>
                <w:color w:val="auto"/>
              </w:rPr>
            </w:pPr>
            <w:r>
              <w:rPr>
                <w:rFonts w:ascii="Courier New" w:cs="Courier New" w:eastAsia="Courier New" w:hAnsi="Courier New"/>
                <w:sz w:val="30"/>
                <w:szCs w:val="30"/>
                <w:color w:val="auto"/>
                <w:w w:val="70"/>
                <w:vertAlign w:val="subscript"/>
              </w:rPr>
              <w:t>Total</w:t>
            </w:r>
            <w:r>
              <w:rPr>
                <w:rFonts w:ascii="Courier New" w:cs="Courier New" w:eastAsia="Courier New" w:hAnsi="Courier New"/>
                <w:sz w:val="15"/>
                <w:szCs w:val="15"/>
                <w:color w:val="auto"/>
                <w:w w:val="70"/>
              </w:rPr>
              <w:t>------ -------</w:t>
            </w:r>
          </w:p>
        </w:tc>
        <w:tc>
          <w:tcPr>
            <w:tcW w:w="0" w:type="dxa"/>
            <w:vAlign w:val="bottom"/>
          </w:tcPr>
          <w:p>
            <w:pPr>
              <w:spacing w:after="0"/>
              <w:rPr>
                <w:sz w:val="1"/>
                <w:szCs w:val="1"/>
                <w:color w:val="auto"/>
              </w:rPr>
            </w:pPr>
          </w:p>
        </w:tc>
      </w:tr>
      <w:tr>
        <w:trPr>
          <w:trHeight w:val="276"/>
        </w:trPr>
        <w:tc>
          <w:tcPr>
            <w:tcW w:w="7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assets</w:t>
            </w: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700" w:type="dxa"/>
            <w:vAlign w:val="bottom"/>
            <w:vMerge w:val="restart"/>
          </w:tcPr>
          <w:p>
            <w:pPr>
              <w:spacing w:after="0"/>
              <w:rPr>
                <w:sz w:val="20"/>
                <w:szCs w:val="20"/>
                <w:color w:val="auto"/>
              </w:rPr>
            </w:pPr>
            <w:r>
              <w:rPr>
                <w:rFonts w:ascii="Courier New" w:cs="Courier New" w:eastAsia="Courier New" w:hAnsi="Courier New"/>
                <w:sz w:val="16"/>
                <w:szCs w:val="16"/>
                <w:color w:val="auto"/>
              </w:rPr>
              <w:t>$8,971</w:t>
            </w:r>
          </w:p>
        </w:tc>
        <w:tc>
          <w:tcPr>
            <w:tcW w:w="0" w:type="dxa"/>
            <w:vAlign w:val="bottom"/>
          </w:tcPr>
          <w:p>
            <w:pPr>
              <w:spacing w:after="0"/>
              <w:rPr>
                <w:sz w:val="1"/>
                <w:szCs w:val="1"/>
                <w:color w:val="auto"/>
              </w:rPr>
            </w:pPr>
          </w:p>
        </w:tc>
      </w:tr>
      <w:tr>
        <w:trPr>
          <w:trHeight w:val="82"/>
        </w:trPr>
        <w:tc>
          <w:tcPr>
            <w:tcW w:w="780" w:type="dxa"/>
            <w:vAlign w:val="bottom"/>
            <w:vMerge w:val="continue"/>
          </w:tcPr>
          <w:p>
            <w:pPr>
              <w:spacing w:after="0"/>
              <w:rPr>
                <w:sz w:val="7"/>
                <w:szCs w:val="7"/>
                <w:color w:val="auto"/>
              </w:rPr>
            </w:pPr>
          </w:p>
        </w:tc>
        <w:tc>
          <w:tcPr>
            <w:tcW w:w="160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$ 8,750 $(4,387)</w:t>
            </w:r>
          </w:p>
        </w:tc>
        <w:tc>
          <w:tcPr>
            <w:tcW w:w="740" w:type="dxa"/>
            <w:vAlign w:val="bottom"/>
            <w:gridSpan w:val="2"/>
            <w:vMerge w:val="restart"/>
          </w:tcPr>
          <w:p>
            <w:pPr>
              <w:jc w:val="right"/>
              <w:ind w:right="26"/>
              <w:spacing w:after="0"/>
              <w:rPr>
                <w:sz w:val="20"/>
                <w:szCs w:val="20"/>
                <w:color w:val="auto"/>
              </w:rPr>
            </w:pPr>
            <w:r>
              <w:rPr>
                <w:rFonts w:ascii="Courier New" w:cs="Courier New" w:eastAsia="Courier New" w:hAnsi="Courier New"/>
                <w:sz w:val="16"/>
                <w:szCs w:val="16"/>
                <w:color w:val="auto"/>
                <w:w w:val="92"/>
              </w:rPr>
              <w:t>$18,565</w:t>
            </w:r>
          </w:p>
        </w:tc>
        <w:tc>
          <w:tcPr>
            <w:tcW w:w="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780" w:type="dxa"/>
            <w:vAlign w:val="bottom"/>
          </w:tcPr>
          <w:p>
            <w:pPr>
              <w:ind w:left="140"/>
              <w:spacing w:after="0"/>
              <w:rPr>
                <w:sz w:val="20"/>
                <w:szCs w:val="20"/>
                <w:color w:val="auto"/>
              </w:rPr>
            </w:pPr>
            <w:r>
              <w:rPr>
                <w:rFonts w:ascii="Courier New" w:cs="Courier New" w:eastAsia="Courier New" w:hAnsi="Courier New"/>
                <w:sz w:val="16"/>
                <w:szCs w:val="16"/>
                <w:color w:val="auto"/>
              </w:rPr>
              <w:t>$5,231</w:t>
            </w:r>
          </w:p>
        </w:tc>
        <w:tc>
          <w:tcPr>
            <w:tcW w:w="160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7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jc w:val="center"/>
        <w:ind w:right="6319"/>
        <w:spacing w:after="0" w:line="236" w:lineRule="auto"/>
        <w:rPr>
          <w:sz w:val="20"/>
          <w:szCs w:val="20"/>
          <w:color w:val="auto"/>
        </w:rPr>
      </w:pPr>
      <w:r>
        <w:rPr>
          <w:rFonts w:ascii="Courier New" w:cs="Courier New" w:eastAsia="Courier New" w:hAnsi="Courier New"/>
          <w:sz w:val="16"/>
          <w:szCs w:val="16"/>
          <w:color w:val="auto"/>
        </w:rPr>
        <w:t>====== ======= ======= =======</w:t>
      </w:r>
    </w:p>
    <w:p>
      <w:pPr>
        <w:jc w:val="center"/>
        <w:ind w:right="6319"/>
        <w:spacing w:after="0" w:line="237" w:lineRule="auto"/>
        <w:rPr>
          <w:sz w:val="20"/>
          <w:szCs w:val="20"/>
          <w:color w:val="auto"/>
        </w:rPr>
      </w:pPr>
      <w:r>
        <w:rPr>
          <w:rFonts w:ascii="Courier New" w:cs="Courier New" w:eastAsia="Courier New" w:hAnsi="Courier New"/>
          <w:sz w:val="16"/>
          <w:szCs w:val="16"/>
          <w:color w:val="auto"/>
        </w:rPr>
        <w:t>LIABILITIES AND STOCKHOLDERS' EQUITY</w:t>
      </w:r>
    </w:p>
    <w:p>
      <w:pPr>
        <w:jc w:val="center"/>
        <w:ind w:right="6319"/>
        <w:spacing w:after="0" w:line="237" w:lineRule="auto"/>
        <w:rPr>
          <w:sz w:val="20"/>
          <w:szCs w:val="20"/>
          <w:color w:val="auto"/>
        </w:rPr>
      </w:pPr>
      <w:r>
        <w:rPr>
          <w:rFonts w:ascii="Courier New" w:cs="Courier New" w:eastAsia="Courier New" w:hAnsi="Courier New"/>
          <w:sz w:val="16"/>
          <w:szCs w:val="16"/>
          <w:color w:val="auto"/>
        </w:rPr>
        <w:t>Current liabilities: Current maturities</w:t>
      </w:r>
    </w:p>
    <w:tbl>
      <w:tblPr>
        <w:tblLayout w:type="fixed"/>
        <w:tblInd w:w="40" w:type="dxa"/>
        <w:tblCellMar>
          <w:top w:w="0" w:type="dxa"/>
          <w:left w:w="0" w:type="dxa"/>
          <w:bottom w:w="0" w:type="dxa"/>
          <w:right w:w="0" w:type="dxa"/>
        </w:tblCellMar>
      </w:tblPr>
      <w:tr>
        <w:trPr>
          <w:trHeight w:val="179"/>
        </w:trPr>
        <w:tc>
          <w:tcPr>
            <w:tcW w:w="238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of long-term debt........</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 -- $ -- $ 113</w:t>
            </w:r>
          </w:p>
        </w:tc>
      </w:tr>
    </w:tbl>
    <w:p>
      <w:pPr>
        <w:ind w:left="1620" w:right="6559" w:hanging="1396"/>
        <w:spacing w:after="0" w:line="236" w:lineRule="auto"/>
        <w:tabs>
          <w:tab w:leader="none" w:pos="41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$ 113 Accounts payable and other accrued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200" w:type="dxa"/>
            <w:vAlign w:val="bottom"/>
            <w:gridSpan w:val="3"/>
          </w:tcPr>
          <w:p>
            <w:pPr>
              <w:jc w:val="right"/>
              <w:spacing w:after="0"/>
              <w:rPr>
                <w:sz w:val="20"/>
                <w:szCs w:val="20"/>
                <w:color w:val="auto"/>
              </w:rPr>
            </w:pPr>
            <w:r>
              <w:rPr>
                <w:rFonts w:ascii="Courier New" w:cs="Courier New" w:eastAsia="Courier New" w:hAnsi="Courier New"/>
                <w:sz w:val="6"/>
                <w:szCs w:val="6"/>
                <w:color w:val="auto"/>
                <w:w w:val="78"/>
              </w:rPr>
              <w:t>liabilities...............................</w:t>
            </w:r>
          </w:p>
        </w:tc>
        <w:tc>
          <w:tcPr>
            <w:tcW w:w="2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-- 2,824 ------ ------</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93 114</w:t>
            </w:r>
          </w:p>
        </w:tc>
        <w:tc>
          <w:tcPr>
            <w:tcW w:w="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2,617</w:t>
            </w:r>
          </w:p>
        </w:tc>
        <w:tc>
          <w:tcPr>
            <w:tcW w:w="4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Courier New" w:cs="Courier New" w:eastAsia="Courier New" w:hAnsi="Courier New"/>
                <w:sz w:val="19"/>
                <w:szCs w:val="19"/>
                <w:color w:val="auto"/>
                <w:w w:val="70"/>
                <w:vertAlign w:val="subscript"/>
              </w:rPr>
              <w:t>2,937</w:t>
            </w:r>
            <w:r>
              <w:rPr>
                <w:rFonts w:ascii="Courier New" w:cs="Courier New" w:eastAsia="Courier New" w:hAnsi="Courier New"/>
                <w:sz w:val="11"/>
                <w:szCs w:val="11"/>
                <w:color w:val="auto"/>
                <w:w w:val="70"/>
              </w:rPr>
              <w:t>-----</w:t>
            </w:r>
          </w:p>
        </w:tc>
        <w:tc>
          <w:tcPr>
            <w:tcW w:w="0" w:type="dxa"/>
            <w:vAlign w:val="bottom"/>
          </w:tcPr>
          <w:p>
            <w:pPr>
              <w:spacing w:after="0"/>
              <w:rPr>
                <w:sz w:val="1"/>
                <w:szCs w:val="1"/>
                <w:color w:val="auto"/>
              </w:rPr>
            </w:pPr>
          </w:p>
        </w:tc>
      </w:tr>
      <w:tr>
        <w:trPr>
          <w:trHeight w:val="179"/>
        </w:trPr>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78"/>
              </w:rPr>
              <w:t>-- ------- -------</w:t>
            </w:r>
          </w:p>
        </w:tc>
        <w:tc>
          <w:tcPr>
            <w:tcW w:w="21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93 114 2,730 --</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 w:type="dxa"/>
            <w:vAlign w:val="bottom"/>
          </w:tcPr>
          <w:p>
            <w:pPr>
              <w:spacing w:after="0"/>
              <w:rPr>
                <w:sz w:val="15"/>
                <w:szCs w:val="15"/>
                <w:color w:val="auto"/>
              </w:rPr>
            </w:pPr>
          </w:p>
        </w:tc>
        <w:tc>
          <w:tcPr>
            <w:tcW w:w="270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5"/>
              </w:rPr>
              <w:t>Long-term debt, less current</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maturities</w:t>
            </w:r>
          </w:p>
        </w:tc>
        <w:tc>
          <w:tcPr>
            <w:tcW w:w="2660" w:type="dxa"/>
            <w:vAlign w:val="bottom"/>
            <w:gridSpan w:val="2"/>
          </w:tcPr>
          <w:p>
            <w:pPr>
              <w:jc w:val="right"/>
              <w:ind w:right="173"/>
              <w:spacing w:after="0" w:line="179" w:lineRule="exact"/>
              <w:rPr>
                <w:sz w:val="20"/>
                <w:szCs w:val="20"/>
                <w:color w:val="auto"/>
              </w:rPr>
            </w:pPr>
            <w:r>
              <w:rPr>
                <w:rFonts w:ascii="Courier New" w:cs="Courier New" w:eastAsia="Courier New" w:hAnsi="Courier New"/>
                <w:sz w:val="16"/>
                <w:szCs w:val="16"/>
                <w:color w:val="auto"/>
                <w:w w:val="96"/>
              </w:rPr>
              <w:t>..... 4,077 2,916 1,379 --</w:t>
            </w:r>
          </w:p>
        </w:tc>
        <w:tc>
          <w:tcPr>
            <w:tcW w:w="0" w:type="dxa"/>
            <w:vAlign w:val="bottom"/>
          </w:tcPr>
          <w:p>
            <w:pPr>
              <w:spacing w:after="0"/>
              <w:rPr>
                <w:sz w:val="1"/>
                <w:szCs w:val="1"/>
                <w:color w:val="auto"/>
              </w:rPr>
            </w:pPr>
          </w:p>
        </w:tc>
      </w:tr>
      <w:tr>
        <w:trPr>
          <w:trHeight w:val="261"/>
        </w:trPr>
        <w:tc>
          <w:tcPr>
            <w:tcW w:w="1200" w:type="dxa"/>
            <w:vAlign w:val="bottom"/>
            <w:gridSpan w:val="3"/>
            <w:vMerge w:val="restart"/>
          </w:tcPr>
          <w:p>
            <w:pPr>
              <w:jc w:val="right"/>
              <w:spacing w:after="0"/>
              <w:rPr>
                <w:sz w:val="20"/>
                <w:szCs w:val="20"/>
                <w:color w:val="auto"/>
              </w:rPr>
            </w:pPr>
            <w:r>
              <w:rPr>
                <w:rFonts w:ascii="Courier New" w:cs="Courier New" w:eastAsia="Courier New" w:hAnsi="Courier New"/>
                <w:sz w:val="7"/>
                <w:szCs w:val="7"/>
                <w:color w:val="auto"/>
                <w:w w:val="73"/>
              </w:rPr>
              <w:t>liabilities...........................</w:t>
            </w:r>
          </w:p>
        </w:tc>
        <w:tc>
          <w:tcPr>
            <w:tcW w:w="2140" w:type="dxa"/>
            <w:vAlign w:val="bottom"/>
          </w:tcPr>
          <w:p>
            <w:pPr>
              <w:jc w:val="right"/>
              <w:ind w:right="802"/>
              <w:spacing w:after="0"/>
              <w:rPr>
                <w:sz w:val="20"/>
                <w:szCs w:val="20"/>
                <w:color w:val="auto"/>
              </w:rPr>
            </w:pPr>
            <w:r>
              <w:rPr>
                <w:rFonts w:ascii="Courier New" w:cs="Courier New" w:eastAsia="Courier New" w:hAnsi="Courier New"/>
                <w:sz w:val="16"/>
                <w:szCs w:val="16"/>
                <w:color w:val="auto"/>
              </w:rPr>
              <w:t>8,372 Other</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1160" w:type="dxa"/>
            <w:vAlign w:val="bottom"/>
            <w:gridSpan w:val="2"/>
            <w:vMerge w:val="continue"/>
          </w:tcPr>
          <w:p>
            <w:pPr>
              <w:spacing w:after="0"/>
              <w:rPr>
                <w:sz w:val="8"/>
                <w:szCs w:val="8"/>
                <w:color w:val="auto"/>
              </w:rPr>
            </w:pPr>
          </w:p>
        </w:tc>
        <w:tc>
          <w:tcPr>
            <w:tcW w:w="2180" w:type="dxa"/>
            <w:vAlign w:val="bottom"/>
            <w:gridSpan w:val="2"/>
            <w:vMerge w:val="restart"/>
          </w:tcPr>
          <w:p>
            <w:pPr>
              <w:jc w:val="right"/>
              <w:ind w:right="1642"/>
              <w:spacing w:after="0"/>
              <w:rPr>
                <w:sz w:val="20"/>
                <w:szCs w:val="20"/>
                <w:color w:val="auto"/>
              </w:rPr>
            </w:pPr>
            <w:r>
              <w:rPr>
                <w:rFonts w:ascii="Courier New" w:cs="Courier New" w:eastAsia="Courier New" w:hAnsi="Courier New"/>
                <w:sz w:val="16"/>
                <w:szCs w:val="16"/>
                <w:color w:val="auto"/>
                <w:w w:val="91"/>
              </w:rPr>
              <w:t>2,440</w:t>
            </w: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-- 2,440 --</w:t>
            </w:r>
          </w:p>
        </w:tc>
        <w:tc>
          <w:tcPr>
            <w:tcW w:w="2700" w:type="dxa"/>
            <w:vAlign w:val="bottom"/>
            <w:gridSpan w:val="3"/>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w:t>
            </w:r>
          </w:p>
        </w:tc>
        <w:tc>
          <w:tcPr>
            <w:tcW w:w="2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 Total</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liabilities....................</w:t>
            </w:r>
          </w:p>
        </w:tc>
        <w:tc>
          <w:tcPr>
            <w:tcW w:w="1140" w:type="dxa"/>
            <w:vAlign w:val="bottom"/>
          </w:tcPr>
          <w:p>
            <w:pPr>
              <w:spacing w:after="0"/>
              <w:rPr>
                <w:sz w:val="15"/>
                <w:szCs w:val="15"/>
                <w:color w:val="auto"/>
              </w:rPr>
            </w:pPr>
          </w:p>
        </w:tc>
        <w:tc>
          <w:tcPr>
            <w:tcW w:w="82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4,170</w:t>
            </w: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3,030 6,549 --</w:t>
            </w:r>
          </w:p>
        </w:tc>
        <w:tc>
          <w:tcPr>
            <w:tcW w:w="2380" w:type="dxa"/>
            <w:vAlign w:val="bottom"/>
            <w:gridSpan w:val="3"/>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13,749 Minority interest</w:t>
            </w:r>
          </w:p>
        </w:tc>
        <w:tc>
          <w:tcPr>
            <w:tcW w:w="0" w:type="dxa"/>
            <w:vAlign w:val="bottom"/>
          </w:tcPr>
          <w:p>
            <w:pPr>
              <w:spacing w:after="0"/>
              <w:rPr>
                <w:sz w:val="1"/>
                <w:szCs w:val="1"/>
                <w:color w:val="auto"/>
              </w:rPr>
            </w:pPr>
          </w:p>
        </w:tc>
      </w:tr>
      <w:tr>
        <w:trPr>
          <w:trHeight w:val="179"/>
        </w:trPr>
        <w:tc>
          <w:tcPr>
            <w:tcW w:w="1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3"/>
              </w:rPr>
              <w:t>in subsidiaries...........</w:t>
            </w:r>
          </w:p>
        </w:tc>
        <w:tc>
          <w:tcPr>
            <w:tcW w:w="19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-- 15 -- 15</w:t>
            </w:r>
          </w:p>
        </w:tc>
        <w:tc>
          <w:tcPr>
            <w:tcW w:w="0" w:type="dxa"/>
            <w:vAlign w:val="bottom"/>
          </w:tcPr>
          <w:p>
            <w:pPr>
              <w:spacing w:after="0"/>
              <w:rPr>
                <w:sz w:val="1"/>
                <w:szCs w:val="1"/>
                <w:color w:val="auto"/>
              </w:rPr>
            </w:pPr>
          </w:p>
        </w:tc>
      </w:tr>
      <w:tr>
        <w:trPr>
          <w:trHeight w:val="179"/>
        </w:trPr>
        <w:tc>
          <w:tcPr>
            <w:tcW w:w="3000" w:type="dxa"/>
            <w:vAlign w:val="bottom"/>
            <w:gridSpan w:val="3"/>
          </w:tcPr>
          <w:p>
            <w:pPr>
              <w:jc w:val="center"/>
              <w:ind w:left="747"/>
              <w:spacing w:after="0" w:line="179" w:lineRule="exact"/>
              <w:rPr>
                <w:sz w:val="20"/>
                <w:szCs w:val="20"/>
                <w:color w:val="auto"/>
              </w:rPr>
            </w:pPr>
            <w:r>
              <w:rPr>
                <w:rFonts w:ascii="Courier New" w:cs="Courier New" w:eastAsia="Courier New" w:hAnsi="Courier New"/>
                <w:sz w:val="16"/>
                <w:szCs w:val="16"/>
                <w:color w:val="auto"/>
                <w:w w:val="97"/>
              </w:rPr>
              <w:t>Stockholders'</w:t>
            </w:r>
          </w:p>
        </w:tc>
        <w:tc>
          <w:tcPr>
            <w:tcW w:w="820" w:type="dxa"/>
            <w:vAlign w:val="bottom"/>
            <w:vMerge w:val="restart"/>
          </w:tcPr>
          <w:p>
            <w:pPr>
              <w:jc w:val="right"/>
              <w:ind w:right="162"/>
              <w:spacing w:after="0"/>
              <w:rPr>
                <w:sz w:val="20"/>
                <w:szCs w:val="20"/>
                <w:color w:val="auto"/>
              </w:rPr>
            </w:pPr>
            <w:r>
              <w:rPr>
                <w:rFonts w:ascii="Courier New" w:cs="Courier New" w:eastAsia="Courier New" w:hAnsi="Courier New"/>
                <w:sz w:val="16"/>
                <w:szCs w:val="16"/>
                <w:color w:val="auto"/>
              </w:rPr>
              <w:t>4,801</w:t>
            </w:r>
          </w:p>
        </w:tc>
        <w:tc>
          <w:tcPr>
            <w:tcW w:w="0" w:type="dxa"/>
            <w:vAlign w:val="bottom"/>
          </w:tcPr>
          <w:p>
            <w:pPr>
              <w:spacing w:after="0"/>
              <w:rPr>
                <w:sz w:val="1"/>
                <w:szCs w:val="1"/>
                <w:color w:val="auto"/>
              </w:rPr>
            </w:pPr>
          </w:p>
        </w:tc>
      </w:tr>
      <w:tr>
        <w:trPr>
          <w:trHeight w:val="179"/>
        </w:trPr>
        <w:tc>
          <w:tcPr>
            <w:tcW w:w="18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equity........................</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4,801 ------</w:t>
            </w: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860" w:type="dxa"/>
            <w:vAlign w:val="bottom"/>
            <w:gridSpan w:val="2"/>
          </w:tcPr>
          <w:p>
            <w:pPr>
              <w:jc w:val="right"/>
              <w:ind w:right="26"/>
              <w:spacing w:after="0" w:line="179" w:lineRule="exact"/>
              <w:rPr>
                <w:sz w:val="20"/>
                <w:szCs w:val="20"/>
                <w:color w:val="auto"/>
              </w:rPr>
            </w:pPr>
            <w:r>
              <w:rPr>
                <w:rFonts w:ascii="Courier New" w:cs="Courier New" w:eastAsia="Courier New" w:hAnsi="Courier New"/>
                <w:sz w:val="16"/>
                <w:szCs w:val="16"/>
                <w:color w:val="auto"/>
                <w:w w:val="95"/>
              </w:rPr>
              <w:t>2,201 2,186 (4,387)</w:t>
            </w:r>
          </w:p>
        </w:tc>
        <w:tc>
          <w:tcPr>
            <w:tcW w:w="1140" w:type="dxa"/>
            <w:vAlign w:val="bottom"/>
            <w:vMerge w:val="continue"/>
          </w:tcPr>
          <w:p>
            <w:pPr>
              <w:spacing w:after="0"/>
              <w:rPr>
                <w:sz w:val="15"/>
                <w:szCs w:val="15"/>
                <w:color w:val="auto"/>
              </w:rPr>
            </w:pPr>
          </w:p>
        </w:tc>
        <w:tc>
          <w:tcPr>
            <w:tcW w:w="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1440" w:type="dxa"/>
            <w:vAlign w:val="bottom"/>
          </w:tcPr>
          <w:p>
            <w:pPr>
              <w:jc w:val="right"/>
              <w:ind w:right="27"/>
              <w:spacing w:after="0" w:line="179" w:lineRule="exact"/>
              <w:rPr>
                <w:sz w:val="20"/>
                <w:szCs w:val="20"/>
                <w:color w:val="auto"/>
              </w:rPr>
            </w:pPr>
            <w:r>
              <w:rPr>
                <w:rFonts w:ascii="Courier New" w:cs="Courier New" w:eastAsia="Courier New" w:hAnsi="Courier New"/>
                <w:sz w:val="16"/>
                <w:szCs w:val="16"/>
                <w:color w:val="auto"/>
                <w:w w:val="98"/>
              </w:rPr>
              <w:t>------ -------</w:t>
            </w:r>
          </w:p>
        </w:tc>
        <w:tc>
          <w:tcPr>
            <w:tcW w:w="420" w:type="dxa"/>
            <w:vAlign w:val="bottom"/>
          </w:tcPr>
          <w:p>
            <w:pPr>
              <w:spacing w:after="0"/>
              <w:rPr>
                <w:sz w:val="20"/>
                <w:szCs w:val="20"/>
                <w:color w:val="auto"/>
              </w:rPr>
            </w:pPr>
            <w:r>
              <w:rPr>
                <w:rFonts w:ascii="Courier New" w:cs="Courier New" w:eastAsia="Courier New" w:hAnsi="Courier New"/>
                <w:sz w:val="13"/>
                <w:szCs w:val="13"/>
                <w:color w:val="auto"/>
                <w:w w:val="73"/>
              </w:rPr>
              <w:t>-------</w:t>
            </w:r>
          </w:p>
        </w:tc>
        <w:tc>
          <w:tcPr>
            <w:tcW w:w="19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Total liabilities</w:t>
            </w:r>
          </w:p>
        </w:tc>
        <w:tc>
          <w:tcPr>
            <w:tcW w:w="0" w:type="dxa"/>
            <w:vAlign w:val="bottom"/>
          </w:tcPr>
          <w:p>
            <w:pPr>
              <w:spacing w:after="0"/>
              <w:rPr>
                <w:sz w:val="1"/>
                <w:szCs w:val="1"/>
                <w:color w:val="auto"/>
              </w:rPr>
            </w:pPr>
          </w:p>
        </w:tc>
      </w:tr>
      <w:tr>
        <w:trPr>
          <w:trHeight w:val="179"/>
        </w:trPr>
        <w:tc>
          <w:tcPr>
            <w:tcW w:w="3000" w:type="dxa"/>
            <w:vAlign w:val="bottom"/>
            <w:gridSpan w:val="3"/>
          </w:tcPr>
          <w:p>
            <w:pPr>
              <w:jc w:val="center"/>
              <w:ind w:left="747"/>
              <w:spacing w:after="0" w:line="179" w:lineRule="exact"/>
              <w:rPr>
                <w:sz w:val="20"/>
                <w:szCs w:val="20"/>
                <w:color w:val="auto"/>
              </w:rPr>
            </w:pPr>
            <w:r>
              <w:rPr>
                <w:rFonts w:ascii="Courier New" w:cs="Courier New" w:eastAsia="Courier New" w:hAnsi="Courier New"/>
                <w:sz w:val="16"/>
                <w:szCs w:val="16"/>
                <w:color w:val="auto"/>
                <w:w w:val="96"/>
              </w:rPr>
              <w:t>and stockholders'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40" w:type="dxa"/>
            <w:vAlign w:val="bottom"/>
          </w:tcPr>
          <w:p>
            <w:pPr>
              <w:jc w:val="right"/>
              <w:spacing w:after="0"/>
              <w:rPr>
                <w:sz w:val="20"/>
                <w:szCs w:val="20"/>
                <w:color w:val="auto"/>
              </w:rPr>
            </w:pPr>
            <w:r>
              <w:rPr>
                <w:rFonts w:ascii="Courier New" w:cs="Courier New" w:eastAsia="Courier New" w:hAnsi="Courier New"/>
                <w:sz w:val="9"/>
                <w:szCs w:val="9"/>
                <w:color w:val="auto"/>
                <w:w w:val="75"/>
              </w:rPr>
              <w:t>equity.............................</w:t>
            </w:r>
          </w:p>
        </w:tc>
        <w:tc>
          <w:tcPr>
            <w:tcW w:w="156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$ 8,750 $(4,387)</w:t>
            </w:r>
          </w:p>
        </w:tc>
        <w:tc>
          <w:tcPr>
            <w:tcW w:w="82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w w:val="98"/>
              </w:rPr>
              <w:t>$18,565</w:t>
            </w:r>
          </w:p>
        </w:tc>
        <w:tc>
          <w:tcPr>
            <w:tcW w:w="0" w:type="dxa"/>
            <w:vAlign w:val="bottom"/>
          </w:tcPr>
          <w:p>
            <w:pPr>
              <w:spacing w:after="0"/>
              <w:rPr>
                <w:sz w:val="1"/>
                <w:szCs w:val="1"/>
                <w:color w:val="auto"/>
              </w:rPr>
            </w:pPr>
          </w:p>
        </w:tc>
      </w:tr>
      <w:tr>
        <w:trPr>
          <w:trHeight w:val="207"/>
        </w:trPr>
        <w:tc>
          <w:tcPr>
            <w:tcW w:w="1440" w:type="dxa"/>
            <w:vAlign w:val="bottom"/>
          </w:tcPr>
          <w:p>
            <w:pPr>
              <w:jc w:val="right"/>
              <w:ind w:right="27"/>
              <w:spacing w:after="0"/>
              <w:rPr>
                <w:sz w:val="20"/>
                <w:szCs w:val="20"/>
                <w:color w:val="auto"/>
              </w:rPr>
            </w:pPr>
            <w:r>
              <w:rPr>
                <w:rFonts w:ascii="Courier New" w:cs="Courier New" w:eastAsia="Courier New" w:hAnsi="Courier New"/>
                <w:sz w:val="16"/>
                <w:szCs w:val="16"/>
                <w:color w:val="auto"/>
              </w:rPr>
              <w:t>$8,971 $5,231</w:t>
            </w:r>
          </w:p>
        </w:tc>
        <w:tc>
          <w:tcPr>
            <w:tcW w:w="156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180"/>
        <w:spacing w:after="0"/>
        <w:rPr>
          <w:sz w:val="20"/>
          <w:szCs w:val="20"/>
          <w:color w:val="auto"/>
        </w:rPr>
      </w:pPr>
      <w:r>
        <w:rPr>
          <w:rFonts w:ascii="Courier New" w:cs="Courier New" w:eastAsia="Courier New" w:hAnsi="Courier New"/>
          <w:sz w:val="16"/>
          <w:szCs w:val="16"/>
          <w:color w:val="auto"/>
        </w:rPr>
        <w:t>====== ====== ======= ======= =======</w:t>
      </w:r>
    </w:p>
    <w:p>
      <w:pPr>
        <w:spacing w:after="0" w:line="32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179"/>
          </w:cols>
          <w:pgMar w:left="280" w:top="11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22</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20" w:type="dxa"/>
            <w:vAlign w:val="bottom"/>
          </w:tcPr>
          <w:p>
            <w:pPr>
              <w:jc w:val="center"/>
              <w:ind w:right="902"/>
              <w:spacing w:after="0"/>
              <w:rPr>
                <w:sz w:val="20"/>
                <w:szCs w:val="20"/>
                <w:color w:val="auto"/>
              </w:rPr>
            </w:pPr>
            <w:r>
              <w:rPr>
                <w:rFonts w:ascii="Courier New" w:cs="Courier New" w:eastAsia="Courier New" w:hAnsi="Courier New"/>
                <w:sz w:val="16"/>
                <w:szCs w:val="16"/>
                <w:color w:val="auto"/>
                <w:w w:val="96"/>
              </w:rPr>
              <w:t>WASTE MANAGEMENT, INC.</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520" w:type="dxa"/>
            <w:vAlign w:val="bottom"/>
          </w:tcPr>
          <w:p>
            <w:pPr>
              <w:spacing w:after="0"/>
              <w:rPr>
                <w:sz w:val="24"/>
                <w:szCs w:val="24"/>
                <w:color w:val="auto"/>
              </w:rPr>
            </w:pPr>
          </w:p>
        </w:tc>
        <w:tc>
          <w:tcPr>
            <w:tcW w:w="51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6"/>
              </w:rPr>
              <w:t>NOTES TO CONDENSED CONSOLIDATED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c>
          <w:tcPr>
            <w:tcW w:w="0" w:type="dxa"/>
            <w:vAlign w:val="bottom"/>
          </w:tcPr>
          <w:p>
            <w:pPr>
              <w:spacing w:after="0"/>
              <w:rPr>
                <w:sz w:val="1"/>
                <w:szCs w:val="1"/>
                <w:color w:val="auto"/>
              </w:rPr>
            </w:pPr>
          </w:p>
        </w:tc>
      </w:tr>
      <w:tr>
        <w:trPr>
          <w:trHeight w:val="358"/>
        </w:trPr>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00" w:type="dxa"/>
            <w:vAlign w:val="bottom"/>
            <w:gridSpan w:val="3"/>
          </w:tcPr>
          <w:p>
            <w:pPr>
              <w:jc w:val="center"/>
              <w:ind w:right="762"/>
              <w:spacing w:after="0"/>
              <w:rPr>
                <w:sz w:val="20"/>
                <w:szCs w:val="20"/>
                <w:color w:val="auto"/>
              </w:rPr>
            </w:pPr>
            <w:r>
              <w:rPr>
                <w:rFonts w:ascii="Courier New" w:cs="Courier New" w:eastAsia="Courier New" w:hAnsi="Courier New"/>
                <w:sz w:val="16"/>
                <w:szCs w:val="16"/>
                <w:color w:val="auto"/>
                <w:w w:val="96"/>
              </w:rPr>
              <w:t>CONDENSED CONSOLIDATING STATEMENTS OF OPERATIONS</w:t>
            </w:r>
          </w:p>
        </w:tc>
        <w:tc>
          <w:tcPr>
            <w:tcW w:w="0" w:type="dxa"/>
            <w:vAlign w:val="bottom"/>
          </w:tcPr>
          <w:p>
            <w:pPr>
              <w:spacing w:after="0"/>
              <w:rPr>
                <w:sz w:val="1"/>
                <w:szCs w:val="1"/>
                <w:color w:val="auto"/>
              </w:rPr>
            </w:pPr>
          </w:p>
        </w:tc>
      </w:tr>
      <w:tr>
        <w:trPr>
          <w:trHeight w:val="276"/>
        </w:trPr>
        <w:tc>
          <w:tcPr>
            <w:tcW w:w="5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40" w:type="dxa"/>
            <w:vAlign w:val="bottom"/>
            <w:gridSpan w:val="2"/>
          </w:tcPr>
          <w:p>
            <w:pPr>
              <w:jc w:val="center"/>
              <w:ind w:left="142"/>
              <w:spacing w:after="0"/>
              <w:rPr>
                <w:sz w:val="20"/>
                <w:szCs w:val="20"/>
                <w:color w:val="auto"/>
              </w:rPr>
            </w:pPr>
            <w:r>
              <w:rPr>
                <w:rFonts w:ascii="Courier New" w:cs="Courier New" w:eastAsia="Courier New" w:hAnsi="Courier New"/>
                <w:sz w:val="16"/>
                <w:szCs w:val="16"/>
                <w:color w:val="auto"/>
                <w:w w:val="96"/>
              </w:rPr>
              <w:t>THREE MONTHS ENDED JUNE 30, 2001</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5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020" w:type="dxa"/>
            <w:vAlign w:val="bottom"/>
          </w:tcPr>
          <w:p>
            <w:pPr>
              <w:jc w:val="right"/>
              <w:ind w:right="1462"/>
              <w:spacing w:after="0"/>
              <w:rPr>
                <w:sz w:val="20"/>
                <w:szCs w:val="20"/>
                <w:color w:val="auto"/>
              </w:rPr>
            </w:pPr>
            <w:r>
              <w:rPr>
                <w:rFonts w:ascii="Courier New" w:cs="Courier New" w:eastAsia="Courier New" w:hAnsi="Courier New"/>
                <w:sz w:val="16"/>
                <w:szCs w:val="16"/>
                <w:color w:val="auto"/>
              </w:rPr>
              <w:t>(UNAUDITED)</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80" w:type="dxa"/>
            <w:vAlign w:val="bottom"/>
            <w:gridSpan w:val="4"/>
          </w:tcPr>
          <w:p>
            <w:pPr>
              <w:jc w:val="right"/>
              <w:ind w:right="2442"/>
              <w:spacing w:after="0"/>
              <w:rPr>
                <w:sz w:val="20"/>
                <w:szCs w:val="20"/>
                <w:color w:val="auto"/>
              </w:rPr>
            </w:pPr>
            <w:r>
              <w:rPr>
                <w:rFonts w:ascii="Courier New" w:cs="Courier New" w:eastAsia="Courier New" w:hAnsi="Courier New"/>
                <w:sz w:val="16"/>
                <w:szCs w:val="16"/>
                <w:color w:val="auto"/>
              </w:rPr>
              <w:t>PARENT GUARANTOR NON-GUARANTORS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5680" w:type="dxa"/>
            <w:vAlign w:val="bottom"/>
            <w:gridSpan w:val="4"/>
          </w:tcPr>
          <w:p>
            <w:pPr>
              <w:jc w:val="right"/>
              <w:ind w:right="2162"/>
              <w:spacing w:after="0" w:line="179" w:lineRule="exact"/>
              <w:rPr>
                <w:sz w:val="20"/>
                <w:szCs w:val="20"/>
                <w:color w:val="auto"/>
              </w:rPr>
            </w:pPr>
            <w:r>
              <w:rPr>
                <w:rFonts w:ascii="Courier New" w:cs="Courier New" w:eastAsia="Courier New" w:hAnsi="Courier New"/>
                <w:sz w:val="16"/>
                <w:szCs w:val="16"/>
                <w:color w:val="auto"/>
                <w:w w:val="96"/>
              </w:rPr>
              <w:t>ELIMINATIONS CONSOLIDATION ------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80" w:type="dxa"/>
            <w:vAlign w:val="bottom"/>
            <w:gridSpan w:val="4"/>
          </w:tcPr>
          <w:p>
            <w:pPr>
              <w:jc w:val="right"/>
              <w:ind w:right="2162"/>
              <w:spacing w:after="0" w:line="179" w:lineRule="exact"/>
              <w:rPr>
                <w:sz w:val="20"/>
                <w:szCs w:val="20"/>
                <w:color w:val="auto"/>
              </w:rPr>
            </w:pPr>
            <w:r>
              <w:rPr>
                <w:rFonts w:ascii="Courier New" w:cs="Courier New" w:eastAsia="Courier New" w:hAnsi="Courier New"/>
                <w:sz w:val="16"/>
                <w:szCs w:val="16"/>
                <w:color w:val="auto"/>
                <w:w w:val="96"/>
              </w:rPr>
              <w:t>------ -------------- ------------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40" w:type="dxa"/>
            <w:vAlign w:val="bottom"/>
            <w:gridSpan w:val="2"/>
            <w:vMerge w:val="restart"/>
          </w:tcPr>
          <w:p>
            <w:pPr>
              <w:spacing w:after="0"/>
              <w:rPr>
                <w:sz w:val="20"/>
                <w:szCs w:val="20"/>
                <w:color w:val="auto"/>
              </w:rPr>
            </w:pPr>
            <w:r>
              <w:rPr>
                <w:rFonts w:ascii="Courier New" w:cs="Courier New" w:eastAsia="Courier New" w:hAnsi="Courier New"/>
                <w:sz w:val="30"/>
                <w:szCs w:val="30"/>
                <w:color w:val="auto"/>
                <w:w w:val="72"/>
                <w:vertAlign w:val="subscript"/>
              </w:rPr>
              <w:t>revenues</w:t>
            </w:r>
            <w:r>
              <w:rPr>
                <w:rFonts w:ascii="Courier New" w:cs="Courier New" w:eastAsia="Courier New" w:hAnsi="Courier New"/>
                <w:sz w:val="15"/>
                <w:szCs w:val="15"/>
                <w:color w:val="auto"/>
                <w:w w:val="72"/>
              </w:rPr>
              <w:t>-----------</w:t>
            </w:r>
          </w:p>
        </w:tc>
        <w:tc>
          <w:tcPr>
            <w:tcW w:w="4240" w:type="dxa"/>
            <w:vAlign w:val="bottom"/>
            <w:gridSpan w:val="2"/>
          </w:tcPr>
          <w:p>
            <w:pPr>
              <w:jc w:val="right"/>
              <w:ind w:right="2902"/>
              <w:spacing w:after="0" w:line="179" w:lineRule="exact"/>
              <w:rPr>
                <w:sz w:val="20"/>
                <w:szCs w:val="20"/>
                <w:color w:val="auto"/>
              </w:rPr>
            </w:pPr>
            <w:r>
              <w:rPr>
                <w:rFonts w:ascii="Courier New" w:cs="Courier New" w:eastAsia="Courier New" w:hAnsi="Courier New"/>
                <w:sz w:val="16"/>
                <w:szCs w:val="16"/>
                <w:color w:val="auto"/>
              </w:rPr>
              <w:t>Operating</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60" w:type="dxa"/>
            <w:vAlign w:val="bottom"/>
            <w:gridSpan w:val="3"/>
            <w:vMerge w:val="continue"/>
          </w:tcPr>
          <w:p>
            <w:pPr>
              <w:ind w:left="740"/>
              <w:spacing w:after="0" w:line="158" w:lineRule="exact"/>
              <w:rPr>
                <w:sz w:val="20"/>
                <w:szCs w:val="20"/>
                <w:color w:val="auto"/>
              </w:rPr>
            </w:pPr>
            <w:r>
              <w:rPr>
                <w:rFonts w:ascii="Courier New" w:cs="Courier New" w:eastAsia="Courier New" w:hAnsi="Courier New"/>
                <w:sz w:val="16"/>
                <w:szCs w:val="16"/>
                <w:color w:val="auto"/>
                <w:w w:val="89"/>
              </w:rPr>
              <w:t>......................</w:t>
            </w:r>
          </w:p>
        </w:tc>
        <w:tc>
          <w:tcPr>
            <w:tcW w:w="3020" w:type="dxa"/>
            <w:vAlign w:val="bottom"/>
          </w:tcPr>
          <w:p>
            <w:pPr>
              <w:jc w:val="right"/>
              <w:ind w:right="2162"/>
              <w:spacing w:after="0" w:line="179" w:lineRule="exact"/>
              <w:rPr>
                <w:sz w:val="20"/>
                <w:szCs w:val="20"/>
                <w:color w:val="auto"/>
              </w:rPr>
            </w:pPr>
            <w:r>
              <w:rPr>
                <w:rFonts w:ascii="Courier New" w:cs="Courier New" w:eastAsia="Courier New" w:hAnsi="Courier New"/>
                <w:sz w:val="16"/>
                <w:szCs w:val="16"/>
                <w:color w:val="auto"/>
              </w:rPr>
              <w:t>$ --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$2,915 $ --</w:t>
            </w:r>
          </w:p>
        </w:tc>
        <w:tc>
          <w:tcPr>
            <w:tcW w:w="4240" w:type="dxa"/>
            <w:vAlign w:val="bottom"/>
            <w:gridSpan w:val="2"/>
          </w:tcPr>
          <w:p>
            <w:pPr>
              <w:jc w:val="right"/>
              <w:ind w:right="2442"/>
              <w:spacing w:after="0" w:line="179" w:lineRule="exact"/>
              <w:rPr>
                <w:sz w:val="20"/>
                <w:szCs w:val="20"/>
                <w:color w:val="auto"/>
              </w:rPr>
            </w:pPr>
            <w:r>
              <w:rPr>
                <w:rFonts w:ascii="Courier New" w:cs="Courier New" w:eastAsia="Courier New" w:hAnsi="Courier New"/>
                <w:sz w:val="16"/>
                <w:szCs w:val="16"/>
                <w:color w:val="auto"/>
              </w:rPr>
              <w:t>$2,915 Costs and</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6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90"/>
              </w:rPr>
              <w:t>expenses......................</w:t>
            </w:r>
          </w:p>
        </w:tc>
        <w:tc>
          <w:tcPr>
            <w:tcW w:w="3020" w:type="dxa"/>
            <w:vAlign w:val="bottom"/>
          </w:tcPr>
          <w:p>
            <w:pPr>
              <w:jc w:val="right"/>
              <w:ind w:right="2202"/>
              <w:spacing w:after="0" w:line="179" w:lineRule="exact"/>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rPr>
              <w:t>2,474</w:t>
            </w:r>
          </w:p>
        </w:tc>
        <w:tc>
          <w:tcPr>
            <w:tcW w:w="920" w:type="dxa"/>
            <w:vAlign w:val="bottom"/>
          </w:tcPr>
          <w:p>
            <w:pPr>
              <w:jc w:val="right"/>
              <w:spacing w:after="0"/>
              <w:rPr>
                <w:sz w:val="20"/>
                <w:szCs w:val="20"/>
                <w:color w:val="auto"/>
              </w:rPr>
            </w:pPr>
            <w:r>
              <w:rPr>
                <w:rFonts w:ascii="Courier New" w:cs="Courier New" w:eastAsia="Courier New" w:hAnsi="Courier New"/>
                <w:sz w:val="8"/>
                <w:szCs w:val="8"/>
                <w:color w:val="auto"/>
                <w:w w:val="72"/>
                <w:vertAlign w:val="superscript"/>
              </w:rPr>
              <w:t>-- 2,474</w:t>
            </w:r>
            <w:r>
              <w:rPr>
                <w:rFonts w:ascii="Courier New" w:cs="Courier New" w:eastAsia="Courier New" w:hAnsi="Courier New"/>
                <w:sz w:val="7"/>
                <w:szCs w:val="7"/>
                <w:color w:val="auto"/>
                <w:w w:val="72"/>
              </w:rPr>
              <w:t>------</w:t>
            </w:r>
            <w:r>
              <w:rPr>
                <w:rFonts w:ascii="Courier New" w:cs="Courier New" w:eastAsia="Courier New" w:hAnsi="Courier New"/>
                <w:sz w:val="8"/>
                <w:szCs w:val="8"/>
                <w:color w:val="auto"/>
                <w:w w:val="72"/>
                <w:vertAlign w:val="subscript"/>
              </w:rPr>
              <w:t>..................</w:t>
            </w:r>
            <w:r>
              <w:rPr>
                <w:rFonts w:ascii="Courier New" w:cs="Courier New" w:eastAsia="Courier New" w:hAnsi="Courier New"/>
                <w:sz w:val="8"/>
                <w:szCs w:val="8"/>
                <w:color w:val="auto"/>
                <w:w w:val="72"/>
                <w:vertAlign w:val="superscript"/>
              </w:rPr>
              <w:t>-----</w:t>
            </w:r>
          </w:p>
        </w:tc>
        <w:tc>
          <w:tcPr>
            <w:tcW w:w="4240" w:type="dxa"/>
            <w:vAlign w:val="bottom"/>
            <w:gridSpan w:val="2"/>
            <w:vMerge w:val="restart"/>
          </w:tcPr>
          <w:p>
            <w:pPr>
              <w:jc w:val="right"/>
              <w:ind w:right="2162"/>
              <w:spacing w:after="0"/>
              <w:rPr>
                <w:sz w:val="20"/>
                <w:szCs w:val="20"/>
                <w:color w:val="auto"/>
              </w:rPr>
            </w:pPr>
            <w:r>
              <w:rPr>
                <w:rFonts w:ascii="Courier New" w:cs="Courier New" w:eastAsia="Courier New" w:hAnsi="Courier New"/>
                <w:sz w:val="31"/>
                <w:szCs w:val="31"/>
                <w:color w:val="auto"/>
                <w:w w:val="73"/>
                <w:vertAlign w:val="subscript"/>
              </w:rPr>
              <w:t>Income</w:t>
            </w:r>
            <w:r>
              <w:rPr>
                <w:rFonts w:ascii="Courier New" w:cs="Courier New" w:eastAsia="Courier New" w:hAnsi="Courier New"/>
                <w:sz w:val="16"/>
                <w:szCs w:val="16"/>
                <w:color w:val="auto"/>
                <w:w w:val="73"/>
              </w:rPr>
              <w:t>----</w:t>
            </w:r>
            <w:r>
              <w:rPr>
                <w:rFonts w:ascii="Courier New" w:cs="Courier New" w:eastAsia="Courier New" w:hAnsi="Courier New"/>
                <w:sz w:val="31"/>
                <w:szCs w:val="31"/>
                <w:color w:val="auto"/>
                <w:w w:val="73"/>
                <w:vertAlign w:val="subscript"/>
              </w:rPr>
              <w:t>from</w:t>
            </w:r>
            <w:r>
              <w:rPr>
                <w:rFonts w:ascii="Courier New" w:cs="Courier New" w:eastAsia="Courier New" w:hAnsi="Courier New"/>
                <w:sz w:val="16"/>
                <w:szCs w:val="16"/>
                <w:color w:val="auto"/>
                <w:w w:val="73"/>
              </w:rPr>
              <w:t>------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440" w:type="dxa"/>
            <w:vAlign w:val="bottom"/>
            <w:gridSpan w:val="2"/>
            <w:vMerge w:val="restart"/>
          </w:tcPr>
          <w:p>
            <w:pPr>
              <w:ind w:left="140"/>
              <w:spacing w:after="0"/>
              <w:rPr>
                <w:sz w:val="20"/>
                <w:szCs w:val="20"/>
                <w:color w:val="auto"/>
              </w:rPr>
            </w:pPr>
            <w:r>
              <w:rPr>
                <w:rFonts w:ascii="Courier New" w:cs="Courier New" w:eastAsia="Courier New" w:hAnsi="Courier New"/>
                <w:sz w:val="16"/>
                <w:szCs w:val="16"/>
                <w:color w:val="auto"/>
              </w:rPr>
              <w:t>operations</w:t>
            </w:r>
            <w:r>
              <w:rPr>
                <w:rFonts w:ascii="Courier New" w:cs="Courier New" w:eastAsia="Courier New" w:hAnsi="Courier New"/>
                <w:sz w:val="31"/>
                <w:szCs w:val="31"/>
                <w:color w:val="auto"/>
                <w:vertAlign w:val="superscript"/>
              </w:rPr>
              <w:t>-</w:t>
            </w:r>
          </w:p>
        </w:tc>
        <w:tc>
          <w:tcPr>
            <w:tcW w:w="1220" w:type="dxa"/>
            <w:vAlign w:val="bottom"/>
            <w:vMerge w:val="continue"/>
          </w:tcPr>
          <w:p>
            <w:pPr>
              <w:spacing w:after="0"/>
              <w:rPr>
                <w:sz w:val="24"/>
                <w:szCs w:val="24"/>
                <w:color w:val="auto"/>
              </w:rPr>
            </w:pPr>
          </w:p>
        </w:tc>
        <w:tc>
          <w:tcPr>
            <w:tcW w:w="3020" w:type="dxa"/>
            <w:vAlign w:val="bottom"/>
            <w:vMerge w:val="restart"/>
          </w:tcPr>
          <w:p>
            <w:pPr>
              <w:jc w:val="right"/>
              <w:ind w:right="2302"/>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4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520" w:type="dxa"/>
            <w:vAlign w:val="bottom"/>
          </w:tcPr>
          <w:p>
            <w:pPr>
              <w:spacing w:after="0" w:line="179" w:lineRule="exact"/>
              <w:rPr>
                <w:sz w:val="20"/>
                <w:szCs w:val="20"/>
                <w:color w:val="auto"/>
              </w:rPr>
            </w:pPr>
            <w:r>
              <w:rPr>
                <w:rFonts w:ascii="Courier New" w:cs="Courier New" w:eastAsia="Courier New" w:hAnsi="Courier New"/>
                <w:sz w:val="16"/>
                <w:szCs w:val="16"/>
                <w:color w:val="auto"/>
                <w:w w:val="86"/>
              </w:rPr>
              <w:t>441 --</w:t>
            </w:r>
          </w:p>
        </w:tc>
        <w:tc>
          <w:tcPr>
            <w:tcW w:w="21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441 ----- ---- ------</w:t>
            </w:r>
          </w:p>
        </w:tc>
        <w:tc>
          <w:tcPr>
            <w:tcW w:w="3020" w:type="dxa"/>
            <w:vAlign w:val="bottom"/>
          </w:tcPr>
          <w:p>
            <w:pPr>
              <w:jc w:val="right"/>
              <w:ind w:right="2162"/>
              <w:spacing w:after="0" w:line="179" w:lineRule="exact"/>
              <w:rPr>
                <w:sz w:val="20"/>
                <w:szCs w:val="20"/>
                <w:color w:val="auto"/>
              </w:rPr>
            </w:pPr>
            <w:r>
              <w:rPr>
                <w:rFonts w:ascii="Courier New" w:cs="Courier New" w:eastAsia="Courier New" w:hAnsi="Courier New"/>
                <w:sz w:val="16"/>
                <w:szCs w:val="16"/>
                <w:color w:val="auto"/>
                <w:w w:val="98"/>
              </w:rPr>
              <w:t>-----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80" w:type="dxa"/>
            <w:vAlign w:val="bottom"/>
            <w:gridSpan w:val="4"/>
          </w:tcPr>
          <w:p>
            <w:pPr>
              <w:jc w:val="right"/>
              <w:ind w:right="2162"/>
              <w:spacing w:after="0" w:line="179" w:lineRule="exact"/>
              <w:rPr>
                <w:sz w:val="20"/>
                <w:szCs w:val="20"/>
                <w:color w:val="auto"/>
              </w:rPr>
            </w:pPr>
            <w:r>
              <w:rPr>
                <w:rFonts w:ascii="Courier New" w:cs="Courier New" w:eastAsia="Courier New" w:hAnsi="Courier New"/>
                <w:sz w:val="16"/>
                <w:szCs w:val="16"/>
                <w:color w:val="auto"/>
                <w:w w:val="96"/>
              </w:rPr>
              <w:t>---- Other income (expense): Interest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66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89"/>
              </w:rPr>
              <w:t>income (expense), net........</w:t>
            </w:r>
          </w:p>
        </w:tc>
        <w:tc>
          <w:tcPr>
            <w:tcW w:w="3020" w:type="dxa"/>
            <w:vAlign w:val="bottom"/>
          </w:tcPr>
          <w:p>
            <w:pPr>
              <w:jc w:val="right"/>
              <w:ind w:right="2302"/>
              <w:spacing w:after="0"/>
              <w:rPr>
                <w:sz w:val="20"/>
                <w:szCs w:val="20"/>
                <w:color w:val="auto"/>
              </w:rPr>
            </w:pPr>
            <w:r>
              <w:rPr>
                <w:rFonts w:ascii="Courier New" w:cs="Courier New" w:eastAsia="Courier New" w:hAnsi="Courier New"/>
                <w:sz w:val="16"/>
                <w:szCs w:val="16"/>
                <w:color w:val="auto"/>
              </w:rPr>
              <w:t>(78)</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40" w:right="7159" w:hanging="382"/>
        <w:spacing w:after="0" w:line="236" w:lineRule="auto"/>
        <w:tabs>
          <w:tab w:leader="none" w:pos="93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 (137) Equity in subsidiaries, net of</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1440" w:type="dxa"/>
            <w:vAlign w:val="bottom"/>
            <w:gridSpan w:val="2"/>
          </w:tcPr>
          <w:p>
            <w:pPr>
              <w:ind w:left="100"/>
              <w:spacing w:after="0"/>
              <w:rPr>
                <w:sz w:val="20"/>
                <w:szCs w:val="20"/>
                <w:color w:val="auto"/>
              </w:rPr>
            </w:pPr>
            <w:r>
              <w:rPr>
                <w:rFonts w:ascii="Courier New" w:cs="Courier New" w:eastAsia="Courier New" w:hAnsi="Courier New"/>
                <w:sz w:val="8"/>
                <w:szCs w:val="8"/>
                <w:color w:val="auto"/>
                <w:w w:val="78"/>
              </w:rPr>
              <w:t>taxes..............................</w:t>
            </w:r>
          </w:p>
        </w:tc>
        <w:tc>
          <w:tcPr>
            <w:tcW w:w="5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1"/>
              </w:rPr>
              <w:t>(509)</w:t>
            </w:r>
          </w:p>
        </w:tc>
        <w:tc>
          <w:tcPr>
            <w:tcW w:w="1440" w:type="dxa"/>
            <w:vAlign w:val="bottom"/>
            <w:vMerge w:val="restart"/>
          </w:tcPr>
          <w:p>
            <w:pPr>
              <w:spacing w:after="0"/>
              <w:rPr>
                <w:sz w:val="20"/>
                <w:szCs w:val="20"/>
                <w:color w:val="auto"/>
              </w:rPr>
            </w:pPr>
            <w:r>
              <w:rPr>
                <w:rFonts w:ascii="Courier New" w:cs="Courier New" w:eastAsia="Courier New" w:hAnsi="Courier New"/>
                <w:sz w:val="16"/>
                <w:szCs w:val="16"/>
                <w:color w:val="auto"/>
              </w:rPr>
              <w:t>-- Minority</w:t>
            </w:r>
          </w:p>
        </w:tc>
        <w:tc>
          <w:tcPr>
            <w:tcW w:w="0" w:type="dxa"/>
            <w:vAlign w:val="bottom"/>
          </w:tcPr>
          <w:p>
            <w:pPr>
              <w:spacing w:after="0"/>
              <w:rPr>
                <w:sz w:val="1"/>
                <w:szCs w:val="1"/>
                <w:color w:val="auto"/>
              </w:rPr>
            </w:pPr>
          </w:p>
        </w:tc>
      </w:tr>
      <w:tr>
        <w:trPr>
          <w:trHeight w:val="179"/>
        </w:trPr>
        <w:tc>
          <w:tcPr>
            <w:tcW w:w="380" w:type="dxa"/>
            <w:vAlign w:val="bottom"/>
          </w:tcPr>
          <w:p>
            <w:pPr>
              <w:spacing w:after="0"/>
              <w:rPr>
                <w:sz w:val="15"/>
                <w:szCs w:val="15"/>
                <w:color w:val="auto"/>
              </w:rPr>
            </w:pPr>
          </w:p>
        </w:tc>
        <w:tc>
          <w:tcPr>
            <w:tcW w:w="10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240 269 --</w:t>
            </w:r>
          </w:p>
        </w:tc>
        <w:tc>
          <w:tcPr>
            <w:tcW w:w="5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0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77"/>
              </w:rPr>
              <w:t>interest.....................</w:t>
            </w:r>
          </w:p>
        </w:tc>
        <w:tc>
          <w:tcPr>
            <w:tcW w:w="144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380" w:type="dxa"/>
            <w:vAlign w:val="bottom"/>
            <w:vMerge w:val="restart"/>
          </w:tcPr>
          <w:p>
            <w:pPr>
              <w:spacing w:after="0"/>
              <w:rPr>
                <w:sz w:val="20"/>
                <w:szCs w:val="20"/>
                <w:color w:val="auto"/>
              </w:rPr>
            </w:pPr>
            <w:r>
              <w:rPr>
                <w:rFonts w:ascii="Courier New" w:cs="Courier New" w:eastAsia="Courier New" w:hAnsi="Courier New"/>
                <w:sz w:val="2"/>
                <w:szCs w:val="2"/>
                <w:color w:val="auto"/>
                <w:w w:val="96"/>
              </w:rPr>
              <w:t>net............................</w:t>
            </w: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 --</w:t>
            </w:r>
          </w:p>
        </w:tc>
        <w:tc>
          <w:tcPr>
            <w:tcW w:w="200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rPr>
              <w:t>(2) Other,</w:t>
            </w:r>
          </w:p>
        </w:tc>
        <w:tc>
          <w:tcPr>
            <w:tcW w:w="0" w:type="dxa"/>
            <w:vAlign w:val="bottom"/>
          </w:tcPr>
          <w:p>
            <w:pPr>
              <w:spacing w:after="0"/>
              <w:rPr>
                <w:sz w:val="1"/>
                <w:szCs w:val="1"/>
                <w:color w:val="auto"/>
              </w:rPr>
            </w:pPr>
          </w:p>
        </w:tc>
      </w:tr>
      <w:tr>
        <w:trPr>
          <w:trHeight w:val="179"/>
        </w:trPr>
        <w:tc>
          <w:tcPr>
            <w:tcW w:w="380" w:type="dxa"/>
            <w:vAlign w:val="bottom"/>
            <w:vMerge w:val="continue"/>
          </w:tcPr>
          <w:p>
            <w:pPr>
              <w:spacing w:after="0"/>
              <w:rPr>
                <w:sz w:val="15"/>
                <w:szCs w:val="15"/>
                <w:color w:val="auto"/>
              </w:rPr>
            </w:pPr>
          </w:p>
        </w:tc>
        <w:tc>
          <w:tcPr>
            <w:tcW w:w="1620" w:type="dxa"/>
            <w:vAlign w:val="bottom"/>
            <w:gridSpan w:val="2"/>
            <w:vMerge w:val="restart"/>
          </w:tcPr>
          <w:p>
            <w:pPr>
              <w:jc w:val="right"/>
              <w:ind w:right="342"/>
              <w:spacing w:after="0"/>
              <w:rPr>
                <w:sz w:val="20"/>
                <w:szCs w:val="20"/>
                <w:color w:val="auto"/>
              </w:rPr>
            </w:pPr>
            <w:r>
              <w:rPr>
                <w:rFonts w:ascii="Courier New" w:cs="Courier New" w:eastAsia="Courier New" w:hAnsi="Courier New"/>
                <w:sz w:val="16"/>
                <w:szCs w:val="16"/>
                <w:color w:val="auto"/>
              </w:rPr>
              <w:t>2 ----- ----</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38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2 --</w:t>
            </w:r>
          </w:p>
        </w:tc>
        <w:tc>
          <w:tcPr>
            <w:tcW w:w="1060" w:type="dxa"/>
            <w:vAlign w:val="bottom"/>
            <w:vMerge w:val="continue"/>
          </w:tcPr>
          <w:p>
            <w:pPr>
              <w:spacing w:after="0"/>
              <w:rPr>
                <w:sz w:val="15"/>
                <w:szCs w:val="15"/>
                <w:color w:val="auto"/>
              </w:rPr>
            </w:pPr>
          </w:p>
        </w:tc>
        <w:tc>
          <w:tcPr>
            <w:tcW w:w="2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179"/>
        </w:trPr>
        <w:tc>
          <w:tcPr>
            <w:tcW w:w="380" w:type="dxa"/>
            <w:vAlign w:val="bottom"/>
          </w:tcPr>
          <w:p>
            <w:pPr>
              <w:spacing w:after="0" w:line="179" w:lineRule="exact"/>
              <w:rPr>
                <w:sz w:val="20"/>
                <w:szCs w:val="20"/>
                <w:color w:val="auto"/>
              </w:rPr>
            </w:pPr>
            <w:r>
              <w:rPr>
                <w:rFonts w:ascii="Courier New" w:cs="Courier New" w:eastAsia="Courier New" w:hAnsi="Courier New"/>
                <w:sz w:val="16"/>
                <w:szCs w:val="16"/>
                <w:color w:val="auto"/>
              </w:rPr>
              <w:t>162</w:t>
            </w:r>
          </w:p>
        </w:tc>
        <w:tc>
          <w:tcPr>
            <w:tcW w:w="306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5"/>
              </w:rPr>
              <w:t>222 (12) (509) (137) ----- ---- -</w:t>
            </w:r>
          </w:p>
        </w:tc>
        <w:tc>
          <w:tcPr>
            <w:tcW w:w="0" w:type="dxa"/>
            <w:vAlign w:val="bottom"/>
          </w:tcPr>
          <w:p>
            <w:pPr>
              <w:spacing w:after="0"/>
              <w:rPr>
                <w:sz w:val="1"/>
                <w:szCs w:val="1"/>
                <w:color w:val="auto"/>
              </w:rPr>
            </w:pPr>
          </w:p>
        </w:tc>
      </w:tr>
      <w:tr>
        <w:trPr>
          <w:trHeight w:val="179"/>
        </w:trPr>
        <w:tc>
          <w:tcPr>
            <w:tcW w:w="2000" w:type="dxa"/>
            <w:vAlign w:val="bottom"/>
            <w:gridSpan w:val="3"/>
            <w:vMerge w:val="restart"/>
          </w:tcPr>
          <w:p>
            <w:pPr>
              <w:jc w:val="right"/>
              <w:ind w:right="22"/>
              <w:spacing w:after="0"/>
              <w:rPr>
                <w:sz w:val="20"/>
                <w:szCs w:val="20"/>
                <w:color w:val="auto"/>
              </w:rPr>
            </w:pPr>
            <w:r>
              <w:rPr>
                <w:rFonts w:ascii="Courier New" w:cs="Courier New" w:eastAsia="Courier New" w:hAnsi="Courier New"/>
                <w:sz w:val="26"/>
                <w:szCs w:val="26"/>
                <w:color w:val="auto"/>
                <w:w w:val="70"/>
                <w:vertAlign w:val="subscript"/>
              </w:rPr>
              <w:t>income</w:t>
            </w:r>
            <w:r>
              <w:rPr>
                <w:rFonts w:ascii="Courier New" w:cs="Courier New" w:eastAsia="Courier New" w:hAnsi="Courier New"/>
                <w:sz w:val="14"/>
                <w:szCs w:val="14"/>
                <w:color w:val="auto"/>
                <w:w w:val="70"/>
              </w:rPr>
              <w:t>----- -----</w:t>
            </w:r>
            <w:r>
              <w:rPr>
                <w:rFonts w:ascii="Courier New" w:cs="Courier New" w:eastAsia="Courier New" w:hAnsi="Courier New"/>
                <w:sz w:val="26"/>
                <w:szCs w:val="26"/>
                <w:color w:val="auto"/>
                <w:w w:val="70"/>
                <w:vertAlign w:val="subscript"/>
              </w:rPr>
              <w:t>taxes</w:t>
            </w:r>
            <w:r>
              <w:rPr>
                <w:rFonts w:ascii="Courier New" w:cs="Courier New" w:eastAsia="Courier New" w:hAnsi="Courier New"/>
                <w:sz w:val="14"/>
                <w:szCs w:val="14"/>
                <w:color w:val="auto"/>
                <w:w w:val="70"/>
              </w:rPr>
              <w:t xml:space="preserve"> ------</w:t>
            </w:r>
          </w:p>
        </w:tc>
        <w:tc>
          <w:tcPr>
            <w:tcW w:w="144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w:t>
            </w:r>
          </w:p>
        </w:tc>
        <w:tc>
          <w:tcPr>
            <w:tcW w:w="0" w:type="dxa"/>
            <w:vAlign w:val="bottom"/>
          </w:tcPr>
          <w:p>
            <w:pPr>
              <w:spacing w:after="0"/>
              <w:rPr>
                <w:sz w:val="1"/>
                <w:szCs w:val="1"/>
                <w:color w:val="auto"/>
              </w:rPr>
            </w:pPr>
          </w:p>
        </w:tc>
      </w:tr>
      <w:tr>
        <w:trPr>
          <w:trHeight w:val="207"/>
        </w:trPr>
        <w:tc>
          <w:tcPr>
            <w:tcW w:w="2000" w:type="dxa"/>
            <w:vAlign w:val="bottom"/>
            <w:gridSpan w:val="3"/>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162 222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480" w:type="dxa"/>
            <w:vAlign w:val="bottom"/>
            <w:gridSpan w:val="2"/>
          </w:tcPr>
          <w:p>
            <w:pPr>
              <w:jc w:val="center"/>
              <w:spacing w:after="0" w:line="151" w:lineRule="exact"/>
              <w:rPr>
                <w:sz w:val="20"/>
                <w:szCs w:val="20"/>
                <w:color w:val="auto"/>
              </w:rPr>
            </w:pPr>
            <w:r>
              <w:rPr>
                <w:rFonts w:ascii="Courier New" w:cs="Courier New" w:eastAsia="Courier New" w:hAnsi="Courier New"/>
                <w:sz w:val="16"/>
                <w:szCs w:val="16"/>
                <w:color w:val="auto"/>
                <w:w w:val="97"/>
              </w:rPr>
              <w:t>429 (509) 304 Provision for (benefit</w:t>
            </w:r>
          </w:p>
        </w:tc>
        <w:tc>
          <w:tcPr>
            <w:tcW w:w="0" w:type="dxa"/>
            <w:vAlign w:val="bottom"/>
          </w:tcPr>
          <w:p>
            <w:pPr>
              <w:spacing w:after="0"/>
              <w:rPr>
                <w:sz w:val="1"/>
                <w:szCs w:val="1"/>
                <w:color w:val="auto"/>
              </w:rPr>
            </w:pPr>
          </w:p>
        </w:tc>
      </w:tr>
      <w:tr>
        <w:trPr>
          <w:trHeight w:val="179"/>
        </w:trPr>
        <w:tc>
          <w:tcPr>
            <w:tcW w:w="348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7"/>
              </w:rPr>
              <w:t>from) income</w:t>
            </w:r>
          </w:p>
        </w:tc>
        <w:tc>
          <w:tcPr>
            <w:tcW w:w="0" w:type="dxa"/>
            <w:vAlign w:val="bottom"/>
          </w:tcPr>
          <w:p>
            <w:pPr>
              <w:spacing w:after="0"/>
              <w:rPr>
                <w:sz w:val="1"/>
                <w:szCs w:val="1"/>
                <w:color w:val="auto"/>
              </w:rPr>
            </w:pPr>
          </w:p>
        </w:tc>
      </w:tr>
      <w:tr>
        <w:trPr>
          <w:trHeight w:val="179"/>
        </w:trPr>
        <w:tc>
          <w:tcPr>
            <w:tcW w:w="1620" w:type="dxa"/>
            <w:vAlign w:val="bottom"/>
          </w:tcPr>
          <w:p>
            <w:pPr>
              <w:jc w:val="right"/>
              <w:spacing w:after="0"/>
              <w:rPr>
                <w:sz w:val="20"/>
                <w:szCs w:val="20"/>
                <w:color w:val="auto"/>
              </w:rPr>
            </w:pPr>
            <w:r>
              <w:rPr>
                <w:rFonts w:ascii="Courier New" w:cs="Courier New" w:eastAsia="Courier New" w:hAnsi="Courier New"/>
                <w:sz w:val="10"/>
                <w:szCs w:val="10"/>
                <w:color w:val="auto"/>
                <w:w w:val="70"/>
              </w:rPr>
              <w:t>taxes.................................</w:t>
            </w:r>
          </w:p>
        </w:tc>
        <w:tc>
          <w:tcPr>
            <w:tcW w:w="1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5"/>
              </w:rPr>
              <w:t>113 ----- ---- -----</w:t>
            </w:r>
          </w:p>
        </w:tc>
        <w:tc>
          <w:tcPr>
            <w:tcW w:w="0" w:type="dxa"/>
            <w:vAlign w:val="bottom"/>
          </w:tcPr>
          <w:p>
            <w:pPr>
              <w:spacing w:after="0"/>
              <w:rPr>
                <w:sz w:val="1"/>
                <w:szCs w:val="1"/>
                <w:color w:val="auto"/>
              </w:rPr>
            </w:pPr>
          </w:p>
        </w:tc>
      </w:tr>
      <w:tr>
        <w:trPr>
          <w:trHeight w:val="207"/>
        </w:trPr>
        <w:tc>
          <w:tcPr>
            <w:tcW w:w="1620" w:type="dxa"/>
            <w:vAlign w:val="bottom"/>
          </w:tcPr>
          <w:p>
            <w:pPr>
              <w:jc w:val="right"/>
              <w:ind w:right="29"/>
              <w:spacing w:after="0"/>
              <w:rPr>
                <w:sz w:val="20"/>
                <w:szCs w:val="20"/>
                <w:color w:val="auto"/>
              </w:rPr>
            </w:pPr>
            <w:r>
              <w:rPr>
                <w:rFonts w:ascii="Courier New" w:cs="Courier New" w:eastAsia="Courier New" w:hAnsi="Courier New"/>
                <w:sz w:val="16"/>
                <w:szCs w:val="16"/>
                <w:color w:val="auto"/>
                <w:w w:val="97"/>
              </w:rPr>
              <w:t>(29) (18) 160 --</w:t>
            </w:r>
          </w:p>
        </w:tc>
        <w:tc>
          <w:tcPr>
            <w:tcW w:w="1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920"/>
        <w:spacing w:after="0" w:line="236" w:lineRule="auto"/>
        <w:rPr>
          <w:sz w:val="20"/>
          <w:szCs w:val="20"/>
          <w:color w:val="auto"/>
        </w:rPr>
      </w:pPr>
      <w:r>
        <w:rPr>
          <w:rFonts w:ascii="Courier New" w:cs="Courier New" w:eastAsia="Courier New" w:hAnsi="Courier New"/>
          <w:sz w:val="16"/>
          <w:szCs w:val="16"/>
          <w:color w:val="auto"/>
        </w:rPr>
        <w:t>- ----- ------ Net</w:t>
      </w:r>
    </w:p>
    <w:p>
      <w:pPr>
        <w:ind w:left="80"/>
        <w:spacing w:after="0" w:line="237" w:lineRule="auto"/>
        <w:rPr>
          <w:sz w:val="20"/>
          <w:szCs w:val="20"/>
          <w:color w:val="auto"/>
        </w:rPr>
      </w:pPr>
      <w:r>
        <w:rPr>
          <w:rFonts w:ascii="Courier New" w:cs="Courier New" w:eastAsia="Courier New" w:hAnsi="Courier New"/>
          <w:sz w:val="16"/>
          <w:szCs w:val="16"/>
          <w:color w:val="auto"/>
        </w:rPr>
        <w:t>income..............................</w:t>
      </w:r>
    </w:p>
    <w:p>
      <w:pPr>
        <w:ind w:left="320" w:hanging="187"/>
        <w:spacing w:after="0" w:line="237" w:lineRule="auto"/>
        <w:tabs>
          <w:tab w:leader="none" w:pos="3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191 $240 $ 269 $(509) $ 191 =====</w:t>
      </w:r>
    </w:p>
    <w:p>
      <w:pPr>
        <w:ind w:left="1100" w:hanging="456"/>
        <w:spacing w:after="0"/>
        <w:tabs>
          <w:tab w:leader="none" w:pos="110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spacing w:after="0" w:line="32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THREE MONTHS ENDED JUNE 30, 2000</w:t>
      </w:r>
    </w:p>
    <w:p>
      <w:pPr>
        <w:spacing w:after="0" w:line="2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PARENT GUARANTOR NON-GUARANTORS</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ELIMINATIONS CONSOLIDATION ------ ---</w:t>
      </w:r>
    </w:p>
    <w:p>
      <w:pPr>
        <w:ind w:left="40"/>
        <w:spacing w:after="0" w:line="236" w:lineRule="auto"/>
        <w:rPr>
          <w:sz w:val="20"/>
          <w:szCs w:val="20"/>
          <w:color w:val="auto"/>
        </w:rPr>
      </w:pPr>
      <w:r>
        <w:rPr>
          <w:rFonts w:ascii="Courier New" w:cs="Courier New" w:eastAsia="Courier New" w:hAnsi="Courier New"/>
          <w:sz w:val="16"/>
          <w:szCs w:val="16"/>
          <w:color w:val="auto"/>
        </w:rPr>
        <w:t>------ -------------- ------------ --</w:t>
      </w:r>
    </w:p>
    <w:tbl>
      <w:tblPr>
        <w:tblLayout w:type="fixed"/>
        <w:tblInd w:w="40" w:type="dxa"/>
        <w:tblCellMar>
          <w:top w:w="0" w:type="dxa"/>
          <w:left w:w="0" w:type="dxa"/>
          <w:bottom w:w="0" w:type="dxa"/>
          <w:right w:w="0" w:type="dxa"/>
        </w:tblCellMar>
      </w:tblPr>
      <w:tr>
        <w:trPr>
          <w:trHeight w:val="152"/>
        </w:trPr>
        <w:tc>
          <w:tcPr>
            <w:tcW w:w="1620" w:type="dxa"/>
            <w:vAlign w:val="bottom"/>
            <w:gridSpan w:val="3"/>
            <w:vMerge w:val="restart"/>
          </w:tcPr>
          <w:p>
            <w:pPr>
              <w:jc w:val="right"/>
              <w:spacing w:after="0" w:line="330" w:lineRule="exact"/>
              <w:rPr>
                <w:sz w:val="20"/>
                <w:szCs w:val="20"/>
                <w:color w:val="auto"/>
              </w:rPr>
            </w:pPr>
            <w:r>
              <w:rPr>
                <w:rFonts w:ascii="Courier New" w:cs="Courier New" w:eastAsia="Courier New" w:hAnsi="Courier New"/>
                <w:sz w:val="31"/>
                <w:szCs w:val="31"/>
                <w:color w:val="auto"/>
                <w:w w:val="78"/>
                <w:vertAlign w:val="subscript"/>
              </w:rPr>
              <w:t>revenues</w:t>
            </w:r>
            <w:r>
              <w:rPr>
                <w:rFonts w:ascii="Courier New" w:cs="Courier New" w:eastAsia="Courier New" w:hAnsi="Courier New"/>
                <w:sz w:val="16"/>
                <w:szCs w:val="16"/>
                <w:color w:val="auto"/>
                <w:w w:val="78"/>
              </w:rPr>
              <w:t>-----------</w:t>
            </w:r>
          </w:p>
        </w:tc>
        <w:tc>
          <w:tcPr>
            <w:tcW w:w="1820" w:type="dxa"/>
            <w:vAlign w:val="bottom"/>
          </w:tcPr>
          <w:p>
            <w:pPr>
              <w:jc w:val="right"/>
              <w:ind w:right="663"/>
              <w:spacing w:after="0" w:line="152" w:lineRule="exact"/>
              <w:rPr>
                <w:sz w:val="20"/>
                <w:szCs w:val="20"/>
                <w:color w:val="auto"/>
              </w:rPr>
            </w:pPr>
            <w:r>
              <w:rPr>
                <w:rFonts w:ascii="Courier New" w:cs="Courier New" w:eastAsia="Courier New" w:hAnsi="Courier New"/>
                <w:sz w:val="16"/>
                <w:szCs w:val="16"/>
                <w:color w:val="auto"/>
              </w:rPr>
              <w:t>Operating</w:t>
            </w:r>
          </w:p>
        </w:tc>
        <w:tc>
          <w:tcPr>
            <w:tcW w:w="0" w:type="dxa"/>
            <w:vAlign w:val="bottom"/>
          </w:tcPr>
          <w:p>
            <w:pPr>
              <w:spacing w:after="0"/>
              <w:rPr>
                <w:sz w:val="1"/>
                <w:szCs w:val="1"/>
                <w:color w:val="auto"/>
              </w:rPr>
            </w:pPr>
          </w:p>
        </w:tc>
      </w:tr>
      <w:tr>
        <w:trPr>
          <w:trHeight w:val="179"/>
        </w:trPr>
        <w:tc>
          <w:tcPr>
            <w:tcW w:w="120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42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w w:val="82"/>
              </w:rPr>
              <w:t>$</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179"/>
        </w:trPr>
        <w:tc>
          <w:tcPr>
            <w:tcW w:w="120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 $3,266</w:t>
            </w:r>
          </w:p>
        </w:tc>
        <w:tc>
          <w:tcPr>
            <w:tcW w:w="420" w:type="dxa"/>
            <w:vAlign w:val="bottom"/>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w w:val="98"/>
              </w:rPr>
              <w:t>$3,266 Costs and</w:t>
            </w:r>
          </w:p>
        </w:tc>
        <w:tc>
          <w:tcPr>
            <w:tcW w:w="0" w:type="dxa"/>
            <w:vAlign w:val="bottom"/>
          </w:tcPr>
          <w:p>
            <w:pPr>
              <w:spacing w:after="0"/>
              <w:rPr>
                <w:sz w:val="1"/>
                <w:szCs w:val="1"/>
                <w:color w:val="auto"/>
              </w:rPr>
            </w:pPr>
          </w:p>
        </w:tc>
      </w:tr>
      <w:tr>
        <w:trPr>
          <w:trHeight w:val="179"/>
        </w:trPr>
        <w:tc>
          <w:tcPr>
            <w:tcW w:w="162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4"/>
              </w:rPr>
              <w:t>expenses......................</w:t>
            </w:r>
          </w:p>
        </w:tc>
        <w:tc>
          <w:tcPr>
            <w:tcW w:w="1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560" w:type="dxa"/>
            <w:vAlign w:val="bottom"/>
          </w:tcPr>
          <w:p>
            <w:pPr>
              <w:spacing w:after="0" w:line="179" w:lineRule="exact"/>
              <w:rPr>
                <w:sz w:val="20"/>
                <w:szCs w:val="20"/>
                <w:color w:val="auto"/>
              </w:rPr>
            </w:pPr>
            <w:r>
              <w:rPr>
                <w:rFonts w:ascii="Courier New" w:cs="Courier New" w:eastAsia="Courier New" w:hAnsi="Courier New"/>
                <w:sz w:val="16"/>
                <w:szCs w:val="16"/>
                <w:color w:val="auto"/>
              </w:rPr>
              <w:t>2,973</w:t>
            </w: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7"/>
              </w:rPr>
              <w:t>-- 2,973 -----</w:t>
            </w:r>
          </w:p>
        </w:tc>
        <w:tc>
          <w:tcPr>
            <w:tcW w:w="1820" w:type="dxa"/>
            <w:vAlign w:val="bottom"/>
            <w:vMerge w:val="restart"/>
          </w:tcPr>
          <w:p>
            <w:pPr>
              <w:jc w:val="right"/>
              <w:spacing w:after="0"/>
              <w:rPr>
                <w:sz w:val="20"/>
                <w:szCs w:val="20"/>
                <w:color w:val="auto"/>
              </w:rPr>
            </w:pPr>
            <w:r>
              <w:rPr>
                <w:rFonts w:ascii="Courier New" w:cs="Courier New" w:eastAsia="Courier New" w:hAnsi="Courier New"/>
                <w:sz w:val="30"/>
                <w:szCs w:val="30"/>
                <w:color w:val="auto"/>
                <w:w w:val="70"/>
                <w:vertAlign w:val="subscript"/>
              </w:rPr>
              <w:t>Income</w:t>
            </w:r>
            <w:r>
              <w:rPr>
                <w:rFonts w:ascii="Courier New" w:cs="Courier New" w:eastAsia="Courier New" w:hAnsi="Courier New"/>
                <w:sz w:val="15"/>
                <w:szCs w:val="15"/>
                <w:color w:val="auto"/>
                <w:w w:val="70"/>
              </w:rPr>
              <w:t>----</w:t>
            </w:r>
            <w:r>
              <w:rPr>
                <w:rFonts w:ascii="Courier New" w:cs="Courier New" w:eastAsia="Courier New" w:hAnsi="Courier New"/>
                <w:sz w:val="30"/>
                <w:szCs w:val="30"/>
                <w:color w:val="auto"/>
                <w:w w:val="70"/>
                <w:vertAlign w:val="subscript"/>
              </w:rPr>
              <w:t>from</w:t>
            </w:r>
            <w:r>
              <w:rPr>
                <w:rFonts w:ascii="Courier New" w:cs="Courier New" w:eastAsia="Courier New" w:hAnsi="Courier New"/>
                <w:sz w:val="15"/>
                <w:szCs w:val="15"/>
                <w:color w:val="auto"/>
                <w:w w:val="70"/>
              </w:rPr>
              <w:t>------ ----</w:t>
            </w:r>
          </w:p>
        </w:tc>
        <w:tc>
          <w:tcPr>
            <w:tcW w:w="0" w:type="dxa"/>
            <w:vAlign w:val="bottom"/>
          </w:tcPr>
          <w:p>
            <w:pPr>
              <w:spacing w:after="0"/>
              <w:rPr>
                <w:sz w:val="1"/>
                <w:szCs w:val="1"/>
                <w:color w:val="auto"/>
              </w:rPr>
            </w:pPr>
          </w:p>
        </w:tc>
      </w:tr>
      <w:tr>
        <w:trPr>
          <w:trHeight w:val="179"/>
        </w:trPr>
        <w:tc>
          <w:tcPr>
            <w:tcW w:w="1620" w:type="dxa"/>
            <w:vAlign w:val="bottom"/>
            <w:gridSpan w:val="3"/>
            <w:vMerge w:val="restart"/>
          </w:tcPr>
          <w:p>
            <w:pPr>
              <w:jc w:val="right"/>
              <w:ind w:right="2"/>
              <w:spacing w:after="0"/>
              <w:rPr>
                <w:sz w:val="20"/>
                <w:szCs w:val="20"/>
                <w:color w:val="auto"/>
              </w:rPr>
            </w:pPr>
            <w:r>
              <w:rPr>
                <w:rFonts w:ascii="Courier New" w:cs="Courier New" w:eastAsia="Courier New" w:hAnsi="Courier New"/>
                <w:sz w:val="16"/>
                <w:szCs w:val="16"/>
                <w:color w:val="auto"/>
                <w:w w:val="83"/>
              </w:rPr>
              <w:t>operations</w:t>
            </w:r>
            <w:r>
              <w:rPr>
                <w:rFonts w:ascii="Courier New" w:cs="Courier New" w:eastAsia="Courier New" w:hAnsi="Courier New"/>
                <w:sz w:val="31"/>
                <w:szCs w:val="31"/>
                <w:color w:val="auto"/>
                <w:w w:val="83"/>
                <w:vertAlign w:val="superscript"/>
              </w:rPr>
              <w:t>-------</w:t>
            </w:r>
          </w:p>
        </w:tc>
        <w:tc>
          <w:tcPr>
            <w:tcW w:w="1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gridSpan w:val="3"/>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3"/>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07"/>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293 --</w:t>
            </w:r>
          </w:p>
        </w:tc>
        <w:tc>
          <w:tcPr>
            <w:tcW w:w="28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293 ----- ---- ------ ----- --</w:t>
            </w:r>
          </w:p>
        </w:tc>
        <w:tc>
          <w:tcPr>
            <w:tcW w:w="0" w:type="dxa"/>
            <w:vAlign w:val="bottom"/>
          </w:tcPr>
          <w:p>
            <w:pPr>
              <w:spacing w:after="0"/>
              <w:rPr>
                <w:sz w:val="1"/>
                <w:szCs w:val="1"/>
                <w:color w:val="auto"/>
              </w:rPr>
            </w:pPr>
          </w:p>
        </w:tc>
      </w:tr>
    </w:tbl>
    <w:p>
      <w:pPr>
        <w:ind w:left="40"/>
        <w:spacing w:after="0" w:line="236" w:lineRule="auto"/>
        <w:rPr>
          <w:sz w:val="20"/>
          <w:szCs w:val="20"/>
          <w:color w:val="auto"/>
        </w:rPr>
      </w:pPr>
      <w:r>
        <w:rPr>
          <w:rFonts w:ascii="Courier New" w:cs="Courier New" w:eastAsia="Courier New" w:hAnsi="Courier New"/>
          <w:sz w:val="16"/>
          <w:szCs w:val="16"/>
          <w:color w:val="auto"/>
        </w:rPr>
        <w:t>---- Other income (expense): Interest</w:t>
      </w:r>
    </w:p>
    <w:tbl>
      <w:tblPr>
        <w:tblLayout w:type="fixed"/>
        <w:tblInd w:w="140" w:type="dxa"/>
        <w:tblCellMar>
          <w:top w:w="0" w:type="dxa"/>
          <w:left w:w="0" w:type="dxa"/>
          <w:bottom w:w="0" w:type="dxa"/>
          <w:right w:w="0" w:type="dxa"/>
        </w:tblCellMar>
      </w:tblPr>
      <w:tr>
        <w:trPr>
          <w:trHeight w:val="180"/>
        </w:trPr>
        <w:tc>
          <w:tcPr>
            <w:tcW w:w="2740" w:type="dxa"/>
            <w:vAlign w:val="bottom"/>
          </w:tcPr>
          <w:p>
            <w:pPr>
              <w:spacing w:after="0" w:line="179" w:lineRule="exact"/>
              <w:rPr>
                <w:sz w:val="20"/>
                <w:szCs w:val="20"/>
                <w:color w:val="auto"/>
              </w:rPr>
            </w:pPr>
            <w:r>
              <w:rPr>
                <w:rFonts w:ascii="Courier New" w:cs="Courier New" w:eastAsia="Courier New" w:hAnsi="Courier New"/>
                <w:sz w:val="16"/>
                <w:szCs w:val="16"/>
                <w:color w:val="auto"/>
                <w:w w:val="97"/>
              </w:rPr>
              <w:t>income (expense), net........</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(120)</w:t>
            </w:r>
          </w:p>
        </w:tc>
      </w:tr>
    </w:tbl>
    <w:p>
      <w:pPr>
        <w:ind w:left="840" w:right="7159" w:hanging="382"/>
        <w:spacing w:after="0" w:line="236" w:lineRule="auto"/>
        <w:tabs>
          <w:tab w:leader="none" w:pos="93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 -- (195) Equity in subsidiaries, net of</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74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3"/>
              </w:rPr>
              <w:t>taxes..............................</w:t>
            </w:r>
          </w:p>
        </w:tc>
        <w:tc>
          <w:tcPr>
            <w:tcW w:w="660" w:type="dxa"/>
            <w:vAlign w:val="bottom"/>
            <w:vMerge w:val="restart"/>
          </w:tcPr>
          <w:p>
            <w:pPr>
              <w:jc w:val="center"/>
              <w:ind w:right="28"/>
              <w:spacing w:after="0"/>
              <w:rPr>
                <w:sz w:val="20"/>
                <w:szCs w:val="20"/>
                <w:color w:val="auto"/>
              </w:rPr>
            </w:pPr>
            <w:r>
              <w:rPr>
                <w:rFonts w:ascii="Courier New" w:cs="Courier New" w:eastAsia="Courier New" w:hAnsi="Courier New"/>
                <w:sz w:val="16"/>
                <w:szCs w:val="16"/>
                <w:color w:val="auto"/>
                <w:w w:val="97"/>
              </w:rPr>
              <w:t>112 --</w:t>
            </w:r>
          </w:p>
        </w:tc>
        <w:tc>
          <w:tcPr>
            <w:tcW w:w="560" w:type="dxa"/>
            <w:vAlign w:val="bottom"/>
            <w:vMerge w:val="restart"/>
          </w:tcPr>
          <w:p>
            <w:pPr>
              <w:jc w:val="right"/>
              <w:ind w:right="24"/>
              <w:spacing w:after="0"/>
              <w:rPr>
                <w:sz w:val="20"/>
                <w:szCs w:val="20"/>
                <w:color w:val="auto"/>
              </w:rPr>
            </w:pPr>
            <w:r>
              <w:rPr>
                <w:rFonts w:ascii="Courier New" w:cs="Courier New" w:eastAsia="Courier New" w:hAnsi="Courier New"/>
                <w:sz w:val="16"/>
                <w:szCs w:val="16"/>
                <w:color w:val="auto"/>
                <w:w w:val="91"/>
              </w:rPr>
              <w:t>(187)</w:t>
            </w:r>
          </w:p>
        </w:tc>
        <w:tc>
          <w:tcPr>
            <w:tcW w:w="1480" w:type="dxa"/>
            <w:vAlign w:val="bottom"/>
            <w:vMerge w:val="restart"/>
          </w:tcPr>
          <w:p>
            <w:pPr>
              <w:spacing w:after="0"/>
              <w:rPr>
                <w:sz w:val="20"/>
                <w:szCs w:val="20"/>
                <w:color w:val="auto"/>
              </w:rPr>
            </w:pPr>
            <w:r>
              <w:rPr>
                <w:rFonts w:ascii="Courier New" w:cs="Courier New" w:eastAsia="Courier New" w:hAnsi="Courier New"/>
                <w:sz w:val="16"/>
                <w:szCs w:val="16"/>
                <w:color w:val="auto"/>
              </w:rPr>
              <w:t>-- Minority</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460" w:type="dxa"/>
            <w:vAlign w:val="bottom"/>
          </w:tcPr>
          <w:p>
            <w:pPr>
              <w:jc w:val="right"/>
              <w:ind w:right="20"/>
              <w:spacing w:after="0" w:line="179" w:lineRule="exact"/>
              <w:rPr>
                <w:sz w:val="20"/>
                <w:szCs w:val="20"/>
                <w:color w:val="auto"/>
              </w:rPr>
            </w:pPr>
            <w:r>
              <w:rPr>
                <w:rFonts w:ascii="Courier New" w:cs="Courier New" w:eastAsia="Courier New" w:hAnsi="Courier New"/>
                <w:sz w:val="16"/>
                <w:szCs w:val="16"/>
                <w:color w:val="auto"/>
              </w:rPr>
              <w:t>75</w:t>
            </w:r>
          </w:p>
        </w:tc>
        <w:tc>
          <w:tcPr>
            <w:tcW w:w="6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00" w:type="dxa"/>
            <w:vAlign w:val="bottom"/>
            <w:gridSpan w:val="3"/>
          </w:tcPr>
          <w:p>
            <w:pPr>
              <w:jc w:val="right"/>
              <w:spacing w:after="0" w:line="179" w:lineRule="exact"/>
              <w:rPr>
                <w:sz w:val="20"/>
                <w:szCs w:val="20"/>
                <w:color w:val="auto"/>
              </w:rPr>
            </w:pPr>
            <w:r>
              <w:rPr>
                <w:rFonts w:ascii="Courier New" w:cs="Courier New" w:eastAsia="Courier New" w:hAnsi="Courier New"/>
                <w:sz w:val="10"/>
                <w:szCs w:val="10"/>
                <w:color w:val="auto"/>
                <w:w w:val="73"/>
              </w:rPr>
              <w:t>interest.....................</w:t>
            </w:r>
            <w:r>
              <w:rPr>
                <w:rFonts w:ascii="Courier New" w:cs="Courier New" w:eastAsia="Courier New" w:hAnsi="Courier New"/>
                <w:sz w:val="16"/>
                <w:szCs w:val="16"/>
                <w:color w:val="auto"/>
                <w:w w:val="73"/>
                <w:vertAlign w:val="subscript"/>
              </w:rPr>
              <w:t>--</w:t>
            </w:r>
          </w:p>
        </w:tc>
        <w:tc>
          <w:tcPr>
            <w:tcW w:w="560" w:type="dxa"/>
            <w:vAlign w:val="bottom"/>
            <w:vMerge w:val="restart"/>
          </w:tcPr>
          <w:p>
            <w:pPr>
              <w:jc w:val="right"/>
              <w:ind w:right="24"/>
              <w:spacing w:after="0"/>
              <w:rPr>
                <w:sz w:val="20"/>
                <w:szCs w:val="20"/>
                <w:color w:val="auto"/>
              </w:rPr>
            </w:pPr>
            <w:r>
              <w:rPr>
                <w:rFonts w:ascii="Courier New" w:cs="Courier New" w:eastAsia="Courier New" w:hAnsi="Courier New"/>
                <w:sz w:val="16"/>
                <w:szCs w:val="16"/>
                <w:color w:val="auto"/>
              </w:rPr>
              <w:t>(6)</w:t>
            </w:r>
          </w:p>
        </w:tc>
        <w:tc>
          <w:tcPr>
            <w:tcW w:w="14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280" w:type="dxa"/>
            <w:vAlign w:val="bottom"/>
            <w:vMerge w:val="restart"/>
          </w:tcPr>
          <w:p>
            <w:pPr>
              <w:spacing w:after="0"/>
              <w:rPr>
                <w:sz w:val="20"/>
                <w:szCs w:val="20"/>
                <w:color w:val="auto"/>
              </w:rPr>
            </w:pPr>
            <w:r>
              <w:rPr>
                <w:rFonts w:ascii="Courier New" w:cs="Courier New" w:eastAsia="Courier New" w:hAnsi="Courier New"/>
                <w:sz w:val="16"/>
                <w:szCs w:val="16"/>
                <w:color w:val="auto"/>
                <w:w w:val="90"/>
              </w:rPr>
              <w:t>net</w:t>
            </w:r>
          </w:p>
        </w:tc>
        <w:tc>
          <w:tcPr>
            <w:tcW w:w="460" w:type="dxa"/>
            <w:vAlign w:val="bottom"/>
          </w:tcPr>
          <w:p>
            <w:pPr>
              <w:spacing w:after="0"/>
              <w:rPr>
                <w:sz w:val="15"/>
                <w:szCs w:val="15"/>
                <w:color w:val="auto"/>
              </w:rPr>
            </w:pPr>
          </w:p>
        </w:tc>
        <w:tc>
          <w:tcPr>
            <w:tcW w:w="660" w:type="dxa"/>
            <w:vAlign w:val="bottom"/>
          </w:tcPr>
          <w:p>
            <w:pPr>
              <w:jc w:val="right"/>
              <w:ind w:right="128"/>
              <w:spacing w:after="0" w:line="179" w:lineRule="exact"/>
              <w:rPr>
                <w:sz w:val="20"/>
                <w:szCs w:val="20"/>
                <w:color w:val="auto"/>
              </w:rPr>
            </w:pPr>
            <w:r>
              <w:rPr>
                <w:rFonts w:ascii="Courier New" w:cs="Courier New" w:eastAsia="Courier New" w:hAnsi="Courier New"/>
                <w:sz w:val="16"/>
                <w:szCs w:val="16"/>
                <w:color w:val="auto"/>
              </w:rPr>
              <w:t>(6)</w:t>
            </w:r>
          </w:p>
        </w:tc>
        <w:tc>
          <w:tcPr>
            <w:tcW w:w="560" w:type="dxa"/>
            <w:vAlign w:val="bottom"/>
            <w:vMerge w:val="continue"/>
          </w:tcPr>
          <w:p>
            <w:pPr>
              <w:spacing w:after="0"/>
              <w:rPr>
                <w:sz w:val="15"/>
                <w:szCs w:val="15"/>
                <w:color w:val="auto"/>
              </w:rPr>
            </w:pPr>
          </w:p>
        </w:tc>
        <w:tc>
          <w:tcPr>
            <w:tcW w:w="14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0" w:type="dxa"/>
            <w:vAlign w:val="bottom"/>
          </w:tcPr>
          <w:p>
            <w:pPr>
              <w:spacing w:after="0"/>
              <w:rPr>
                <w:sz w:val="1"/>
                <w:szCs w:val="1"/>
                <w:color w:val="auto"/>
              </w:rPr>
            </w:pPr>
          </w:p>
        </w:tc>
      </w:tr>
      <w:tr>
        <w:trPr>
          <w:trHeight w:val="179"/>
        </w:trPr>
        <w:tc>
          <w:tcPr>
            <w:tcW w:w="280" w:type="dxa"/>
            <w:vAlign w:val="bottom"/>
            <w:vMerge w:val="continue"/>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Courier New" w:cs="Courier New" w:eastAsia="Courier New" w:hAnsi="Courier New"/>
                <w:sz w:val="8"/>
                <w:szCs w:val="8"/>
                <w:color w:val="auto"/>
                <w:w w:val="72"/>
              </w:rPr>
              <w:t>............................</w:t>
            </w:r>
            <w:r>
              <w:rPr>
                <w:rFonts w:ascii="Courier New" w:cs="Courier New" w:eastAsia="Courier New" w:hAnsi="Courier New"/>
                <w:sz w:val="11"/>
                <w:szCs w:val="11"/>
                <w:color w:val="auto"/>
                <w:w w:val="72"/>
                <w:vertAlign w:val="subscript"/>
              </w:rPr>
              <w:t>--13</w:t>
            </w:r>
          </w:p>
        </w:tc>
        <w:tc>
          <w:tcPr>
            <w:tcW w:w="560" w:type="dxa"/>
            <w:vAlign w:val="bottom"/>
          </w:tcPr>
          <w:p>
            <w:pPr>
              <w:spacing w:after="0"/>
              <w:rPr>
                <w:sz w:val="15"/>
                <w:szCs w:val="15"/>
                <w:color w:val="auto"/>
              </w:rPr>
            </w:pP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280" w:type="dxa"/>
            <w:vAlign w:val="bottom"/>
          </w:tcPr>
          <w:p>
            <w:pPr>
              <w:spacing w:after="0" w:line="179" w:lineRule="exact"/>
              <w:rPr>
                <w:sz w:val="20"/>
                <w:szCs w:val="20"/>
                <w:color w:val="auto"/>
              </w:rPr>
            </w:pPr>
            <w:r>
              <w:rPr>
                <w:rFonts w:ascii="Courier New" w:cs="Courier New" w:eastAsia="Courier New" w:hAnsi="Courier New"/>
                <w:sz w:val="16"/>
                <w:szCs w:val="16"/>
                <w:color w:val="auto"/>
              </w:rPr>
              <w:t>13</w:t>
            </w:r>
          </w:p>
        </w:tc>
        <w:tc>
          <w:tcPr>
            <w:tcW w:w="460" w:type="dxa"/>
            <w:vAlign w:val="bottom"/>
            <w:vMerge w:val="continue"/>
          </w:tcPr>
          <w:p>
            <w:pPr>
              <w:spacing w:after="0"/>
              <w:rPr>
                <w:sz w:val="15"/>
                <w:szCs w:val="15"/>
                <w:color w:val="auto"/>
              </w:rPr>
            </w:pPr>
          </w:p>
        </w:tc>
        <w:tc>
          <w:tcPr>
            <w:tcW w:w="660" w:type="dxa"/>
            <w:vAlign w:val="bottom"/>
            <w:vMerge w:val="restart"/>
          </w:tcPr>
          <w:p>
            <w:pPr>
              <w:jc w:val="center"/>
              <w:ind w:right="28"/>
              <w:spacing w:after="0"/>
              <w:rPr>
                <w:sz w:val="20"/>
                <w:szCs w:val="20"/>
                <w:color w:val="auto"/>
              </w:rPr>
            </w:pPr>
            <w:r>
              <w:rPr>
                <w:rFonts w:ascii="Courier New" w:cs="Courier New" w:eastAsia="Courier New" w:hAnsi="Courier New"/>
                <w:sz w:val="12"/>
                <w:szCs w:val="12"/>
                <w:color w:val="auto"/>
                <w:w w:val="71"/>
              </w:rPr>
              <w:t>53</w:t>
            </w:r>
            <w:r>
              <w:rPr>
                <w:rFonts w:ascii="Courier New" w:cs="Courier New" w:eastAsia="Courier New" w:hAnsi="Courier New"/>
                <w:sz w:val="21"/>
                <w:szCs w:val="21"/>
                <w:color w:val="auto"/>
                <w:w w:val="71"/>
                <w:vertAlign w:val="superscript"/>
              </w:rPr>
              <w:t>-----</w:t>
            </w:r>
            <w:r>
              <w:rPr>
                <w:rFonts w:ascii="Courier New" w:cs="Courier New" w:eastAsia="Courier New" w:hAnsi="Courier New"/>
                <w:sz w:val="12"/>
                <w:szCs w:val="12"/>
                <w:color w:val="auto"/>
                <w:w w:val="71"/>
              </w:rPr>
              <w:t>(9)</w:t>
            </w:r>
          </w:p>
        </w:tc>
        <w:tc>
          <w:tcPr>
            <w:tcW w:w="2040" w:type="dxa"/>
            <w:vAlign w:val="bottom"/>
            <w:gridSpan w:val="2"/>
            <w:vMerge w:val="restart"/>
          </w:tcPr>
          <w:p>
            <w:pPr>
              <w:jc w:val="right"/>
              <w:spacing w:after="0"/>
              <w:rPr>
                <w:sz w:val="20"/>
                <w:szCs w:val="20"/>
                <w:color w:val="auto"/>
              </w:rPr>
            </w:pPr>
            <w:r>
              <w:rPr>
                <w:rFonts w:ascii="Courier New" w:cs="Courier New" w:eastAsia="Courier New" w:hAnsi="Courier New"/>
                <w:sz w:val="28"/>
                <w:szCs w:val="28"/>
                <w:color w:val="auto"/>
                <w:w w:val="70"/>
                <w:vertAlign w:val="subscript"/>
              </w:rPr>
              <w:t>(187)</w:t>
            </w: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(188)</w:t>
            </w:r>
            <w:r>
              <w:rPr>
                <w:rFonts w:ascii="Courier New" w:cs="Courier New" w:eastAsia="Courier New" w:hAnsi="Courier New"/>
                <w:sz w:val="14"/>
                <w:szCs w:val="14"/>
                <w:color w:val="auto"/>
                <w:w w:val="70"/>
              </w:rPr>
              <w:t xml:space="preserve"> ----- ----</w:t>
            </w:r>
          </w:p>
        </w:tc>
        <w:tc>
          <w:tcPr>
            <w:tcW w:w="0" w:type="dxa"/>
            <w:vAlign w:val="bottom"/>
          </w:tcPr>
          <w:p>
            <w:pPr>
              <w:spacing w:after="0"/>
              <w:rPr>
                <w:sz w:val="1"/>
                <w:szCs w:val="1"/>
                <w:color w:val="auto"/>
              </w:rPr>
            </w:pPr>
          </w:p>
        </w:tc>
      </w:tr>
      <w:tr>
        <w:trPr>
          <w:trHeight w:val="179"/>
        </w:trPr>
        <w:tc>
          <w:tcPr>
            <w:tcW w:w="740" w:type="dxa"/>
            <w:vAlign w:val="bottom"/>
            <w:gridSpan w:val="2"/>
          </w:tcPr>
          <w:p>
            <w:pPr>
              <w:jc w:val="right"/>
              <w:ind w:right="20"/>
              <w:spacing w:after="0" w:line="179" w:lineRule="exact"/>
              <w:rPr>
                <w:sz w:val="20"/>
                <w:szCs w:val="20"/>
                <w:color w:val="auto"/>
              </w:rPr>
            </w:pPr>
            <w:r>
              <w:rPr>
                <w:rFonts w:ascii="Courier New" w:cs="Courier New" w:eastAsia="Courier New" w:hAnsi="Courier New"/>
                <w:sz w:val="16"/>
                <w:szCs w:val="16"/>
                <w:color w:val="auto"/>
                <w:w w:val="95"/>
              </w:rPr>
              <w:t>-- (45)</w:t>
            </w:r>
          </w:p>
        </w:tc>
        <w:tc>
          <w:tcPr>
            <w:tcW w:w="66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480" w:type="dxa"/>
            <w:vAlign w:val="bottom"/>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1960" w:type="dxa"/>
            <w:vAlign w:val="bottom"/>
            <w:gridSpan w:val="4"/>
            <w:vMerge w:val="restart"/>
          </w:tcPr>
          <w:p>
            <w:pPr>
              <w:jc w:val="center"/>
              <w:ind w:left="37"/>
              <w:spacing w:after="0"/>
              <w:rPr>
                <w:sz w:val="20"/>
                <w:szCs w:val="20"/>
                <w:color w:val="auto"/>
              </w:rPr>
            </w:pPr>
            <w:r>
              <w:rPr>
                <w:rFonts w:ascii="Courier New" w:cs="Courier New" w:eastAsia="Courier New" w:hAnsi="Courier New"/>
                <w:sz w:val="11"/>
                <w:szCs w:val="11"/>
                <w:color w:val="auto"/>
                <w:w w:val="71"/>
              </w:rPr>
              <w:t>before</w:t>
            </w:r>
            <w:r>
              <w:rPr>
                <w:rFonts w:ascii="Courier New" w:cs="Courier New" w:eastAsia="Courier New" w:hAnsi="Courier New"/>
                <w:sz w:val="18"/>
                <w:szCs w:val="18"/>
                <w:color w:val="auto"/>
                <w:w w:val="71"/>
                <w:vertAlign w:val="superscript"/>
              </w:rPr>
              <w:t>------</w:t>
            </w:r>
            <w:r>
              <w:rPr>
                <w:rFonts w:ascii="Courier New" w:cs="Courier New" w:eastAsia="Courier New" w:hAnsi="Courier New"/>
                <w:sz w:val="11"/>
                <w:szCs w:val="11"/>
                <w:color w:val="auto"/>
                <w:w w:val="71"/>
              </w:rPr>
              <w:t xml:space="preserve"> income</w:t>
            </w:r>
            <w:r>
              <w:rPr>
                <w:rFonts w:ascii="Courier New" w:cs="Courier New" w:eastAsia="Courier New" w:hAnsi="Courier New"/>
                <w:sz w:val="18"/>
                <w:szCs w:val="18"/>
                <w:color w:val="auto"/>
                <w:w w:val="71"/>
                <w:vertAlign w:val="superscript"/>
              </w:rPr>
              <w:t>----- ------</w:t>
            </w:r>
            <w:r>
              <w:rPr>
                <w:rFonts w:ascii="Courier New" w:cs="Courier New" w:eastAsia="Courier New" w:hAnsi="Courier New"/>
                <w:sz w:val="11"/>
                <w:szCs w:val="11"/>
                <w:color w:val="auto"/>
                <w:w w:val="71"/>
              </w:rPr>
              <w:t>taxes</w:t>
            </w: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Income (loss)</w:t>
            </w:r>
          </w:p>
        </w:tc>
        <w:tc>
          <w:tcPr>
            <w:tcW w:w="0" w:type="dxa"/>
            <w:vAlign w:val="bottom"/>
          </w:tcPr>
          <w:p>
            <w:pPr>
              <w:spacing w:after="0"/>
              <w:rPr>
                <w:sz w:val="1"/>
                <w:szCs w:val="1"/>
                <w:color w:val="auto"/>
              </w:rPr>
            </w:pPr>
          </w:p>
        </w:tc>
      </w:tr>
      <w:tr>
        <w:trPr>
          <w:trHeight w:val="207"/>
        </w:trPr>
        <w:tc>
          <w:tcPr>
            <w:tcW w:w="1960" w:type="dxa"/>
            <w:vAlign w:val="bottom"/>
            <w:gridSpan w:val="4"/>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(45) 53</w:t>
            </w:r>
          </w:p>
        </w:tc>
        <w:tc>
          <w:tcPr>
            <w:tcW w:w="0" w:type="dxa"/>
            <w:vAlign w:val="bottom"/>
          </w:tcPr>
          <w:p>
            <w:pPr>
              <w:spacing w:after="0"/>
              <w:rPr>
                <w:sz w:val="1"/>
                <w:szCs w:val="1"/>
                <w:color w:val="auto"/>
              </w:rPr>
            </w:pPr>
          </w:p>
        </w:tc>
      </w:tr>
    </w:tbl>
    <w:p>
      <w:pPr>
        <w:jc w:val="center"/>
        <w:ind w:right="6699"/>
        <w:spacing w:after="0" w:line="236" w:lineRule="auto"/>
        <w:rPr>
          <w:sz w:val="20"/>
          <w:szCs w:val="20"/>
          <w:color w:val="auto"/>
        </w:rPr>
      </w:pPr>
      <w:r>
        <w:rPr>
          <w:rFonts w:ascii="Courier New" w:cs="Courier New" w:eastAsia="Courier New" w:hAnsi="Courier New"/>
          <w:sz w:val="16"/>
          <w:szCs w:val="16"/>
          <w:color w:val="auto"/>
        </w:rPr>
        <w:t>284 (187) 105 Provision for (benefit</w:t>
      </w:r>
    </w:p>
    <w:p>
      <w:pPr>
        <w:jc w:val="center"/>
        <w:ind w:right="6699"/>
        <w:spacing w:after="0" w:line="237" w:lineRule="auto"/>
        <w:rPr>
          <w:sz w:val="20"/>
          <w:szCs w:val="20"/>
          <w:color w:val="auto"/>
        </w:rPr>
      </w:pPr>
      <w:r>
        <w:rPr>
          <w:rFonts w:ascii="Courier New" w:cs="Courier New" w:eastAsia="Courier New" w:hAnsi="Courier New"/>
          <w:sz w:val="16"/>
          <w:szCs w:val="16"/>
          <w:color w:val="auto"/>
        </w:rPr>
        <w:t>from)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0"/>
              </w:rPr>
              <w:t>taxes.................................</w:t>
            </w:r>
          </w:p>
        </w:tc>
        <w:tc>
          <w:tcPr>
            <w:tcW w:w="1220" w:type="dxa"/>
            <w:vAlign w:val="bottom"/>
            <w:gridSpan w:val="2"/>
            <w:vMerge w:val="restart"/>
          </w:tcPr>
          <w:p>
            <w:pPr>
              <w:jc w:val="right"/>
              <w:ind w:right="302"/>
              <w:spacing w:after="0"/>
              <w:rPr>
                <w:sz w:val="20"/>
                <w:szCs w:val="20"/>
                <w:color w:val="auto"/>
              </w:rPr>
            </w:pPr>
            <w:r>
              <w:rPr>
                <w:rFonts w:ascii="Courier New" w:cs="Courier New" w:eastAsia="Courier New" w:hAnsi="Courier New"/>
                <w:sz w:val="16"/>
                <w:szCs w:val="16"/>
                <w:color w:val="auto"/>
                <w:w w:val="94"/>
              </w:rPr>
              <w:t>105 -----</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6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(45) (22) 172 --</w:t>
            </w:r>
          </w:p>
        </w:tc>
        <w:tc>
          <w:tcPr>
            <w:tcW w:w="700" w:type="dxa"/>
            <w:vAlign w:val="bottom"/>
            <w:vMerge w:val="continue"/>
          </w:tcPr>
          <w:p>
            <w:pPr>
              <w:spacing w:after="0"/>
              <w:rPr>
                <w:sz w:val="15"/>
                <w:szCs w:val="15"/>
                <w:color w:val="auto"/>
              </w:rPr>
            </w:pPr>
          </w:p>
        </w:tc>
        <w:tc>
          <w:tcPr>
            <w:tcW w:w="1160" w:type="dxa"/>
            <w:vAlign w:val="bottom"/>
            <w:gridSpan w:val="2"/>
            <w:vMerge w:val="restart"/>
          </w:tcPr>
          <w:p>
            <w:pPr>
              <w:jc w:val="right"/>
              <w:spacing w:after="0"/>
              <w:rPr>
                <w:sz w:val="20"/>
                <w:szCs w:val="20"/>
                <w:color w:val="auto"/>
              </w:rPr>
            </w:pPr>
            <w:r>
              <w:rPr>
                <w:rFonts w:ascii="Courier New" w:cs="Courier New" w:eastAsia="Courier New" w:hAnsi="Courier New"/>
                <w:sz w:val="31"/>
                <w:szCs w:val="31"/>
                <w:color w:val="auto"/>
                <w:w w:val="85"/>
                <w:vertAlign w:val="subscript"/>
              </w:rPr>
              <w:t>Net</w:t>
            </w:r>
            <w:r>
              <w:rPr>
                <w:rFonts w:ascii="Courier New" w:cs="Courier New" w:eastAsia="Courier New" w:hAnsi="Courier New"/>
                <w:sz w:val="16"/>
                <w:szCs w:val="16"/>
                <w:color w:val="auto"/>
                <w:w w:val="85"/>
              </w:rPr>
              <w:t>---- -----</w:t>
            </w:r>
          </w:p>
        </w:tc>
        <w:tc>
          <w:tcPr>
            <w:tcW w:w="0" w:type="dxa"/>
            <w:vAlign w:val="bottom"/>
          </w:tcPr>
          <w:p>
            <w:pPr>
              <w:spacing w:after="0"/>
              <w:rPr>
                <w:sz w:val="1"/>
                <w:szCs w:val="1"/>
                <w:color w:val="auto"/>
              </w:rPr>
            </w:pPr>
          </w:p>
        </w:tc>
      </w:tr>
      <w:tr>
        <w:trPr>
          <w:trHeight w:val="276"/>
        </w:trPr>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income</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5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640" w:type="dxa"/>
            <w:vAlign w:val="bottom"/>
            <w:vMerge w:val="continue"/>
          </w:tcPr>
          <w:p>
            <w:pPr>
              <w:ind w:left="640"/>
              <w:spacing w:after="0"/>
              <w:rPr>
                <w:sz w:val="20"/>
                <w:szCs w:val="20"/>
                <w:color w:val="auto"/>
              </w:rPr>
            </w:pPr>
            <w:r>
              <w:rPr>
                <w:rFonts w:ascii="Courier New" w:cs="Courier New" w:eastAsia="Courier New" w:hAnsi="Courier New"/>
                <w:sz w:val="1"/>
                <w:szCs w:val="1"/>
                <w:color w:val="auto"/>
                <w:w w:val="10"/>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$ 75 $ 112</w:t>
            </w:r>
          </w:p>
        </w:tc>
        <w:tc>
          <w:tcPr>
            <w:tcW w:w="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$(187)</w:t>
            </w:r>
          </w:p>
        </w:tc>
        <w:tc>
          <w:tcPr>
            <w:tcW w:w="5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 --</w:t>
            </w:r>
          </w:p>
        </w:tc>
        <w:tc>
          <w:tcPr>
            <w:tcW w:w="640" w:type="dxa"/>
            <w:vAlign w:val="bottom"/>
            <w:vMerge w:val="restart"/>
          </w:tcPr>
          <w:p>
            <w:pPr>
              <w:jc w:val="right"/>
              <w:ind w:right="102"/>
              <w:spacing w:after="0"/>
              <w:rPr>
                <w:sz w:val="20"/>
                <w:szCs w:val="20"/>
                <w:color w:val="auto"/>
              </w:rPr>
            </w:pPr>
            <w:r>
              <w:rPr>
                <w:rFonts w:ascii="Courier New" w:cs="Courier New" w:eastAsia="Courier New" w:hAnsi="Courier New"/>
                <w:sz w:val="16"/>
                <w:szCs w:val="16"/>
                <w:color w:val="auto"/>
                <w:w w:val="91"/>
              </w:rPr>
              <w:t>=====</w:t>
            </w:r>
          </w:p>
        </w:tc>
        <w:tc>
          <w:tcPr>
            <w:tcW w:w="0" w:type="dxa"/>
            <w:vAlign w:val="bottom"/>
          </w:tcPr>
          <w:p>
            <w:pPr>
              <w:spacing w:after="0"/>
              <w:rPr>
                <w:sz w:val="1"/>
                <w:szCs w:val="1"/>
                <w:color w:val="auto"/>
              </w:rPr>
            </w:pPr>
          </w:p>
        </w:tc>
      </w:tr>
      <w:tr>
        <w:trPr>
          <w:trHeight w:val="179"/>
        </w:trPr>
        <w:tc>
          <w:tcPr>
            <w:tcW w:w="6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9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2840" w:type="dxa"/>
            <w:vAlign w:val="bottom"/>
            <w:gridSpan w:val="4"/>
          </w:tcPr>
          <w:p>
            <w:pPr>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9" w:right="1440" w:bottom="1440" w:gutter="0" w:footer="0" w:header="0"/>
        </w:sectPr>
      </w:pPr>
    </w:p>
    <w:p>
      <w:pPr>
        <w:spacing w:after="0" w:line="76"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19"/>
          </w:cols>
          <w:pgMar w:left="240" w:top="269" w:right="1440" w:bottom="1440" w:gutter="0" w:footer="0" w:header="0"/>
          <w:type w:val="continuous"/>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23</w:t>
      </w:r>
    </w:p>
    <w:p>
      <w:pPr>
        <w:spacing w:after="0" w:line="26"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4"/>
          <w:szCs w:val="14"/>
          <w:color w:val="auto"/>
        </w:rPr>
        <w:t>NOTES TO CONDENSED CONSOLIDATED FINANCIAL STATEMENTS -- (CONTINUED)</w:t>
      </w:r>
    </w:p>
    <w:p>
      <w:pPr>
        <w:spacing w:after="0" w:line="199"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6"/>
          <w:szCs w:val="16"/>
          <w:color w:val="auto"/>
        </w:rPr>
        <w:t>CONDENSED CONSOLIDATING STATEMENTS OF OPERATIONS</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SIX MONTHS ENDED JUNE 30, 2001</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PARENT GUARANTOR NON-GUARANTORS</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ELIMINATIONS CONSOLIDATION ------ -----</w:t>
      </w:r>
    </w:p>
    <w:p>
      <w:pPr>
        <w:ind w:left="500" w:hanging="458"/>
        <w:spacing w:after="0" w:line="236" w:lineRule="auto"/>
        <w:tabs>
          <w:tab w:leader="none" w:pos="50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0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Operating</w:t>
      </w:r>
    </w:p>
    <w:tbl>
      <w:tblPr>
        <w:tblLayout w:type="fixed"/>
        <w:tblInd w:w="40" w:type="dxa"/>
        <w:tblCellMar>
          <w:top w:w="0" w:type="dxa"/>
          <w:left w:w="0" w:type="dxa"/>
          <w:bottom w:w="0" w:type="dxa"/>
          <w:right w:w="0" w:type="dxa"/>
        </w:tblCellMar>
      </w:tblPr>
      <w:tr>
        <w:trPr>
          <w:trHeight w:val="152"/>
        </w:trPr>
        <w:tc>
          <w:tcPr>
            <w:tcW w:w="126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77"/>
              </w:rPr>
              <w:t>revenues......................</w:t>
            </w:r>
          </w:p>
        </w:tc>
        <w:tc>
          <w:tcPr>
            <w:tcW w:w="36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w w:val="82"/>
              </w:rPr>
              <w:t>$</w:t>
            </w:r>
          </w:p>
        </w:tc>
        <w:tc>
          <w:tcPr>
            <w:tcW w:w="200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179"/>
        </w:trPr>
        <w:tc>
          <w:tcPr>
            <w:tcW w:w="1260" w:type="dxa"/>
            <w:vAlign w:val="bottom"/>
            <w:gridSpan w:val="2"/>
          </w:tcPr>
          <w:p>
            <w:pPr>
              <w:jc w:val="right"/>
              <w:ind w:right="75"/>
              <w:spacing w:after="0" w:line="179" w:lineRule="exact"/>
              <w:rPr>
                <w:sz w:val="20"/>
                <w:szCs w:val="20"/>
                <w:color w:val="auto"/>
              </w:rPr>
            </w:pPr>
            <w:r>
              <w:rPr>
                <w:rFonts w:ascii="Courier New" w:cs="Courier New" w:eastAsia="Courier New" w:hAnsi="Courier New"/>
                <w:sz w:val="16"/>
                <w:szCs w:val="16"/>
                <w:color w:val="auto"/>
              </w:rPr>
              <w:t>- $5,634</w:t>
            </w:r>
          </w:p>
        </w:tc>
        <w:tc>
          <w:tcPr>
            <w:tcW w:w="360" w:type="dxa"/>
            <w:vAlign w:val="bottom"/>
            <w:vMerge w:val="continue"/>
          </w:tcPr>
          <w:p>
            <w:pPr>
              <w:ind w:left="180"/>
              <w:spacing w:after="0" w:line="158" w:lineRule="exact"/>
              <w:rPr>
                <w:sz w:val="20"/>
                <w:szCs w:val="20"/>
                <w:color w:val="auto"/>
              </w:rPr>
            </w:pPr>
            <w:r>
              <w:rPr>
                <w:rFonts w:ascii="Courier New" w:cs="Courier New" w:eastAsia="Courier New" w:hAnsi="Courier New"/>
                <w:sz w:val="16"/>
                <w:szCs w:val="16"/>
                <w:color w:val="auto"/>
                <w:w w:val="83"/>
              </w:rPr>
              <w:t>--</w:t>
            </w:r>
          </w:p>
        </w:tc>
        <w:tc>
          <w:tcPr>
            <w:tcW w:w="2000" w:type="dxa"/>
            <w:vAlign w:val="bottom"/>
          </w:tcPr>
          <w:p>
            <w:pPr>
              <w:jc w:val="right"/>
              <w:ind w:right="323"/>
              <w:spacing w:after="0" w:line="179" w:lineRule="exact"/>
              <w:rPr>
                <w:sz w:val="20"/>
                <w:szCs w:val="20"/>
                <w:color w:val="auto"/>
              </w:rPr>
            </w:pPr>
            <w:r>
              <w:rPr>
                <w:rFonts w:ascii="Courier New" w:cs="Courier New" w:eastAsia="Courier New" w:hAnsi="Courier New"/>
                <w:sz w:val="16"/>
                <w:szCs w:val="16"/>
                <w:color w:val="auto"/>
              </w:rPr>
              <w:t>$5,634 Costs and</w:t>
            </w:r>
          </w:p>
        </w:tc>
        <w:tc>
          <w:tcPr>
            <w:tcW w:w="0" w:type="dxa"/>
            <w:vAlign w:val="bottom"/>
          </w:tcPr>
          <w:p>
            <w:pPr>
              <w:spacing w:after="0"/>
              <w:rPr>
                <w:sz w:val="1"/>
                <w:szCs w:val="1"/>
                <w:color w:val="auto"/>
              </w:rPr>
            </w:pPr>
          </w:p>
        </w:tc>
      </w:tr>
      <w:tr>
        <w:trPr>
          <w:trHeight w:val="179"/>
        </w:trPr>
        <w:tc>
          <w:tcPr>
            <w:tcW w:w="8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3"/>
              </w:rPr>
              <w:t>expenses</w:t>
            </w:r>
          </w:p>
        </w:tc>
        <w:tc>
          <w:tcPr>
            <w:tcW w:w="740" w:type="dxa"/>
            <w:vAlign w:val="bottom"/>
            <w:gridSpan w:val="2"/>
            <w:vMerge w:val="restart"/>
          </w:tcPr>
          <w:p>
            <w:pPr>
              <w:jc w:val="right"/>
              <w:spacing w:after="0"/>
              <w:rPr>
                <w:sz w:val="20"/>
                <w:szCs w:val="20"/>
                <w:color w:val="auto"/>
              </w:rPr>
            </w:pPr>
            <w:r>
              <w:rPr>
                <w:rFonts w:ascii="Courier New" w:cs="Courier New" w:eastAsia="Courier New" w:hAnsi="Courier New"/>
                <w:sz w:val="7"/>
                <w:szCs w:val="7"/>
                <w:color w:val="auto"/>
                <w:vertAlign w:val="subscript"/>
              </w:rPr>
              <w:t>4,849</w:t>
            </w:r>
            <w:r>
              <w:rPr>
                <w:rFonts w:ascii="Courier New" w:cs="Courier New" w:eastAsia="Courier New" w:hAnsi="Courier New"/>
                <w:sz w:val="4"/>
                <w:szCs w:val="4"/>
                <w:color w:val="auto"/>
              </w:rPr>
              <w:t>......................</w:t>
            </w:r>
          </w:p>
        </w:tc>
        <w:tc>
          <w:tcPr>
            <w:tcW w:w="2000" w:type="dxa"/>
            <w:vAlign w:val="bottom"/>
          </w:tcPr>
          <w:p>
            <w:pPr>
              <w:jc w:val="right"/>
              <w:ind w:right="43"/>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4,849 --</w:t>
            </w:r>
          </w:p>
        </w:tc>
        <w:tc>
          <w:tcPr>
            <w:tcW w:w="740" w:type="dxa"/>
            <w:vAlign w:val="bottom"/>
            <w:gridSpan w:val="2"/>
            <w:vMerge w:val="continue"/>
          </w:tcPr>
          <w:p>
            <w:pPr>
              <w:ind w:left="560"/>
              <w:spacing w:after="0"/>
              <w:rPr>
                <w:sz w:val="20"/>
                <w:szCs w:val="20"/>
                <w:color w:val="auto"/>
              </w:rPr>
            </w:pPr>
            <w:r>
              <w:rPr>
                <w:rFonts w:ascii="Courier New" w:cs="Courier New" w:eastAsia="Courier New" w:hAnsi="Courier New"/>
                <w:sz w:val="7"/>
                <w:szCs w:val="7"/>
                <w:color w:val="auto"/>
                <w:w w:val="75"/>
              </w:rPr>
              <w:t>-----</w:t>
            </w:r>
          </w:p>
        </w:tc>
        <w:tc>
          <w:tcPr>
            <w:tcW w:w="2000" w:type="dxa"/>
            <w:vAlign w:val="bottom"/>
            <w:vMerge w:val="restart"/>
          </w:tcPr>
          <w:p>
            <w:pPr>
              <w:jc w:val="right"/>
              <w:spacing w:after="0"/>
              <w:rPr>
                <w:sz w:val="20"/>
                <w:szCs w:val="20"/>
                <w:color w:val="auto"/>
              </w:rPr>
            </w:pPr>
            <w:r>
              <w:rPr>
                <w:rFonts w:ascii="Courier New" w:cs="Courier New" w:eastAsia="Courier New" w:hAnsi="Courier New"/>
                <w:sz w:val="30"/>
                <w:szCs w:val="30"/>
                <w:color w:val="auto"/>
                <w:w w:val="73"/>
                <w:vertAlign w:val="subscript"/>
              </w:rPr>
              <w:t>Income</w:t>
            </w:r>
            <w:r>
              <w:rPr>
                <w:rFonts w:ascii="Courier New" w:cs="Courier New" w:eastAsia="Courier New" w:hAnsi="Courier New"/>
                <w:sz w:val="15"/>
                <w:szCs w:val="15"/>
                <w:color w:val="auto"/>
                <w:w w:val="73"/>
              </w:rPr>
              <w:t>----</w:t>
            </w:r>
            <w:r>
              <w:rPr>
                <w:rFonts w:ascii="Courier New" w:cs="Courier New" w:eastAsia="Courier New" w:hAnsi="Courier New"/>
                <w:sz w:val="30"/>
                <w:szCs w:val="30"/>
                <w:color w:val="auto"/>
                <w:w w:val="73"/>
                <w:vertAlign w:val="subscript"/>
              </w:rPr>
              <w:t>from</w:t>
            </w:r>
            <w:r>
              <w:rPr>
                <w:rFonts w:ascii="Courier New" w:cs="Courier New" w:eastAsia="Courier New" w:hAnsi="Courier New"/>
                <w:sz w:val="15"/>
                <w:szCs w:val="15"/>
                <w:color w:val="auto"/>
                <w:w w:val="73"/>
              </w:rPr>
              <w:t>------ -----</w:t>
            </w:r>
          </w:p>
        </w:tc>
        <w:tc>
          <w:tcPr>
            <w:tcW w:w="0" w:type="dxa"/>
            <w:vAlign w:val="bottom"/>
          </w:tcPr>
          <w:p>
            <w:pPr>
              <w:spacing w:after="0"/>
              <w:rPr>
                <w:sz w:val="1"/>
                <w:szCs w:val="1"/>
                <w:color w:val="auto"/>
              </w:rPr>
            </w:pPr>
          </w:p>
        </w:tc>
      </w:tr>
      <w:tr>
        <w:trPr>
          <w:trHeight w:val="179"/>
        </w:trPr>
        <w:tc>
          <w:tcPr>
            <w:tcW w:w="1620" w:type="dxa"/>
            <w:vAlign w:val="bottom"/>
            <w:gridSpan w:val="3"/>
            <w:vMerge w:val="restart"/>
          </w:tcPr>
          <w:p>
            <w:pPr>
              <w:ind w:left="40"/>
              <w:spacing w:after="0"/>
              <w:rPr>
                <w:sz w:val="20"/>
                <w:szCs w:val="20"/>
                <w:color w:val="auto"/>
              </w:rPr>
            </w:pPr>
            <w:r>
              <w:rPr>
                <w:rFonts w:ascii="Courier New" w:cs="Courier New" w:eastAsia="Courier New" w:hAnsi="Courier New"/>
                <w:sz w:val="16"/>
                <w:szCs w:val="16"/>
                <w:color w:val="auto"/>
                <w:w w:val="91"/>
              </w:rPr>
              <w:t>operations</w:t>
            </w:r>
            <w:r>
              <w:rPr>
                <w:rFonts w:ascii="Courier New" w:cs="Courier New" w:eastAsia="Courier New" w:hAnsi="Courier New"/>
                <w:sz w:val="31"/>
                <w:szCs w:val="31"/>
                <w:color w:val="auto"/>
                <w:w w:val="91"/>
                <w:vertAlign w:val="superscript"/>
              </w:rPr>
              <w:t>------</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gridSpan w:val="3"/>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-- 785</w:t>
            </w:r>
          </w:p>
        </w:tc>
        <w:tc>
          <w:tcPr>
            <w:tcW w:w="0" w:type="dxa"/>
            <w:vAlign w:val="bottom"/>
          </w:tcPr>
          <w:p>
            <w:pPr>
              <w:spacing w:after="0"/>
              <w:rPr>
                <w:sz w:val="1"/>
                <w:szCs w:val="1"/>
                <w:color w:val="auto"/>
              </w:rPr>
            </w:pPr>
          </w:p>
        </w:tc>
      </w:tr>
      <w:tr>
        <w:trPr>
          <w:trHeight w:val="207"/>
        </w:trPr>
        <w:tc>
          <w:tcPr>
            <w:tcW w:w="1260" w:type="dxa"/>
            <w:vAlign w:val="bottom"/>
            <w:gridSpan w:val="2"/>
          </w:tcPr>
          <w:p>
            <w:pPr>
              <w:jc w:val="right"/>
              <w:ind w:right="15"/>
              <w:spacing w:after="0"/>
              <w:rPr>
                <w:sz w:val="20"/>
                <w:szCs w:val="20"/>
                <w:color w:val="auto"/>
              </w:rPr>
            </w:pPr>
            <w:r>
              <w:rPr>
                <w:rFonts w:ascii="Courier New" w:cs="Courier New" w:eastAsia="Courier New" w:hAnsi="Courier New"/>
                <w:sz w:val="16"/>
                <w:szCs w:val="16"/>
                <w:color w:val="auto"/>
              </w:rPr>
              <w:t>-- 785 -----</w:t>
            </w:r>
          </w:p>
        </w:tc>
        <w:tc>
          <w:tcPr>
            <w:tcW w:w="2360" w:type="dxa"/>
            <w:vAlign w:val="bottom"/>
            <w:gridSpan w:val="2"/>
          </w:tcPr>
          <w:p>
            <w:pPr>
              <w:jc w:val="right"/>
              <w:ind w:right="3"/>
              <w:spacing w:after="0"/>
              <w:rPr>
                <w:sz w:val="20"/>
                <w:szCs w:val="20"/>
                <w:color w:val="auto"/>
              </w:rPr>
            </w:pPr>
            <w:r>
              <w:rPr>
                <w:rFonts w:ascii="Courier New" w:cs="Courier New" w:eastAsia="Courier New" w:hAnsi="Courier New"/>
                <w:sz w:val="16"/>
                <w:szCs w:val="16"/>
                <w:color w:val="auto"/>
                <w:w w:val="98"/>
              </w:rPr>
              <w:t>---- ------ ----- ------</w:t>
            </w:r>
          </w:p>
        </w:tc>
        <w:tc>
          <w:tcPr>
            <w:tcW w:w="0" w:type="dxa"/>
            <w:vAlign w:val="bottom"/>
          </w:tcPr>
          <w:p>
            <w:pPr>
              <w:spacing w:after="0"/>
              <w:rPr>
                <w:sz w:val="1"/>
                <w:szCs w:val="1"/>
                <w:color w:val="auto"/>
              </w:rPr>
            </w:pPr>
          </w:p>
        </w:tc>
      </w:tr>
    </w:tbl>
    <w:p>
      <w:pPr>
        <w:ind w:left="40"/>
        <w:spacing w:after="0" w:line="236" w:lineRule="auto"/>
        <w:rPr>
          <w:sz w:val="20"/>
          <w:szCs w:val="20"/>
          <w:color w:val="auto"/>
        </w:rPr>
      </w:pPr>
      <w:r>
        <w:rPr>
          <w:rFonts w:ascii="Courier New" w:cs="Courier New" w:eastAsia="Courier New" w:hAnsi="Courier New"/>
          <w:sz w:val="16"/>
          <w:szCs w:val="16"/>
          <w:color w:val="auto"/>
        </w:rPr>
        <w:t>Other income (expense): Interest income</w:t>
      </w:r>
    </w:p>
    <w:tbl>
      <w:tblPr>
        <w:tblLayout w:type="fixed"/>
        <w:tblInd w:w="80" w:type="dxa"/>
        <w:tblCellMar>
          <w:top w:w="0" w:type="dxa"/>
          <w:left w:w="0" w:type="dxa"/>
          <w:bottom w:w="0" w:type="dxa"/>
          <w:right w:w="0" w:type="dxa"/>
        </w:tblCellMar>
      </w:tblPr>
      <w:tr>
        <w:trPr>
          <w:trHeight w:val="180"/>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(expense), net........</w:t>
            </w:r>
          </w:p>
        </w:tc>
        <w:tc>
          <w:tcPr>
            <w:tcW w:w="1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(158) (97) (19)</w:t>
            </w:r>
          </w:p>
        </w:tc>
      </w:tr>
    </w:tbl>
    <w:p>
      <w:pPr>
        <w:ind w:left="40"/>
        <w:spacing w:after="0" w:line="236" w:lineRule="auto"/>
        <w:rPr>
          <w:sz w:val="20"/>
          <w:szCs w:val="20"/>
          <w:color w:val="auto"/>
        </w:rPr>
      </w:pPr>
      <w:r>
        <w:rPr>
          <w:rFonts w:ascii="Courier New" w:cs="Courier New" w:eastAsia="Courier New" w:hAnsi="Courier New"/>
          <w:sz w:val="16"/>
          <w:szCs w:val="16"/>
          <w:color w:val="auto"/>
        </w:rPr>
        <w:t>-- (274) Equity in subsidiaries, net of</w:t>
      </w:r>
    </w:p>
    <w:tbl>
      <w:tblPr>
        <w:tblLayout w:type="fixed"/>
        <w:tblInd w:w="40" w:type="dxa"/>
        <w:tblCellMar>
          <w:top w:w="0" w:type="dxa"/>
          <w:left w:w="0" w:type="dxa"/>
          <w:bottom w:w="0" w:type="dxa"/>
          <w:right w:w="0" w:type="dxa"/>
        </w:tblCellMar>
      </w:tblPr>
      <w:tr>
        <w:trPr>
          <w:trHeight w:val="152"/>
        </w:trPr>
        <w:tc>
          <w:tcPr>
            <w:tcW w:w="1220" w:type="dxa"/>
            <w:vAlign w:val="bottom"/>
          </w:tcPr>
          <w:p>
            <w:pPr>
              <w:spacing w:after="0"/>
              <w:rPr>
                <w:sz w:val="20"/>
                <w:szCs w:val="20"/>
                <w:color w:val="auto"/>
              </w:rPr>
            </w:pPr>
            <w:r>
              <w:rPr>
                <w:rFonts w:ascii="Courier New" w:cs="Courier New" w:eastAsia="Courier New" w:hAnsi="Courier New"/>
                <w:sz w:val="7"/>
                <w:szCs w:val="7"/>
                <w:color w:val="auto"/>
                <w:w w:val="78"/>
              </w:rPr>
              <w:t>taxes..............................</w:t>
            </w:r>
            <w:r>
              <w:rPr>
                <w:rFonts w:ascii="Courier New" w:cs="Courier New" w:eastAsia="Courier New" w:hAnsi="Courier New"/>
                <w:sz w:val="8"/>
                <w:szCs w:val="8"/>
                <w:color w:val="auto"/>
                <w:w w:val="78"/>
                <w:vertAlign w:val="subscript"/>
              </w:rPr>
              <w:t>--</w:t>
            </w:r>
          </w:p>
        </w:tc>
        <w:tc>
          <w:tcPr>
            <w:tcW w:w="900" w:type="dxa"/>
            <w:vAlign w:val="bottom"/>
            <w:vMerge w:val="restart"/>
          </w:tcPr>
          <w:p>
            <w:pPr>
              <w:jc w:val="right"/>
              <w:ind w:right="222"/>
              <w:spacing w:after="0"/>
              <w:rPr>
                <w:sz w:val="20"/>
                <w:szCs w:val="20"/>
                <w:color w:val="auto"/>
              </w:rPr>
            </w:pPr>
            <w:r>
              <w:rPr>
                <w:rFonts w:ascii="Courier New" w:cs="Courier New" w:eastAsia="Courier New" w:hAnsi="Courier New"/>
                <w:sz w:val="16"/>
                <w:szCs w:val="16"/>
                <w:color w:val="auto"/>
              </w:rPr>
              <w:t>(889)</w:t>
            </w:r>
          </w:p>
        </w:tc>
        <w:tc>
          <w:tcPr>
            <w:tcW w:w="152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414</w:t>
            </w:r>
          </w:p>
        </w:tc>
        <w:tc>
          <w:tcPr>
            <w:tcW w:w="0" w:type="dxa"/>
            <w:vAlign w:val="bottom"/>
          </w:tcPr>
          <w:p>
            <w:pPr>
              <w:spacing w:after="0"/>
              <w:rPr>
                <w:sz w:val="1"/>
                <w:szCs w:val="1"/>
                <w:color w:val="auto"/>
              </w:rPr>
            </w:pPr>
          </w:p>
        </w:tc>
      </w:tr>
      <w:tr>
        <w:trPr>
          <w:trHeight w:val="179"/>
        </w:trPr>
        <w:tc>
          <w:tcPr>
            <w:tcW w:w="122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475</w:t>
            </w:r>
          </w:p>
        </w:tc>
        <w:tc>
          <w:tcPr>
            <w:tcW w:w="900" w:type="dxa"/>
            <w:vAlign w:val="bottom"/>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Minority</w:t>
            </w:r>
          </w:p>
        </w:tc>
        <w:tc>
          <w:tcPr>
            <w:tcW w:w="0" w:type="dxa"/>
            <w:vAlign w:val="bottom"/>
          </w:tcPr>
          <w:p>
            <w:pPr>
              <w:spacing w:after="0"/>
              <w:rPr>
                <w:sz w:val="1"/>
                <w:szCs w:val="1"/>
                <w:color w:val="auto"/>
              </w:rPr>
            </w:pPr>
          </w:p>
        </w:tc>
      </w:tr>
      <w:tr>
        <w:trPr>
          <w:trHeight w:val="179"/>
        </w:trPr>
        <w:tc>
          <w:tcPr>
            <w:tcW w:w="212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75"/>
              </w:rPr>
              <w:t>interest.....................</w:t>
            </w:r>
          </w:p>
        </w:tc>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(3)</w:t>
            </w:r>
          </w:p>
        </w:tc>
        <w:tc>
          <w:tcPr>
            <w:tcW w:w="0" w:type="dxa"/>
            <w:vAlign w:val="bottom"/>
          </w:tcPr>
          <w:p>
            <w:pPr>
              <w:spacing w:after="0"/>
              <w:rPr>
                <w:sz w:val="1"/>
                <w:szCs w:val="1"/>
                <w:color w:val="auto"/>
              </w:rPr>
            </w:pPr>
          </w:p>
        </w:tc>
      </w:tr>
      <w:tr>
        <w:trPr>
          <w:trHeight w:val="179"/>
        </w:trPr>
        <w:tc>
          <w:tcPr>
            <w:tcW w:w="1220" w:type="dxa"/>
            <w:vAlign w:val="bottom"/>
            <w:vMerge w:val="restart"/>
          </w:tcPr>
          <w:p>
            <w:pPr>
              <w:spacing w:after="0"/>
              <w:rPr>
                <w:sz w:val="20"/>
                <w:szCs w:val="20"/>
                <w:color w:val="auto"/>
              </w:rPr>
            </w:pPr>
            <w:r>
              <w:rPr>
                <w:rFonts w:ascii="Courier New" w:cs="Courier New" w:eastAsia="Courier New" w:hAnsi="Courier New"/>
                <w:sz w:val="9"/>
                <w:szCs w:val="9"/>
                <w:color w:val="auto"/>
                <w:w w:val="71"/>
              </w:rPr>
              <w:t>net............................</w:t>
            </w:r>
          </w:p>
        </w:tc>
        <w:tc>
          <w:tcPr>
            <w:tcW w:w="2420" w:type="dxa"/>
            <w:vAlign w:val="bottom"/>
            <w:gridSpan w:val="2"/>
          </w:tcPr>
          <w:p>
            <w:pPr>
              <w:jc w:val="right"/>
              <w:ind w:right="1142"/>
              <w:spacing w:after="0" w:line="179" w:lineRule="exact"/>
              <w:rPr>
                <w:sz w:val="20"/>
                <w:szCs w:val="20"/>
                <w:color w:val="auto"/>
              </w:rPr>
            </w:pPr>
            <w:r>
              <w:rPr>
                <w:rFonts w:ascii="Courier New" w:cs="Courier New" w:eastAsia="Courier New" w:hAnsi="Courier New"/>
                <w:sz w:val="16"/>
                <w:szCs w:val="16"/>
                <w:color w:val="auto"/>
                <w:w w:val="94"/>
              </w:rPr>
              <w:t>-- (3) Other,</w:t>
            </w:r>
          </w:p>
        </w:tc>
        <w:tc>
          <w:tcPr>
            <w:tcW w:w="0" w:type="dxa"/>
            <w:vAlign w:val="bottom"/>
          </w:tcPr>
          <w:p>
            <w:pPr>
              <w:spacing w:after="0"/>
              <w:rPr>
                <w:sz w:val="1"/>
                <w:szCs w:val="1"/>
                <w:color w:val="auto"/>
              </w:rPr>
            </w:pPr>
          </w:p>
        </w:tc>
      </w:tr>
      <w:tr>
        <w:trPr>
          <w:trHeight w:val="179"/>
        </w:trPr>
        <w:tc>
          <w:tcPr>
            <w:tcW w:w="12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-- 8</w:t>
            </w:r>
          </w:p>
        </w:tc>
        <w:tc>
          <w:tcPr>
            <w:tcW w:w="0" w:type="dxa"/>
            <w:vAlign w:val="bottom"/>
          </w:tcPr>
          <w:p>
            <w:pPr>
              <w:spacing w:after="0"/>
              <w:rPr>
                <w:sz w:val="1"/>
                <w:szCs w:val="1"/>
                <w:color w:val="auto"/>
              </w:rPr>
            </w:pPr>
          </w:p>
        </w:tc>
      </w:tr>
      <w:tr>
        <w:trPr>
          <w:trHeight w:val="207"/>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w w:val="99"/>
              </w:rPr>
              <w:t>-- 8 ----- ---- ------</w:t>
            </w:r>
          </w:p>
        </w:tc>
        <w:tc>
          <w:tcPr>
            <w:tcW w:w="1520" w:type="dxa"/>
            <w:vAlign w:val="bottom"/>
          </w:tcPr>
          <w:p>
            <w:pPr>
              <w:jc w:val="right"/>
              <w:spacing w:after="0"/>
              <w:rPr>
                <w:sz w:val="20"/>
                <w:szCs w:val="20"/>
                <w:color w:val="auto"/>
              </w:rPr>
            </w:pPr>
            <w:r>
              <w:rPr>
                <w:rFonts w:ascii="Courier New" w:cs="Courier New" w:eastAsia="Courier New" w:hAnsi="Courier New"/>
                <w:sz w:val="16"/>
                <w:szCs w:val="16"/>
                <w:color w:val="auto"/>
                <w:w w:val="96"/>
              </w:rPr>
              <w:t>----- ------ 256</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51"/>
        </w:trPr>
        <w:tc>
          <w:tcPr>
            <w:tcW w:w="380" w:type="dxa"/>
            <w:vAlign w:val="bottom"/>
          </w:tcPr>
          <w:p>
            <w:pPr>
              <w:jc w:val="right"/>
              <w:ind w:right="22"/>
              <w:spacing w:after="0" w:line="151" w:lineRule="exact"/>
              <w:rPr>
                <w:sz w:val="20"/>
                <w:szCs w:val="20"/>
                <w:color w:val="auto"/>
              </w:rPr>
            </w:pPr>
            <w:r>
              <w:rPr>
                <w:rFonts w:ascii="Courier New" w:cs="Courier New" w:eastAsia="Courier New" w:hAnsi="Courier New"/>
                <w:sz w:val="16"/>
                <w:szCs w:val="16"/>
                <w:color w:val="auto"/>
                <w:w w:val="90"/>
              </w:rPr>
              <w:t>378</w:t>
            </w:r>
          </w:p>
        </w:tc>
        <w:tc>
          <w:tcPr>
            <w:tcW w:w="3160" w:type="dxa"/>
            <w:vAlign w:val="bottom"/>
            <w:gridSpan w:val="2"/>
          </w:tcPr>
          <w:p>
            <w:pPr>
              <w:jc w:val="right"/>
              <w:spacing w:after="0" w:line="151" w:lineRule="exact"/>
              <w:rPr>
                <w:sz w:val="20"/>
                <w:szCs w:val="20"/>
                <w:color w:val="auto"/>
              </w:rPr>
            </w:pPr>
            <w:r>
              <w:rPr>
                <w:rFonts w:ascii="Courier New" w:cs="Courier New" w:eastAsia="Courier New" w:hAnsi="Courier New"/>
                <w:sz w:val="16"/>
                <w:szCs w:val="16"/>
                <w:color w:val="auto"/>
                <w:w w:val="96"/>
              </w:rPr>
              <w:t>(14) (889) (269) ----- ---- ------</w:t>
            </w:r>
          </w:p>
        </w:tc>
        <w:tc>
          <w:tcPr>
            <w:tcW w:w="0" w:type="dxa"/>
            <w:vAlign w:val="bottom"/>
          </w:tcPr>
          <w:p>
            <w:pPr>
              <w:spacing w:after="0"/>
              <w:rPr>
                <w:sz w:val="1"/>
                <w:szCs w:val="1"/>
                <w:color w:val="auto"/>
              </w:rPr>
            </w:pPr>
          </w:p>
        </w:tc>
      </w:tr>
      <w:tr>
        <w:trPr>
          <w:trHeight w:val="179"/>
        </w:trPr>
        <w:tc>
          <w:tcPr>
            <w:tcW w:w="1460" w:type="dxa"/>
            <w:vAlign w:val="bottom"/>
            <w:gridSpan w:val="2"/>
            <w:vMerge w:val="restart"/>
          </w:tcPr>
          <w:p>
            <w:pPr>
              <w:ind w:left="60"/>
              <w:spacing w:after="0"/>
              <w:rPr>
                <w:sz w:val="20"/>
                <w:szCs w:val="20"/>
                <w:color w:val="auto"/>
              </w:rPr>
            </w:pPr>
            <w:r>
              <w:rPr>
                <w:rFonts w:ascii="Courier New" w:cs="Courier New" w:eastAsia="Courier New" w:hAnsi="Courier New"/>
                <w:sz w:val="31"/>
                <w:szCs w:val="31"/>
                <w:color w:val="auto"/>
                <w:w w:val="77"/>
                <w:vertAlign w:val="subscript"/>
              </w:rPr>
              <w:t>taxes</w:t>
            </w:r>
            <w:r>
              <w:rPr>
                <w:rFonts w:ascii="Courier New" w:cs="Courier New" w:eastAsia="Courier New" w:hAnsi="Courier New"/>
                <w:sz w:val="16"/>
                <w:szCs w:val="16"/>
                <w:color w:val="auto"/>
                <w:w w:val="77"/>
              </w:rPr>
              <w:t>----- ------</w:t>
            </w:r>
          </w:p>
        </w:tc>
        <w:tc>
          <w:tcPr>
            <w:tcW w:w="2080" w:type="dxa"/>
            <w:vAlign w:val="bottom"/>
          </w:tcPr>
          <w:p>
            <w:pPr>
              <w:jc w:val="right"/>
              <w:ind w:right="142"/>
              <w:spacing w:after="0" w:line="179" w:lineRule="exact"/>
              <w:rPr>
                <w:sz w:val="20"/>
                <w:szCs w:val="20"/>
                <w:color w:val="auto"/>
              </w:rPr>
            </w:pPr>
            <w:r>
              <w:rPr>
                <w:rFonts w:ascii="Courier New" w:cs="Courier New" w:eastAsia="Courier New" w:hAnsi="Courier New"/>
                <w:sz w:val="16"/>
                <w:szCs w:val="16"/>
                <w:color w:val="auto"/>
                <w:w w:val="95"/>
              </w:rPr>
              <w:t>Income before income</w:t>
            </w:r>
          </w:p>
        </w:tc>
        <w:tc>
          <w:tcPr>
            <w:tcW w:w="0" w:type="dxa"/>
            <w:vAlign w:val="bottom"/>
          </w:tcPr>
          <w:p>
            <w:pPr>
              <w:spacing w:after="0"/>
              <w:rPr>
                <w:sz w:val="1"/>
                <w:szCs w:val="1"/>
                <w:color w:val="auto"/>
              </w:rPr>
            </w:pPr>
          </w:p>
        </w:tc>
      </w:tr>
      <w:tr>
        <w:trPr>
          <w:trHeight w:val="207"/>
        </w:trPr>
        <w:tc>
          <w:tcPr>
            <w:tcW w:w="146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256 378 771 (889)</w:t>
            </w:r>
          </w:p>
        </w:tc>
        <w:tc>
          <w:tcPr>
            <w:tcW w:w="0" w:type="dxa"/>
            <w:vAlign w:val="bottom"/>
          </w:tcPr>
          <w:p>
            <w:pPr>
              <w:spacing w:after="0"/>
              <w:rPr>
                <w:sz w:val="1"/>
                <w:szCs w:val="1"/>
                <w:color w:val="auto"/>
              </w:rPr>
            </w:pPr>
          </w:p>
        </w:tc>
      </w:tr>
    </w:tbl>
    <w:p>
      <w:pPr>
        <w:ind w:left="40"/>
        <w:spacing w:after="0" w:line="236" w:lineRule="auto"/>
        <w:rPr>
          <w:sz w:val="20"/>
          <w:szCs w:val="20"/>
          <w:color w:val="auto"/>
        </w:rPr>
      </w:pPr>
      <w:r>
        <w:rPr>
          <w:rFonts w:ascii="Courier New" w:cs="Courier New" w:eastAsia="Courier New" w:hAnsi="Courier New"/>
          <w:sz w:val="16"/>
          <w:szCs w:val="16"/>
          <w:color w:val="auto"/>
        </w:rPr>
        <w:t>516 Provision for (benefit from) income</w:t>
      </w:r>
    </w:p>
    <w:tbl>
      <w:tblPr>
        <w:tblLayout w:type="fixed"/>
        <w:tblInd w:w="0" w:type="dxa"/>
        <w:tblCellMar>
          <w:top w:w="0" w:type="dxa"/>
          <w:left w:w="0" w:type="dxa"/>
          <w:bottom w:w="0" w:type="dxa"/>
          <w:right w:w="0" w:type="dxa"/>
        </w:tblCellMar>
      </w:tblPr>
      <w:tr>
        <w:trPr>
          <w:trHeight w:val="152"/>
        </w:trPr>
        <w:tc>
          <w:tcPr>
            <w:tcW w:w="46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w w:val="91"/>
              </w:rPr>
              <w:t>taxes</w:t>
            </w:r>
          </w:p>
        </w:tc>
        <w:tc>
          <w:tcPr>
            <w:tcW w:w="12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(36)297</w:t>
            </w:r>
          </w:p>
        </w:tc>
        <w:tc>
          <w:tcPr>
            <w:tcW w:w="2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202 ----- ---- ------</w:t>
            </w:r>
          </w:p>
        </w:tc>
        <w:tc>
          <w:tcPr>
            <w:tcW w:w="0" w:type="dxa"/>
            <w:vAlign w:val="bottom"/>
          </w:tcPr>
          <w:p>
            <w:pPr>
              <w:spacing w:after="0"/>
              <w:rPr>
                <w:sz w:val="1"/>
                <w:szCs w:val="1"/>
                <w:color w:val="auto"/>
              </w:rPr>
            </w:pPr>
          </w:p>
        </w:tc>
      </w:tr>
      <w:tr>
        <w:trPr>
          <w:trHeight w:val="179"/>
        </w:trPr>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(59)</w:t>
            </w:r>
          </w:p>
        </w:tc>
        <w:tc>
          <w:tcPr>
            <w:tcW w:w="1200" w:type="dxa"/>
            <w:vAlign w:val="bottom"/>
            <w:vMerge w:val="continue"/>
          </w:tcPr>
          <w:p>
            <w:pPr>
              <w:jc w:val="right"/>
              <w:ind w:right="14"/>
              <w:spacing w:after="0" w:line="158" w:lineRule="exact"/>
              <w:rPr>
                <w:sz w:val="20"/>
                <w:szCs w:val="20"/>
                <w:color w:val="auto"/>
              </w:rPr>
            </w:pPr>
            <w:r>
              <w:rPr>
                <w:rFonts w:ascii="Courier New" w:cs="Courier New" w:eastAsia="Courier New" w:hAnsi="Courier New"/>
                <w:sz w:val="16"/>
                <w:szCs w:val="16"/>
                <w:color w:val="auto"/>
              </w:rPr>
              <w:t>--</w:t>
            </w: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12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202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Income before</w:t>
            </w:r>
          </w:p>
        </w:tc>
        <w:tc>
          <w:tcPr>
            <w:tcW w:w="0" w:type="dxa"/>
            <w:vAlign w:val="bottom"/>
          </w:tcPr>
          <w:p>
            <w:pPr>
              <w:spacing w:after="0"/>
              <w:rPr>
                <w:sz w:val="1"/>
                <w:szCs w:val="1"/>
                <w:color w:val="auto"/>
              </w:rPr>
            </w:pPr>
          </w:p>
        </w:tc>
      </w:tr>
      <w:tr>
        <w:trPr>
          <w:trHeight w:val="179"/>
        </w:trPr>
        <w:tc>
          <w:tcPr>
            <w:tcW w:w="368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extraordinary item and cumulative</w:t>
            </w: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3220" w:type="dxa"/>
            <w:vAlign w:val="bottom"/>
            <w:gridSpan w:val="2"/>
          </w:tcPr>
          <w:p>
            <w:pPr>
              <w:jc w:val="center"/>
              <w:ind w:right="342"/>
              <w:spacing w:after="0" w:line="179" w:lineRule="exact"/>
              <w:rPr>
                <w:sz w:val="20"/>
                <w:szCs w:val="20"/>
                <w:color w:val="auto"/>
              </w:rPr>
            </w:pPr>
            <w:r>
              <w:rPr>
                <w:rFonts w:ascii="Courier New" w:cs="Courier New" w:eastAsia="Courier New" w:hAnsi="Courier New"/>
                <w:sz w:val="16"/>
                <w:szCs w:val="16"/>
                <w:color w:val="auto"/>
                <w:w w:val="97"/>
              </w:rPr>
              <w:t>effect of change in accounting</w:t>
            </w:r>
          </w:p>
        </w:tc>
        <w:tc>
          <w:tcPr>
            <w:tcW w:w="0" w:type="dxa"/>
            <w:vAlign w:val="bottom"/>
          </w:tcPr>
          <w:p>
            <w:pPr>
              <w:spacing w:after="0"/>
              <w:rPr>
                <w:sz w:val="1"/>
                <w:szCs w:val="1"/>
                <w:color w:val="auto"/>
              </w:rPr>
            </w:pPr>
          </w:p>
        </w:tc>
      </w:tr>
      <w:tr>
        <w:trPr>
          <w:trHeight w:val="179"/>
        </w:trPr>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principle..................</w:t>
            </w:r>
          </w:p>
        </w:tc>
        <w:tc>
          <w:tcPr>
            <w:tcW w:w="2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315 414 474</w:t>
            </w:r>
          </w:p>
        </w:tc>
        <w:tc>
          <w:tcPr>
            <w:tcW w:w="0" w:type="dxa"/>
            <w:vAlign w:val="bottom"/>
          </w:tcPr>
          <w:p>
            <w:pPr>
              <w:spacing w:after="0"/>
              <w:rPr>
                <w:sz w:val="1"/>
                <w:szCs w:val="1"/>
                <w:color w:val="auto"/>
              </w:rPr>
            </w:pPr>
          </w:p>
        </w:tc>
      </w:tr>
      <w:tr>
        <w:trPr>
          <w:trHeight w:val="179"/>
        </w:trPr>
        <w:tc>
          <w:tcPr>
            <w:tcW w:w="460" w:type="dxa"/>
            <w:vAlign w:val="bottom"/>
            <w:vMerge w:val="restart"/>
          </w:tcPr>
          <w:p>
            <w:pPr>
              <w:jc w:val="right"/>
              <w:spacing w:after="0"/>
              <w:rPr>
                <w:sz w:val="20"/>
                <w:szCs w:val="20"/>
                <w:color w:val="auto"/>
              </w:rPr>
            </w:pPr>
            <w:r>
              <w:rPr>
                <w:rFonts w:ascii="Courier New" w:cs="Courier New" w:eastAsia="Courier New" w:hAnsi="Courier New"/>
                <w:sz w:val="4"/>
                <w:szCs w:val="4"/>
                <w:color w:val="auto"/>
                <w:w w:val="70"/>
              </w:rPr>
              <w:t>item......................</w:t>
            </w:r>
          </w:p>
        </w:tc>
        <w:tc>
          <w:tcPr>
            <w:tcW w:w="3220" w:type="dxa"/>
            <w:vAlign w:val="bottom"/>
            <w:gridSpan w:val="2"/>
          </w:tcPr>
          <w:p>
            <w:pPr>
              <w:jc w:val="center"/>
              <w:ind w:right="362"/>
              <w:spacing w:after="0" w:line="179" w:lineRule="exact"/>
              <w:rPr>
                <w:sz w:val="20"/>
                <w:szCs w:val="20"/>
                <w:color w:val="auto"/>
              </w:rPr>
            </w:pPr>
            <w:r>
              <w:rPr>
                <w:rFonts w:ascii="Courier New" w:cs="Courier New" w:eastAsia="Courier New" w:hAnsi="Courier New"/>
                <w:sz w:val="16"/>
                <w:szCs w:val="16"/>
                <w:color w:val="auto"/>
                <w:w w:val="96"/>
              </w:rPr>
              <w:t>(889) 314 Extraordinary</w:t>
            </w:r>
          </w:p>
        </w:tc>
        <w:tc>
          <w:tcPr>
            <w:tcW w:w="0" w:type="dxa"/>
            <w:vAlign w:val="bottom"/>
          </w:tcPr>
          <w:p>
            <w:pPr>
              <w:spacing w:after="0"/>
              <w:rPr>
                <w:sz w:val="1"/>
                <w:szCs w:val="1"/>
                <w:color w:val="auto"/>
              </w:rPr>
            </w:pPr>
          </w:p>
        </w:tc>
      </w:tr>
      <w:tr>
        <w:trPr>
          <w:trHeight w:val="207"/>
        </w:trPr>
        <w:tc>
          <w:tcPr>
            <w:tcW w:w="46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Courier New" w:cs="Courier New" w:eastAsia="Courier New" w:hAnsi="Courier New"/>
                <w:sz w:val="16"/>
                <w:szCs w:val="16"/>
                <w:color w:val="auto"/>
              </w:rPr>
              <w:t>-- -- (1) --</w:t>
            </w:r>
          </w:p>
        </w:tc>
        <w:tc>
          <w:tcPr>
            <w:tcW w:w="0" w:type="dxa"/>
            <w:vAlign w:val="bottom"/>
          </w:tcPr>
          <w:p>
            <w:pPr>
              <w:spacing w:after="0"/>
              <w:rPr>
                <w:sz w:val="1"/>
                <w:szCs w:val="1"/>
                <w:color w:val="auto"/>
              </w:rPr>
            </w:pPr>
          </w:p>
        </w:tc>
      </w:tr>
    </w:tbl>
    <w:p>
      <w:pPr>
        <w:ind w:left="1400" w:right="6779" w:hanging="1126"/>
        <w:spacing w:after="0" w:line="236" w:lineRule="auto"/>
        <w:tabs>
          <w:tab w:leader="none" w:pos="655"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change in accounting</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51"/>
        </w:trPr>
        <w:tc>
          <w:tcPr>
            <w:tcW w:w="880" w:type="dxa"/>
            <w:vAlign w:val="bottom"/>
          </w:tcPr>
          <w:p>
            <w:pPr>
              <w:ind w:left="40"/>
              <w:spacing w:after="0"/>
              <w:rPr>
                <w:sz w:val="20"/>
                <w:szCs w:val="20"/>
                <w:color w:val="auto"/>
              </w:rPr>
            </w:pPr>
            <w:r>
              <w:rPr>
                <w:rFonts w:ascii="Courier New" w:cs="Courier New" w:eastAsia="Courier New" w:hAnsi="Courier New"/>
                <w:sz w:val="7"/>
                <w:szCs w:val="7"/>
                <w:color w:val="auto"/>
                <w:w w:val="79"/>
                <w:vertAlign w:val="superscript"/>
              </w:rPr>
              <w:t>principle</w:t>
            </w:r>
            <w:r>
              <w:rPr>
                <w:rFonts w:ascii="Courier New" w:cs="Courier New" w:eastAsia="Courier New" w:hAnsi="Courier New"/>
                <w:sz w:val="4"/>
                <w:szCs w:val="4"/>
                <w:color w:val="auto"/>
                <w:w w:val="79"/>
              </w:rPr>
              <w:t>..............................</w:t>
            </w:r>
            <w:r>
              <w:rPr>
                <w:rFonts w:ascii="Courier New" w:cs="Courier New" w:eastAsia="Courier New" w:hAnsi="Courier New"/>
                <w:sz w:val="7"/>
                <w:szCs w:val="7"/>
                <w:color w:val="auto"/>
                <w:w w:val="79"/>
                <w:vertAlign w:val="superscript"/>
              </w:rPr>
              <w:t>--</w:t>
            </w:r>
          </w:p>
        </w:tc>
        <w:tc>
          <w:tcPr>
            <w:tcW w:w="4200" w:type="dxa"/>
            <w:vAlign w:val="bottom"/>
            <w:gridSpan w:val="3"/>
            <w:vMerge w:val="restart"/>
          </w:tcPr>
          <w:p>
            <w:pPr>
              <w:jc w:val="right"/>
              <w:ind w:right="1422"/>
              <w:spacing w:after="0"/>
              <w:rPr>
                <w:sz w:val="20"/>
                <w:szCs w:val="20"/>
                <w:color w:val="auto"/>
              </w:rPr>
            </w:pPr>
            <w:r>
              <w:rPr>
                <w:rFonts w:ascii="Courier New" w:cs="Courier New" w:eastAsia="Courier New" w:hAnsi="Courier New"/>
                <w:sz w:val="16"/>
                <w:szCs w:val="16"/>
                <w:color w:val="auto"/>
                <w:w w:val="75"/>
              </w:rPr>
              <w:t>.............................</w:t>
            </w:r>
            <w:r>
              <w:rPr>
                <w:rFonts w:ascii="Courier New" w:cs="Courier New" w:eastAsia="Courier New" w:hAnsi="Courier New"/>
                <w:sz w:val="31"/>
                <w:szCs w:val="31"/>
                <w:color w:val="auto"/>
                <w:w w:val="75"/>
                <w:vertAlign w:val="subscript"/>
              </w:rPr>
              <w:t>2-----</w:t>
            </w:r>
          </w:p>
        </w:tc>
        <w:tc>
          <w:tcPr>
            <w:tcW w:w="0" w:type="dxa"/>
            <w:vAlign w:val="bottom"/>
          </w:tcPr>
          <w:p>
            <w:pPr>
              <w:spacing w:after="0"/>
              <w:rPr>
                <w:sz w:val="1"/>
                <w:szCs w:val="1"/>
                <w:color w:val="auto"/>
              </w:rPr>
            </w:pPr>
          </w:p>
        </w:tc>
      </w:tr>
      <w:tr>
        <w:trPr>
          <w:trHeight w:val="304"/>
        </w:trPr>
        <w:tc>
          <w:tcPr>
            <w:tcW w:w="880" w:type="dxa"/>
            <w:vAlign w:val="bottom"/>
          </w:tcPr>
          <w:p>
            <w:pPr>
              <w:jc w:val="right"/>
              <w:ind w:right="157"/>
              <w:spacing w:after="0"/>
              <w:rPr>
                <w:sz w:val="20"/>
                <w:szCs w:val="20"/>
                <w:color w:val="auto"/>
              </w:rPr>
            </w:pPr>
            <w:r>
              <w:rPr>
                <w:rFonts w:ascii="Courier New" w:cs="Courier New" w:eastAsia="Courier New" w:hAnsi="Courier New"/>
                <w:sz w:val="16"/>
                <w:szCs w:val="16"/>
                <w:color w:val="auto"/>
                <w:w w:val="95"/>
              </w:rPr>
              <w:t>-- -- 2</w:t>
            </w:r>
          </w:p>
        </w:tc>
        <w:tc>
          <w:tcPr>
            <w:tcW w:w="560" w:type="dxa"/>
            <w:vAlign w:val="bottom"/>
            <w:vMerge w:val="continue"/>
          </w:tcPr>
          <w:p>
            <w:pPr>
              <w:spacing w:after="0"/>
              <w:rPr>
                <w:sz w:val="24"/>
                <w:szCs w:val="24"/>
                <w:color w:val="auto"/>
              </w:rPr>
            </w:pPr>
          </w:p>
        </w:tc>
        <w:tc>
          <w:tcPr>
            <w:tcW w:w="3640" w:type="dxa"/>
            <w:vAlign w:val="bottom"/>
            <w:gridSpan w:val="2"/>
            <w:vMerge w:val="restart"/>
          </w:tcPr>
          <w:p>
            <w:pPr>
              <w:spacing w:after="0"/>
              <w:rPr>
                <w:sz w:val="20"/>
                <w:szCs w:val="20"/>
                <w:color w:val="auto"/>
              </w:rPr>
            </w:pPr>
            <w:r>
              <w:rPr>
                <w:rFonts w:ascii="Courier New" w:cs="Courier New" w:eastAsia="Courier New" w:hAnsi="Courier New"/>
                <w:sz w:val="31"/>
                <w:szCs w:val="31"/>
                <w:color w:val="auto"/>
                <w:vertAlign w:val="subscript"/>
              </w:rPr>
              <w:t>----</w:t>
            </w: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Net</w:t>
            </w:r>
            <w:r>
              <w:rPr>
                <w:rFonts w:ascii="Courier New" w:cs="Courier New" w:eastAsia="Courier New" w:hAnsi="Courier New"/>
                <w:sz w:val="16"/>
                <w:szCs w:val="16"/>
                <w:color w:val="auto"/>
              </w:rPr>
              <w:t xml:space="preserve"> ------ ----- --</w:t>
            </w:r>
          </w:p>
        </w:tc>
        <w:tc>
          <w:tcPr>
            <w:tcW w:w="0" w:type="dxa"/>
            <w:vAlign w:val="bottom"/>
          </w:tcPr>
          <w:p>
            <w:pPr>
              <w:spacing w:after="0"/>
              <w:rPr>
                <w:sz w:val="1"/>
                <w:szCs w:val="1"/>
                <w:color w:val="auto"/>
              </w:rPr>
            </w:pPr>
          </w:p>
        </w:tc>
      </w:tr>
      <w:tr>
        <w:trPr>
          <w:trHeight w:val="54"/>
        </w:trPr>
        <w:tc>
          <w:tcPr>
            <w:tcW w:w="8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income</w:t>
            </w:r>
          </w:p>
        </w:tc>
        <w:tc>
          <w:tcPr>
            <w:tcW w:w="560" w:type="dxa"/>
            <w:vAlign w:val="bottom"/>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880" w:type="dxa"/>
            <w:vAlign w:val="bottom"/>
            <w:vMerge w:val="continue"/>
          </w:tcPr>
          <w:p>
            <w:pPr>
              <w:spacing w:after="0"/>
              <w:rPr>
                <w:sz w:val="15"/>
                <w:szCs w:val="15"/>
                <w:color w:val="auto"/>
              </w:rPr>
            </w:pPr>
          </w:p>
        </w:tc>
        <w:tc>
          <w:tcPr>
            <w:tcW w:w="5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5"/>
              </w:rPr>
              <w:t>$ 475</w:t>
            </w:r>
          </w:p>
        </w:tc>
        <w:tc>
          <w:tcPr>
            <w:tcW w:w="660" w:type="dxa"/>
            <w:vAlign w:val="bottom"/>
            <w:vMerge w:val="restart"/>
          </w:tcPr>
          <w:p>
            <w:pPr>
              <w:spacing w:after="0"/>
              <w:rPr>
                <w:sz w:val="20"/>
                <w:szCs w:val="20"/>
                <w:color w:val="auto"/>
              </w:rPr>
            </w:pPr>
            <w:r>
              <w:rPr>
                <w:rFonts w:ascii="Courier New" w:cs="Courier New" w:eastAsia="Courier New" w:hAnsi="Courier New"/>
                <w:sz w:val="16"/>
                <w:szCs w:val="16"/>
                <w:color w:val="auto"/>
              </w:rPr>
              <w:t>$(889)</w:t>
            </w:r>
          </w:p>
        </w:tc>
        <w:tc>
          <w:tcPr>
            <w:tcW w:w="2980" w:type="dxa"/>
            <w:vAlign w:val="bottom"/>
          </w:tcPr>
          <w:p>
            <w:pPr>
              <w:jc w:val="right"/>
              <w:ind w:right="142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315 $414</w:t>
            </w:r>
          </w:p>
        </w:tc>
        <w:tc>
          <w:tcPr>
            <w:tcW w:w="5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980" w:type="dxa"/>
            <w:vAlign w:val="bottom"/>
          </w:tcPr>
          <w:p>
            <w:pPr>
              <w:jc w:val="right"/>
              <w:ind w:right="1422"/>
              <w:spacing w:after="0" w:line="179" w:lineRule="exact"/>
              <w:rPr>
                <w:sz w:val="20"/>
                <w:szCs w:val="20"/>
                <w:color w:val="auto"/>
              </w:rPr>
            </w:pPr>
            <w:r>
              <w:rPr>
                <w:rFonts w:ascii="Courier New" w:cs="Courier New" w:eastAsia="Courier New" w:hAnsi="Courier New"/>
                <w:sz w:val="16"/>
                <w:szCs w:val="16"/>
                <w:color w:val="auto"/>
                <w:w w:val="95"/>
              </w:rPr>
              <w:t>$ 315 ===== ====</w:t>
            </w:r>
          </w:p>
        </w:tc>
        <w:tc>
          <w:tcPr>
            <w:tcW w:w="0" w:type="dxa"/>
            <w:vAlign w:val="bottom"/>
          </w:tcPr>
          <w:p>
            <w:pPr>
              <w:spacing w:after="0"/>
              <w:rPr>
                <w:sz w:val="1"/>
                <w:szCs w:val="1"/>
                <w:color w:val="auto"/>
              </w:rPr>
            </w:pPr>
          </w:p>
        </w:tc>
      </w:tr>
      <w:tr>
        <w:trPr>
          <w:trHeight w:val="261"/>
        </w:trPr>
        <w:tc>
          <w:tcPr>
            <w:tcW w:w="880" w:type="dxa"/>
            <w:vAlign w:val="bottom"/>
          </w:tcPr>
          <w:p>
            <w:pPr>
              <w:spacing w:after="0"/>
              <w:rPr>
                <w:sz w:val="22"/>
                <w:szCs w:val="22"/>
                <w:color w:val="auto"/>
              </w:rPr>
            </w:pPr>
          </w:p>
        </w:tc>
        <w:tc>
          <w:tcPr>
            <w:tcW w:w="4200" w:type="dxa"/>
            <w:vAlign w:val="bottom"/>
            <w:gridSpan w:val="3"/>
          </w:tcPr>
          <w:p>
            <w:pPr>
              <w:jc w:val="right"/>
              <w:ind w:right="2302"/>
              <w:spacing w:after="0"/>
              <w:rPr>
                <w:sz w:val="20"/>
                <w:szCs w:val="20"/>
                <w:color w:val="auto"/>
              </w:rPr>
            </w:pPr>
            <w:r>
              <w:rPr>
                <w:rFonts w:ascii="Courier New" w:cs="Courier New" w:eastAsia="Courier New" w:hAnsi="Courier New"/>
                <w:sz w:val="16"/>
                <w:szCs w:val="16"/>
                <w:color w:val="auto"/>
                <w:w w:val="98"/>
              </w:rPr>
              <w:t>====== ===== ======</w:t>
            </w:r>
          </w:p>
        </w:tc>
        <w:tc>
          <w:tcPr>
            <w:tcW w:w="0" w:type="dxa"/>
            <w:vAlign w:val="bottom"/>
          </w:tcPr>
          <w:p>
            <w:pPr>
              <w:spacing w:after="0"/>
              <w:rPr>
                <w:sz w:val="1"/>
                <w:szCs w:val="1"/>
                <w:color w:val="auto"/>
              </w:rPr>
            </w:pPr>
          </w:p>
        </w:tc>
      </w:tr>
      <w:tr>
        <w:trPr>
          <w:trHeight w:val="454"/>
        </w:trPr>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jc w:val="right"/>
              <w:spacing w:after="0"/>
              <w:rPr>
                <w:sz w:val="20"/>
                <w:szCs w:val="20"/>
                <w:color w:val="auto"/>
              </w:rPr>
            </w:pPr>
            <w:r>
              <w:rPr>
                <w:rFonts w:ascii="Courier New" w:cs="Courier New" w:eastAsia="Courier New" w:hAnsi="Courier New"/>
                <w:sz w:val="16"/>
                <w:szCs w:val="16"/>
                <w:color w:val="auto"/>
              </w:rPr>
              <w:t>SIX MONTHS ENDED JUNE 30, 2000</w:t>
            </w:r>
          </w:p>
        </w:tc>
        <w:tc>
          <w:tcPr>
            <w:tcW w:w="0" w:type="dxa"/>
            <w:vAlign w:val="bottom"/>
          </w:tcPr>
          <w:p>
            <w:pPr>
              <w:spacing w:after="0"/>
              <w:rPr>
                <w:sz w:val="1"/>
                <w:szCs w:val="1"/>
                <w:color w:val="auto"/>
              </w:rPr>
            </w:pPr>
          </w:p>
        </w:tc>
      </w:tr>
      <w:tr>
        <w:trPr>
          <w:trHeight w:val="261"/>
        </w:trPr>
        <w:tc>
          <w:tcPr>
            <w:tcW w:w="8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8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bl>
    <w:p>
      <w:pPr>
        <w:spacing w:after="0" w:line="97" w:lineRule="exact"/>
        <w:rPr>
          <w:sz w:val="20"/>
          <w:szCs w:val="20"/>
          <w:color w:val="auto"/>
        </w:rPr>
      </w:pPr>
    </w:p>
    <w:p>
      <w:pPr>
        <w:jc w:val="center"/>
        <w:ind w:right="6499"/>
        <w:spacing w:after="0"/>
        <w:rPr>
          <w:sz w:val="20"/>
          <w:szCs w:val="20"/>
          <w:color w:val="auto"/>
        </w:rPr>
      </w:pPr>
      <w:r>
        <w:rPr>
          <w:rFonts w:ascii="Courier New" w:cs="Courier New" w:eastAsia="Courier New" w:hAnsi="Courier New"/>
          <w:sz w:val="16"/>
          <w:szCs w:val="16"/>
          <w:color w:val="auto"/>
        </w:rPr>
        <w:t>PARENT GUARANTOR NON-GUARANTORS</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ELIMINATIONS CONSOLIDATION ------ -----</w:t>
      </w:r>
    </w:p>
    <w:p>
      <w:pPr>
        <w:ind w:left="500" w:hanging="458"/>
        <w:spacing w:after="0" w:line="236" w:lineRule="auto"/>
        <w:tabs>
          <w:tab w:leader="none" w:pos="50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10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Operating</w:t>
      </w:r>
    </w:p>
    <w:tbl>
      <w:tblPr>
        <w:tblLayout w:type="fixed"/>
        <w:tblInd w:w="40" w:type="dxa"/>
        <w:tblCellMar>
          <w:top w:w="0" w:type="dxa"/>
          <w:left w:w="0" w:type="dxa"/>
          <w:bottom w:w="0" w:type="dxa"/>
          <w:right w:w="0" w:type="dxa"/>
        </w:tblCellMar>
      </w:tblPr>
      <w:tr>
        <w:trPr>
          <w:trHeight w:val="152"/>
        </w:trPr>
        <w:tc>
          <w:tcPr>
            <w:tcW w:w="740" w:type="dxa"/>
            <w:vAlign w:val="bottom"/>
          </w:tcPr>
          <w:p>
            <w:pPr>
              <w:spacing w:after="0" w:line="152" w:lineRule="exact"/>
              <w:rPr>
                <w:sz w:val="20"/>
                <w:szCs w:val="20"/>
                <w:color w:val="auto"/>
              </w:rPr>
            </w:pPr>
            <w:r>
              <w:rPr>
                <w:rFonts w:ascii="Courier New" w:cs="Courier New" w:eastAsia="Courier New" w:hAnsi="Courier New"/>
                <w:sz w:val="16"/>
                <w:szCs w:val="16"/>
                <w:color w:val="auto"/>
                <w:w w:val="93"/>
              </w:rPr>
              <w:t>revenues</w:t>
            </w:r>
          </w:p>
        </w:tc>
        <w:tc>
          <w:tcPr>
            <w:tcW w:w="520" w:type="dxa"/>
            <w:vAlign w:val="bottom"/>
          </w:tcPr>
          <w:p>
            <w:pPr>
              <w:jc w:val="right"/>
              <w:spacing w:after="0"/>
              <w:rPr>
                <w:sz w:val="20"/>
                <w:szCs w:val="20"/>
                <w:color w:val="auto"/>
              </w:rPr>
            </w:pPr>
            <w:r>
              <w:rPr>
                <w:rFonts w:ascii="Courier New" w:cs="Courier New" w:eastAsia="Courier New" w:hAnsi="Courier New"/>
                <w:sz w:val="4"/>
                <w:szCs w:val="4"/>
                <w:color w:val="auto"/>
                <w:w w:val="94"/>
              </w:rPr>
              <w:t>......................</w:t>
            </w:r>
          </w:p>
        </w:tc>
        <w:tc>
          <w:tcPr>
            <w:tcW w:w="360" w:type="dxa"/>
            <w:vAlign w:val="bottom"/>
            <w:vMerge w:val="restart"/>
          </w:tcPr>
          <w:p>
            <w:pPr>
              <w:jc w:val="right"/>
              <w:ind w:right="182"/>
              <w:spacing w:after="0"/>
              <w:rPr>
                <w:sz w:val="20"/>
                <w:szCs w:val="20"/>
                <w:color w:val="auto"/>
              </w:rPr>
            </w:pPr>
            <w:r>
              <w:rPr>
                <w:rFonts w:ascii="Courier New" w:cs="Courier New" w:eastAsia="Courier New" w:hAnsi="Courier New"/>
                <w:sz w:val="16"/>
                <w:szCs w:val="16"/>
                <w:color w:val="auto"/>
                <w:w w:val="82"/>
              </w:rPr>
              <w:t>$</w:t>
            </w:r>
          </w:p>
        </w:tc>
        <w:tc>
          <w:tcPr>
            <w:tcW w:w="200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r>
        <w:trPr>
          <w:trHeight w:val="179"/>
        </w:trPr>
        <w:tc>
          <w:tcPr>
            <w:tcW w:w="1260" w:type="dxa"/>
            <w:vAlign w:val="bottom"/>
            <w:gridSpan w:val="2"/>
          </w:tcPr>
          <w:p>
            <w:pPr>
              <w:jc w:val="right"/>
              <w:ind w:right="50"/>
              <w:spacing w:after="0" w:line="179" w:lineRule="exact"/>
              <w:rPr>
                <w:sz w:val="20"/>
                <w:szCs w:val="20"/>
                <w:color w:val="auto"/>
              </w:rPr>
            </w:pPr>
            <w:r>
              <w:rPr>
                <w:rFonts w:ascii="Courier New" w:cs="Courier New" w:eastAsia="Courier New" w:hAnsi="Courier New"/>
                <w:sz w:val="16"/>
                <w:szCs w:val="16"/>
                <w:color w:val="auto"/>
              </w:rPr>
              <w:t>- $6,483</w:t>
            </w:r>
          </w:p>
        </w:tc>
        <w:tc>
          <w:tcPr>
            <w:tcW w:w="360" w:type="dxa"/>
            <w:vAlign w:val="bottom"/>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ind w:right="323"/>
              <w:spacing w:after="0" w:line="179" w:lineRule="exact"/>
              <w:rPr>
                <w:sz w:val="20"/>
                <w:szCs w:val="20"/>
                <w:color w:val="auto"/>
              </w:rPr>
            </w:pPr>
            <w:r>
              <w:rPr>
                <w:rFonts w:ascii="Courier New" w:cs="Courier New" w:eastAsia="Courier New" w:hAnsi="Courier New"/>
                <w:sz w:val="16"/>
                <w:szCs w:val="16"/>
                <w:color w:val="auto"/>
              </w:rPr>
              <w:t>$6,483 Costs and</w:t>
            </w:r>
          </w:p>
        </w:tc>
        <w:tc>
          <w:tcPr>
            <w:tcW w:w="0" w:type="dxa"/>
            <w:vAlign w:val="bottom"/>
          </w:tcPr>
          <w:p>
            <w:pPr>
              <w:spacing w:after="0"/>
              <w:rPr>
                <w:sz w:val="1"/>
                <w:szCs w:val="1"/>
                <w:color w:val="auto"/>
              </w:rPr>
            </w:pPr>
          </w:p>
        </w:tc>
      </w:tr>
      <w:tr>
        <w:trPr>
          <w:trHeight w:val="179"/>
        </w:trPr>
        <w:tc>
          <w:tcPr>
            <w:tcW w:w="1620" w:type="dxa"/>
            <w:vAlign w:val="bottom"/>
            <w:gridSpan w:val="3"/>
          </w:tcPr>
          <w:p>
            <w:pPr>
              <w:jc w:val="right"/>
              <w:spacing w:after="0"/>
              <w:rPr>
                <w:sz w:val="20"/>
                <w:szCs w:val="20"/>
                <w:color w:val="auto"/>
              </w:rPr>
            </w:pPr>
            <w:r>
              <w:rPr>
                <w:rFonts w:ascii="Courier New" w:cs="Courier New" w:eastAsia="Courier New" w:hAnsi="Courier New"/>
                <w:sz w:val="12"/>
                <w:szCs w:val="12"/>
                <w:color w:val="auto"/>
                <w:w w:val="74"/>
              </w:rPr>
              <w:t>expenses......................</w:t>
            </w:r>
          </w:p>
        </w:tc>
        <w:tc>
          <w:tcPr>
            <w:tcW w:w="2000" w:type="dxa"/>
            <w:vAlign w:val="bottom"/>
          </w:tcPr>
          <w:p>
            <w:pPr>
              <w:jc w:val="right"/>
              <w:ind w:right="43"/>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740" w:type="dxa"/>
            <w:vAlign w:val="bottom"/>
          </w:tcPr>
          <w:p>
            <w:pPr>
              <w:spacing w:after="0" w:line="179" w:lineRule="exact"/>
              <w:rPr>
                <w:sz w:val="20"/>
                <w:szCs w:val="20"/>
                <w:color w:val="auto"/>
              </w:rPr>
            </w:pPr>
            <w:r>
              <w:rPr>
                <w:rFonts w:ascii="Courier New" w:cs="Courier New" w:eastAsia="Courier New" w:hAnsi="Courier New"/>
                <w:sz w:val="16"/>
                <w:szCs w:val="16"/>
                <w:color w:val="auto"/>
                <w:w w:val="93"/>
              </w:rPr>
              <w:t>5,865 --</w:t>
            </w:r>
          </w:p>
        </w:tc>
        <w:tc>
          <w:tcPr>
            <w:tcW w:w="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1"/>
              </w:rPr>
              <w:t>5,865 -----</w:t>
            </w:r>
          </w:p>
        </w:tc>
        <w:tc>
          <w:tcPr>
            <w:tcW w:w="2000" w:type="dxa"/>
            <w:vAlign w:val="bottom"/>
            <w:vMerge w:val="restart"/>
          </w:tcPr>
          <w:p>
            <w:pPr>
              <w:jc w:val="right"/>
              <w:spacing w:after="0"/>
              <w:rPr>
                <w:sz w:val="20"/>
                <w:szCs w:val="20"/>
                <w:color w:val="auto"/>
              </w:rPr>
            </w:pPr>
            <w:r>
              <w:rPr>
                <w:rFonts w:ascii="Courier New" w:cs="Courier New" w:eastAsia="Courier New" w:hAnsi="Courier New"/>
                <w:sz w:val="30"/>
                <w:szCs w:val="30"/>
                <w:color w:val="auto"/>
                <w:w w:val="72"/>
                <w:vertAlign w:val="subscript"/>
              </w:rPr>
              <w:t>Income</w:t>
            </w:r>
            <w:r>
              <w:rPr>
                <w:rFonts w:ascii="Courier New" w:cs="Courier New" w:eastAsia="Courier New" w:hAnsi="Courier New"/>
                <w:sz w:val="15"/>
                <w:szCs w:val="15"/>
                <w:color w:val="auto"/>
                <w:w w:val="72"/>
              </w:rPr>
              <w:t>-----</w:t>
            </w:r>
            <w:r>
              <w:rPr>
                <w:rFonts w:ascii="Courier New" w:cs="Courier New" w:eastAsia="Courier New" w:hAnsi="Courier New"/>
                <w:sz w:val="30"/>
                <w:szCs w:val="30"/>
                <w:color w:val="auto"/>
                <w:w w:val="72"/>
                <w:vertAlign w:val="subscript"/>
              </w:rPr>
              <w:t>from</w:t>
            </w:r>
            <w:r>
              <w:rPr>
                <w:rFonts w:ascii="Courier New" w:cs="Courier New" w:eastAsia="Courier New" w:hAnsi="Courier New"/>
                <w:sz w:val="15"/>
                <w:szCs w:val="15"/>
                <w:color w:val="auto"/>
                <w:w w:val="72"/>
              </w:rPr>
              <w:t>------ -----</w:t>
            </w:r>
          </w:p>
        </w:tc>
        <w:tc>
          <w:tcPr>
            <w:tcW w:w="0" w:type="dxa"/>
            <w:vAlign w:val="bottom"/>
          </w:tcPr>
          <w:p>
            <w:pPr>
              <w:spacing w:after="0"/>
              <w:rPr>
                <w:sz w:val="1"/>
                <w:szCs w:val="1"/>
                <w:color w:val="auto"/>
              </w:rPr>
            </w:pPr>
          </w:p>
        </w:tc>
      </w:tr>
      <w:tr>
        <w:trPr>
          <w:trHeight w:val="179"/>
        </w:trPr>
        <w:tc>
          <w:tcPr>
            <w:tcW w:w="1620" w:type="dxa"/>
            <w:vAlign w:val="bottom"/>
            <w:gridSpan w:val="3"/>
            <w:vMerge w:val="restart"/>
          </w:tcPr>
          <w:p>
            <w:pPr>
              <w:jc w:val="right"/>
              <w:ind w:right="2"/>
              <w:spacing w:after="0"/>
              <w:rPr>
                <w:sz w:val="20"/>
                <w:szCs w:val="20"/>
                <w:color w:val="auto"/>
              </w:rPr>
            </w:pPr>
            <w:r>
              <w:rPr>
                <w:rFonts w:ascii="Courier New" w:cs="Courier New" w:eastAsia="Courier New" w:hAnsi="Courier New"/>
                <w:sz w:val="16"/>
                <w:szCs w:val="16"/>
                <w:color w:val="auto"/>
                <w:w w:val="89"/>
              </w:rPr>
              <w:t>operations</w:t>
            </w:r>
            <w:r>
              <w:rPr>
                <w:rFonts w:ascii="Courier New" w:cs="Courier New" w:eastAsia="Courier New" w:hAnsi="Courier New"/>
                <w:sz w:val="31"/>
                <w:szCs w:val="31"/>
                <w:color w:val="auto"/>
                <w:w w:val="89"/>
                <w:vertAlign w:val="superscript"/>
              </w:rPr>
              <w:t>------</w:t>
            </w:r>
          </w:p>
        </w:tc>
        <w:tc>
          <w:tcPr>
            <w:tcW w:w="2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620" w:type="dxa"/>
            <w:vAlign w:val="bottom"/>
            <w:gridSpan w:val="3"/>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-- 618</w:t>
            </w:r>
          </w:p>
        </w:tc>
        <w:tc>
          <w:tcPr>
            <w:tcW w:w="0" w:type="dxa"/>
            <w:vAlign w:val="bottom"/>
          </w:tcPr>
          <w:p>
            <w:pPr>
              <w:spacing w:after="0"/>
              <w:rPr>
                <w:sz w:val="1"/>
                <w:szCs w:val="1"/>
                <w:color w:val="auto"/>
              </w:rPr>
            </w:pPr>
          </w:p>
        </w:tc>
      </w:tr>
      <w:tr>
        <w:trPr>
          <w:trHeight w:val="207"/>
        </w:trPr>
        <w:tc>
          <w:tcPr>
            <w:tcW w:w="1260" w:type="dxa"/>
            <w:vAlign w:val="bottom"/>
            <w:gridSpan w:val="2"/>
          </w:tcPr>
          <w:p>
            <w:pPr>
              <w:jc w:val="right"/>
              <w:ind w:right="50"/>
              <w:spacing w:after="0"/>
              <w:rPr>
                <w:sz w:val="20"/>
                <w:szCs w:val="20"/>
                <w:color w:val="auto"/>
              </w:rPr>
            </w:pPr>
            <w:r>
              <w:rPr>
                <w:rFonts w:ascii="Courier New" w:cs="Courier New" w:eastAsia="Courier New" w:hAnsi="Courier New"/>
                <w:sz w:val="16"/>
                <w:szCs w:val="16"/>
                <w:color w:val="auto"/>
                <w:w w:val="98"/>
              </w:rPr>
              <w:t>-- 618 -----</w:t>
            </w:r>
          </w:p>
        </w:tc>
        <w:tc>
          <w:tcPr>
            <w:tcW w:w="23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 ------ ----- ------</w:t>
            </w:r>
          </w:p>
        </w:tc>
        <w:tc>
          <w:tcPr>
            <w:tcW w:w="0" w:type="dxa"/>
            <w:vAlign w:val="bottom"/>
          </w:tcPr>
          <w:p>
            <w:pPr>
              <w:spacing w:after="0"/>
              <w:rPr>
                <w:sz w:val="1"/>
                <w:szCs w:val="1"/>
                <w:color w:val="auto"/>
              </w:rPr>
            </w:pPr>
          </w:p>
        </w:tc>
      </w:tr>
    </w:tbl>
    <w:p>
      <w:pPr>
        <w:ind w:left="40"/>
        <w:spacing w:after="0" w:line="236" w:lineRule="auto"/>
        <w:rPr>
          <w:sz w:val="20"/>
          <w:szCs w:val="20"/>
          <w:color w:val="auto"/>
        </w:rPr>
      </w:pPr>
      <w:r>
        <w:rPr>
          <w:rFonts w:ascii="Courier New" w:cs="Courier New" w:eastAsia="Courier New" w:hAnsi="Courier New"/>
          <w:sz w:val="16"/>
          <w:szCs w:val="16"/>
          <w:color w:val="auto"/>
        </w:rPr>
        <w:t>Other income (expense): Interest income</w:t>
      </w:r>
    </w:p>
    <w:tbl>
      <w:tblPr>
        <w:tblLayout w:type="fixed"/>
        <w:tblInd w:w="40" w:type="dxa"/>
        <w:tblCellMar>
          <w:top w:w="0" w:type="dxa"/>
          <w:left w:w="0" w:type="dxa"/>
          <w:bottom w:w="0" w:type="dxa"/>
          <w:right w:w="0" w:type="dxa"/>
        </w:tblCellMar>
      </w:tblPr>
      <w:tr>
        <w:trPr>
          <w:trHeight w:val="180"/>
        </w:trPr>
        <w:tc>
          <w:tcPr>
            <w:tcW w:w="21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(expense), net........</w:t>
            </w:r>
          </w:p>
        </w:tc>
        <w:tc>
          <w:tcPr>
            <w:tcW w:w="1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(246) (121) (29)</w:t>
            </w:r>
          </w:p>
        </w:tc>
      </w:tr>
    </w:tbl>
    <w:p>
      <w:pPr>
        <w:ind w:left="40"/>
        <w:spacing w:after="0" w:line="236" w:lineRule="auto"/>
        <w:rPr>
          <w:sz w:val="20"/>
          <w:szCs w:val="20"/>
          <w:color w:val="auto"/>
        </w:rPr>
      </w:pPr>
      <w:r>
        <w:rPr>
          <w:rFonts w:ascii="Courier New" w:cs="Courier New" w:eastAsia="Courier New" w:hAnsi="Courier New"/>
          <w:sz w:val="16"/>
          <w:szCs w:val="16"/>
          <w:color w:val="auto"/>
        </w:rPr>
        <w:t>-- (396) Equity in subsidiaries, net of</w:t>
      </w:r>
    </w:p>
    <w:tbl>
      <w:tblPr>
        <w:tblLayout w:type="fixed"/>
        <w:tblInd w:w="40" w:type="dxa"/>
        <w:tblCellMar>
          <w:top w:w="0" w:type="dxa"/>
          <w:left w:w="0" w:type="dxa"/>
          <w:bottom w:w="0" w:type="dxa"/>
          <w:right w:w="0" w:type="dxa"/>
        </w:tblCellMar>
      </w:tblPr>
      <w:tr>
        <w:trPr>
          <w:trHeight w:val="152"/>
        </w:trPr>
        <w:tc>
          <w:tcPr>
            <w:tcW w:w="460" w:type="dxa"/>
            <w:vAlign w:val="bottom"/>
          </w:tcPr>
          <w:p>
            <w:pPr>
              <w:spacing w:after="0" w:line="152" w:lineRule="exact"/>
              <w:rPr>
                <w:sz w:val="20"/>
                <w:szCs w:val="20"/>
                <w:color w:val="auto"/>
              </w:rPr>
            </w:pPr>
            <w:r>
              <w:rPr>
                <w:rFonts w:ascii="Courier New" w:cs="Courier New" w:eastAsia="Courier New" w:hAnsi="Courier New"/>
                <w:sz w:val="16"/>
                <w:szCs w:val="16"/>
                <w:color w:val="auto"/>
                <w:w w:val="91"/>
              </w:rPr>
              <w:t>taxes</w:t>
            </w:r>
          </w:p>
        </w:tc>
        <w:tc>
          <w:tcPr>
            <w:tcW w:w="9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7"/>
                <w:szCs w:val="7"/>
                <w:color w:val="auto"/>
                <w:vertAlign w:val="subscript"/>
              </w:rPr>
              <w:t>285--</w:t>
            </w:r>
          </w:p>
        </w:tc>
        <w:tc>
          <w:tcPr>
            <w:tcW w:w="78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w w:val="91"/>
              </w:rPr>
              <w:t>(494)</w:t>
            </w:r>
          </w:p>
        </w:tc>
        <w:tc>
          <w:tcPr>
            <w:tcW w:w="150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209</w:t>
            </w:r>
          </w:p>
        </w:tc>
        <w:tc>
          <w:tcPr>
            <w:tcW w:w="0" w:type="dxa"/>
            <w:vAlign w:val="bottom"/>
          </w:tcPr>
          <w:p>
            <w:pPr>
              <w:spacing w:after="0"/>
              <w:rPr>
                <w:sz w:val="1"/>
                <w:szCs w:val="1"/>
                <w:color w:val="auto"/>
              </w:rPr>
            </w:pPr>
          </w:p>
        </w:tc>
      </w:tr>
      <w:tr>
        <w:trPr>
          <w:trHeight w:val="179"/>
        </w:trPr>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780" w:type="dxa"/>
            <w:vAlign w:val="bottom"/>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Minority</w:t>
            </w:r>
          </w:p>
        </w:tc>
        <w:tc>
          <w:tcPr>
            <w:tcW w:w="0" w:type="dxa"/>
            <w:vAlign w:val="bottom"/>
          </w:tcPr>
          <w:p>
            <w:pPr>
              <w:spacing w:after="0"/>
              <w:rPr>
                <w:sz w:val="1"/>
                <w:szCs w:val="1"/>
                <w:color w:val="auto"/>
              </w:rPr>
            </w:pPr>
          </w:p>
        </w:tc>
      </w:tr>
      <w:tr>
        <w:trPr>
          <w:trHeight w:val="179"/>
        </w:trPr>
        <w:tc>
          <w:tcPr>
            <w:tcW w:w="21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79"/>
              </w:rPr>
              <w:t>interest.....................</w:t>
            </w:r>
          </w:p>
        </w:tc>
        <w:tc>
          <w:tcPr>
            <w:tcW w:w="150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460" w:type="dxa"/>
            <w:vAlign w:val="bottom"/>
            <w:vMerge w:val="restart"/>
          </w:tcPr>
          <w:p>
            <w:pPr>
              <w:ind w:left="100"/>
              <w:spacing w:after="0"/>
              <w:rPr>
                <w:sz w:val="20"/>
                <w:szCs w:val="20"/>
                <w:color w:val="auto"/>
              </w:rPr>
            </w:pPr>
            <w:r>
              <w:rPr>
                <w:rFonts w:ascii="Courier New" w:cs="Courier New" w:eastAsia="Courier New" w:hAnsi="Courier New"/>
                <w:sz w:val="2"/>
                <w:szCs w:val="2"/>
                <w:color w:val="auto"/>
                <w:w w:val="91"/>
              </w:rPr>
              <w:t>net............................</w:t>
            </w:r>
          </w:p>
        </w:tc>
        <w:tc>
          <w:tcPr>
            <w:tcW w:w="9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w:t>
            </w:r>
          </w:p>
        </w:tc>
        <w:tc>
          <w:tcPr>
            <w:tcW w:w="228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8"/>
              </w:rPr>
              <w:t>-- (12) Other,</w:t>
            </w:r>
          </w:p>
        </w:tc>
        <w:tc>
          <w:tcPr>
            <w:tcW w:w="0" w:type="dxa"/>
            <w:vAlign w:val="bottom"/>
          </w:tcPr>
          <w:p>
            <w:pPr>
              <w:spacing w:after="0"/>
              <w:rPr>
                <w:sz w:val="1"/>
                <w:szCs w:val="1"/>
                <w:color w:val="auto"/>
              </w:rPr>
            </w:pPr>
          </w:p>
        </w:tc>
      </w:tr>
      <w:tr>
        <w:trPr>
          <w:trHeight w:val="179"/>
        </w:trPr>
        <w:tc>
          <w:tcPr>
            <w:tcW w:w="460" w:type="dxa"/>
            <w:vAlign w:val="bottom"/>
            <w:vMerge w:val="continue"/>
          </w:tcPr>
          <w:p>
            <w:pPr>
              <w:spacing w:after="0"/>
              <w:rPr>
                <w:sz w:val="15"/>
                <w:szCs w:val="15"/>
                <w:color w:val="auto"/>
              </w:rPr>
            </w:pPr>
          </w:p>
        </w:tc>
        <w:tc>
          <w:tcPr>
            <w:tcW w:w="9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15 -----</w:t>
            </w:r>
          </w:p>
        </w:tc>
        <w:tc>
          <w:tcPr>
            <w:tcW w:w="780" w:type="dxa"/>
            <w:vAlign w:val="bottom"/>
          </w:tcPr>
          <w:p>
            <w:pPr>
              <w:spacing w:after="0"/>
              <w:rPr>
                <w:sz w:val="15"/>
                <w:szCs w:val="15"/>
                <w:color w:val="auto"/>
              </w:rPr>
            </w:pPr>
          </w:p>
        </w:tc>
        <w:tc>
          <w:tcPr>
            <w:tcW w:w="150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179"/>
        </w:trPr>
        <w:tc>
          <w:tcPr>
            <w:tcW w:w="1360" w:type="dxa"/>
            <w:vAlign w:val="bottom"/>
            <w:gridSpan w:val="2"/>
          </w:tcPr>
          <w:p>
            <w:pPr>
              <w:jc w:val="right"/>
              <w:ind w:right="842"/>
              <w:spacing w:after="0" w:line="179" w:lineRule="exact"/>
              <w:rPr>
                <w:sz w:val="20"/>
                <w:szCs w:val="20"/>
                <w:color w:val="auto"/>
              </w:rPr>
            </w:pPr>
            <w:r>
              <w:rPr>
                <w:rFonts w:ascii="Courier New" w:cs="Courier New" w:eastAsia="Courier New" w:hAnsi="Courier New"/>
                <w:sz w:val="16"/>
                <w:szCs w:val="16"/>
                <w:color w:val="auto"/>
                <w:w w:val="91"/>
              </w:rPr>
              <w:t>15 --</w:t>
            </w:r>
          </w:p>
        </w:tc>
        <w:tc>
          <w:tcPr>
            <w:tcW w:w="2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 ------ ----- -----</w:t>
            </w:r>
          </w:p>
        </w:tc>
        <w:tc>
          <w:tcPr>
            <w:tcW w:w="0" w:type="dxa"/>
            <w:vAlign w:val="bottom"/>
          </w:tcPr>
          <w:p>
            <w:pPr>
              <w:spacing w:after="0"/>
              <w:rPr>
                <w:sz w:val="1"/>
                <w:szCs w:val="1"/>
                <w:color w:val="auto"/>
              </w:rPr>
            </w:pPr>
          </w:p>
        </w:tc>
      </w:tr>
      <w:tr>
        <w:trPr>
          <w:trHeight w:val="179"/>
        </w:trPr>
        <w:tc>
          <w:tcPr>
            <w:tcW w:w="364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 (37) 164 (26) (494) (393) ----- -----</w:t>
            </w:r>
          </w:p>
        </w:tc>
        <w:tc>
          <w:tcPr>
            <w:tcW w:w="0" w:type="dxa"/>
            <w:vAlign w:val="bottom"/>
          </w:tcPr>
          <w:p>
            <w:pPr>
              <w:spacing w:after="0"/>
              <w:rPr>
                <w:sz w:val="1"/>
                <w:szCs w:val="1"/>
                <w:color w:val="auto"/>
              </w:rPr>
            </w:pPr>
          </w:p>
        </w:tc>
      </w:tr>
      <w:tr>
        <w:trPr>
          <w:trHeight w:val="179"/>
        </w:trPr>
        <w:tc>
          <w:tcPr>
            <w:tcW w:w="2140" w:type="dxa"/>
            <w:vAlign w:val="bottom"/>
            <w:gridSpan w:val="3"/>
            <w:vMerge w:val="restart"/>
          </w:tcPr>
          <w:p>
            <w:pPr>
              <w:spacing w:after="0"/>
              <w:rPr>
                <w:sz w:val="20"/>
                <w:szCs w:val="20"/>
                <w:color w:val="auto"/>
              </w:rPr>
            </w:pPr>
            <w:r>
              <w:rPr>
                <w:rFonts w:ascii="Courier New" w:cs="Courier New" w:eastAsia="Courier New" w:hAnsi="Courier New"/>
                <w:sz w:val="13"/>
                <w:szCs w:val="13"/>
                <w:color w:val="auto"/>
                <w:w w:val="70"/>
              </w:rPr>
              <w:t>before</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income</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taxes</w:t>
            </w:r>
            <w:r>
              <w:rPr>
                <w:rFonts w:ascii="Courier New" w:cs="Courier New" w:eastAsia="Courier New" w:hAnsi="Courier New"/>
                <w:sz w:val="25"/>
                <w:szCs w:val="25"/>
                <w:color w:val="auto"/>
                <w:w w:val="70"/>
                <w:vertAlign w:val="superscript"/>
              </w:rPr>
              <w:t>------</w:t>
            </w:r>
          </w:p>
        </w:tc>
        <w:tc>
          <w:tcPr>
            <w:tcW w:w="150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6"/>
              </w:rPr>
              <w:t>Income (loss)</w:t>
            </w:r>
          </w:p>
        </w:tc>
        <w:tc>
          <w:tcPr>
            <w:tcW w:w="0" w:type="dxa"/>
            <w:vAlign w:val="bottom"/>
          </w:tcPr>
          <w:p>
            <w:pPr>
              <w:spacing w:after="0"/>
              <w:rPr>
                <w:sz w:val="1"/>
                <w:szCs w:val="1"/>
                <w:color w:val="auto"/>
              </w:rPr>
            </w:pPr>
          </w:p>
        </w:tc>
      </w:tr>
      <w:tr>
        <w:trPr>
          <w:trHeight w:val="207"/>
        </w:trPr>
        <w:tc>
          <w:tcPr>
            <w:tcW w:w="2140" w:type="dxa"/>
            <w:vAlign w:val="bottom"/>
            <w:gridSpan w:val="3"/>
            <w:vMerge w:val="continue"/>
          </w:tcPr>
          <w:p>
            <w:pPr>
              <w:ind w:left="1760"/>
              <w:spacing w:after="0"/>
              <w:rPr>
                <w:sz w:val="20"/>
                <w:szCs w:val="20"/>
                <w:color w:val="auto"/>
              </w:rPr>
            </w:pPr>
            <w:r>
              <w:rPr>
                <w:rFonts w:ascii="Courier New" w:cs="Courier New" w:eastAsia="Courier New" w:hAnsi="Courier New"/>
                <w:sz w:val="12"/>
                <w:szCs w:val="12"/>
                <w:color w:val="auto"/>
                <w:w w:val="71"/>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color w:val="auto"/>
              </w:rPr>
              <w:t>(37) 164 592</w:t>
            </w: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Courier New" w:cs="Courier New" w:eastAsia="Courier New" w:hAnsi="Courier New"/>
          <w:sz w:val="16"/>
          <w:szCs w:val="16"/>
          <w:color w:val="auto"/>
        </w:rPr>
        <w:t>(494) 225 Provision for (benefit from)</w:t>
      </w:r>
    </w:p>
    <w:tbl>
      <w:tblPr>
        <w:tblLayout w:type="fixed"/>
        <w:tblInd w:w="0" w:type="dxa"/>
        <w:tblCellMar>
          <w:top w:w="0" w:type="dxa"/>
          <w:left w:w="0" w:type="dxa"/>
          <w:bottom w:w="0" w:type="dxa"/>
          <w:right w:w="0" w:type="dxa"/>
        </w:tblCellMar>
      </w:tblPr>
      <w:tr>
        <w:trPr>
          <w:trHeight w:val="152"/>
        </w:trPr>
        <w:tc>
          <w:tcPr>
            <w:tcW w:w="46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5"/>
              </w:rPr>
              <w:t>taxes</w:t>
            </w: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income</w:t>
            </w: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60" w:type="dxa"/>
            <w:vAlign w:val="bottom"/>
            <w:vMerge w:val="continue"/>
          </w:tcPr>
          <w:p>
            <w:pPr>
              <w:spacing w:after="0"/>
              <w:rPr>
                <w:sz w:val="15"/>
                <w:szCs w:val="15"/>
                <w:color w:val="auto"/>
              </w:rPr>
            </w:pPr>
          </w:p>
        </w:tc>
        <w:tc>
          <w:tcPr>
            <w:tcW w:w="1020" w:type="dxa"/>
            <w:vAlign w:val="bottom"/>
            <w:gridSpan w:val="2"/>
            <w:vMerge w:val="restart"/>
          </w:tcPr>
          <w:p>
            <w:pPr>
              <w:jc w:val="right"/>
              <w:spacing w:after="0"/>
              <w:rPr>
                <w:sz w:val="20"/>
                <w:szCs w:val="20"/>
                <w:color w:val="auto"/>
              </w:rPr>
            </w:pPr>
            <w:r>
              <w:rPr>
                <w:rFonts w:ascii="Courier New" w:cs="Courier New" w:eastAsia="Courier New" w:hAnsi="Courier New"/>
                <w:sz w:val="4"/>
                <w:szCs w:val="4"/>
                <w:color w:val="auto"/>
                <w:w w:val="91"/>
              </w:rPr>
              <w:t>...................................</w:t>
            </w:r>
            <w:r>
              <w:rPr>
                <w:rFonts w:ascii="Courier New" w:cs="Courier New" w:eastAsia="Courier New" w:hAnsi="Courier New"/>
                <w:sz w:val="7"/>
                <w:szCs w:val="7"/>
                <w:color w:val="auto"/>
                <w:w w:val="91"/>
                <w:vertAlign w:val="subscript"/>
              </w:rPr>
              <w:t>(45)307--</w:t>
            </w:r>
          </w:p>
        </w:tc>
        <w:tc>
          <w:tcPr>
            <w:tcW w:w="2180" w:type="dxa"/>
            <w:vAlign w:val="bottom"/>
            <w:gridSpan w:val="2"/>
            <w:vMerge w:val="restart"/>
          </w:tcPr>
          <w:p>
            <w:pPr>
              <w:jc w:val="center"/>
              <w:ind w:right="1102"/>
              <w:spacing w:after="0"/>
              <w:rPr>
                <w:sz w:val="20"/>
                <w:szCs w:val="20"/>
                <w:color w:val="auto"/>
              </w:rPr>
            </w:pPr>
            <w:r>
              <w:rPr>
                <w:rFonts w:ascii="Courier New" w:cs="Courier New" w:eastAsia="Courier New" w:hAnsi="Courier New"/>
                <w:sz w:val="14"/>
                <w:szCs w:val="14"/>
                <w:color w:val="auto"/>
                <w:w w:val="71"/>
              </w:rPr>
              <w:t>170</w:t>
            </w:r>
            <w:r>
              <w:rPr>
                <w:rFonts w:ascii="Courier New" w:cs="Courier New" w:eastAsia="Courier New" w:hAnsi="Courier New"/>
                <w:sz w:val="28"/>
                <w:szCs w:val="28"/>
                <w:color w:val="auto"/>
                <w:w w:val="71"/>
                <w:vertAlign w:val="subscript"/>
              </w:rPr>
              <w:t>------</w:t>
            </w:r>
            <w:r>
              <w:rPr>
                <w:rFonts w:ascii="Courier New" w:cs="Courier New" w:eastAsia="Courier New" w:hAnsi="Courier New"/>
                <w:sz w:val="14"/>
                <w:szCs w:val="14"/>
                <w:color w:val="auto"/>
                <w:w w:val="71"/>
              </w:rPr>
              <w:t>-----</w:t>
            </w:r>
          </w:p>
        </w:tc>
        <w:tc>
          <w:tcPr>
            <w:tcW w:w="0" w:type="dxa"/>
            <w:vAlign w:val="bottom"/>
          </w:tcPr>
          <w:p>
            <w:pPr>
              <w:spacing w:after="0"/>
              <w:rPr>
                <w:sz w:val="1"/>
                <w:szCs w:val="1"/>
                <w:color w:val="auto"/>
              </w:rPr>
            </w:pPr>
          </w:p>
        </w:tc>
      </w:tr>
      <w:tr>
        <w:trPr>
          <w:trHeight w:val="179"/>
        </w:trPr>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(92)</w:t>
            </w:r>
          </w:p>
        </w:tc>
        <w:tc>
          <w:tcPr>
            <w:tcW w:w="102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Courier New" w:cs="Courier New" w:eastAsia="Courier New" w:hAnsi="Courier New"/>
                <w:sz w:val="31"/>
                <w:szCs w:val="31"/>
                <w:color w:val="auto"/>
                <w:w w:val="98"/>
                <w:vertAlign w:val="subscript"/>
              </w:rPr>
              <w:t>Net</w:t>
            </w:r>
            <w:r>
              <w:rPr>
                <w:rFonts w:ascii="Courier New" w:cs="Courier New" w:eastAsia="Courier New" w:hAnsi="Courier New"/>
                <w:sz w:val="16"/>
                <w:szCs w:val="16"/>
                <w:color w:val="auto"/>
                <w:w w:val="98"/>
              </w:rPr>
              <w:t>----- ------</w:t>
            </w:r>
          </w:p>
        </w:tc>
        <w:tc>
          <w:tcPr>
            <w:tcW w:w="0" w:type="dxa"/>
            <w:vAlign w:val="bottom"/>
          </w:tcPr>
          <w:p>
            <w:pPr>
              <w:spacing w:after="0"/>
              <w:rPr>
                <w:sz w:val="1"/>
                <w:szCs w:val="1"/>
                <w:color w:val="auto"/>
              </w:rPr>
            </w:pPr>
          </w:p>
        </w:tc>
      </w:tr>
      <w:tr>
        <w:trPr>
          <w:trHeight w:val="179"/>
        </w:trPr>
        <w:tc>
          <w:tcPr>
            <w:tcW w:w="920" w:type="dxa"/>
            <w:vAlign w:val="bottom"/>
            <w:gridSpan w:val="2"/>
            <w:vMerge w:val="restart"/>
          </w:tcPr>
          <w:p>
            <w:pPr>
              <w:ind w:left="80"/>
              <w:spacing w:after="0"/>
              <w:rPr>
                <w:sz w:val="20"/>
                <w:szCs w:val="20"/>
                <w:color w:val="auto"/>
              </w:rPr>
            </w:pPr>
            <w:r>
              <w:rPr>
                <w:rFonts w:ascii="Courier New" w:cs="Courier New" w:eastAsia="Courier New" w:hAnsi="Courier New"/>
                <w:sz w:val="16"/>
                <w:szCs w:val="16"/>
                <w:color w:val="auto"/>
              </w:rPr>
              <w:t>income</w:t>
            </w:r>
          </w:p>
        </w:tc>
        <w:tc>
          <w:tcPr>
            <w:tcW w:w="1220" w:type="dxa"/>
            <w:vAlign w:val="bottom"/>
            <w:gridSpan w:val="2"/>
          </w:tcPr>
          <w:p>
            <w:pPr>
              <w:jc w:val="right"/>
              <w:ind w:right="484"/>
              <w:spacing w:after="0" w:line="179" w:lineRule="exact"/>
              <w:rPr>
                <w:sz w:val="20"/>
                <w:szCs w:val="20"/>
                <w:color w:val="auto"/>
              </w:rPr>
            </w:pPr>
            <w:r>
              <w:rPr>
                <w:rFonts w:ascii="Courier New" w:cs="Courier New" w:eastAsia="Courier New" w:hAnsi="Courier New"/>
                <w:sz w:val="16"/>
                <w:szCs w:val="16"/>
                <w:color w:val="auto"/>
              </w:rPr>
              <w:t>-----</w:t>
            </w: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2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5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5"/>
              </w:rPr>
              <w:t>$ 285</w:t>
            </w:r>
          </w:p>
        </w:tc>
        <w:tc>
          <w:tcPr>
            <w:tcW w:w="660" w:type="dxa"/>
            <w:vAlign w:val="bottom"/>
            <w:vMerge w:val="restart"/>
          </w:tcPr>
          <w:p>
            <w:pPr>
              <w:jc w:val="right"/>
              <w:ind w:right="24"/>
              <w:spacing w:after="0"/>
              <w:rPr>
                <w:sz w:val="20"/>
                <w:szCs w:val="20"/>
                <w:color w:val="auto"/>
              </w:rPr>
            </w:pPr>
            <w:r>
              <w:rPr>
                <w:rFonts w:ascii="Courier New" w:cs="Courier New" w:eastAsia="Courier New" w:hAnsi="Courier New"/>
                <w:sz w:val="16"/>
                <w:szCs w:val="16"/>
                <w:color w:val="auto"/>
                <w:w w:val="93"/>
              </w:rPr>
              <w:t>$(494)</w:t>
            </w:r>
          </w:p>
        </w:tc>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92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rPr>
              <w:t>55 $ 209</w:t>
            </w:r>
          </w:p>
        </w:tc>
        <w:tc>
          <w:tcPr>
            <w:tcW w:w="56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5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$ 55 ===== =====</w:t>
            </w: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740" w:type="dxa"/>
            <w:vAlign w:val="bottom"/>
            <w:gridSpan w:val="3"/>
          </w:tcPr>
          <w:p>
            <w:pPr>
              <w:jc w:val="right"/>
              <w:ind w:right="842"/>
              <w:spacing w:after="0"/>
              <w:rPr>
                <w:sz w:val="20"/>
                <w:szCs w:val="20"/>
                <w:color w:val="auto"/>
              </w:rPr>
            </w:pPr>
            <w:r>
              <w:rPr>
                <w:rFonts w:ascii="Courier New" w:cs="Courier New" w:eastAsia="Courier New" w:hAnsi="Courier New"/>
                <w:sz w:val="16"/>
                <w:szCs w:val="16"/>
                <w:color w:val="auto"/>
                <w:w w:val="98"/>
              </w:rPr>
              <w:t>====== =====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269" w:right="1440" w:bottom="104" w:gutter="0" w:footer="0" w:header="0"/>
        </w:sectPr>
      </w:pPr>
    </w:p>
    <w:p>
      <w:pPr>
        <w:spacing w:after="0" w:line="76"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19"/>
          </w:cols>
          <w:pgMar w:left="240" w:top="269" w:right="1440" w:bottom="104" w:gutter="0" w:footer="0" w:header="0"/>
          <w:type w:val="continuous"/>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24</w:t>
      </w:r>
    </w:p>
    <w:p>
      <w:pPr>
        <w:spacing w:after="0" w:line="26" w:lineRule="exact"/>
        <w:rPr>
          <w:sz w:val="20"/>
          <w:szCs w:val="20"/>
          <w:color w:val="auto"/>
        </w:rPr>
      </w:pPr>
    </w:p>
    <w:tbl>
      <w:tblPr>
        <w:tblLayout w:type="fixed"/>
        <w:tblInd w:w="40" w:type="dxa"/>
        <w:tblCellMar>
          <w:top w:w="0" w:type="dxa"/>
          <w:left w:w="0" w:type="dxa"/>
          <w:bottom w:w="0" w:type="dxa"/>
          <w:right w:w="0" w:type="dxa"/>
        </w:tblCellMar>
      </w:tblPr>
      <w:tr>
        <w:trPr>
          <w:trHeight w:val="261"/>
        </w:trPr>
        <w:tc>
          <w:tcPr>
            <w:tcW w:w="2240" w:type="dxa"/>
            <w:vAlign w:val="bottom"/>
          </w:tcPr>
          <w:p>
            <w:pPr>
              <w:spacing w:after="0"/>
              <w:rPr>
                <w:sz w:val="22"/>
                <w:szCs w:val="22"/>
                <w:color w:val="auto"/>
              </w:rPr>
            </w:pPr>
          </w:p>
        </w:tc>
        <w:tc>
          <w:tcPr>
            <w:tcW w:w="3440" w:type="dxa"/>
            <w:vAlign w:val="bottom"/>
            <w:gridSpan w:val="2"/>
          </w:tcPr>
          <w:p>
            <w:pPr>
              <w:jc w:val="center"/>
              <w:ind w:right="482"/>
              <w:spacing w:after="0"/>
              <w:rPr>
                <w:sz w:val="20"/>
                <w:szCs w:val="20"/>
                <w:color w:val="auto"/>
              </w:rPr>
            </w:pPr>
            <w:r>
              <w:rPr>
                <w:rFonts w:ascii="Courier New" w:cs="Courier New" w:eastAsia="Courier New" w:hAnsi="Courier New"/>
                <w:sz w:val="16"/>
                <w:szCs w:val="16"/>
                <w:color w:val="auto"/>
                <w:w w:val="96"/>
              </w:rPr>
              <w:t>WASTE MANAGEMENT, INC.</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56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NOTES TO CONDENSED CONSOLIDATED FINANCIAL STATEMENTS --</w:t>
            </w: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w w:val="94"/>
              </w:rPr>
              <w:t>(CONTINUED)</w:t>
            </w:r>
          </w:p>
        </w:tc>
        <w:tc>
          <w:tcPr>
            <w:tcW w:w="0" w:type="dxa"/>
            <w:vAlign w:val="bottom"/>
          </w:tcPr>
          <w:p>
            <w:pPr>
              <w:spacing w:after="0"/>
              <w:rPr>
                <w:sz w:val="1"/>
                <w:szCs w:val="1"/>
                <w:color w:val="auto"/>
              </w:rPr>
            </w:pPr>
          </w:p>
        </w:tc>
      </w:tr>
      <w:tr>
        <w:trPr>
          <w:trHeight w:val="358"/>
        </w:trPr>
        <w:tc>
          <w:tcPr>
            <w:tcW w:w="6740" w:type="dxa"/>
            <w:vAlign w:val="bottom"/>
            <w:gridSpan w:val="4"/>
          </w:tcPr>
          <w:p>
            <w:pPr>
              <w:jc w:val="center"/>
              <w:ind w:left="525"/>
              <w:spacing w:after="0"/>
              <w:rPr>
                <w:sz w:val="20"/>
                <w:szCs w:val="20"/>
                <w:color w:val="auto"/>
              </w:rPr>
            </w:pPr>
            <w:r>
              <w:rPr>
                <w:rFonts w:ascii="Courier New" w:cs="Courier New" w:eastAsia="Courier New" w:hAnsi="Courier New"/>
                <w:sz w:val="16"/>
                <w:szCs w:val="16"/>
                <w:color w:val="auto"/>
                <w:w w:val="96"/>
              </w:rPr>
              <w:t>CONDENSED CONSOLIDATING STATEMENTS OF CASH FLOWS</w:t>
            </w:r>
          </w:p>
        </w:tc>
        <w:tc>
          <w:tcPr>
            <w:tcW w:w="0" w:type="dxa"/>
            <w:vAlign w:val="bottom"/>
          </w:tcPr>
          <w:p>
            <w:pPr>
              <w:spacing w:after="0"/>
              <w:rPr>
                <w:sz w:val="1"/>
                <w:szCs w:val="1"/>
                <w:color w:val="auto"/>
              </w:rPr>
            </w:pPr>
          </w:p>
        </w:tc>
      </w:tr>
      <w:tr>
        <w:trPr>
          <w:trHeight w:val="276"/>
        </w:trPr>
        <w:tc>
          <w:tcPr>
            <w:tcW w:w="2240" w:type="dxa"/>
            <w:vAlign w:val="bottom"/>
          </w:tcPr>
          <w:p>
            <w:pPr>
              <w:spacing w:after="0"/>
              <w:rPr>
                <w:sz w:val="23"/>
                <w:szCs w:val="23"/>
                <w:color w:val="auto"/>
              </w:rPr>
            </w:pPr>
          </w:p>
        </w:tc>
        <w:tc>
          <w:tcPr>
            <w:tcW w:w="3440" w:type="dxa"/>
            <w:vAlign w:val="bottom"/>
            <w:gridSpan w:val="2"/>
          </w:tcPr>
          <w:p>
            <w:pPr>
              <w:jc w:val="center"/>
              <w:ind w:right="482"/>
              <w:spacing w:after="0"/>
              <w:rPr>
                <w:sz w:val="20"/>
                <w:szCs w:val="20"/>
                <w:color w:val="auto"/>
              </w:rPr>
            </w:pPr>
            <w:r>
              <w:rPr>
                <w:rFonts w:ascii="Courier New" w:cs="Courier New" w:eastAsia="Courier New" w:hAnsi="Courier New"/>
                <w:sz w:val="16"/>
                <w:szCs w:val="16"/>
                <w:color w:val="auto"/>
                <w:w w:val="97"/>
              </w:rPr>
              <w:t>SIX MONTHS ENDED JUNE 30, 2001</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2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0" w:type="dxa"/>
            <w:vAlign w:val="bottom"/>
          </w:tcPr>
          <w:p>
            <w:pPr>
              <w:jc w:val="right"/>
              <w:ind w:right="1462"/>
              <w:spacing w:after="0"/>
              <w:rPr>
                <w:sz w:val="20"/>
                <w:szCs w:val="20"/>
                <w:color w:val="auto"/>
              </w:rPr>
            </w:pPr>
            <w:r>
              <w:rPr>
                <w:rFonts w:ascii="Courier New" w:cs="Courier New" w:eastAsia="Courier New" w:hAnsi="Courier New"/>
                <w:sz w:val="16"/>
                <w:szCs w:val="16"/>
                <w:color w:val="auto"/>
              </w:rPr>
              <w:t>(UNAUDITED)</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80" w:type="dxa"/>
            <w:vAlign w:val="bottom"/>
            <w:gridSpan w:val="3"/>
          </w:tcPr>
          <w:p>
            <w:pPr>
              <w:jc w:val="center"/>
              <w:ind w:right="662"/>
              <w:spacing w:after="0"/>
              <w:rPr>
                <w:sz w:val="20"/>
                <w:szCs w:val="20"/>
                <w:color w:val="auto"/>
              </w:rPr>
            </w:pPr>
            <w:r>
              <w:rPr>
                <w:rFonts w:ascii="Courier New" w:cs="Courier New" w:eastAsia="Courier New" w:hAnsi="Courier New"/>
                <w:sz w:val="16"/>
                <w:szCs w:val="16"/>
                <w:color w:val="auto"/>
                <w:w w:val="97"/>
              </w:rPr>
              <w:t>PARENT GUARANTOR NON-GUARANTORS ELIMINATIONS</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2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77"/>
              </w:rPr>
              <w:t>CONSOLIDATION ------ ---------</w:t>
            </w:r>
          </w:p>
        </w:tc>
        <w:tc>
          <w:tcPr>
            <w:tcW w:w="3440" w:type="dxa"/>
            <w:vAlign w:val="bottom"/>
            <w:gridSpan w:val="2"/>
            <w:vMerge w:val="restart"/>
          </w:tcPr>
          <w:p>
            <w:pPr>
              <w:jc w:val="right"/>
              <w:ind w:right="662"/>
              <w:spacing w:after="0"/>
              <w:rPr>
                <w:sz w:val="20"/>
                <w:szCs w:val="20"/>
                <w:color w:val="auto"/>
              </w:rPr>
            </w:pPr>
            <w:r>
              <w:rPr>
                <w:rFonts w:ascii="Courier New" w:cs="Courier New" w:eastAsia="Courier New" w:hAnsi="Courier New"/>
                <w:sz w:val="13"/>
                <w:szCs w:val="13"/>
                <w:color w:val="auto"/>
                <w:w w:val="70"/>
              </w:rPr>
              <w:t>Cash flows</w:t>
            </w:r>
            <w:r>
              <w:rPr>
                <w:rFonts w:ascii="Courier New" w:cs="Courier New" w:eastAsia="Courier New" w:hAnsi="Courier New"/>
                <w:sz w:val="24"/>
                <w:szCs w:val="24"/>
                <w:color w:val="auto"/>
                <w:w w:val="70"/>
                <w:vertAlign w:val="superscript"/>
              </w:rPr>
              <w:t>--------------</w:t>
            </w:r>
            <w:r>
              <w:rPr>
                <w:rFonts w:ascii="Courier New" w:cs="Courier New" w:eastAsia="Courier New" w:hAnsi="Courier New"/>
                <w:sz w:val="13"/>
                <w:szCs w:val="13"/>
                <w:color w:val="auto"/>
                <w:w w:val="70"/>
              </w:rPr>
              <w:t>fromoperating</w:t>
            </w:r>
            <w:r>
              <w:rPr>
                <w:rFonts w:ascii="Courier New" w:cs="Courier New" w:eastAsia="Courier New" w:hAnsi="Courier New"/>
                <w:sz w:val="24"/>
                <w:szCs w:val="24"/>
                <w:color w:val="auto"/>
                <w:w w:val="70"/>
                <w:vertAlign w:val="superscript"/>
              </w:rPr>
              <w: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rPr>
              <w:t>----- -------------</w:t>
            </w:r>
          </w:p>
        </w:tc>
        <w:tc>
          <w:tcPr>
            <w:tcW w:w="344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80" w:type="dxa"/>
            <w:vAlign w:val="bottom"/>
            <w:gridSpan w:val="3"/>
          </w:tcPr>
          <w:p>
            <w:pPr>
              <w:jc w:val="center"/>
              <w:ind w:right="682"/>
              <w:spacing w:after="0" w:line="179" w:lineRule="exact"/>
              <w:rPr>
                <w:sz w:val="20"/>
                <w:szCs w:val="20"/>
                <w:color w:val="auto"/>
              </w:rPr>
            </w:pPr>
            <w:r>
              <w:rPr>
                <w:rFonts w:ascii="Courier New" w:cs="Courier New" w:eastAsia="Courier New" w:hAnsi="Courier New"/>
                <w:sz w:val="16"/>
                <w:szCs w:val="16"/>
                <w:color w:val="auto"/>
                <w:w w:val="97"/>
              </w:rPr>
              <w:t>activities: Net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income............................................</w:t>
            </w:r>
          </w:p>
        </w:tc>
        <w:tc>
          <w:tcPr>
            <w:tcW w:w="280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315 $ 414 $ 475 $(889)</w:t>
            </w:r>
          </w:p>
        </w:tc>
        <w:tc>
          <w:tcPr>
            <w:tcW w:w="3440" w:type="dxa"/>
            <w:vAlign w:val="bottom"/>
            <w:gridSpan w:val="2"/>
          </w:tcPr>
          <w:p>
            <w:pPr>
              <w:jc w:val="right"/>
              <w:ind w:right="802"/>
              <w:spacing w:after="0" w:line="179" w:lineRule="exact"/>
              <w:rPr>
                <w:sz w:val="20"/>
                <w:szCs w:val="20"/>
                <w:color w:val="auto"/>
              </w:rPr>
            </w:pPr>
            <w:r>
              <w:rPr>
                <w:rFonts w:ascii="Courier New" w:cs="Courier New" w:eastAsia="Courier New" w:hAnsi="Courier New"/>
                <w:sz w:val="16"/>
                <w:szCs w:val="16"/>
                <w:color w:val="auto"/>
                <w:w w:val="97"/>
              </w:rPr>
              <w:t>$ 315 Equity in earnings of</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subsidiaries, net of taxes......</w:t>
            </w:r>
          </w:p>
        </w:tc>
        <w:tc>
          <w:tcPr>
            <w:tcW w:w="28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(414) (475) -- 889 -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80" w:type="dxa"/>
            <w:vAlign w:val="bottom"/>
            <w:gridSpan w:val="3"/>
          </w:tcPr>
          <w:p>
            <w:pPr>
              <w:jc w:val="center"/>
              <w:ind w:right="662"/>
              <w:spacing w:after="0" w:line="179" w:lineRule="exact"/>
              <w:rPr>
                <w:sz w:val="20"/>
                <w:szCs w:val="20"/>
                <w:color w:val="auto"/>
              </w:rPr>
            </w:pPr>
            <w:r>
              <w:rPr>
                <w:rFonts w:ascii="Courier New" w:cs="Courier New" w:eastAsia="Courier New" w:hAnsi="Courier New"/>
                <w:sz w:val="16"/>
                <w:szCs w:val="16"/>
                <w:color w:val="auto"/>
                <w:w w:val="96"/>
              </w:rPr>
              <w:t>- Other adjustments and</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charges.........................</w:t>
            </w:r>
          </w:p>
        </w:tc>
        <w:tc>
          <w:tcPr>
            <w:tcW w:w="28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26 2 523 -- 551 ----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8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1"/>
              </w:rPr>
              <w:t>(used</w:t>
            </w:r>
            <w:r>
              <w:rPr>
                <w:rFonts w:ascii="Courier New" w:cs="Courier New" w:eastAsia="Courier New" w:hAnsi="Courier New"/>
                <w:sz w:val="20"/>
                <w:szCs w:val="20"/>
                <w:color w:val="auto"/>
                <w:w w:val="71"/>
                <w:vertAlign w:val="superscript"/>
              </w:rPr>
              <w:t>------</w:t>
            </w:r>
            <w:r>
              <w:rPr>
                <w:rFonts w:ascii="Courier New" w:cs="Courier New" w:eastAsia="Courier New" w:hAnsi="Courier New"/>
                <w:sz w:val="12"/>
                <w:szCs w:val="12"/>
                <w:color w:val="auto"/>
                <w:w w:val="71"/>
              </w:rPr>
              <w:t>in)</w:t>
            </w:r>
            <w:r>
              <w:rPr>
                <w:rFonts w:ascii="Courier New" w:cs="Courier New" w:eastAsia="Courier New" w:hAnsi="Courier New"/>
                <w:sz w:val="20"/>
                <w:szCs w:val="20"/>
                <w:color w:val="auto"/>
                <w:w w:val="71"/>
                <w:vertAlign w:val="superscript"/>
              </w:rPr>
              <w:t>-------</w:t>
            </w:r>
            <w:r>
              <w:rPr>
                <w:rFonts w:ascii="Courier New" w:cs="Courier New" w:eastAsia="Courier New" w:hAnsi="Courier New"/>
                <w:sz w:val="12"/>
                <w:szCs w:val="12"/>
                <w:color w:val="auto"/>
                <w:w w:val="71"/>
              </w:rPr>
              <w:t>operating</w:t>
            </w:r>
            <w:r>
              <w:rPr>
                <w:rFonts w:ascii="Courier New" w:cs="Courier New" w:eastAsia="Courier New" w:hAnsi="Courier New"/>
                <w:sz w:val="20"/>
                <w:szCs w:val="20"/>
                <w:color w:val="auto"/>
                <w:w w:val="71"/>
                <w:vertAlign w:val="superscript"/>
              </w:rPr>
              <w:t>-----</w:t>
            </w:r>
            <w:r>
              <w:rPr>
                <w:rFonts w:ascii="Courier New" w:cs="Courier New" w:eastAsia="Courier New" w:hAnsi="Courier New"/>
                <w:sz w:val="12"/>
                <w:szCs w:val="12"/>
                <w:color w:val="auto"/>
                <w:w w:val="71"/>
              </w:rPr>
              <w:t>activities</w:t>
            </w:r>
            <w:r>
              <w:rPr>
                <w:rFonts w:ascii="Courier New" w:cs="Courier New" w:eastAsia="Courier New" w:hAnsi="Courier New"/>
                <w:sz w:val="20"/>
                <w:szCs w:val="20"/>
                <w:color w:val="auto"/>
                <w:w w:val="71"/>
                <w:vertAlign w:val="superscript"/>
              </w:rPr>
              <w:t>-------</w:t>
            </w:r>
          </w:p>
        </w:tc>
        <w:tc>
          <w:tcPr>
            <w:tcW w:w="2800" w:type="dxa"/>
            <w:vAlign w:val="bottom"/>
          </w:tcPr>
          <w:p>
            <w:pPr>
              <w:jc w:val="right"/>
              <w:ind w:right="802"/>
              <w:spacing w:after="0" w:line="179" w:lineRule="exact"/>
              <w:rPr>
                <w:sz w:val="20"/>
                <w:szCs w:val="20"/>
                <w:color w:val="auto"/>
              </w:rPr>
            </w:pPr>
            <w:r>
              <w:rPr>
                <w:rFonts w:ascii="Courier New" w:cs="Courier New" w:eastAsia="Courier New" w:hAnsi="Courier New"/>
                <w:sz w:val="16"/>
                <w:szCs w:val="16"/>
                <w:color w:val="auto"/>
                <w:w w:val="98"/>
              </w:rPr>
              <w:t>Net cash provided by</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88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80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(73) (59) 998 --</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Pr>
          <w:p>
            <w:pPr>
              <w:jc w:val="right"/>
              <w:ind w:right="25"/>
              <w:spacing w:after="0" w:line="179" w:lineRule="exact"/>
              <w:rPr>
                <w:sz w:val="20"/>
                <w:szCs w:val="20"/>
                <w:color w:val="auto"/>
              </w:rPr>
            </w:pPr>
            <w:r>
              <w:rPr>
                <w:rFonts w:ascii="Courier New" w:cs="Courier New" w:eastAsia="Courier New" w:hAnsi="Courier New"/>
                <w:sz w:val="16"/>
                <w:szCs w:val="16"/>
                <w:color w:val="auto"/>
                <w:w w:val="95"/>
              </w:rPr>
              <w:t>866 ----- ----- -------</w:t>
            </w:r>
          </w:p>
        </w:tc>
        <w:tc>
          <w:tcPr>
            <w:tcW w:w="640" w:type="dxa"/>
            <w:vAlign w:val="bottom"/>
          </w:tcPr>
          <w:p>
            <w:pPr>
              <w:jc w:val="right"/>
              <w:spacing w:after="0"/>
              <w:rPr>
                <w:sz w:val="20"/>
                <w:szCs w:val="20"/>
                <w:color w:val="auto"/>
              </w:rPr>
            </w:pPr>
            <w:r>
              <w:rPr>
                <w:rFonts w:ascii="Courier New" w:cs="Courier New" w:eastAsia="Courier New" w:hAnsi="Courier New"/>
                <w:sz w:val="11"/>
                <w:szCs w:val="11"/>
                <w:color w:val="auto"/>
                <w:w w:val="72"/>
              </w:rPr>
              <w:t>----- -------</w:t>
            </w:r>
          </w:p>
        </w:tc>
        <w:tc>
          <w:tcPr>
            <w:tcW w:w="2800" w:type="dxa"/>
            <w:vAlign w:val="bottom"/>
          </w:tcPr>
          <w:p>
            <w:pPr>
              <w:jc w:val="right"/>
              <w:ind w:right="662"/>
              <w:spacing w:after="0" w:line="179" w:lineRule="exact"/>
              <w:rPr>
                <w:sz w:val="20"/>
                <w:szCs w:val="20"/>
                <w:color w:val="auto"/>
              </w:rPr>
            </w:pPr>
            <w:r>
              <w:rPr>
                <w:rFonts w:ascii="Courier New" w:cs="Courier New" w:eastAsia="Courier New" w:hAnsi="Courier New"/>
                <w:sz w:val="16"/>
                <w:szCs w:val="16"/>
                <w:color w:val="auto"/>
              </w:rPr>
              <w:t>Cash flows from</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680" w:type="dxa"/>
            <w:vAlign w:val="bottom"/>
            <w:gridSpan w:val="3"/>
          </w:tcPr>
          <w:p>
            <w:pPr>
              <w:jc w:val="right"/>
              <w:ind w:right="662"/>
              <w:spacing w:after="0" w:line="179" w:lineRule="exact"/>
              <w:rPr>
                <w:sz w:val="20"/>
                <w:szCs w:val="20"/>
                <w:color w:val="auto"/>
              </w:rPr>
            </w:pPr>
            <w:r>
              <w:rPr>
                <w:rFonts w:ascii="Courier New" w:cs="Courier New" w:eastAsia="Courier New" w:hAnsi="Courier New"/>
                <w:sz w:val="16"/>
                <w:szCs w:val="16"/>
                <w:color w:val="auto"/>
                <w:w w:val="96"/>
              </w:rPr>
              <w:t>investing activities: Acquisitions of businesses, net</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2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of cash acquired......</w:t>
            </w:r>
          </w:p>
        </w:tc>
        <w:tc>
          <w:tcPr>
            <w:tcW w:w="344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9"/>
              </w:rPr>
              <w:t>-- -- (65) -- (65) Capital</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8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expenditures..................................</w:t>
            </w:r>
          </w:p>
        </w:tc>
        <w:tc>
          <w:tcPr>
            <w:tcW w:w="280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 --</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0" w:right="5299" w:firstLine="379"/>
        <w:spacing w:after="0" w:line="270" w:lineRule="auto"/>
        <w:tabs>
          <w:tab w:leader="none" w:pos="101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(474) Proceeds from divestitures of businesses, net of cash divested, and other sales of</w:t>
      </w:r>
    </w:p>
    <w:tbl>
      <w:tblPr>
        <w:tblLayout w:type="fixed"/>
        <w:tblInd w:w="0" w:type="dxa"/>
        <w:tblCellMar>
          <w:top w:w="0" w:type="dxa"/>
          <w:left w:w="0" w:type="dxa"/>
          <w:bottom w:w="0" w:type="dxa"/>
          <w:right w:w="0" w:type="dxa"/>
        </w:tblCellMar>
      </w:tblPr>
      <w:tr>
        <w:trPr>
          <w:trHeight w:val="152"/>
        </w:trPr>
        <w:tc>
          <w:tcPr>
            <w:tcW w:w="1440" w:type="dxa"/>
            <w:vAlign w:val="bottom"/>
            <w:gridSpan w:val="2"/>
          </w:tcPr>
          <w:p>
            <w:pPr>
              <w:ind w:left="740"/>
              <w:spacing w:after="0"/>
              <w:rPr>
                <w:sz w:val="20"/>
                <w:szCs w:val="20"/>
                <w:color w:val="auto"/>
              </w:rPr>
            </w:pPr>
            <w:r>
              <w:rPr>
                <w:rFonts w:ascii="Courier New" w:cs="Courier New" w:eastAsia="Courier New" w:hAnsi="Courier New"/>
                <w:sz w:val="7"/>
                <w:szCs w:val="7"/>
                <w:color w:val="auto"/>
                <w:w w:val="70"/>
              </w:rPr>
              <w:t>assets.................</w:t>
            </w:r>
          </w:p>
        </w:tc>
        <w:tc>
          <w:tcPr>
            <w:tcW w:w="3540" w:type="dxa"/>
            <w:vAlign w:val="bottom"/>
          </w:tcPr>
          <w:p>
            <w:pPr>
              <w:jc w:val="right"/>
              <w:ind w:right="622"/>
              <w:spacing w:after="0" w:line="152" w:lineRule="exact"/>
              <w:rPr>
                <w:sz w:val="20"/>
                <w:szCs w:val="20"/>
                <w:color w:val="auto"/>
              </w:rPr>
            </w:pPr>
            <w:r>
              <w:rPr>
                <w:rFonts w:ascii="Courier New" w:cs="Courier New" w:eastAsia="Courier New" w:hAnsi="Courier New"/>
                <w:sz w:val="16"/>
                <w:szCs w:val="16"/>
                <w:color w:val="auto"/>
              </w:rPr>
              <w:t>-- -- 26 -- 26</w:t>
            </w:r>
          </w:p>
        </w:tc>
        <w:tc>
          <w:tcPr>
            <w:tcW w:w="0" w:type="dxa"/>
            <w:vAlign w:val="bottom"/>
          </w:tcPr>
          <w:p>
            <w:pPr>
              <w:spacing w:after="0"/>
              <w:rPr>
                <w:sz w:val="1"/>
                <w:szCs w:val="1"/>
                <w:color w:val="auto"/>
              </w:rPr>
            </w:pPr>
          </w:p>
        </w:tc>
      </w:tr>
      <w:tr>
        <w:trPr>
          <w:trHeight w:val="179"/>
        </w:trPr>
        <w:tc>
          <w:tcPr>
            <w:tcW w:w="1200" w:type="dxa"/>
            <w:vAlign w:val="bottom"/>
          </w:tcPr>
          <w:p>
            <w:pPr>
              <w:spacing w:after="0"/>
              <w:rPr>
                <w:sz w:val="20"/>
                <w:szCs w:val="20"/>
                <w:color w:val="auto"/>
              </w:rPr>
            </w:pPr>
            <w:r>
              <w:rPr>
                <w:rFonts w:ascii="Courier New" w:cs="Courier New" w:eastAsia="Courier New" w:hAnsi="Courier New"/>
                <w:sz w:val="4"/>
                <w:szCs w:val="4"/>
                <w:color w:val="auto"/>
                <w:w w:val="91"/>
              </w:rPr>
              <w:t>Other.................................................</w:t>
            </w:r>
          </w:p>
        </w:tc>
        <w:tc>
          <w:tcPr>
            <w:tcW w:w="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3"/>
              </w:rPr>
              <w:t>64</w:t>
            </w:r>
          </w:p>
        </w:tc>
        <w:tc>
          <w:tcPr>
            <w:tcW w:w="354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6"/>
              </w:rPr>
              <w:t>----- ----- ------- ----- ------- Net</w:t>
            </w:r>
          </w:p>
        </w:tc>
        <w:tc>
          <w:tcPr>
            <w:tcW w:w="0" w:type="dxa"/>
            <w:vAlign w:val="bottom"/>
          </w:tcPr>
          <w:p>
            <w:pPr>
              <w:spacing w:after="0"/>
              <w:rPr>
                <w:sz w:val="1"/>
                <w:szCs w:val="1"/>
                <w:color w:val="auto"/>
              </w:rPr>
            </w:pPr>
          </w:p>
        </w:tc>
      </w:tr>
      <w:tr>
        <w:trPr>
          <w:trHeight w:val="179"/>
        </w:trPr>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 -- 64 --</w:t>
            </w:r>
          </w:p>
        </w:tc>
        <w:tc>
          <w:tcPr>
            <w:tcW w:w="240" w:type="dxa"/>
            <w:vAlign w:val="bottom"/>
            <w:vMerge w:val="continue"/>
          </w:tcPr>
          <w:p>
            <w:pPr>
              <w:spacing w:after="0"/>
              <w:rPr>
                <w:sz w:val="15"/>
                <w:szCs w:val="15"/>
                <w:color w:val="auto"/>
              </w:rPr>
            </w:pPr>
          </w:p>
        </w:tc>
        <w:tc>
          <w:tcPr>
            <w:tcW w:w="3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980" w:type="dxa"/>
            <w:vAlign w:val="bottom"/>
            <w:gridSpan w:val="3"/>
          </w:tcPr>
          <w:p>
            <w:pPr>
              <w:ind w:left="80"/>
              <w:spacing w:after="0" w:line="179" w:lineRule="exact"/>
              <w:rPr>
                <w:sz w:val="20"/>
                <w:szCs w:val="20"/>
                <w:color w:val="auto"/>
              </w:rPr>
            </w:pPr>
            <w:r>
              <w:rPr>
                <w:rFonts w:ascii="Courier New" w:cs="Courier New" w:eastAsia="Courier New" w:hAnsi="Courier New"/>
                <w:sz w:val="16"/>
                <w:szCs w:val="16"/>
                <w:color w:val="auto"/>
                <w:w w:val="97"/>
              </w:rPr>
              <w:t>cash used in investing activities...................</w:t>
            </w:r>
          </w:p>
        </w:tc>
        <w:tc>
          <w:tcPr>
            <w:tcW w:w="0" w:type="dxa"/>
            <w:vAlign w:val="bottom"/>
          </w:tcPr>
          <w:p>
            <w:pPr>
              <w:spacing w:after="0"/>
              <w:rPr>
                <w:sz w:val="1"/>
                <w:szCs w:val="1"/>
                <w:color w:val="auto"/>
              </w:rPr>
            </w:pPr>
          </w:p>
        </w:tc>
      </w:tr>
      <w:tr>
        <w:trPr>
          <w:trHeight w:val="207"/>
        </w:trPr>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 -- (449) --</w:t>
            </w:r>
          </w:p>
        </w:tc>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6"/>
              </w:rPr>
              <w:t>(449) ----- ----- ------- ----- ------</w:t>
            </w:r>
          </w:p>
        </w:tc>
        <w:tc>
          <w:tcPr>
            <w:tcW w:w="0" w:type="dxa"/>
            <w:vAlign w:val="bottom"/>
          </w:tcPr>
          <w:p>
            <w:pPr>
              <w:spacing w:after="0"/>
              <w:rPr>
                <w:sz w:val="1"/>
                <w:szCs w:val="1"/>
                <w:color w:val="auto"/>
              </w:rPr>
            </w:pPr>
          </w:p>
        </w:tc>
      </w:tr>
    </w:tbl>
    <w:p>
      <w:pPr>
        <w:ind w:left="180" w:right="5379" w:firstLine="326"/>
        <w:spacing w:after="0" w:line="270" w:lineRule="auto"/>
        <w:tabs>
          <w:tab w:leader="none" w:pos="692"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flows from financing activities: New borrowings........................................</w:t>
      </w:r>
    </w:p>
    <w:tbl>
      <w:tblPr>
        <w:tblLayout w:type="fixed"/>
        <w:tblInd w:w="0" w:type="dxa"/>
        <w:tblCellMar>
          <w:top w:w="0" w:type="dxa"/>
          <w:left w:w="0" w:type="dxa"/>
          <w:bottom w:w="0" w:type="dxa"/>
          <w:right w:w="0" w:type="dxa"/>
        </w:tblCellMar>
      </w:tblPr>
      <w:tr>
        <w:trPr>
          <w:trHeight w:val="152"/>
        </w:trPr>
        <w:tc>
          <w:tcPr>
            <w:tcW w:w="1860" w:type="dxa"/>
            <w:vAlign w:val="bottom"/>
          </w:tcPr>
          <w:p>
            <w:pPr>
              <w:jc w:val="right"/>
              <w:ind w:right="34"/>
              <w:spacing w:after="0" w:line="152" w:lineRule="exact"/>
              <w:rPr>
                <w:sz w:val="20"/>
                <w:szCs w:val="20"/>
                <w:color w:val="auto"/>
              </w:rPr>
            </w:pPr>
            <w:r>
              <w:rPr>
                <w:rFonts w:ascii="Courier New" w:cs="Courier New" w:eastAsia="Courier New" w:hAnsi="Courier New"/>
                <w:sz w:val="16"/>
                <w:szCs w:val="16"/>
                <w:color w:val="auto"/>
              </w:rPr>
              <w:t>594</w:t>
            </w:r>
          </w:p>
        </w:tc>
        <w:tc>
          <w:tcPr>
            <w:tcW w:w="920" w:type="dxa"/>
            <w:vAlign w:val="bottom"/>
          </w:tcPr>
          <w:p>
            <w:pPr>
              <w:jc w:val="right"/>
              <w:ind w:right="2"/>
              <w:spacing w:after="0" w:line="152" w:lineRule="exact"/>
              <w:rPr>
                <w:sz w:val="20"/>
                <w:szCs w:val="20"/>
                <w:color w:val="auto"/>
              </w:rPr>
            </w:pPr>
            <w:r>
              <w:rPr>
                <w:rFonts w:ascii="Courier New" w:cs="Courier New" w:eastAsia="Courier New" w:hAnsi="Courier New"/>
                <w:sz w:val="16"/>
                <w:szCs w:val="16"/>
                <w:color w:val="auto"/>
                <w:w w:val="94"/>
              </w:rPr>
              <w:t>-- 359 --</w:t>
            </w:r>
          </w:p>
        </w:tc>
        <w:tc>
          <w:tcPr>
            <w:tcW w:w="2200" w:type="dxa"/>
            <w:vAlign w:val="bottom"/>
          </w:tcPr>
          <w:p>
            <w:pPr>
              <w:jc w:val="right"/>
              <w:ind w:right="1382"/>
              <w:spacing w:after="0" w:line="152" w:lineRule="exact"/>
              <w:rPr>
                <w:sz w:val="20"/>
                <w:szCs w:val="20"/>
                <w:color w:val="auto"/>
              </w:rPr>
            </w:pPr>
            <w:r>
              <w:rPr>
                <w:rFonts w:ascii="Courier New" w:cs="Courier New" w:eastAsia="Courier New" w:hAnsi="Courier New"/>
                <w:sz w:val="16"/>
                <w:szCs w:val="16"/>
                <w:color w:val="auto"/>
                <w:w w:val="93"/>
              </w:rPr>
              <w:t>953 Debt</w:t>
            </w:r>
          </w:p>
        </w:tc>
        <w:tc>
          <w:tcPr>
            <w:tcW w:w="0" w:type="dxa"/>
            <w:vAlign w:val="bottom"/>
          </w:tcPr>
          <w:p>
            <w:pPr>
              <w:spacing w:after="0"/>
              <w:rPr>
                <w:sz w:val="1"/>
                <w:szCs w:val="1"/>
                <w:color w:val="auto"/>
              </w:rPr>
            </w:pPr>
          </w:p>
        </w:tc>
      </w:tr>
      <w:tr>
        <w:trPr>
          <w:trHeight w:val="179"/>
        </w:trPr>
        <w:tc>
          <w:tcPr>
            <w:tcW w:w="1860" w:type="dxa"/>
            <w:vAlign w:val="bottom"/>
          </w:tcPr>
          <w:p>
            <w:pPr>
              <w:jc w:val="right"/>
              <w:spacing w:after="0"/>
              <w:rPr>
                <w:sz w:val="20"/>
                <w:szCs w:val="20"/>
                <w:color w:val="auto"/>
              </w:rPr>
            </w:pPr>
            <w:r>
              <w:rPr>
                <w:rFonts w:ascii="Courier New" w:cs="Courier New" w:eastAsia="Courier New" w:hAnsi="Courier New"/>
                <w:sz w:val="8"/>
                <w:szCs w:val="8"/>
                <w:color w:val="auto"/>
                <w:w w:val="78"/>
              </w:rPr>
              <w:t>repayments.......................................</w:t>
            </w:r>
          </w:p>
        </w:tc>
        <w:tc>
          <w:tcPr>
            <w:tcW w:w="31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(1,086) Exercise of common stock</w:t>
            </w:r>
          </w:p>
        </w:tc>
        <w:tc>
          <w:tcPr>
            <w:tcW w:w="0" w:type="dxa"/>
            <w:vAlign w:val="bottom"/>
          </w:tcPr>
          <w:p>
            <w:pPr>
              <w:spacing w:after="0"/>
              <w:rPr>
                <w:sz w:val="1"/>
                <w:szCs w:val="1"/>
                <w:color w:val="auto"/>
              </w:rPr>
            </w:pPr>
          </w:p>
        </w:tc>
      </w:tr>
      <w:tr>
        <w:trPr>
          <w:trHeight w:val="179"/>
        </w:trPr>
        <w:tc>
          <w:tcPr>
            <w:tcW w:w="4980" w:type="dxa"/>
            <w:vAlign w:val="bottom"/>
            <w:gridSpan w:val="3"/>
          </w:tcPr>
          <w:p>
            <w:pPr>
              <w:jc w:val="right"/>
              <w:ind w:right="3002"/>
              <w:spacing w:after="0" w:line="179" w:lineRule="exact"/>
              <w:rPr>
                <w:sz w:val="20"/>
                <w:szCs w:val="20"/>
                <w:color w:val="auto"/>
              </w:rPr>
            </w:pPr>
            <w:r>
              <w:rPr>
                <w:rFonts w:ascii="Courier New" w:cs="Courier New" w:eastAsia="Courier New" w:hAnsi="Courier New"/>
                <w:sz w:val="16"/>
                <w:szCs w:val="16"/>
                <w:color w:val="auto"/>
                <w:w w:val="97"/>
              </w:rPr>
              <w:t>(320) (400) (366) --</w:t>
            </w:r>
          </w:p>
        </w:tc>
        <w:tc>
          <w:tcPr>
            <w:tcW w:w="0" w:type="dxa"/>
            <w:vAlign w:val="bottom"/>
          </w:tcPr>
          <w:p>
            <w:pPr>
              <w:spacing w:after="0"/>
              <w:rPr>
                <w:sz w:val="1"/>
                <w:szCs w:val="1"/>
                <w:color w:val="auto"/>
              </w:rPr>
            </w:pPr>
          </w:p>
        </w:tc>
      </w:tr>
      <w:tr>
        <w:trPr>
          <w:trHeight w:val="179"/>
        </w:trPr>
        <w:tc>
          <w:tcPr>
            <w:tcW w:w="27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9"/>
              </w:rPr>
              <w:t>options and warrants.........</w:t>
            </w:r>
          </w:p>
        </w:tc>
        <w:tc>
          <w:tcPr>
            <w:tcW w:w="22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38 -- -- -- 38</w:t>
            </w:r>
          </w:p>
        </w:tc>
        <w:tc>
          <w:tcPr>
            <w:tcW w:w="0" w:type="dxa"/>
            <w:vAlign w:val="bottom"/>
          </w:tcPr>
          <w:p>
            <w:pPr>
              <w:spacing w:after="0"/>
              <w:rPr>
                <w:sz w:val="1"/>
                <w:szCs w:val="1"/>
                <w:color w:val="auto"/>
              </w:rPr>
            </w:pPr>
          </w:p>
        </w:tc>
      </w:tr>
      <w:tr>
        <w:trPr>
          <w:trHeight w:val="207"/>
        </w:trPr>
        <w:tc>
          <w:tcPr>
            <w:tcW w:w="27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Other.................................................</w:t>
            </w: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60" w:right="5799" w:hanging="561"/>
        <w:spacing w:after="0" w:line="236" w:lineRule="auto"/>
        <w:tabs>
          <w:tab w:leader="none" w:pos="881"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(19) -- (19) (Increase) decrease in intercompany and investments,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80" w:type="dxa"/>
            <w:vAlign w:val="bottom"/>
          </w:tcPr>
          <w:p>
            <w:pPr>
              <w:ind w:left="80"/>
              <w:spacing w:after="0"/>
              <w:rPr>
                <w:sz w:val="20"/>
                <w:szCs w:val="20"/>
                <w:color w:val="auto"/>
              </w:rPr>
            </w:pPr>
            <w:r>
              <w:rPr>
                <w:rFonts w:ascii="Courier New" w:cs="Courier New" w:eastAsia="Courier New" w:hAnsi="Courier New"/>
                <w:sz w:val="4"/>
                <w:szCs w:val="4"/>
                <w:color w:val="auto"/>
                <w:w w:val="70"/>
              </w:rPr>
              <w:t>net.................................................</w:t>
            </w:r>
          </w:p>
        </w:tc>
        <w:tc>
          <w:tcPr>
            <w:tcW w:w="1520" w:type="dxa"/>
            <w:vAlign w:val="bottom"/>
            <w:gridSpan w:val="3"/>
            <w:vMerge w:val="restart"/>
          </w:tcPr>
          <w:p>
            <w:pPr>
              <w:jc w:val="right"/>
              <w:ind w:right="983"/>
              <w:spacing w:after="0"/>
              <w:rPr>
                <w:sz w:val="20"/>
                <w:szCs w:val="20"/>
                <w:color w:val="auto"/>
              </w:rPr>
            </w:pPr>
            <w:r>
              <w:rPr>
                <w:rFonts w:ascii="Courier New" w:cs="Courier New" w:eastAsia="Courier New" w:hAnsi="Courier New"/>
                <w:sz w:val="16"/>
                <w:szCs w:val="16"/>
                <w:color w:val="auto"/>
                <w:w w:val="91"/>
              </w:rPr>
              <w:t>(205)</w:t>
            </w:r>
          </w:p>
        </w:tc>
        <w:tc>
          <w:tcPr>
            <w:tcW w:w="14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980" w:type="dxa"/>
            <w:vAlign w:val="bottom"/>
          </w:tcPr>
          <w:p>
            <w:pPr>
              <w:jc w:val="right"/>
              <w:ind w:right="35"/>
              <w:spacing w:after="0" w:line="179" w:lineRule="exact"/>
              <w:rPr>
                <w:sz w:val="20"/>
                <w:szCs w:val="20"/>
                <w:color w:val="auto"/>
              </w:rPr>
            </w:pPr>
            <w:r>
              <w:rPr>
                <w:rFonts w:ascii="Courier New" w:cs="Courier New" w:eastAsia="Courier New" w:hAnsi="Courier New"/>
                <w:sz w:val="16"/>
                <w:szCs w:val="16"/>
                <w:color w:val="auto"/>
                <w:w w:val="99"/>
              </w:rPr>
              <w:t>(246) 451</w:t>
            </w:r>
          </w:p>
        </w:tc>
        <w:tc>
          <w:tcPr>
            <w:tcW w:w="2960" w:type="dxa"/>
            <w:vAlign w:val="bottom"/>
            <w:gridSpan w:val="4"/>
            <w:vMerge w:val="continue"/>
          </w:tcPr>
          <w:p>
            <w:pPr>
              <w:jc w:val="right"/>
              <w:ind w:right="2"/>
              <w:spacing w:after="0" w:line="158" w:lineRule="exact"/>
              <w:rPr>
                <w:sz w:val="20"/>
                <w:szCs w:val="20"/>
                <w:color w:val="auto"/>
              </w:rPr>
            </w:pPr>
            <w:r>
              <w:rPr>
                <w:rFonts w:ascii="Courier New" w:cs="Courier New" w:eastAsia="Courier New" w:hAnsi="Courier New"/>
                <w:sz w:val="16"/>
                <w:szCs w:val="16"/>
                <w:color w:val="auto"/>
              </w:rPr>
              <w:t>-- -- ----- ----- -------</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 -----</w:t>
            </w:r>
          </w:p>
        </w:tc>
        <w:tc>
          <w:tcPr>
            <w:tcW w:w="0" w:type="dxa"/>
            <w:vAlign w:val="bottom"/>
          </w:tcPr>
          <w:p>
            <w:pPr>
              <w:spacing w:after="0"/>
              <w:rPr>
                <w:sz w:val="1"/>
                <w:szCs w:val="1"/>
                <w:color w:val="auto"/>
              </w:rPr>
            </w:pPr>
          </w:p>
        </w:tc>
      </w:tr>
      <w:tr>
        <w:trPr>
          <w:trHeight w:val="179"/>
        </w:trPr>
        <w:tc>
          <w:tcPr>
            <w:tcW w:w="980" w:type="dxa"/>
            <w:vAlign w:val="bottom"/>
          </w:tcPr>
          <w:p>
            <w:pPr>
              <w:spacing w:after="0"/>
              <w:rPr>
                <w:sz w:val="15"/>
                <w:szCs w:val="15"/>
                <w:color w:val="auto"/>
              </w:rPr>
            </w:pPr>
          </w:p>
        </w:tc>
        <w:tc>
          <w:tcPr>
            <w:tcW w:w="4140" w:type="dxa"/>
            <w:vAlign w:val="bottom"/>
            <w:gridSpan w:val="5"/>
          </w:tcPr>
          <w:p>
            <w:pPr>
              <w:jc w:val="center"/>
              <w:ind w:right="1002"/>
              <w:spacing w:after="0" w:line="179" w:lineRule="exact"/>
              <w:rPr>
                <w:sz w:val="20"/>
                <w:szCs w:val="20"/>
                <w:color w:val="auto"/>
              </w:rPr>
            </w:pPr>
            <w:r>
              <w:rPr>
                <w:rFonts w:ascii="Courier New" w:cs="Courier New" w:eastAsia="Courier New" w:hAnsi="Courier New"/>
                <w:sz w:val="16"/>
                <w:szCs w:val="16"/>
                <w:color w:val="auto"/>
                <w:w w:val="96"/>
              </w:rPr>
              <w:t>-- Net cash provided by financing</w:t>
            </w:r>
          </w:p>
        </w:tc>
        <w:tc>
          <w:tcPr>
            <w:tcW w:w="0" w:type="dxa"/>
            <w:vAlign w:val="bottom"/>
          </w:tcPr>
          <w:p>
            <w:pPr>
              <w:spacing w:after="0"/>
              <w:rPr>
                <w:sz w:val="1"/>
                <w:szCs w:val="1"/>
                <w:color w:val="auto"/>
              </w:rPr>
            </w:pPr>
          </w:p>
        </w:tc>
      </w:tr>
      <w:tr>
        <w:trPr>
          <w:trHeight w:val="179"/>
        </w:trPr>
        <w:tc>
          <w:tcPr>
            <w:tcW w:w="1340" w:type="dxa"/>
            <w:vAlign w:val="bottom"/>
            <w:gridSpan w:val="3"/>
          </w:tcPr>
          <w:p>
            <w:pPr>
              <w:ind w:left="80"/>
              <w:spacing w:after="0"/>
              <w:rPr>
                <w:sz w:val="20"/>
                <w:szCs w:val="20"/>
                <w:color w:val="auto"/>
              </w:rPr>
            </w:pPr>
            <w:r>
              <w:rPr>
                <w:rFonts w:ascii="Courier New" w:cs="Courier New" w:eastAsia="Courier New" w:hAnsi="Courier New"/>
                <w:sz w:val="11"/>
                <w:szCs w:val="11"/>
                <w:color w:val="auto"/>
                <w:w w:val="75"/>
              </w:rPr>
              <w:t>activities...............</w:t>
            </w:r>
          </w:p>
        </w:tc>
        <w:tc>
          <w:tcPr>
            <w:tcW w:w="1160" w:type="dxa"/>
            <w:vAlign w:val="bottom"/>
          </w:tcPr>
          <w:p>
            <w:pPr>
              <w:spacing w:after="0"/>
              <w:rPr>
                <w:sz w:val="15"/>
                <w:szCs w:val="15"/>
                <w:color w:val="auto"/>
              </w:rPr>
            </w:pPr>
          </w:p>
        </w:tc>
        <w:tc>
          <w:tcPr>
            <w:tcW w:w="26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w w:val="96"/>
              </w:rPr>
              <w:t>66 51 (231) -- (114) -----</w:t>
            </w:r>
          </w:p>
        </w:tc>
        <w:tc>
          <w:tcPr>
            <w:tcW w:w="0" w:type="dxa"/>
            <w:vAlign w:val="bottom"/>
          </w:tcPr>
          <w:p>
            <w:pPr>
              <w:spacing w:after="0"/>
              <w:rPr>
                <w:sz w:val="1"/>
                <w:szCs w:val="1"/>
                <w:color w:val="auto"/>
              </w:rPr>
            </w:pPr>
          </w:p>
        </w:tc>
      </w:tr>
      <w:tr>
        <w:trPr>
          <w:trHeight w:val="179"/>
        </w:trPr>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8"/>
              </w:rPr>
              <w:t>----- -------</w:t>
            </w:r>
          </w:p>
        </w:tc>
        <w:tc>
          <w:tcPr>
            <w:tcW w:w="22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 -------</w:t>
            </w:r>
          </w:p>
        </w:tc>
        <w:tc>
          <w:tcPr>
            <w:tcW w:w="2620" w:type="dxa"/>
            <w:vAlign w:val="bottom"/>
            <w:gridSpan w:val="2"/>
          </w:tcPr>
          <w:p>
            <w:pPr>
              <w:jc w:val="right"/>
              <w:ind w:right="162"/>
              <w:spacing w:after="0" w:line="179" w:lineRule="exact"/>
              <w:rPr>
                <w:sz w:val="20"/>
                <w:szCs w:val="20"/>
                <w:color w:val="auto"/>
              </w:rPr>
            </w:pPr>
            <w:r>
              <w:rPr>
                <w:rFonts w:ascii="Courier New" w:cs="Courier New" w:eastAsia="Courier New" w:hAnsi="Courier New"/>
                <w:sz w:val="16"/>
                <w:szCs w:val="16"/>
                <w:color w:val="auto"/>
              </w:rPr>
              <w:t>Effect of exchange rate</w:t>
            </w:r>
          </w:p>
        </w:tc>
        <w:tc>
          <w:tcPr>
            <w:tcW w:w="0" w:type="dxa"/>
            <w:vAlign w:val="bottom"/>
          </w:tcPr>
          <w:p>
            <w:pPr>
              <w:spacing w:after="0"/>
              <w:rPr>
                <w:sz w:val="1"/>
                <w:szCs w:val="1"/>
                <w:color w:val="auto"/>
              </w:rPr>
            </w:pPr>
          </w:p>
        </w:tc>
      </w:tr>
      <w:tr>
        <w:trPr>
          <w:trHeight w:val="261"/>
        </w:trPr>
        <w:tc>
          <w:tcPr>
            <w:tcW w:w="11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equivalents</w:t>
            </w:r>
          </w:p>
        </w:tc>
        <w:tc>
          <w:tcPr>
            <w:tcW w:w="220" w:type="dxa"/>
            <w:vAlign w:val="bottom"/>
          </w:tcPr>
          <w:p>
            <w:pPr>
              <w:spacing w:after="0"/>
              <w:rPr>
                <w:sz w:val="22"/>
                <w:szCs w:val="22"/>
                <w:color w:val="auto"/>
              </w:rPr>
            </w:pPr>
          </w:p>
        </w:tc>
        <w:tc>
          <w:tcPr>
            <w:tcW w:w="2600" w:type="dxa"/>
            <w:vAlign w:val="bottom"/>
            <w:gridSpan w:val="2"/>
          </w:tcPr>
          <w:p>
            <w:pPr>
              <w:jc w:val="center"/>
              <w:ind w:right="202"/>
              <w:spacing w:after="0"/>
              <w:rPr>
                <w:sz w:val="20"/>
                <w:szCs w:val="20"/>
                <w:color w:val="auto"/>
              </w:rPr>
            </w:pPr>
            <w:r>
              <w:rPr>
                <w:rFonts w:ascii="Courier New" w:cs="Courier New" w:eastAsia="Courier New" w:hAnsi="Courier New"/>
                <w:sz w:val="16"/>
                <w:szCs w:val="16"/>
                <w:color w:val="auto"/>
                <w:w w:val="97"/>
              </w:rPr>
              <w:t>changes on cash and cash</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1340" w:type="dxa"/>
            <w:vAlign w:val="bottom"/>
            <w:gridSpan w:val="3"/>
            <w:vMerge w:val="continue"/>
          </w:tcPr>
          <w:p>
            <w:pPr>
              <w:ind w:left="1020"/>
              <w:spacing w:after="0"/>
              <w:rPr>
                <w:sz w:val="20"/>
                <w:szCs w:val="20"/>
                <w:color w:val="auto"/>
              </w:rPr>
            </w:pPr>
            <w:r>
              <w:rPr>
                <w:rFonts w:ascii="Courier New" w:cs="Courier New" w:eastAsia="Courier New" w:hAnsi="Courier New"/>
                <w:sz w:val="1"/>
                <w:szCs w:val="1"/>
                <w:color w:val="auto"/>
              </w:rPr>
              <w:t>...........................................</w:t>
            </w:r>
          </w:p>
        </w:tc>
        <w:tc>
          <w:tcPr>
            <w:tcW w:w="2600" w:type="dxa"/>
            <w:vAlign w:val="bottom"/>
            <w:gridSpan w:val="2"/>
            <w:vMerge w:val="restart"/>
          </w:tcPr>
          <w:p>
            <w:pPr>
              <w:ind w:left="40"/>
              <w:spacing w:after="0"/>
              <w:rPr>
                <w:sz w:val="20"/>
                <w:szCs w:val="20"/>
                <w:color w:val="auto"/>
              </w:rPr>
            </w:pPr>
            <w:r>
              <w:rPr>
                <w:rFonts w:ascii="Courier New" w:cs="Courier New" w:eastAsia="Courier New" w:hAnsi="Courier New"/>
                <w:sz w:val="16"/>
                <w:szCs w:val="16"/>
                <w:color w:val="auto"/>
              </w:rPr>
              <w:t>(1) ----- -----</w:t>
            </w: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 -- (1)</w:t>
            </w:r>
          </w:p>
        </w:tc>
        <w:tc>
          <w:tcPr>
            <w:tcW w:w="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w:t>
            </w:r>
          </w:p>
        </w:tc>
        <w:tc>
          <w:tcPr>
            <w:tcW w:w="1160" w:type="dxa"/>
            <w:vAlign w:val="bottom"/>
            <w:vMerge w:val="continue"/>
          </w:tcPr>
          <w:p>
            <w:pPr>
              <w:spacing w:after="0"/>
              <w:rPr>
                <w:sz w:val="15"/>
                <w:szCs w:val="15"/>
                <w:color w:val="auto"/>
              </w:rPr>
            </w:pPr>
          </w:p>
        </w:tc>
        <w:tc>
          <w:tcPr>
            <w:tcW w:w="2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 -------</w:t>
            </w:r>
          </w:p>
        </w:tc>
        <w:tc>
          <w:tcPr>
            <w:tcW w:w="0" w:type="dxa"/>
            <w:vAlign w:val="bottom"/>
          </w:tcPr>
          <w:p>
            <w:pPr>
              <w:spacing w:after="0"/>
              <w:rPr>
                <w:sz w:val="1"/>
                <w:szCs w:val="1"/>
                <w:color w:val="auto"/>
              </w:rPr>
            </w:pPr>
          </w:p>
        </w:tc>
      </w:tr>
      <w:tr>
        <w:trPr>
          <w:trHeight w:val="179"/>
        </w:trPr>
        <w:tc>
          <w:tcPr>
            <w:tcW w:w="5120" w:type="dxa"/>
            <w:vAlign w:val="bottom"/>
            <w:gridSpan w:val="6"/>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Increase (decrease) in cash and cash</w:t>
            </w:r>
          </w:p>
        </w:tc>
        <w:tc>
          <w:tcPr>
            <w:tcW w:w="0" w:type="dxa"/>
            <w:vAlign w:val="bottom"/>
          </w:tcPr>
          <w:p>
            <w:pPr>
              <w:spacing w:after="0"/>
              <w:rPr>
                <w:sz w:val="1"/>
                <w:szCs w:val="1"/>
                <w:color w:val="auto"/>
              </w:rPr>
            </w:pPr>
          </w:p>
        </w:tc>
      </w:tr>
      <w:tr>
        <w:trPr>
          <w:trHeight w:val="179"/>
        </w:trPr>
        <w:tc>
          <w:tcPr>
            <w:tcW w:w="1340" w:type="dxa"/>
            <w:vAlign w:val="bottom"/>
            <w:gridSpan w:val="3"/>
          </w:tcPr>
          <w:p>
            <w:pPr>
              <w:ind w:left="80"/>
              <w:spacing w:after="0"/>
              <w:rPr>
                <w:sz w:val="20"/>
                <w:szCs w:val="20"/>
                <w:color w:val="auto"/>
              </w:rPr>
            </w:pPr>
            <w:r>
              <w:rPr>
                <w:rFonts w:ascii="Courier New" w:cs="Courier New" w:eastAsia="Courier New" w:hAnsi="Courier New"/>
                <w:sz w:val="14"/>
                <w:szCs w:val="14"/>
                <w:color w:val="auto"/>
                <w:w w:val="77"/>
              </w:rPr>
              <w:t>equivalents........</w:t>
            </w:r>
          </w:p>
        </w:tc>
        <w:tc>
          <w:tcPr>
            <w:tcW w:w="3780" w:type="dxa"/>
            <w:vAlign w:val="bottom"/>
            <w:gridSpan w:val="3"/>
          </w:tcPr>
          <w:p>
            <w:pPr>
              <w:jc w:val="right"/>
              <w:ind w:right="122"/>
              <w:spacing w:after="0" w:line="179" w:lineRule="exact"/>
              <w:rPr>
                <w:sz w:val="20"/>
                <w:szCs w:val="20"/>
                <w:color w:val="auto"/>
              </w:rPr>
            </w:pPr>
            <w:r>
              <w:rPr>
                <w:rFonts w:ascii="Courier New" w:cs="Courier New" w:eastAsia="Courier New" w:hAnsi="Courier New"/>
                <w:sz w:val="16"/>
                <w:szCs w:val="16"/>
                <w:color w:val="auto"/>
              </w:rPr>
              <w:t>(7) (8) 317 -- 302 Cash and cash</w:t>
            </w:r>
          </w:p>
        </w:tc>
        <w:tc>
          <w:tcPr>
            <w:tcW w:w="0" w:type="dxa"/>
            <w:vAlign w:val="bottom"/>
          </w:tcPr>
          <w:p>
            <w:pPr>
              <w:spacing w:after="0"/>
              <w:rPr>
                <w:sz w:val="1"/>
                <w:szCs w:val="1"/>
                <w:color w:val="auto"/>
              </w:rPr>
            </w:pPr>
          </w:p>
        </w:tc>
      </w:tr>
      <w:tr>
        <w:trPr>
          <w:trHeight w:val="179"/>
        </w:trPr>
        <w:tc>
          <w:tcPr>
            <w:tcW w:w="3940" w:type="dxa"/>
            <w:vAlign w:val="bottom"/>
            <w:gridSpan w:val="5"/>
          </w:tcPr>
          <w:p>
            <w:pPr>
              <w:ind w:left="40"/>
              <w:spacing w:after="0" w:line="179" w:lineRule="exact"/>
              <w:rPr>
                <w:sz w:val="20"/>
                <w:szCs w:val="20"/>
                <w:color w:val="auto"/>
              </w:rPr>
            </w:pPr>
            <w:r>
              <w:rPr>
                <w:rFonts w:ascii="Courier New" w:cs="Courier New" w:eastAsia="Courier New" w:hAnsi="Courier New"/>
                <w:sz w:val="16"/>
                <w:szCs w:val="16"/>
                <w:color w:val="auto"/>
                <w:w w:val="96"/>
              </w:rPr>
              <w:t>equivalents at beginning of period........</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72 14 8 --</w:t>
            </w:r>
          </w:p>
        </w:tc>
        <w:tc>
          <w:tcPr>
            <w:tcW w:w="0" w:type="dxa"/>
            <w:vAlign w:val="bottom"/>
          </w:tcPr>
          <w:p>
            <w:pPr>
              <w:spacing w:after="0"/>
              <w:rPr>
                <w:sz w:val="1"/>
                <w:szCs w:val="1"/>
                <w:color w:val="auto"/>
              </w:rPr>
            </w:pPr>
          </w:p>
        </w:tc>
      </w:tr>
      <w:tr>
        <w:trPr>
          <w:trHeight w:val="179"/>
        </w:trPr>
        <w:tc>
          <w:tcPr>
            <w:tcW w:w="9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94 -----</w:t>
            </w:r>
          </w:p>
        </w:tc>
        <w:tc>
          <w:tcPr>
            <w:tcW w:w="3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0"/>
              </w:rPr>
              <w:t>-----</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 -----</w:t>
            </w:r>
          </w:p>
        </w:tc>
        <w:tc>
          <w:tcPr>
            <w:tcW w:w="26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Cash and cash</w:t>
            </w:r>
          </w:p>
        </w:tc>
        <w:tc>
          <w:tcPr>
            <w:tcW w:w="0" w:type="dxa"/>
            <w:vAlign w:val="bottom"/>
          </w:tcPr>
          <w:p>
            <w:pPr>
              <w:spacing w:after="0"/>
              <w:rPr>
                <w:sz w:val="1"/>
                <w:szCs w:val="1"/>
                <w:color w:val="auto"/>
              </w:rPr>
            </w:pPr>
          </w:p>
        </w:tc>
      </w:tr>
      <w:tr>
        <w:trPr>
          <w:trHeight w:val="179"/>
        </w:trPr>
        <w:tc>
          <w:tcPr>
            <w:tcW w:w="3940" w:type="dxa"/>
            <w:vAlign w:val="bottom"/>
            <w:gridSpan w:val="5"/>
          </w:tcPr>
          <w:p>
            <w:pPr>
              <w:ind w:left="40"/>
              <w:spacing w:after="0" w:line="179" w:lineRule="exact"/>
              <w:rPr>
                <w:sz w:val="20"/>
                <w:szCs w:val="20"/>
                <w:color w:val="auto"/>
              </w:rPr>
            </w:pPr>
            <w:r>
              <w:rPr>
                <w:rFonts w:ascii="Courier New" w:cs="Courier New" w:eastAsia="Courier New" w:hAnsi="Courier New"/>
                <w:sz w:val="16"/>
                <w:szCs w:val="16"/>
                <w:color w:val="auto"/>
                <w:w w:val="96"/>
              </w:rPr>
              <w:t>equivalents at end of period..............</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$ 65 $ 6 $</w:t>
            </w:r>
          </w:p>
        </w:tc>
        <w:tc>
          <w:tcPr>
            <w:tcW w:w="0" w:type="dxa"/>
            <w:vAlign w:val="bottom"/>
          </w:tcPr>
          <w:p>
            <w:pPr>
              <w:spacing w:after="0"/>
              <w:rPr>
                <w:sz w:val="1"/>
                <w:szCs w:val="1"/>
                <w:color w:val="auto"/>
              </w:rPr>
            </w:pPr>
          </w:p>
        </w:tc>
      </w:tr>
      <w:tr>
        <w:trPr>
          <w:trHeight w:val="261"/>
        </w:trPr>
        <w:tc>
          <w:tcPr>
            <w:tcW w:w="11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325 $ --</w:t>
            </w:r>
          </w:p>
        </w:tc>
        <w:tc>
          <w:tcPr>
            <w:tcW w:w="4000" w:type="dxa"/>
            <w:vAlign w:val="bottom"/>
            <w:gridSpan w:val="4"/>
          </w:tcPr>
          <w:p>
            <w:pPr>
              <w:jc w:val="right"/>
              <w:ind w:right="302"/>
              <w:spacing w:after="0"/>
              <w:rPr>
                <w:sz w:val="20"/>
                <w:szCs w:val="20"/>
                <w:color w:val="auto"/>
              </w:rPr>
            </w:pPr>
            <w:r>
              <w:rPr>
                <w:rFonts w:ascii="Courier New" w:cs="Courier New" w:eastAsia="Courier New" w:hAnsi="Courier New"/>
                <w:sz w:val="16"/>
                <w:szCs w:val="16"/>
                <w:color w:val="auto"/>
                <w:w w:val="96"/>
              </w:rPr>
              <w:t>$ 396 ===== ===== ======= ===== =======</w:t>
            </w:r>
          </w:p>
        </w:tc>
        <w:tc>
          <w:tcPr>
            <w:tcW w:w="0" w:type="dxa"/>
            <w:vAlign w:val="bottom"/>
          </w:tcPr>
          <w:p>
            <w:pPr>
              <w:spacing w:after="0"/>
              <w:rPr>
                <w:sz w:val="1"/>
                <w:szCs w:val="1"/>
                <w:color w:val="auto"/>
              </w:rPr>
            </w:pPr>
          </w:p>
        </w:tc>
      </w:tr>
      <w:tr>
        <w:trPr>
          <w:trHeight w:val="454"/>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SIX MONTHS ENDED JUNE 30, 2000</w:t>
            </w: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2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(UNAUDITED)</w:t>
            </w:r>
          </w:p>
        </w:tc>
        <w:tc>
          <w:tcPr>
            <w:tcW w:w="0" w:type="dxa"/>
            <w:vAlign w:val="bottom"/>
          </w:tcPr>
          <w:p>
            <w:pPr>
              <w:spacing w:after="0"/>
              <w:rPr>
                <w:sz w:val="1"/>
                <w:szCs w:val="1"/>
                <w:color w:val="auto"/>
              </w:rPr>
            </w:pPr>
          </w:p>
        </w:tc>
      </w:tr>
      <w:tr>
        <w:trPr>
          <w:trHeight w:val="276"/>
        </w:trPr>
        <w:tc>
          <w:tcPr>
            <w:tcW w:w="5120" w:type="dxa"/>
            <w:vAlign w:val="bottom"/>
            <w:gridSpan w:val="6"/>
          </w:tcPr>
          <w:p>
            <w:pPr>
              <w:jc w:val="center"/>
              <w:ind w:right="22"/>
              <w:spacing w:after="0"/>
              <w:rPr>
                <w:sz w:val="20"/>
                <w:szCs w:val="20"/>
                <w:color w:val="auto"/>
              </w:rPr>
            </w:pPr>
            <w:r>
              <w:rPr>
                <w:rFonts w:ascii="Courier New" w:cs="Courier New" w:eastAsia="Courier New" w:hAnsi="Courier New"/>
                <w:sz w:val="16"/>
                <w:szCs w:val="16"/>
                <w:color w:val="auto"/>
                <w:w w:val="97"/>
              </w:rPr>
              <w:t>PARENT GUARANTOR NON-GUARANTORS ELIMINATIONS</w:t>
            </w:r>
          </w:p>
        </w:tc>
        <w:tc>
          <w:tcPr>
            <w:tcW w:w="0" w:type="dxa"/>
            <w:vAlign w:val="bottom"/>
          </w:tcPr>
          <w:p>
            <w:pPr>
              <w:spacing w:after="0"/>
              <w:rPr>
                <w:sz w:val="1"/>
                <w:szCs w:val="1"/>
                <w:color w:val="auto"/>
              </w:rPr>
            </w:pPr>
          </w:p>
        </w:tc>
      </w:tr>
      <w:tr>
        <w:trPr>
          <w:trHeight w:val="179"/>
        </w:trPr>
        <w:tc>
          <w:tcPr>
            <w:tcW w:w="1340" w:type="dxa"/>
            <w:vAlign w:val="bottom"/>
            <w:gridSpan w:val="3"/>
          </w:tcPr>
          <w:p>
            <w:pPr>
              <w:ind w:left="40"/>
              <w:spacing w:after="0" w:line="179" w:lineRule="exact"/>
              <w:rPr>
                <w:sz w:val="20"/>
                <w:szCs w:val="20"/>
                <w:color w:val="auto"/>
              </w:rPr>
            </w:pPr>
            <w:r>
              <w:rPr>
                <w:rFonts w:ascii="Courier New" w:cs="Courier New" w:eastAsia="Courier New" w:hAnsi="Courier New"/>
                <w:sz w:val="18"/>
                <w:szCs w:val="18"/>
                <w:color w:val="auto"/>
                <w:w w:val="71"/>
                <w:vertAlign w:val="superscript"/>
              </w:rPr>
              <w:t>CONSOLIDATION</w:t>
            </w:r>
            <w:r>
              <w:rPr>
                <w:rFonts w:ascii="Courier New" w:cs="Courier New" w:eastAsia="Courier New" w:hAnsi="Courier New"/>
                <w:sz w:val="11"/>
                <w:szCs w:val="11"/>
                <w:color w:val="auto"/>
                <w:w w:val="71"/>
              </w:rPr>
              <w:t>-------------</w:t>
            </w:r>
          </w:p>
        </w:tc>
        <w:tc>
          <w:tcPr>
            <w:tcW w:w="3780" w:type="dxa"/>
            <w:vAlign w:val="bottom"/>
            <w:gridSpan w:val="3"/>
            <w:vMerge w:val="restart"/>
          </w:tcPr>
          <w:p>
            <w:pPr>
              <w:jc w:val="right"/>
              <w:ind w:right="62"/>
              <w:spacing w:after="0"/>
              <w:rPr>
                <w:sz w:val="20"/>
                <w:szCs w:val="20"/>
                <w:color w:val="auto"/>
              </w:rPr>
            </w:pPr>
            <w:r>
              <w:rPr>
                <w:rFonts w:ascii="Courier New" w:cs="Courier New" w:eastAsia="Courier New" w:hAnsi="Courier New"/>
                <w:sz w:val="13"/>
                <w:szCs w:val="13"/>
                <w:color w:val="auto"/>
                <w:w w:val="71"/>
              </w:rPr>
              <w:t>------ ---------</w:t>
            </w:r>
            <w:r>
              <w:rPr>
                <w:rFonts w:ascii="Courier New" w:cs="Courier New" w:eastAsia="Courier New" w:hAnsi="Courier New"/>
                <w:sz w:val="25"/>
                <w:szCs w:val="25"/>
                <w:color w:val="auto"/>
                <w:w w:val="71"/>
                <w:vertAlign w:val="subscript"/>
              </w:rPr>
              <w:t>Cashflows</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fromoperating</w:t>
            </w:r>
            <w:r>
              <w:rPr>
                <w:rFonts w:ascii="Courier New" w:cs="Courier New" w:eastAsia="Courier New" w:hAnsi="Courier New"/>
                <w:sz w:val="13"/>
                <w:szCs w:val="13"/>
                <w:color w:val="auto"/>
                <w:w w:val="71"/>
              </w:rPr>
              <w:t>-------</w:t>
            </w:r>
          </w:p>
        </w:tc>
        <w:tc>
          <w:tcPr>
            <w:tcW w:w="0" w:type="dxa"/>
            <w:vAlign w:val="bottom"/>
          </w:tcPr>
          <w:p>
            <w:pPr>
              <w:spacing w:after="0"/>
              <w:rPr>
                <w:sz w:val="1"/>
                <w:szCs w:val="1"/>
                <w:color w:val="auto"/>
              </w:rPr>
            </w:pPr>
          </w:p>
        </w:tc>
      </w:tr>
      <w:tr>
        <w:trPr>
          <w:trHeight w:val="179"/>
        </w:trPr>
        <w:tc>
          <w:tcPr>
            <w:tcW w:w="980" w:type="dxa"/>
            <w:vAlign w:val="bottom"/>
          </w:tcPr>
          <w:p>
            <w:pPr>
              <w:jc w:val="right"/>
              <w:ind w:right="35"/>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20" w:type="dxa"/>
            <w:vAlign w:val="bottom"/>
            <w:gridSpan w:val="2"/>
            <w:vMerge w:val="restart"/>
          </w:tcPr>
          <w:p>
            <w:pPr>
              <w:ind w:left="80"/>
              <w:spacing w:after="0"/>
              <w:rPr>
                <w:sz w:val="20"/>
                <w:szCs w:val="20"/>
                <w:color w:val="auto"/>
              </w:rPr>
            </w:pPr>
            <w:r>
              <w:rPr>
                <w:rFonts w:ascii="Courier New" w:cs="Courier New" w:eastAsia="Courier New" w:hAnsi="Courier New"/>
                <w:sz w:val="4"/>
                <w:szCs w:val="4"/>
                <w:color w:val="auto"/>
                <w:w w:val="84"/>
              </w:rPr>
              <w:t>income............................................</w:t>
            </w:r>
          </w:p>
        </w:tc>
        <w:tc>
          <w:tcPr>
            <w:tcW w:w="220" w:type="dxa"/>
            <w:vAlign w:val="bottom"/>
          </w:tcPr>
          <w:p>
            <w:pPr>
              <w:spacing w:after="0"/>
              <w:rPr>
                <w:sz w:val="22"/>
                <w:szCs w:val="22"/>
                <w:color w:val="auto"/>
              </w:rPr>
            </w:pPr>
          </w:p>
        </w:tc>
        <w:tc>
          <w:tcPr>
            <w:tcW w:w="2600" w:type="dxa"/>
            <w:vAlign w:val="bottom"/>
            <w:gridSpan w:val="2"/>
          </w:tcPr>
          <w:p>
            <w:pPr>
              <w:jc w:val="center"/>
              <w:ind w:right="202"/>
              <w:spacing w:after="0"/>
              <w:rPr>
                <w:sz w:val="20"/>
                <w:szCs w:val="20"/>
                <w:color w:val="auto"/>
              </w:rPr>
            </w:pPr>
            <w:r>
              <w:rPr>
                <w:rFonts w:ascii="Courier New" w:cs="Courier New" w:eastAsia="Courier New" w:hAnsi="Courier New"/>
                <w:sz w:val="16"/>
                <w:szCs w:val="16"/>
                <w:color w:val="auto"/>
                <w:w w:val="97"/>
              </w:rPr>
              <w:t>activities: Net</w:t>
            </w:r>
          </w:p>
        </w:tc>
        <w:tc>
          <w:tcPr>
            <w:tcW w:w="11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9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2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55 $ 209</w:t>
            </w:r>
          </w:p>
        </w:tc>
        <w:tc>
          <w:tcPr>
            <w:tcW w:w="4000" w:type="dxa"/>
            <w:vAlign w:val="bottom"/>
            <w:gridSpan w:val="4"/>
          </w:tcPr>
          <w:p>
            <w:pPr>
              <w:jc w:val="right"/>
              <w:ind w:right="302"/>
              <w:spacing w:after="0" w:line="179" w:lineRule="exact"/>
              <w:rPr>
                <w:sz w:val="20"/>
                <w:szCs w:val="20"/>
                <w:color w:val="auto"/>
              </w:rPr>
            </w:pPr>
            <w:r>
              <w:rPr>
                <w:rFonts w:ascii="Courier New" w:cs="Courier New" w:eastAsia="Courier New" w:hAnsi="Courier New"/>
                <w:sz w:val="16"/>
                <w:szCs w:val="16"/>
                <w:color w:val="auto"/>
                <w:w w:val="96"/>
              </w:rPr>
              <w:t>$ 285 $(494) $ 55 Equity in earnings of</w:t>
            </w:r>
          </w:p>
        </w:tc>
        <w:tc>
          <w:tcPr>
            <w:tcW w:w="0" w:type="dxa"/>
            <w:vAlign w:val="bottom"/>
          </w:tcPr>
          <w:p>
            <w:pPr>
              <w:spacing w:after="0"/>
              <w:rPr>
                <w:sz w:val="1"/>
                <w:szCs w:val="1"/>
                <w:color w:val="auto"/>
              </w:rPr>
            </w:pPr>
          </w:p>
        </w:tc>
      </w:tr>
      <w:tr>
        <w:trPr>
          <w:trHeight w:val="179"/>
        </w:trPr>
        <w:tc>
          <w:tcPr>
            <w:tcW w:w="2500" w:type="dxa"/>
            <w:vAlign w:val="bottom"/>
            <w:gridSpan w:val="4"/>
          </w:tcPr>
          <w:p>
            <w:pPr>
              <w:ind w:left="40"/>
              <w:spacing w:after="0" w:line="179" w:lineRule="exact"/>
              <w:rPr>
                <w:sz w:val="20"/>
                <w:szCs w:val="20"/>
                <w:color w:val="auto"/>
              </w:rPr>
            </w:pPr>
            <w:r>
              <w:rPr>
                <w:rFonts w:ascii="Courier New" w:cs="Courier New" w:eastAsia="Courier New" w:hAnsi="Courier New"/>
                <w:sz w:val="16"/>
                <w:szCs w:val="16"/>
                <w:color w:val="auto"/>
                <w:w w:val="79"/>
              </w:rPr>
              <w:t>subsidiaries, net of taxes......</w:t>
            </w:r>
          </w:p>
        </w:tc>
        <w:tc>
          <w:tcPr>
            <w:tcW w:w="2620" w:type="dxa"/>
            <w:vAlign w:val="bottom"/>
            <w:gridSpan w:val="2"/>
          </w:tcPr>
          <w:p>
            <w:pPr>
              <w:jc w:val="right"/>
              <w:ind w:right="62"/>
              <w:spacing w:after="0" w:line="179" w:lineRule="exact"/>
              <w:rPr>
                <w:sz w:val="20"/>
                <w:szCs w:val="20"/>
                <w:color w:val="auto"/>
              </w:rPr>
            </w:pPr>
            <w:r>
              <w:rPr>
                <w:rFonts w:ascii="Courier New" w:cs="Courier New" w:eastAsia="Courier New" w:hAnsi="Courier New"/>
                <w:sz w:val="16"/>
                <w:szCs w:val="16"/>
                <w:color w:val="auto"/>
              </w:rPr>
              <w:t>(209) (285) -- 494 -</w:t>
            </w:r>
          </w:p>
        </w:tc>
        <w:tc>
          <w:tcPr>
            <w:tcW w:w="0" w:type="dxa"/>
            <w:vAlign w:val="bottom"/>
          </w:tcPr>
          <w:p>
            <w:pPr>
              <w:spacing w:after="0"/>
              <w:rPr>
                <w:sz w:val="1"/>
                <w:szCs w:val="1"/>
                <w:color w:val="auto"/>
              </w:rPr>
            </w:pPr>
          </w:p>
        </w:tc>
      </w:tr>
      <w:tr>
        <w:trPr>
          <w:trHeight w:val="179"/>
        </w:trPr>
        <w:tc>
          <w:tcPr>
            <w:tcW w:w="1120" w:type="dxa"/>
            <w:vAlign w:val="bottom"/>
            <w:gridSpan w:val="2"/>
            <w:vMerge w:val="restart"/>
          </w:tcPr>
          <w:p>
            <w:pPr>
              <w:ind w:left="280"/>
              <w:spacing w:after="0"/>
              <w:rPr>
                <w:sz w:val="20"/>
                <w:szCs w:val="20"/>
                <w:color w:val="auto"/>
              </w:rPr>
            </w:pPr>
            <w:r>
              <w:rPr>
                <w:rFonts w:ascii="Courier New" w:cs="Courier New" w:eastAsia="Courier New" w:hAnsi="Courier New"/>
                <w:sz w:val="6"/>
                <w:szCs w:val="6"/>
                <w:color w:val="auto"/>
                <w:w w:val="71"/>
              </w:rPr>
              <w:t>changes.........................</w:t>
            </w:r>
          </w:p>
        </w:tc>
        <w:tc>
          <w:tcPr>
            <w:tcW w:w="220" w:type="dxa"/>
            <w:vAlign w:val="bottom"/>
          </w:tcPr>
          <w:p>
            <w:pPr>
              <w:spacing w:after="0"/>
              <w:rPr>
                <w:sz w:val="15"/>
                <w:szCs w:val="15"/>
                <w:color w:val="auto"/>
              </w:rPr>
            </w:pPr>
          </w:p>
        </w:tc>
        <w:tc>
          <w:tcPr>
            <w:tcW w:w="2600" w:type="dxa"/>
            <w:vAlign w:val="bottom"/>
            <w:gridSpan w:val="2"/>
          </w:tcPr>
          <w:p>
            <w:pPr>
              <w:jc w:val="center"/>
              <w:ind w:right="182"/>
              <w:spacing w:after="0" w:line="179" w:lineRule="exact"/>
              <w:rPr>
                <w:sz w:val="20"/>
                <w:szCs w:val="20"/>
                <w:color w:val="auto"/>
              </w:rPr>
            </w:pPr>
            <w:r>
              <w:rPr>
                <w:rFonts w:ascii="Courier New" w:cs="Courier New" w:eastAsia="Courier New" w:hAnsi="Courier New"/>
                <w:sz w:val="16"/>
                <w:szCs w:val="16"/>
                <w:color w:val="auto"/>
                <w:w w:val="96"/>
              </w:rPr>
              <w:t>- Other adjustments and</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2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30 (2) 1,019 --</w:t>
            </w:r>
          </w:p>
        </w:tc>
        <w:tc>
          <w:tcPr>
            <w:tcW w:w="0" w:type="dxa"/>
            <w:vAlign w:val="bottom"/>
          </w:tcPr>
          <w:p>
            <w:pPr>
              <w:spacing w:after="0"/>
              <w:rPr>
                <w:sz w:val="1"/>
                <w:szCs w:val="1"/>
                <w:color w:val="auto"/>
              </w:rPr>
            </w:pPr>
          </w:p>
        </w:tc>
      </w:tr>
      <w:tr>
        <w:trPr>
          <w:trHeight w:val="179"/>
        </w:trPr>
        <w:tc>
          <w:tcPr>
            <w:tcW w:w="11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1,047 -----</w:t>
            </w:r>
          </w:p>
        </w:tc>
        <w:tc>
          <w:tcPr>
            <w:tcW w:w="220" w:type="dxa"/>
            <w:vAlign w:val="bottom"/>
          </w:tcPr>
          <w:p>
            <w:pPr>
              <w:spacing w:after="0"/>
              <w:rPr>
                <w:sz w:val="15"/>
                <w:szCs w:val="15"/>
                <w:color w:val="auto"/>
              </w:rPr>
            </w:pPr>
          </w:p>
        </w:tc>
        <w:tc>
          <w:tcPr>
            <w:tcW w:w="26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w w:val="97"/>
              </w:rPr>
              <w:t>----- ------- ----- -------</w:t>
            </w:r>
          </w:p>
        </w:tc>
        <w:tc>
          <w:tcPr>
            <w:tcW w:w="118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Net cash</w:t>
            </w:r>
          </w:p>
        </w:tc>
        <w:tc>
          <w:tcPr>
            <w:tcW w:w="0" w:type="dxa"/>
            <w:vAlign w:val="bottom"/>
          </w:tcPr>
          <w:p>
            <w:pPr>
              <w:spacing w:after="0"/>
              <w:rPr>
                <w:sz w:val="1"/>
                <w:szCs w:val="1"/>
                <w:color w:val="auto"/>
              </w:rPr>
            </w:pPr>
          </w:p>
        </w:tc>
      </w:tr>
      <w:tr>
        <w:trPr>
          <w:trHeight w:val="179"/>
        </w:trPr>
        <w:tc>
          <w:tcPr>
            <w:tcW w:w="3940" w:type="dxa"/>
            <w:vAlign w:val="bottom"/>
            <w:gridSpan w:val="5"/>
          </w:tcPr>
          <w:p>
            <w:pPr>
              <w:ind w:left="40"/>
              <w:spacing w:after="0" w:line="179" w:lineRule="exact"/>
              <w:rPr>
                <w:sz w:val="20"/>
                <w:szCs w:val="20"/>
                <w:color w:val="auto"/>
              </w:rPr>
            </w:pPr>
            <w:r>
              <w:rPr>
                <w:rFonts w:ascii="Courier New" w:cs="Courier New" w:eastAsia="Courier New" w:hAnsi="Courier New"/>
                <w:sz w:val="16"/>
                <w:szCs w:val="16"/>
                <w:color w:val="auto"/>
                <w:w w:val="85"/>
              </w:rPr>
              <w:t>provided by (used in) operating activities.....</w:t>
            </w:r>
          </w:p>
        </w:tc>
        <w:tc>
          <w:tcPr>
            <w:tcW w:w="11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(124)</w:t>
            </w:r>
          </w:p>
        </w:tc>
        <w:tc>
          <w:tcPr>
            <w:tcW w:w="0" w:type="dxa"/>
            <w:vAlign w:val="bottom"/>
          </w:tcPr>
          <w:p>
            <w:pPr>
              <w:spacing w:after="0"/>
              <w:rPr>
                <w:sz w:val="1"/>
                <w:szCs w:val="1"/>
                <w:color w:val="auto"/>
              </w:rPr>
            </w:pPr>
          </w:p>
        </w:tc>
      </w:tr>
      <w:tr>
        <w:trPr>
          <w:trHeight w:val="179"/>
        </w:trPr>
        <w:tc>
          <w:tcPr>
            <w:tcW w:w="9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5"/>
              </w:rPr>
              <w:t>(78) 1,304</w:t>
            </w:r>
          </w:p>
        </w:tc>
        <w:tc>
          <w:tcPr>
            <w:tcW w:w="3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378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w w:val="96"/>
              </w:rPr>
              <w:t>1,102 ----- ----- ------- ----- -------</w:t>
            </w:r>
          </w:p>
        </w:tc>
        <w:tc>
          <w:tcPr>
            <w:tcW w:w="0" w:type="dxa"/>
            <w:vAlign w:val="bottom"/>
          </w:tcPr>
          <w:p>
            <w:pPr>
              <w:spacing w:after="0"/>
              <w:rPr>
                <w:sz w:val="1"/>
                <w:szCs w:val="1"/>
                <w:color w:val="auto"/>
              </w:rPr>
            </w:pPr>
          </w:p>
        </w:tc>
      </w:tr>
      <w:tr>
        <w:trPr>
          <w:trHeight w:val="179"/>
        </w:trPr>
        <w:tc>
          <w:tcPr>
            <w:tcW w:w="5120" w:type="dxa"/>
            <w:vAlign w:val="bottom"/>
            <w:gridSpan w:val="6"/>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Cash flows from investing activities: Short-term</w:t>
            </w:r>
          </w:p>
        </w:tc>
        <w:tc>
          <w:tcPr>
            <w:tcW w:w="0" w:type="dxa"/>
            <w:vAlign w:val="bottom"/>
          </w:tcPr>
          <w:p>
            <w:pPr>
              <w:spacing w:after="0"/>
              <w:rPr>
                <w:sz w:val="1"/>
                <w:szCs w:val="1"/>
                <w:color w:val="auto"/>
              </w:rPr>
            </w:pPr>
          </w:p>
        </w:tc>
      </w:tr>
      <w:tr>
        <w:trPr>
          <w:trHeight w:val="179"/>
        </w:trPr>
        <w:tc>
          <w:tcPr>
            <w:tcW w:w="1340" w:type="dxa"/>
            <w:vAlign w:val="bottom"/>
            <w:gridSpan w:val="3"/>
          </w:tcPr>
          <w:p>
            <w:pPr>
              <w:ind w:left="80"/>
              <w:spacing w:after="0"/>
              <w:rPr>
                <w:sz w:val="20"/>
                <w:szCs w:val="20"/>
                <w:color w:val="auto"/>
              </w:rPr>
            </w:pPr>
            <w:r>
              <w:rPr>
                <w:rFonts w:ascii="Courier New" w:cs="Courier New" w:eastAsia="Courier New" w:hAnsi="Courier New"/>
                <w:sz w:val="6"/>
                <w:szCs w:val="6"/>
                <w:color w:val="auto"/>
                <w:w w:val="80"/>
              </w:rPr>
              <w:t>investments................................</w:t>
            </w:r>
          </w:p>
        </w:tc>
        <w:tc>
          <w:tcPr>
            <w:tcW w:w="1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-- 54</w:t>
            </w:r>
          </w:p>
        </w:tc>
        <w:tc>
          <w:tcPr>
            <w:tcW w:w="0" w:type="dxa"/>
            <w:vAlign w:val="bottom"/>
          </w:tcPr>
          <w:p>
            <w:pPr>
              <w:spacing w:after="0"/>
              <w:rPr>
                <w:sz w:val="1"/>
                <w:szCs w:val="1"/>
                <w:color w:val="auto"/>
              </w:rPr>
            </w:pPr>
          </w:p>
        </w:tc>
      </w:tr>
      <w:tr>
        <w:trPr>
          <w:trHeight w:val="179"/>
        </w:trPr>
        <w:tc>
          <w:tcPr>
            <w:tcW w:w="5120" w:type="dxa"/>
            <w:vAlign w:val="bottom"/>
            <w:gridSpan w:val="6"/>
          </w:tcPr>
          <w:p>
            <w:pPr>
              <w:jc w:val="center"/>
              <w:ind w:right="22"/>
              <w:spacing w:after="0" w:line="179" w:lineRule="exact"/>
              <w:rPr>
                <w:sz w:val="20"/>
                <w:szCs w:val="20"/>
                <w:color w:val="auto"/>
              </w:rPr>
            </w:pPr>
            <w:r>
              <w:rPr>
                <w:rFonts w:ascii="Courier New" w:cs="Courier New" w:eastAsia="Courier New" w:hAnsi="Courier New"/>
                <w:sz w:val="16"/>
                <w:szCs w:val="16"/>
                <w:color w:val="auto"/>
                <w:w w:val="96"/>
              </w:rPr>
              <w:t>-- 54 Acquisitions of businesses, net of cash</w:t>
            </w:r>
          </w:p>
        </w:tc>
        <w:tc>
          <w:tcPr>
            <w:tcW w:w="0" w:type="dxa"/>
            <w:vAlign w:val="bottom"/>
          </w:tcPr>
          <w:p>
            <w:pPr>
              <w:spacing w:after="0"/>
              <w:rPr>
                <w:sz w:val="1"/>
                <w:szCs w:val="1"/>
                <w:color w:val="auto"/>
              </w:rPr>
            </w:pPr>
          </w:p>
        </w:tc>
      </w:tr>
      <w:tr>
        <w:trPr>
          <w:trHeight w:val="179"/>
        </w:trPr>
        <w:tc>
          <w:tcPr>
            <w:tcW w:w="1340" w:type="dxa"/>
            <w:vAlign w:val="bottom"/>
            <w:gridSpan w:val="3"/>
          </w:tcPr>
          <w:p>
            <w:pPr>
              <w:ind w:left="500"/>
              <w:spacing w:after="0"/>
              <w:rPr>
                <w:sz w:val="20"/>
                <w:szCs w:val="20"/>
                <w:color w:val="auto"/>
              </w:rPr>
            </w:pPr>
            <w:r>
              <w:rPr>
                <w:rFonts w:ascii="Courier New" w:cs="Courier New" w:eastAsia="Courier New" w:hAnsi="Courier New"/>
                <w:sz w:val="13"/>
                <w:szCs w:val="13"/>
                <w:color w:val="auto"/>
                <w:w w:val="75"/>
              </w:rPr>
              <w:t>acquired......</w:t>
            </w:r>
          </w:p>
        </w:tc>
        <w:tc>
          <w:tcPr>
            <w:tcW w:w="3780" w:type="dxa"/>
            <w:vAlign w:val="bottom"/>
            <w:gridSpan w:val="3"/>
          </w:tcPr>
          <w:p>
            <w:pPr>
              <w:jc w:val="right"/>
              <w:ind w:right="542"/>
              <w:spacing w:after="0" w:line="179" w:lineRule="exact"/>
              <w:rPr>
                <w:sz w:val="20"/>
                <w:szCs w:val="20"/>
                <w:color w:val="auto"/>
              </w:rPr>
            </w:pPr>
            <w:r>
              <w:rPr>
                <w:rFonts w:ascii="Courier New" w:cs="Courier New" w:eastAsia="Courier New" w:hAnsi="Courier New"/>
                <w:sz w:val="16"/>
                <w:szCs w:val="16"/>
                <w:color w:val="auto"/>
              </w:rPr>
              <w:t>-- -- (169) -- (169) Capital</w:t>
            </w:r>
          </w:p>
        </w:tc>
        <w:tc>
          <w:tcPr>
            <w:tcW w:w="0" w:type="dxa"/>
            <w:vAlign w:val="bottom"/>
          </w:tcPr>
          <w:p>
            <w:pPr>
              <w:spacing w:after="0"/>
              <w:rPr>
                <w:sz w:val="1"/>
                <w:szCs w:val="1"/>
                <w:color w:val="auto"/>
              </w:rPr>
            </w:pPr>
          </w:p>
        </w:tc>
      </w:tr>
      <w:tr>
        <w:trPr>
          <w:trHeight w:val="207"/>
        </w:trPr>
        <w:tc>
          <w:tcPr>
            <w:tcW w:w="2500" w:type="dxa"/>
            <w:vAlign w:val="bottom"/>
            <w:gridSpan w:val="4"/>
          </w:tcPr>
          <w:p>
            <w:pPr>
              <w:ind w:left="80"/>
              <w:spacing w:after="0"/>
              <w:rPr>
                <w:sz w:val="20"/>
                <w:szCs w:val="20"/>
                <w:color w:val="auto"/>
              </w:rPr>
            </w:pPr>
            <w:r>
              <w:rPr>
                <w:rFonts w:ascii="Courier New" w:cs="Courier New" w:eastAsia="Courier New" w:hAnsi="Courier New"/>
                <w:sz w:val="12"/>
                <w:szCs w:val="12"/>
                <w:color w:val="auto"/>
                <w:w w:val="72"/>
              </w:rPr>
              <w:t>expenditures..................................</w:t>
            </w:r>
          </w:p>
        </w:tc>
        <w:tc>
          <w:tcPr>
            <w:tcW w:w="1440" w:type="dxa"/>
            <w:vAlign w:val="bottom"/>
          </w:tcPr>
          <w:p>
            <w:pPr>
              <w:spacing w:after="0"/>
              <w:rPr>
                <w:sz w:val="17"/>
                <w:szCs w:val="17"/>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bl>
    <w:p>
      <w:pPr>
        <w:ind w:left="80" w:right="5299" w:firstLine="379"/>
        <w:spacing w:after="0" w:line="270" w:lineRule="auto"/>
        <w:tabs>
          <w:tab w:leader="none" w:pos="101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(564) Proceeds from divestitures of businesses, net of cash divested, and other sales of</w:t>
      </w:r>
    </w:p>
    <w:tbl>
      <w:tblPr>
        <w:tblLayout w:type="fixed"/>
        <w:tblInd w:w="0" w:type="dxa"/>
        <w:tblCellMar>
          <w:top w:w="0" w:type="dxa"/>
          <w:left w:w="0" w:type="dxa"/>
          <w:bottom w:w="0" w:type="dxa"/>
          <w:right w:w="0" w:type="dxa"/>
        </w:tblCellMar>
      </w:tblPr>
      <w:tr>
        <w:trPr>
          <w:trHeight w:val="152"/>
        </w:trPr>
        <w:tc>
          <w:tcPr>
            <w:tcW w:w="102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assets</w:t>
            </w:r>
          </w:p>
        </w:tc>
        <w:tc>
          <w:tcPr>
            <w:tcW w:w="1300" w:type="dxa"/>
            <w:vAlign w:val="bottom"/>
            <w:gridSpan w:val="2"/>
          </w:tcPr>
          <w:p>
            <w:pPr>
              <w:jc w:val="right"/>
              <w:spacing w:after="0" w:line="152" w:lineRule="exact"/>
              <w:rPr>
                <w:sz w:val="20"/>
                <w:szCs w:val="20"/>
                <w:color w:val="auto"/>
              </w:rPr>
            </w:pPr>
            <w:r>
              <w:rPr>
                <w:rFonts w:ascii="Courier New" w:cs="Courier New" w:eastAsia="Courier New" w:hAnsi="Courier New"/>
                <w:sz w:val="16"/>
                <w:szCs w:val="16"/>
                <w:color w:val="auto"/>
                <w:w w:val="78"/>
              </w:rPr>
              <w:t>.................</w:t>
            </w:r>
          </w:p>
        </w:tc>
        <w:tc>
          <w:tcPr>
            <w:tcW w:w="2660" w:type="dxa"/>
            <w:vAlign w:val="bottom"/>
          </w:tcPr>
          <w:p>
            <w:pPr>
              <w:jc w:val="right"/>
              <w:ind w:right="342"/>
              <w:spacing w:after="0" w:line="152" w:lineRule="exact"/>
              <w:rPr>
                <w:sz w:val="20"/>
                <w:szCs w:val="20"/>
                <w:color w:val="auto"/>
              </w:rPr>
            </w:pPr>
            <w:r>
              <w:rPr>
                <w:rFonts w:ascii="Courier New" w:cs="Courier New" w:eastAsia="Courier New" w:hAnsi="Courier New"/>
                <w:sz w:val="16"/>
                <w:szCs w:val="16"/>
                <w:color w:val="auto"/>
              </w:rPr>
              <w:t>-- -- 1,083 -- 1,083</w:t>
            </w:r>
          </w:p>
        </w:tc>
        <w:tc>
          <w:tcPr>
            <w:tcW w:w="0" w:type="dxa"/>
            <w:vAlign w:val="bottom"/>
          </w:tcPr>
          <w:p>
            <w:pPr>
              <w:spacing w:after="0"/>
              <w:rPr>
                <w:sz w:val="1"/>
                <w:szCs w:val="1"/>
                <w:color w:val="auto"/>
              </w:rPr>
            </w:pPr>
          </w:p>
        </w:tc>
      </w:tr>
      <w:tr>
        <w:trPr>
          <w:trHeight w:val="179"/>
        </w:trPr>
        <w:tc>
          <w:tcPr>
            <w:tcW w:w="1020" w:type="dxa"/>
            <w:vAlign w:val="bottom"/>
          </w:tcPr>
          <w:p>
            <w:pPr>
              <w:jc w:val="right"/>
              <w:spacing w:after="0"/>
              <w:rPr>
                <w:sz w:val="20"/>
                <w:szCs w:val="20"/>
                <w:color w:val="auto"/>
              </w:rPr>
            </w:pPr>
            <w:r>
              <w:rPr>
                <w:rFonts w:ascii="Courier New" w:cs="Courier New" w:eastAsia="Courier New" w:hAnsi="Courier New"/>
                <w:sz w:val="4"/>
                <w:szCs w:val="4"/>
                <w:color w:val="auto"/>
                <w:w w:val="77"/>
              </w:rPr>
              <w:t>Other.................................................</w:t>
            </w:r>
          </w:p>
        </w:tc>
        <w:tc>
          <w:tcPr>
            <w:tcW w:w="74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92"/>
              </w:rPr>
              <w:t>-- (18)</w:t>
            </w:r>
          </w:p>
        </w:tc>
        <w:tc>
          <w:tcPr>
            <w:tcW w:w="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(18)</w:t>
            </w:r>
          </w:p>
        </w:tc>
        <w:tc>
          <w:tcPr>
            <w:tcW w:w="740" w:type="dxa"/>
            <w:vAlign w:val="bottom"/>
            <w:vMerge w:val="continue"/>
          </w:tcPr>
          <w:p>
            <w:pPr>
              <w:spacing w:after="0"/>
              <w:rPr>
                <w:sz w:val="15"/>
                <w:szCs w:val="15"/>
                <w:color w:val="auto"/>
              </w:rPr>
            </w:pPr>
          </w:p>
        </w:tc>
        <w:tc>
          <w:tcPr>
            <w:tcW w:w="5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 ----- -------</w:t>
            </w:r>
          </w:p>
        </w:tc>
        <w:tc>
          <w:tcPr>
            <w:tcW w:w="0" w:type="dxa"/>
            <w:vAlign w:val="bottom"/>
          </w:tcPr>
          <w:p>
            <w:pPr>
              <w:spacing w:after="0"/>
              <w:rPr>
                <w:sz w:val="1"/>
                <w:szCs w:val="1"/>
                <w:color w:val="auto"/>
              </w:rPr>
            </w:pPr>
          </w:p>
        </w:tc>
      </w:tr>
      <w:tr>
        <w:trPr>
          <w:trHeight w:val="179"/>
        </w:trPr>
        <w:tc>
          <w:tcPr>
            <w:tcW w:w="102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4"/>
              </w:rPr>
              <w:t>activities...............</w:t>
            </w:r>
          </w:p>
        </w:tc>
        <w:tc>
          <w:tcPr>
            <w:tcW w:w="396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rPr>
              <w:t>Net cash provided by investing</w:t>
            </w: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-- 386 -- 386 ----- ----</w:t>
            </w:r>
          </w:p>
        </w:tc>
        <w:tc>
          <w:tcPr>
            <w:tcW w:w="0" w:type="dxa"/>
            <w:vAlign w:val="bottom"/>
          </w:tcPr>
          <w:p>
            <w:pPr>
              <w:spacing w:after="0"/>
              <w:rPr>
                <w:sz w:val="1"/>
                <w:szCs w:val="1"/>
                <w:color w:val="auto"/>
              </w:rPr>
            </w:pPr>
          </w:p>
        </w:tc>
      </w:tr>
      <w:tr>
        <w:trPr>
          <w:trHeight w:val="179"/>
        </w:trPr>
        <w:tc>
          <w:tcPr>
            <w:tcW w:w="232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 ------- ----- -------</w:t>
            </w:r>
          </w:p>
        </w:tc>
        <w:tc>
          <w:tcPr>
            <w:tcW w:w="2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Cash flows from financing</w:t>
            </w:r>
          </w:p>
        </w:tc>
        <w:tc>
          <w:tcPr>
            <w:tcW w:w="0" w:type="dxa"/>
            <w:vAlign w:val="bottom"/>
          </w:tcPr>
          <w:p>
            <w:pPr>
              <w:spacing w:after="0"/>
              <w:rPr>
                <w:sz w:val="1"/>
                <w:szCs w:val="1"/>
                <w:color w:val="auto"/>
              </w:rPr>
            </w:pPr>
          </w:p>
        </w:tc>
      </w:tr>
      <w:tr>
        <w:trPr>
          <w:trHeight w:val="179"/>
        </w:trPr>
        <w:tc>
          <w:tcPr>
            <w:tcW w:w="1760" w:type="dxa"/>
            <w:vAlign w:val="bottom"/>
            <w:gridSpan w:val="2"/>
            <w:vMerge w:val="restart"/>
          </w:tcPr>
          <w:p>
            <w:pPr>
              <w:ind w:left="40"/>
              <w:spacing w:after="0"/>
              <w:rPr>
                <w:sz w:val="20"/>
                <w:szCs w:val="20"/>
                <w:color w:val="auto"/>
              </w:rPr>
            </w:pPr>
            <w:r>
              <w:rPr>
                <w:rFonts w:ascii="Courier New" w:cs="Courier New" w:eastAsia="Courier New" w:hAnsi="Courier New"/>
                <w:sz w:val="8"/>
                <w:szCs w:val="8"/>
                <w:color w:val="auto"/>
                <w:w w:val="70"/>
              </w:rPr>
              <w:t>borrowings........................................</w:t>
            </w:r>
          </w:p>
        </w:tc>
        <w:tc>
          <w:tcPr>
            <w:tcW w:w="3220" w:type="dxa"/>
            <w:vAlign w:val="bottom"/>
            <w:gridSpan w:val="2"/>
          </w:tcPr>
          <w:p>
            <w:pPr>
              <w:jc w:val="right"/>
              <w:ind w:right="1702"/>
              <w:spacing w:after="0" w:line="179" w:lineRule="exact"/>
              <w:rPr>
                <w:sz w:val="20"/>
                <w:szCs w:val="20"/>
                <w:color w:val="auto"/>
              </w:rPr>
            </w:pPr>
            <w:r>
              <w:rPr>
                <w:rFonts w:ascii="Courier New" w:cs="Courier New" w:eastAsia="Courier New" w:hAnsi="Courier New"/>
                <w:sz w:val="16"/>
                <w:szCs w:val="16"/>
                <w:color w:val="auto"/>
                <w:w w:val="98"/>
              </w:rPr>
              <w:t>activities: New</w:t>
            </w: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1"/>
              </w:rPr>
              <w:t>-- 34</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261"/>
        </w:trPr>
        <w:tc>
          <w:tcPr>
            <w:tcW w:w="1760" w:type="dxa"/>
            <w:vAlign w:val="bottom"/>
            <w:gridSpan w:val="2"/>
            <w:vMerge w:val="restart"/>
          </w:tcPr>
          <w:p>
            <w:pPr>
              <w:ind w:left="220"/>
              <w:spacing w:after="0"/>
              <w:rPr>
                <w:sz w:val="20"/>
                <w:szCs w:val="20"/>
                <w:color w:val="auto"/>
              </w:rPr>
            </w:pPr>
            <w:r>
              <w:rPr>
                <w:rFonts w:ascii="Courier New" w:cs="Courier New" w:eastAsia="Courier New" w:hAnsi="Courier New"/>
                <w:sz w:val="16"/>
                <w:szCs w:val="16"/>
                <w:color w:val="auto"/>
              </w:rPr>
              <w:t>repayments</w:t>
            </w:r>
          </w:p>
        </w:tc>
        <w:tc>
          <w:tcPr>
            <w:tcW w:w="560" w:type="dxa"/>
            <w:vAlign w:val="bottom"/>
            <w:vMerge w:val="continue"/>
          </w:tcPr>
          <w:p>
            <w:pPr>
              <w:spacing w:after="0"/>
              <w:rPr>
                <w:sz w:val="22"/>
                <w:szCs w:val="22"/>
                <w:color w:val="auto"/>
              </w:rPr>
            </w:pPr>
          </w:p>
        </w:tc>
        <w:tc>
          <w:tcPr>
            <w:tcW w:w="2660" w:type="dxa"/>
            <w:vAlign w:val="bottom"/>
          </w:tcPr>
          <w:p>
            <w:pPr>
              <w:jc w:val="right"/>
              <w:ind w:right="1662"/>
              <w:spacing w:after="0"/>
              <w:rPr>
                <w:sz w:val="20"/>
                <w:szCs w:val="20"/>
                <w:color w:val="auto"/>
              </w:rPr>
            </w:pPr>
            <w:r>
              <w:rPr>
                <w:rFonts w:ascii="Courier New" w:cs="Courier New" w:eastAsia="Courier New" w:hAnsi="Courier New"/>
                <w:sz w:val="16"/>
                <w:szCs w:val="16"/>
                <w:color w:val="auto"/>
                <w:w w:val="93"/>
              </w:rPr>
              <w:t>-- 74 Debt</w:t>
            </w:r>
          </w:p>
        </w:tc>
        <w:tc>
          <w:tcPr>
            <w:tcW w:w="0" w:type="dxa"/>
            <w:vAlign w:val="bottom"/>
          </w:tcPr>
          <w:p>
            <w:pPr>
              <w:spacing w:after="0"/>
              <w:rPr>
                <w:sz w:val="1"/>
                <w:szCs w:val="1"/>
                <w:color w:val="auto"/>
              </w:rPr>
            </w:pPr>
          </w:p>
        </w:tc>
      </w:tr>
      <w:tr>
        <w:trPr>
          <w:trHeight w:val="97"/>
        </w:trPr>
        <w:tc>
          <w:tcPr>
            <w:tcW w:w="1760" w:type="dxa"/>
            <w:vAlign w:val="bottom"/>
            <w:gridSpan w:val="2"/>
            <w:vMerge w:val="continue"/>
          </w:tcPr>
          <w:p>
            <w:pPr>
              <w:jc w:val="right"/>
              <w:spacing w:after="0" w:line="97" w:lineRule="exact"/>
              <w:rPr>
                <w:sz w:val="20"/>
                <w:szCs w:val="20"/>
                <w:color w:val="auto"/>
              </w:rPr>
            </w:pPr>
            <w:r>
              <w:rPr>
                <w:rFonts w:ascii="Courier New" w:cs="Courier New" w:eastAsia="Courier New" w:hAnsi="Courier New"/>
                <w:sz w:val="8"/>
                <w:szCs w:val="8"/>
                <w:color w:val="auto"/>
              </w:rPr>
              <w:t>.......................................</w:t>
            </w:r>
            <w:r>
              <w:rPr>
                <w:rFonts w:ascii="Courier New" w:cs="Courier New" w:eastAsia="Courier New" w:hAnsi="Courier New"/>
                <w:sz w:val="11"/>
                <w:szCs w:val="11"/>
                <w:color w:val="auto"/>
                <w:vertAlign w:val="subscript"/>
              </w:rPr>
              <w:t>--</w:t>
            </w:r>
          </w:p>
        </w:tc>
        <w:tc>
          <w:tcPr>
            <w:tcW w:w="32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(1,637) Exercise of common stock</w:t>
            </w:r>
          </w:p>
        </w:tc>
        <w:tc>
          <w:tcPr>
            <w:tcW w:w="0" w:type="dxa"/>
            <w:vAlign w:val="bottom"/>
          </w:tcPr>
          <w:p>
            <w:pPr>
              <w:spacing w:after="0"/>
              <w:rPr>
                <w:sz w:val="1"/>
                <w:szCs w:val="1"/>
                <w:color w:val="auto"/>
              </w:rPr>
            </w:pPr>
          </w:p>
        </w:tc>
      </w:tr>
      <w:tr>
        <w:trPr>
          <w:trHeight w:val="179"/>
        </w:trPr>
        <w:tc>
          <w:tcPr>
            <w:tcW w:w="176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(777) (594) (266)</w:t>
            </w:r>
          </w:p>
        </w:tc>
        <w:tc>
          <w:tcPr>
            <w:tcW w:w="3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3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81"/>
              </w:rPr>
              <w:t>options and warrants.........</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1 -- -- -- 1 (Increase)</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40" w:type="dxa"/>
            <w:vAlign w:val="bottom"/>
            <w:gridSpan w:val="4"/>
          </w:tcPr>
          <w:p>
            <w:pPr>
              <w:jc w:val="center"/>
              <w:ind w:left="8"/>
              <w:spacing w:after="0"/>
              <w:rPr>
                <w:sz w:val="20"/>
                <w:szCs w:val="20"/>
                <w:color w:val="auto"/>
              </w:rPr>
            </w:pPr>
            <w:r>
              <w:rPr>
                <w:rFonts w:ascii="Courier New" w:cs="Courier New" w:eastAsia="Courier New" w:hAnsi="Courier New"/>
                <w:sz w:val="16"/>
                <w:szCs w:val="16"/>
                <w:color w:val="auto"/>
                <w:w w:val="96"/>
              </w:rPr>
              <w:t>decrease in amounts due to and from subsidiaries,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net...................................</w:t>
            </w:r>
          </w:p>
        </w:tc>
        <w:tc>
          <w:tcPr>
            <w:tcW w:w="1920" w:type="dxa"/>
            <w:vAlign w:val="bottom"/>
          </w:tcPr>
          <w:p>
            <w:pPr>
              <w:spacing w:after="0"/>
              <w:rPr>
                <w:sz w:val="15"/>
                <w:szCs w:val="15"/>
                <w:color w:val="auto"/>
              </w:rPr>
            </w:pPr>
          </w:p>
        </w:tc>
        <w:tc>
          <w:tcPr>
            <w:tcW w:w="158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884 665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(1,549)</w:t>
            </w:r>
          </w:p>
        </w:tc>
        <w:tc>
          <w:tcPr>
            <w:tcW w:w="5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9"/>
              </w:rPr>
              <w:t>-- --</w:t>
            </w:r>
          </w:p>
        </w:tc>
        <w:tc>
          <w:tcPr>
            <w:tcW w:w="19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8"/>
              </w:rPr>
              <w:t>----- ----- -------</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 ------- Net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840" w:type="dxa"/>
            <w:vAlign w:val="bottom"/>
            <w:gridSpan w:val="4"/>
          </w:tcPr>
          <w:p>
            <w:pPr>
              <w:jc w:val="center"/>
              <w:ind w:left="28"/>
              <w:spacing w:after="0" w:line="179" w:lineRule="exact"/>
              <w:rPr>
                <w:sz w:val="20"/>
                <w:szCs w:val="20"/>
                <w:color w:val="auto"/>
              </w:rPr>
            </w:pPr>
            <w:r>
              <w:rPr>
                <w:rFonts w:ascii="Courier New" w:cs="Courier New" w:eastAsia="Courier New" w:hAnsi="Courier New"/>
                <w:sz w:val="16"/>
                <w:szCs w:val="16"/>
                <w:color w:val="auto"/>
                <w:w w:val="97"/>
              </w:rPr>
              <w:t>cash provided by (used in) financing activities...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5"/>
              </w:rPr>
              <w:t>148 71 (1,781)</w:t>
            </w:r>
          </w:p>
        </w:tc>
        <w:tc>
          <w:tcPr>
            <w:tcW w:w="36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 (1,562) ----- ----- ------- ----- -</w:t>
            </w:r>
          </w:p>
        </w:tc>
        <w:tc>
          <w:tcPr>
            <w:tcW w:w="0" w:type="dxa"/>
            <w:vAlign w:val="bottom"/>
          </w:tcPr>
          <w:p>
            <w:pPr>
              <w:spacing w:after="0"/>
              <w:rPr>
                <w:sz w:val="1"/>
                <w:szCs w:val="1"/>
                <w:color w:val="auto"/>
              </w:rPr>
            </w:pPr>
          </w:p>
        </w:tc>
      </w:tr>
      <w:tr>
        <w:trPr>
          <w:trHeight w:val="179"/>
        </w:trPr>
        <w:tc>
          <w:tcPr>
            <w:tcW w:w="8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40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Effect of exchange rate changes on cash and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340" w:type="dxa"/>
            <w:vAlign w:val="bottom"/>
            <w:gridSpan w:val="2"/>
            <w:vMerge w:val="restart"/>
          </w:tcPr>
          <w:p>
            <w:pPr>
              <w:ind w:left="40"/>
              <w:spacing w:after="0"/>
              <w:rPr>
                <w:sz w:val="20"/>
                <w:szCs w:val="20"/>
                <w:color w:val="auto"/>
              </w:rPr>
            </w:pPr>
            <w:r>
              <w:rPr>
                <w:rFonts w:ascii="Courier New" w:cs="Courier New" w:eastAsia="Courier New" w:hAnsi="Courier New"/>
                <w:sz w:val="16"/>
                <w:szCs w:val="16"/>
                <w:color w:val="auto"/>
              </w:rPr>
              <w:t>equivalents</w:t>
            </w:r>
          </w:p>
        </w:tc>
        <w:tc>
          <w:tcPr>
            <w:tcW w:w="1920" w:type="dxa"/>
            <w:vAlign w:val="bottom"/>
          </w:tcPr>
          <w:p>
            <w:pPr>
              <w:jc w:val="center"/>
              <w:ind w:left="262"/>
              <w:spacing w:after="0"/>
              <w:rPr>
                <w:sz w:val="20"/>
                <w:szCs w:val="20"/>
                <w:color w:val="auto"/>
              </w:rPr>
            </w:pPr>
            <w:r>
              <w:rPr>
                <w:rFonts w:ascii="Courier New" w:cs="Courier New" w:eastAsia="Courier New" w:hAnsi="Courier New"/>
                <w:sz w:val="16"/>
                <w:szCs w:val="16"/>
                <w:color w:val="auto"/>
                <w:w w:val="98"/>
              </w:rPr>
              <w:t>cash</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1340" w:type="dxa"/>
            <w:vAlign w:val="bottom"/>
            <w:gridSpan w:val="2"/>
            <w:vMerge w:val="continue"/>
          </w:tcPr>
          <w:p>
            <w:pPr>
              <w:jc w:val="right"/>
              <w:spacing w:after="0" w:line="75" w:lineRule="exact"/>
              <w:rPr>
                <w:sz w:val="20"/>
                <w:szCs w:val="20"/>
                <w:color w:val="auto"/>
              </w:rPr>
            </w:pPr>
            <w:r>
              <w:rPr>
                <w:rFonts w:ascii="Courier New" w:cs="Courier New" w:eastAsia="Courier New" w:hAnsi="Courier New"/>
                <w:sz w:val="8"/>
                <w:szCs w:val="8"/>
                <w:color w:val="auto"/>
              </w:rPr>
              <w:t>.........................................</w:t>
            </w:r>
          </w:p>
        </w:tc>
        <w:tc>
          <w:tcPr>
            <w:tcW w:w="3500" w:type="dxa"/>
            <w:vAlign w:val="bottom"/>
            <w:gridSpan w:val="2"/>
            <w:vMerge w:val="restart"/>
          </w:tcPr>
          <w:p>
            <w:pPr>
              <w:jc w:val="right"/>
              <w:ind w:right="1282"/>
              <w:spacing w:after="0"/>
              <w:rPr>
                <w:sz w:val="20"/>
                <w:szCs w:val="20"/>
                <w:color w:val="auto"/>
              </w:rPr>
            </w:pPr>
            <w:r>
              <w:rPr>
                <w:rFonts w:ascii="Courier New" w:cs="Courier New" w:eastAsia="Courier New" w:hAnsi="Courier New"/>
                <w:sz w:val="16"/>
                <w:szCs w:val="16"/>
                <w:color w:val="auto"/>
                <w:w w:val="95"/>
              </w:rPr>
              <w:t>(4) ----- ----- -------</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34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rPr>
              <w:t>-- -- (4) --</w:t>
            </w:r>
          </w:p>
        </w:tc>
        <w:tc>
          <w:tcPr>
            <w:tcW w:w="1920" w:type="dxa"/>
            <w:vAlign w:val="bottom"/>
            <w:vMerge w:val="continue"/>
          </w:tcPr>
          <w:p>
            <w:pPr>
              <w:spacing w:after="0"/>
              <w:rPr>
                <w:sz w:val="15"/>
                <w:szCs w:val="15"/>
                <w:color w:val="auto"/>
              </w:rPr>
            </w:pP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4040" w:type="dxa"/>
            <w:vAlign w:val="bottom"/>
            <w:gridSpan w:val="3"/>
          </w:tcPr>
          <w:p>
            <w:pPr>
              <w:jc w:val="center"/>
              <w:ind w:right="622"/>
              <w:spacing w:after="0" w:line="179" w:lineRule="exact"/>
              <w:rPr>
                <w:sz w:val="20"/>
                <w:szCs w:val="20"/>
                <w:color w:val="auto"/>
              </w:rPr>
            </w:pPr>
            <w:r>
              <w:rPr>
                <w:rFonts w:ascii="Courier New" w:cs="Courier New" w:eastAsia="Courier New" w:hAnsi="Courier New"/>
                <w:sz w:val="16"/>
                <w:szCs w:val="16"/>
                <w:color w:val="auto"/>
                <w:w w:val="96"/>
              </w:rPr>
              <w:t>Increase (decrease) in cash and cash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equivalents......</w:t>
            </w:r>
          </w:p>
        </w:tc>
        <w:tc>
          <w:tcPr>
            <w:tcW w:w="35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24 (7) (95) -- (78) Cash and cash</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260" w:type="dxa"/>
            <w:vAlign w:val="bottom"/>
            <w:gridSpan w:val="3"/>
          </w:tcPr>
          <w:p>
            <w:pPr>
              <w:ind w:left="40"/>
              <w:spacing w:after="0" w:line="179" w:lineRule="exact"/>
              <w:rPr>
                <w:sz w:val="20"/>
                <w:szCs w:val="20"/>
                <w:color w:val="auto"/>
              </w:rPr>
            </w:pPr>
            <w:r>
              <w:rPr>
                <w:rFonts w:ascii="Courier New" w:cs="Courier New" w:eastAsia="Courier New" w:hAnsi="Courier New"/>
                <w:sz w:val="16"/>
                <w:szCs w:val="16"/>
                <w:color w:val="auto"/>
                <w:w w:val="83"/>
              </w:rPr>
              <w:t>equivalents at beginning of period......</w:t>
            </w:r>
          </w:p>
        </w:tc>
        <w:tc>
          <w:tcPr>
            <w:tcW w:w="16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34 4 143 --</w:t>
            </w:r>
          </w:p>
        </w:tc>
        <w:tc>
          <w:tcPr>
            <w:tcW w:w="0" w:type="dxa"/>
            <w:vAlign w:val="bottom"/>
          </w:tcPr>
          <w:p>
            <w:pPr>
              <w:spacing w:after="0"/>
              <w:rPr>
                <w:sz w:val="1"/>
                <w:szCs w:val="1"/>
                <w:color w:val="auto"/>
              </w:rPr>
            </w:pPr>
          </w:p>
        </w:tc>
      </w:tr>
      <w:tr>
        <w:trPr>
          <w:trHeight w:val="179"/>
        </w:trPr>
        <w:tc>
          <w:tcPr>
            <w:tcW w:w="326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w w:val="88"/>
              </w:rPr>
              <w:t>181 ----- ----- ------- ----- -------</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Cash and cash</w:t>
            </w:r>
          </w:p>
        </w:tc>
        <w:tc>
          <w:tcPr>
            <w:tcW w:w="1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2"/>
              </w:rPr>
              <w:t>$</w:t>
            </w:r>
          </w:p>
        </w:tc>
        <w:tc>
          <w:tcPr>
            <w:tcW w:w="0" w:type="dxa"/>
            <w:vAlign w:val="bottom"/>
          </w:tcPr>
          <w:p>
            <w:pPr>
              <w:spacing w:after="0"/>
              <w:rPr>
                <w:sz w:val="1"/>
                <w:szCs w:val="1"/>
                <w:color w:val="auto"/>
              </w:rPr>
            </w:pPr>
          </w:p>
        </w:tc>
      </w:tr>
      <w:tr>
        <w:trPr>
          <w:trHeight w:val="179"/>
        </w:trPr>
        <w:tc>
          <w:tcPr>
            <w:tcW w:w="326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84"/>
              </w:rPr>
              <w:t>equivalents at end of period............</w:t>
            </w:r>
          </w:p>
        </w:tc>
        <w:tc>
          <w:tcPr>
            <w:tcW w:w="15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$ 58 $ (3)</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w w:val="74"/>
              </w:rPr>
              <w:t>48 $ --</w:t>
            </w:r>
          </w:p>
        </w:tc>
        <w:tc>
          <w:tcPr>
            <w:tcW w:w="404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rPr>
              <w:t>$ 103 ===== ===== ======= ===== =======</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7"/>
        </w:trPr>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8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79"/>
          </w:cols>
          <w:pgMar w:left="280" w:top="11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25</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4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NOTES TO CONDENSED CONSOLIDATED FINANCIAL STATEMENTS --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NEW ACCOUNTING PRONOUNCEMENTS</w:t>
      </w:r>
    </w:p>
    <w:p>
      <w:pPr>
        <w:spacing w:after="0" w:line="177" w:lineRule="exact"/>
        <w:rPr>
          <w:sz w:val="20"/>
          <w:szCs w:val="20"/>
          <w:color w:val="auto"/>
        </w:rPr>
      </w:pPr>
    </w:p>
    <w:p>
      <w:pPr>
        <w:ind w:right="2779" w:firstLine="465"/>
        <w:spacing w:after="0" w:line="242" w:lineRule="auto"/>
        <w:rPr>
          <w:sz w:val="20"/>
          <w:szCs w:val="20"/>
          <w:color w:val="auto"/>
        </w:rPr>
      </w:pPr>
      <w:r>
        <w:rPr>
          <w:rFonts w:ascii="Courier New" w:cs="Courier New" w:eastAsia="Courier New" w:hAnsi="Courier New"/>
          <w:sz w:val="16"/>
          <w:szCs w:val="16"/>
          <w:color w:val="auto"/>
        </w:rPr>
        <w:t>In June 2001, the Financial Accounting Standards Board issued Statement of Financial Accounting Standards No. 141 Accounting for Business Combinations("SFAS No. 141") and Statement of Financial Accounting Standards No. 142 Accounting for Goodwill and Other Intangible Assets ("SFAS No. 142"). SFAS No. 141 requires that all business combinations be accounted for using the purchase method of accounting and prohibits the pooling-of-interests method for business combinations initiated after June 30, 2001. According to SFAS No. 142, goodwill which arises from purchases after June 30, 2001 cannot be amortized. In addition, SFAS No. 142 requires the continuation of the amortization of goodwill and all intangible assets through December 31, 2001, but amortization of existing goodwill will cease on January 1, 2002. Entities must use their current goodwill impairment approach through December 31, 2001, and begin to apply the new impairment approach on January 1, 2002. The Company has six months from the date it initially applies SFAS No. 142 to test goodwill for impairment and any impairment charge resulting from the initial application of the new rule must be classified as the cumulative effect of a change in accounting principle. Thereafter, goodwill should be tested for impairment annually and impairment losses should be presented in the operating section of the income statement unless they are associated with a discontinued operation. In those cases, any impairment losses will be included, net of tax, within the results of discontinued operations.</w:t>
      </w:r>
    </w:p>
    <w:p>
      <w:pPr>
        <w:spacing w:after="0" w:line="98" w:lineRule="exact"/>
        <w:rPr>
          <w:sz w:val="20"/>
          <w:szCs w:val="20"/>
          <w:color w:val="auto"/>
        </w:rPr>
      </w:pPr>
    </w:p>
    <w:p>
      <w:pPr>
        <w:ind w:right="2879" w:firstLine="465"/>
        <w:spacing w:after="0" w:line="254" w:lineRule="auto"/>
        <w:rPr>
          <w:sz w:val="20"/>
          <w:szCs w:val="20"/>
          <w:color w:val="auto"/>
        </w:rPr>
      </w:pPr>
      <w:r>
        <w:rPr>
          <w:rFonts w:ascii="Courier New" w:cs="Courier New" w:eastAsia="Courier New" w:hAnsi="Courier New"/>
          <w:sz w:val="16"/>
          <w:szCs w:val="16"/>
          <w:color w:val="auto"/>
        </w:rPr>
        <w:t>During the first half of 2001, all of the Company's business combinations were accounted for by using the purchase method. The Company will continue to use the purchase method of accounting for its business combinations in accordance with its adoption of SFAS No. 141. Management is currently assessing the impact that the adoption of SFAS No. 142 will have on the Company's consolidated financial statements. See Management's Discussion and Analysis -- New Accounting Pronouncements.</w:t>
      </w:r>
    </w:p>
    <w:p>
      <w:pPr>
        <w:spacing w:after="0" w:line="88" w:lineRule="exact"/>
        <w:rPr>
          <w:sz w:val="20"/>
          <w:szCs w:val="20"/>
          <w:color w:val="auto"/>
        </w:rPr>
      </w:pPr>
    </w:p>
    <w:p>
      <w:pPr>
        <w:ind w:right="2879" w:firstLine="465"/>
        <w:spacing w:after="0" w:line="251" w:lineRule="auto"/>
        <w:rPr>
          <w:sz w:val="20"/>
          <w:szCs w:val="20"/>
          <w:color w:val="auto"/>
        </w:rPr>
      </w:pPr>
      <w:r>
        <w:rPr>
          <w:rFonts w:ascii="Courier New" w:cs="Courier New" w:eastAsia="Courier New" w:hAnsi="Courier New"/>
          <w:sz w:val="16"/>
          <w:szCs w:val="16"/>
          <w:color w:val="auto"/>
        </w:rPr>
        <w:t>During the third quarter of 2001, the Financial Accounting Standards Board voted unanimously to issue SFAS No. 143, Accounting for Asset Retirement Obligations ("SFAS No. 143"). SFAS No. 143 covers all legally enforceable obligations associated with the retirement of tangible long-lived assets and provides the accounting and reporting requirements for such obligations. SFAS No. 143, is effective for the Company beginning January 1, 2003. Management has yet to determine the impact that the adoption of SFAS No. 143 will have on the Company's consolidated financial statements.</w:t>
      </w:r>
    </w:p>
    <w:p>
      <w:pPr>
        <w:spacing w:after="0" w:line="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69"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26</w:t>
      </w:r>
    </w:p>
    <w:p>
      <w:pPr>
        <w:spacing w:after="0" w:line="177" w:lineRule="exact"/>
        <w:rPr>
          <w:sz w:val="20"/>
          <w:szCs w:val="20"/>
          <w:color w:val="auto"/>
        </w:rPr>
      </w:pPr>
    </w:p>
    <w:p>
      <w:pPr>
        <w:ind w:left="740" w:right="2879" w:hanging="743"/>
        <w:spacing w:after="0" w:line="342"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20" w:lineRule="exact"/>
        <w:rPr>
          <w:sz w:val="20"/>
          <w:szCs w:val="20"/>
          <w:color w:val="auto"/>
        </w:rPr>
      </w:pPr>
    </w:p>
    <w:p>
      <w:pPr>
        <w:jc w:val="both"/>
        <w:ind w:right="2959" w:firstLine="465"/>
        <w:spacing w:after="0" w:line="281" w:lineRule="auto"/>
        <w:rPr>
          <w:sz w:val="20"/>
          <w:szCs w:val="20"/>
          <w:color w:val="auto"/>
        </w:rPr>
      </w:pPr>
      <w:r>
        <w:rPr>
          <w:rFonts w:ascii="Courier New" w:cs="Courier New" w:eastAsia="Courier New" w:hAnsi="Courier New"/>
          <w:sz w:val="14"/>
          <w:szCs w:val="14"/>
          <w:color w:val="auto"/>
        </w:rPr>
        <w:t>The discussion below and elsewhere in this Form 10-Q includes statements that are "forward-looking statements" within the meaning of Section 27A of the Securities Act of 1933 and Section 21E of the Exchange Act. When we use words like "may," "should," "could," "will," "believe," "expect," "anticipate,"</w:t>
      </w:r>
    </w:p>
    <w:p>
      <w:pPr>
        <w:spacing w:after="0" w:line="1"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"estimate," "project," "plan," "goal," "target," or "outlook," or references to future time periods, strategies, designs, objectives, schedules, projections, or intentions, desires, beliefs or feelings, their opposites and other similar expressions, the Company is making forward-looking statements. These expressions are most often used in statements relating to future events and anticipated revenues, earnings or other aspects of our operating results. We make these statements in an effort to keep stockholders and the public informed about our business, and have based them on our current expectations about future events. You should view such statements with caution. These statements are not guarantees of future performance or events. All phases of our business are subject to uncertainties, risks and other influences, many of which the Company has no control over. Additionally, any of these factors, either alone or taken together, could have a material adverse effect on the Company and could change whether any forward-looking statement ultimately turns out to be true.</w:t>
      </w:r>
    </w:p>
    <w:p>
      <w:pPr>
        <w:spacing w:after="0" w:line="259" w:lineRule="exact"/>
        <w:rPr>
          <w:sz w:val="20"/>
          <w:szCs w:val="20"/>
          <w:color w:val="auto"/>
        </w:rPr>
      </w:pPr>
    </w:p>
    <w:p>
      <w:pPr>
        <w:ind w:right="2879" w:firstLine="465"/>
        <w:spacing w:after="0" w:line="263" w:lineRule="auto"/>
        <w:rPr>
          <w:sz w:val="20"/>
          <w:szCs w:val="20"/>
          <w:color w:val="auto"/>
        </w:rPr>
      </w:pPr>
      <w:r>
        <w:rPr>
          <w:rFonts w:ascii="Courier New" w:cs="Courier New" w:eastAsia="Courier New" w:hAnsi="Courier New"/>
          <w:sz w:val="16"/>
          <w:szCs w:val="16"/>
          <w:color w:val="auto"/>
        </w:rPr>
        <w:t>Outlined below are some of the risks that the Company faces and that could affect our business and financial statements for the remainder of 2001 and beyond. However, they are not the only risks that the Company faces. There may be additional risks that we do not presently know or that we currently believe are immaterial which could also impair our business.</w:t>
      </w:r>
    </w:p>
    <w:p>
      <w:pPr>
        <w:spacing w:after="0" w:line="80" w:lineRule="exact"/>
        <w:rPr>
          <w:sz w:val="20"/>
          <w:szCs w:val="20"/>
          <w:color w:val="auto"/>
        </w:rPr>
      </w:pPr>
    </w:p>
    <w:p>
      <w:pPr>
        <w:ind w:left="640" w:hanging="179"/>
        <w:spacing w:after="0"/>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outcome of litigation or investigations;</w:t>
      </w:r>
    </w:p>
    <w:p>
      <w:pPr>
        <w:spacing w:after="0" w:line="176" w:lineRule="exact"/>
        <w:rPr>
          <w:rFonts w:ascii="Courier New" w:cs="Courier New" w:eastAsia="Courier New" w:hAnsi="Courier New"/>
          <w:sz w:val="16"/>
          <w:szCs w:val="16"/>
          <w:color w:val="auto"/>
        </w:rPr>
      </w:pPr>
    </w:p>
    <w:p>
      <w:pPr>
        <w:ind w:left="640" w:right="2779" w:hanging="179"/>
        <w:spacing w:after="0" w:line="289"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changes in our estimates of site remediation requirements, final closure and post-closure obligations, compliance and other audits and regulatory developments;</w:t>
      </w:r>
    </w:p>
    <w:p>
      <w:pPr>
        <w:spacing w:after="0" w:line="60" w:lineRule="exact"/>
        <w:rPr>
          <w:rFonts w:ascii="Courier New" w:cs="Courier New" w:eastAsia="Courier New" w:hAnsi="Courier New"/>
          <w:sz w:val="16"/>
          <w:szCs w:val="16"/>
          <w:color w:val="auto"/>
        </w:rPr>
      </w:pPr>
    </w:p>
    <w:p>
      <w:pPr>
        <w:ind w:left="640" w:right="2779" w:hanging="179"/>
        <w:spacing w:after="0" w:line="272"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possible impact of regulations on our business, including the cost to comply with regulatory requirements and the potential liabilities associated with disposal operations, as well as our ability to obtain and maintain permits needed to operate our facilities;</w:t>
      </w:r>
    </w:p>
    <w:p>
      <w:pPr>
        <w:spacing w:after="0" w:line="72" w:lineRule="exact"/>
        <w:rPr>
          <w:rFonts w:ascii="Courier New" w:cs="Courier New" w:eastAsia="Courier New" w:hAnsi="Courier New"/>
          <w:sz w:val="16"/>
          <w:szCs w:val="16"/>
          <w:color w:val="auto"/>
        </w:rPr>
      </w:pPr>
    </w:p>
    <w:p>
      <w:pPr>
        <w:ind w:left="640" w:right="3439" w:hanging="179"/>
        <w:spacing w:after="0" w:line="342"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limitations or bans on disposal or transportation of out-of-state waste or certain categories of waste;</w:t>
      </w:r>
    </w:p>
    <w:p>
      <w:pPr>
        <w:spacing w:after="0" w:line="20" w:lineRule="exact"/>
        <w:rPr>
          <w:rFonts w:ascii="Courier New" w:cs="Courier New" w:eastAsia="Courier New" w:hAnsi="Courier New"/>
          <w:sz w:val="16"/>
          <w:szCs w:val="16"/>
          <w:color w:val="auto"/>
        </w:rPr>
      </w:pPr>
    </w:p>
    <w:p>
      <w:pPr>
        <w:ind w:left="640" w:right="3059" w:hanging="179"/>
        <w:spacing w:after="0" w:line="406" w:lineRule="auto"/>
        <w:tabs>
          <w:tab w:leader="none" w:pos="6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improve the productivity of acquired operations and use our asset base and strategic position to operate more efficiently;</w:t>
      </w:r>
    </w:p>
    <w:p>
      <w:pPr>
        <w:jc w:val="both"/>
        <w:ind w:left="640" w:right="2959" w:hanging="179"/>
        <w:spacing w:after="0" w:line="289"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accurately assess all of the pre-existing liabilities of companies we have acquired and to successfully integrate the operations of acquired companies with our existing operations;</w:t>
      </w:r>
    </w:p>
    <w:p>
      <w:pPr>
        <w:spacing w:after="0" w:line="60" w:lineRule="exact"/>
        <w:rPr>
          <w:rFonts w:ascii="Courier New" w:cs="Courier New" w:eastAsia="Courier New" w:hAnsi="Courier New"/>
          <w:sz w:val="16"/>
          <w:szCs w:val="16"/>
          <w:color w:val="auto"/>
        </w:rPr>
      </w:pPr>
    </w:p>
    <w:p>
      <w:pPr>
        <w:ind w:left="640" w:right="3059" w:hanging="179"/>
        <w:spacing w:after="0" w:line="342"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charges against earnings for certain shut down operations and uncompleted acquisitions or development or expansion projects;</w:t>
      </w:r>
    </w:p>
    <w:p>
      <w:pPr>
        <w:spacing w:after="0" w:line="20" w:lineRule="exact"/>
        <w:rPr>
          <w:rFonts w:ascii="Courier New" w:cs="Courier New" w:eastAsia="Courier New" w:hAnsi="Courier New"/>
          <w:sz w:val="16"/>
          <w:szCs w:val="16"/>
          <w:color w:val="auto"/>
        </w:rPr>
      </w:pPr>
    </w:p>
    <w:p>
      <w:pPr>
        <w:ind w:left="640" w:right="3339" w:hanging="179"/>
        <w:spacing w:after="0" w:line="289"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charges to asset impairments or further impairments to long-lived assets resulting from changes in circumstances or future business events or decisions;</w:t>
      </w:r>
    </w:p>
    <w:p>
      <w:pPr>
        <w:spacing w:after="0" w:line="60" w:lineRule="exact"/>
        <w:rPr>
          <w:rFonts w:ascii="Courier New" w:cs="Courier New" w:eastAsia="Courier New" w:hAnsi="Courier New"/>
          <w:sz w:val="16"/>
          <w:szCs w:val="16"/>
          <w:color w:val="auto"/>
        </w:rPr>
      </w:pPr>
    </w:p>
    <w:p>
      <w:pPr>
        <w:ind w:left="640" w:right="2879" w:hanging="179"/>
        <w:spacing w:after="0" w:line="272"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that trends toward requiring recycling, waste reduction at the source and prohibiting the disposal of certain types of wastes could have on volumes of waste going to landfills and waste-to-energy facilities;</w:t>
      </w:r>
    </w:p>
    <w:p>
      <w:pPr>
        <w:spacing w:after="0" w:line="72" w:lineRule="exact"/>
        <w:rPr>
          <w:rFonts w:ascii="Courier New" w:cs="Courier New" w:eastAsia="Courier New" w:hAnsi="Courier New"/>
          <w:sz w:val="16"/>
          <w:szCs w:val="16"/>
          <w:color w:val="auto"/>
        </w:rPr>
      </w:pPr>
    </w:p>
    <w:p>
      <w:pPr>
        <w:ind w:left="640" w:right="2879" w:hanging="179"/>
        <w:spacing w:after="0" w:line="342"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the weather has on our quarter to quarter results, as well as the effect of extremely harsh weather on our operations;</w:t>
      </w:r>
    </w:p>
    <w:p>
      <w:pPr>
        <w:spacing w:after="0" w:line="20" w:lineRule="exact"/>
        <w:rPr>
          <w:rFonts w:ascii="Courier New" w:cs="Courier New" w:eastAsia="Courier New" w:hAnsi="Courier New"/>
          <w:sz w:val="16"/>
          <w:szCs w:val="16"/>
          <w:color w:val="auto"/>
        </w:rPr>
      </w:pPr>
    </w:p>
    <w:p>
      <w:pPr>
        <w:ind w:left="640" w:right="2779" w:hanging="179"/>
        <w:spacing w:after="0" w:line="342"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of price fluctuations of recyclable materials processed by the Company;</w:t>
      </w:r>
    </w:p>
    <w:p>
      <w:pPr>
        <w:spacing w:after="0" w:line="20" w:lineRule="exact"/>
        <w:rPr>
          <w:rFonts w:ascii="Courier New" w:cs="Courier New" w:eastAsia="Courier New" w:hAnsi="Courier New"/>
          <w:sz w:val="16"/>
          <w:szCs w:val="16"/>
          <w:color w:val="auto"/>
        </w:rPr>
      </w:pPr>
    </w:p>
    <w:p>
      <w:pPr>
        <w:ind w:left="640" w:right="3059" w:hanging="179"/>
        <w:spacing w:after="0" w:line="272" w:lineRule="auto"/>
        <w:tabs>
          <w:tab w:leader="none" w:pos="64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 competition in our industry could have on our ability to maintain margins, including uncertainty relating to competition with governmental sources that enjoy competitive advantages from tax-exempt financing and tax revenue subsidies;</w:t>
      </w:r>
    </w:p>
    <w:p>
      <w:pPr>
        <w:sectPr>
          <w:pgSz w:w="11900" w:h="16838" w:orient="portrait"/>
          <w:cols w:equalWidth="0" w:num="1">
            <w:col w:w="10219"/>
          </w:cols>
          <w:pgMar w:left="240" w:top="269" w:right="1440" w:bottom="1440" w:gutter="0" w:footer="0" w:header="0"/>
        </w:sectPr>
      </w:pPr>
    </w:p>
    <w:p>
      <w:pPr>
        <w:spacing w:after="0" w:line="7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19"/>
          </w:cols>
          <w:pgMar w:left="240" w:top="269"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27</w:t>
      </w:r>
    </w:p>
    <w:p>
      <w:pPr>
        <w:spacing w:after="0" w:line="177" w:lineRule="exact"/>
        <w:rPr>
          <w:sz w:val="20"/>
          <w:szCs w:val="20"/>
          <w:color w:val="auto"/>
        </w:rPr>
      </w:pPr>
    </w:p>
    <w:p>
      <w:pPr>
        <w:ind w:left="640" w:right="2879" w:hanging="179"/>
        <w:spacing w:after="0" w:line="348" w:lineRule="auto"/>
        <w:tabs>
          <w:tab w:leader="none" w:pos="6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defaults under our credit agreements if we are not able to satisfy certain financial ratios and covenants, and the possibility that we can not obtain additional capital on acceptable terms if needed;</w:t>
      </w:r>
    </w:p>
    <w:p>
      <w:pPr>
        <w:spacing w:after="0" w:line="25" w:lineRule="exact"/>
        <w:rPr>
          <w:rFonts w:ascii="Courier New" w:cs="Courier New" w:eastAsia="Courier New" w:hAnsi="Courier New"/>
          <w:sz w:val="14"/>
          <w:szCs w:val="14"/>
          <w:color w:val="auto"/>
        </w:rPr>
      </w:pPr>
    </w:p>
    <w:p>
      <w:pPr>
        <w:ind w:left="640" w:right="2879" w:hanging="179"/>
        <w:spacing w:after="0" w:line="406" w:lineRule="auto"/>
        <w:tabs>
          <w:tab w:leader="none" w:pos="6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diversions of management's attention and increases in operating expenses due to efforts by labor unions to organize our employees;</w:t>
      </w:r>
    </w:p>
    <w:p>
      <w:pPr>
        <w:ind w:left="640" w:right="2959" w:hanging="179"/>
        <w:spacing w:after="0" w:line="342" w:lineRule="auto"/>
        <w:tabs>
          <w:tab w:leader="none" w:pos="6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possible increases in operating expenses due to fuel price increases or fuel supply shortages;</w:t>
      </w:r>
    </w:p>
    <w:p>
      <w:pPr>
        <w:spacing w:after="0" w:line="20"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general economic conditions;</w:t>
      </w:r>
    </w:p>
    <w:p>
      <w:pPr>
        <w:spacing w:after="0" w:line="176"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of insurers to timely meet their contractual commitments; and</w:t>
      </w:r>
    </w:p>
    <w:p>
      <w:pPr>
        <w:spacing w:after="0" w:line="199" w:lineRule="exact"/>
        <w:rPr>
          <w:rFonts w:ascii="Courier New" w:cs="Courier New" w:eastAsia="Courier New" w:hAnsi="Courier New"/>
          <w:sz w:val="14"/>
          <w:szCs w:val="14"/>
          <w:color w:val="auto"/>
        </w:rPr>
      </w:pPr>
    </w:p>
    <w:p>
      <w:pPr>
        <w:ind w:left="640" w:right="3339" w:hanging="179"/>
        <w:spacing w:after="0" w:line="342" w:lineRule="auto"/>
        <w:tabs>
          <w:tab w:leader="none" w:pos="64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successfully deploy our new enterprise-wide software systems.</w:t>
      </w:r>
    </w:p>
    <w:p>
      <w:pPr>
        <w:spacing w:after="0" w:line="2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w:t>
      </w:r>
    </w:p>
    <w:p>
      <w:pPr>
        <w:spacing w:after="0" w:line="177" w:lineRule="exact"/>
        <w:rPr>
          <w:sz w:val="20"/>
          <w:szCs w:val="20"/>
          <w:color w:val="auto"/>
        </w:rPr>
      </w:pPr>
    </w:p>
    <w:p>
      <w:pPr>
        <w:ind w:right="2779" w:firstLine="465"/>
        <w:spacing w:after="0" w:line="263" w:lineRule="auto"/>
        <w:rPr>
          <w:sz w:val="20"/>
          <w:szCs w:val="20"/>
          <w:color w:val="auto"/>
        </w:rPr>
      </w:pPr>
      <w:r>
        <w:rPr>
          <w:rFonts w:ascii="Courier New" w:cs="Courier New" w:eastAsia="Courier New" w:hAnsi="Courier New"/>
          <w:sz w:val="16"/>
          <w:szCs w:val="16"/>
          <w:color w:val="auto"/>
        </w:rPr>
        <w:t>Waste Management, Inc.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w:t>
      </w:r>
    </w:p>
    <w:p>
      <w:pPr>
        <w:spacing w:after="0" w:line="80" w:lineRule="exact"/>
        <w:rPr>
          <w:sz w:val="20"/>
          <w:szCs w:val="20"/>
          <w:color w:val="auto"/>
        </w:rPr>
      </w:pPr>
    </w:p>
    <w:p>
      <w:pPr>
        <w:ind w:right="2779" w:firstLine="465"/>
        <w:spacing w:after="0" w:line="245" w:lineRule="auto"/>
        <w:rPr>
          <w:sz w:val="20"/>
          <w:szCs w:val="20"/>
          <w:color w:val="auto"/>
        </w:rPr>
      </w:pPr>
      <w:r>
        <w:rPr>
          <w:rFonts w:ascii="Courier New" w:cs="Courier New" w:eastAsia="Courier New" w:hAnsi="Courier New"/>
          <w:sz w:val="16"/>
          <w:szCs w:val="16"/>
          <w:color w:val="auto"/>
        </w:rPr>
        <w:t>During 2000, we divested nearly all of our operations outside of North America. Our international operations outside of North America consisted of the collection and transportation of solid, hazardous and medical wastes and recyclable materials and the treatment and disposal of recyclable materials. Also included were the operation of solid and hazardous waste landfills, municipal and hazardous waste incinerators, water and waste-water treatment facilities, hazardous waste treatment facilities, waste-fuel powered independent power facilities, and the construction of treatment or disposal facilities for third parties. Although substantially all of the international operations outside of North America were divested in 2000 pursuant to our 1999 strategic plan, we still have certain overseas interests which are currently being marketed for sale and are classified as held-for-sale operations in the financial statements.</w:t>
      </w:r>
    </w:p>
    <w:p>
      <w:pPr>
        <w:spacing w:after="0" w:line="99" w:lineRule="exact"/>
        <w:rPr>
          <w:sz w:val="20"/>
          <w:szCs w:val="20"/>
          <w:color w:val="auto"/>
        </w:rPr>
      </w:pPr>
    </w:p>
    <w:p>
      <w:pPr>
        <w:ind w:right="2779" w:firstLine="465"/>
        <w:spacing w:after="0" w:line="279" w:lineRule="auto"/>
        <w:rPr>
          <w:sz w:val="20"/>
          <w:szCs w:val="20"/>
          <w:color w:val="auto"/>
        </w:rPr>
      </w:pPr>
      <w:r>
        <w:rPr>
          <w:rFonts w:ascii="Courier New" w:cs="Courier New" w:eastAsia="Courier New" w:hAnsi="Courier New"/>
          <w:sz w:val="14"/>
          <w:szCs w:val="14"/>
          <w:color w:val="auto"/>
        </w:rPr>
        <w:t>The Company also divested most of its non-solid waste operations in 2000, which include all hazardous waste management and other North American non-solid waste services (except for hazardous waste landfills, which are included in NASW operations). The Company's hazardous waste management services included the collection, transfer and treatment of hazardous waste. The Company's low-level and other radioactive waste services generally consisted of disposal, processing and various other special services related to these types of waste. Additionally, the Company provided hazardous, radioactive and mixed waste program and facilities management services. The Company's remaining non-solid waste operations consist of a geosynthetic manufacturing and installation service, which generally involves the making and installing of landfill liners and independent power projects, which include the operation and, in some cases, the ownership of independent power projects that either cogenerate electricity and thermal energy or generate electricity alone for sale to customers, including public utilities and industrial customers. The Company's geosynthetic manufacturing and installation service and independent power project operations are currently being marketed for sale and the Company has classified them as held-for-sale operations in its financial statements.</w:t>
      </w:r>
    </w:p>
    <w:p>
      <w:pPr>
        <w:spacing w:after="0" w:line="26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Major Initiatives</w:t>
      </w:r>
    </w:p>
    <w:p>
      <w:pPr>
        <w:spacing w:after="0" w:line="177" w:lineRule="exact"/>
        <w:rPr>
          <w:sz w:val="20"/>
          <w:szCs w:val="20"/>
          <w:color w:val="auto"/>
        </w:rPr>
      </w:pPr>
    </w:p>
    <w:p>
      <w:pPr>
        <w:ind w:right="2959" w:firstLine="465"/>
        <w:spacing w:after="0" w:line="258" w:lineRule="auto"/>
        <w:rPr>
          <w:sz w:val="20"/>
          <w:szCs w:val="20"/>
          <w:color w:val="auto"/>
        </w:rPr>
      </w:pPr>
      <w:r>
        <w:rPr>
          <w:rFonts w:ascii="Courier New" w:cs="Courier New" w:eastAsia="Courier New" w:hAnsi="Courier New"/>
          <w:sz w:val="16"/>
          <w:szCs w:val="16"/>
          <w:color w:val="auto"/>
        </w:rPr>
        <w:t>In the past, our primary growth strategy was to purchase revenue through acquisitions. However, we are now working on becoming a company of operational excellence by focusing on (i) providing excellent customer service, (ii) improving the way we operate, (iii) increasing cash flow and (iv) generating higher profit margins. To that end, we established four major company-wide initiatives for 2001 which are as follows:</w:t>
      </w:r>
    </w:p>
    <w:p>
      <w:pPr>
        <w:spacing w:after="0" w:line="83" w:lineRule="exact"/>
        <w:rPr>
          <w:sz w:val="20"/>
          <w:szCs w:val="20"/>
          <w:color w:val="auto"/>
        </w:rPr>
      </w:pPr>
    </w:p>
    <w:p>
      <w:pPr>
        <w:ind w:left="640" w:right="3439" w:hanging="179"/>
        <w:spacing w:after="0" w:line="342" w:lineRule="auto"/>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converting our existing financial systems to PeopleSoft enterprise financial systems;</w:t>
      </w:r>
    </w:p>
    <w:p>
      <w:pPr>
        <w:spacing w:after="0" w:line="20" w:lineRule="exact"/>
        <w:rPr>
          <w:rFonts w:ascii="Courier New" w:cs="Courier New" w:eastAsia="Courier New" w:hAnsi="Courier New"/>
          <w:sz w:val="16"/>
          <w:szCs w:val="16"/>
          <w:color w:val="auto"/>
        </w:rPr>
      </w:pPr>
    </w:p>
    <w:p>
      <w:pPr>
        <w:ind w:left="640" w:hanging="179"/>
        <w:spacing w:after="0"/>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implementing a procurement strategy;</w:t>
      </w:r>
    </w:p>
    <w:p>
      <w:pPr>
        <w:spacing w:after="0" w:line="176" w:lineRule="exact"/>
        <w:rPr>
          <w:rFonts w:ascii="Courier New" w:cs="Courier New" w:eastAsia="Courier New" w:hAnsi="Courier New"/>
          <w:sz w:val="16"/>
          <w:szCs w:val="16"/>
          <w:color w:val="auto"/>
        </w:rPr>
      </w:pPr>
    </w:p>
    <w:p>
      <w:pPr>
        <w:ind w:left="640" w:right="2779" w:hanging="179"/>
        <w:spacing w:after="0" w:line="289" w:lineRule="auto"/>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conducting in-depth studies of our markets to determine the dynamics of different markets, the way we serve those markets and the most profitable way to operate in these markets; and</w:t>
      </w:r>
    </w:p>
    <w:p>
      <w:pPr>
        <w:spacing w:after="0" w:line="60" w:lineRule="exact"/>
        <w:rPr>
          <w:rFonts w:ascii="Courier New" w:cs="Courier New" w:eastAsia="Courier New" w:hAnsi="Courier New"/>
          <w:sz w:val="16"/>
          <w:szCs w:val="16"/>
          <w:color w:val="auto"/>
        </w:rPr>
      </w:pPr>
    </w:p>
    <w:p>
      <w:pPr>
        <w:ind w:left="640" w:right="2879" w:hanging="179"/>
        <w:spacing w:after="0" w:line="255" w:lineRule="auto"/>
        <w:tabs>
          <w:tab w:leader="none" w:pos="6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implementing a strategy to improve customer focus and the way we service our customers.</w:t>
      </w:r>
    </w:p>
    <w:p>
      <w:pPr>
        <w:sectPr>
          <w:pgSz w:w="11900" w:h="16838" w:orient="portrait"/>
          <w:cols w:equalWidth="0" w:num="1">
            <w:col w:w="10219"/>
          </w:cols>
          <w:pgMar w:left="240" w:top="269" w:right="1440" w:bottom="1440" w:gutter="0" w:footer="0" w:header="0"/>
        </w:sectPr>
      </w:pP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19"/>
          </w:cols>
          <w:pgMar w:left="240" w:top="269" w:right="1440" w:bottom="1440"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28</w:t>
      </w:r>
    </w:p>
    <w:p>
      <w:pPr>
        <w:spacing w:after="0" w:line="177" w:lineRule="exact"/>
        <w:rPr>
          <w:sz w:val="20"/>
          <w:szCs w:val="20"/>
          <w:color w:val="auto"/>
        </w:rPr>
      </w:pPr>
    </w:p>
    <w:p>
      <w:pPr>
        <w:ind w:right="2879" w:firstLine="465"/>
        <w:spacing w:after="0" w:line="342" w:lineRule="auto"/>
        <w:rPr>
          <w:sz w:val="20"/>
          <w:szCs w:val="20"/>
          <w:color w:val="auto"/>
        </w:rPr>
      </w:pPr>
      <w:r>
        <w:rPr>
          <w:rFonts w:ascii="Courier New" w:cs="Courier New" w:eastAsia="Courier New" w:hAnsi="Courier New"/>
          <w:sz w:val="16"/>
          <w:szCs w:val="16"/>
          <w:color w:val="auto"/>
        </w:rPr>
        <w:t>We are progressing with these initiatives in accordance with the timelines that we had established for the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 FOR THE THREE AND SIX MONTHS ENDED JUNE 30, 2001 AND 2000</w:t>
      </w:r>
    </w:p>
    <w:p>
      <w:pPr>
        <w:spacing w:after="0" w:line="199" w:lineRule="exact"/>
        <w:rPr>
          <w:sz w:val="20"/>
          <w:szCs w:val="20"/>
          <w:color w:val="auto"/>
        </w:rPr>
      </w:pPr>
    </w:p>
    <w:p>
      <w:pPr>
        <w:ind w:right="3239" w:firstLine="465"/>
        <w:spacing w:after="0" w:line="289" w:lineRule="auto"/>
        <w:rPr>
          <w:sz w:val="20"/>
          <w:szCs w:val="20"/>
          <w:color w:val="auto"/>
        </w:rPr>
      </w:pPr>
      <w:r>
        <w:rPr>
          <w:rFonts w:ascii="Courier New" w:cs="Courier New" w:eastAsia="Courier New" w:hAnsi="Courier New"/>
          <w:sz w:val="16"/>
          <w:szCs w:val="16"/>
          <w:color w:val="auto"/>
        </w:rPr>
        <w:t>The following table presents, for the periods indicated, the period to period change in dollars (in millions) and percentages for the respective condensed consolidated statements of operations line items.</w:t>
      </w:r>
    </w:p>
    <w:p>
      <w:pPr>
        <w:spacing w:after="0" w:line="61"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PERIOD TO PERIOD CHANGE FOR THE PERIOD TO</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PERIOD THREE MONTHS CHANGE FOR THE ENDED SIX</w:t>
      </w:r>
    </w:p>
    <w:p>
      <w:pPr>
        <w:ind w:left="40"/>
        <w:spacing w:after="0" w:line="236" w:lineRule="auto"/>
        <w:rPr>
          <w:sz w:val="20"/>
          <w:szCs w:val="20"/>
          <w:color w:val="auto"/>
        </w:rPr>
      </w:pPr>
      <w:r>
        <w:rPr>
          <w:rFonts w:ascii="Courier New" w:cs="Courier New" w:eastAsia="Courier New" w:hAnsi="Courier New"/>
          <w:sz w:val="16"/>
          <w:szCs w:val="16"/>
          <w:color w:val="auto"/>
        </w:rPr>
        <w:t>MONTHS ENDED JUNE 30, JUNE 30, 2001 AND 2000</w:t>
      </w:r>
    </w:p>
    <w:p>
      <w:pPr>
        <w:ind w:left="40"/>
        <w:spacing w:after="0" w:line="237" w:lineRule="auto"/>
        <w:rPr>
          <w:sz w:val="20"/>
          <w:szCs w:val="20"/>
          <w:color w:val="auto"/>
        </w:rPr>
      </w:pPr>
      <w:r>
        <w:rPr>
          <w:rFonts w:ascii="Courier New" w:cs="Courier New" w:eastAsia="Courier New" w:hAnsi="Courier New"/>
          <w:sz w:val="16"/>
          <w:szCs w:val="16"/>
          <w:color w:val="auto"/>
        </w:rPr>
        <w:t>2001 AND 2000 ----------------- ------------</w:t>
      </w:r>
    </w:p>
    <w:p>
      <w:pPr>
        <w:ind w:left="220"/>
        <w:spacing w:after="0" w:line="237" w:lineRule="auto"/>
        <w:rPr>
          <w:sz w:val="20"/>
          <w:szCs w:val="20"/>
          <w:color w:val="auto"/>
        </w:rPr>
      </w:pPr>
      <w:r>
        <w:rPr>
          <w:rFonts w:ascii="Courier New" w:cs="Courier New" w:eastAsia="Courier New" w:hAnsi="Courier New"/>
          <w:sz w:val="16"/>
          <w:szCs w:val="16"/>
          <w:color w:val="auto"/>
        </w:rPr>
        <w:t>----- STATEMENT OF OPERATIONS: Operating</w:t>
      </w:r>
    </w:p>
    <w:tbl>
      <w:tblPr>
        <w:tblLayout w:type="fixed"/>
        <w:tblInd w:w="0" w:type="dxa"/>
        <w:tblCellMar>
          <w:top w:w="0" w:type="dxa"/>
          <w:left w:w="0" w:type="dxa"/>
          <w:bottom w:w="0" w:type="dxa"/>
          <w:right w:w="0" w:type="dxa"/>
        </w:tblCellMar>
      </w:tblPr>
      <w:tr>
        <w:trPr>
          <w:trHeight w:val="151"/>
        </w:trPr>
        <w:tc>
          <w:tcPr>
            <w:tcW w:w="2560" w:type="dxa"/>
            <w:vAlign w:val="bottom"/>
            <w:gridSpan w:val="2"/>
          </w:tcPr>
          <w:p>
            <w:pPr>
              <w:jc w:val="right"/>
              <w:spacing w:after="0" w:line="152" w:lineRule="exact"/>
              <w:rPr>
                <w:sz w:val="20"/>
                <w:szCs w:val="20"/>
                <w:color w:val="auto"/>
              </w:rPr>
            </w:pPr>
            <w:r>
              <w:rPr>
                <w:rFonts w:ascii="Courier New" w:cs="Courier New" w:eastAsia="Courier New" w:hAnsi="Courier New"/>
                <w:sz w:val="16"/>
                <w:szCs w:val="16"/>
                <w:color w:val="auto"/>
                <w:w w:val="71"/>
              </w:rPr>
              <w:t>revenues.............................</w:t>
            </w:r>
          </w:p>
        </w:tc>
        <w:tc>
          <w:tcPr>
            <w:tcW w:w="158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$(351)</w:t>
            </w:r>
          </w:p>
        </w:tc>
        <w:tc>
          <w:tcPr>
            <w:tcW w:w="0" w:type="dxa"/>
            <w:vAlign w:val="bottom"/>
          </w:tcPr>
          <w:p>
            <w:pPr>
              <w:spacing w:after="0"/>
              <w:rPr>
                <w:sz w:val="1"/>
                <w:szCs w:val="1"/>
                <w:color w:val="auto"/>
              </w:rPr>
            </w:pPr>
          </w:p>
        </w:tc>
      </w:tr>
      <w:tr>
        <w:trPr>
          <w:trHeight w:val="179"/>
        </w:trPr>
        <w:tc>
          <w:tcPr>
            <w:tcW w:w="2560" w:type="dxa"/>
            <w:vAlign w:val="bottom"/>
            <w:gridSpan w:val="2"/>
          </w:tcPr>
          <w:p>
            <w:pPr>
              <w:ind w:left="80"/>
              <w:spacing w:after="0" w:line="179" w:lineRule="exact"/>
              <w:rPr>
                <w:sz w:val="20"/>
                <w:szCs w:val="20"/>
                <w:color w:val="auto"/>
              </w:rPr>
            </w:pPr>
            <w:r>
              <w:rPr>
                <w:rFonts w:ascii="Courier New" w:cs="Courier New" w:eastAsia="Courier New" w:hAnsi="Courier New"/>
                <w:sz w:val="16"/>
                <w:szCs w:val="16"/>
                <w:color w:val="auto"/>
                <w:w w:val="88"/>
              </w:rPr>
              <w:t>(10.7)% $ (849) (13.1)% -----</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Costs</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and expenses: Operating (exclusive of</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depreciation and amortization shown</w:t>
            </w:r>
          </w:p>
        </w:tc>
        <w:tc>
          <w:tcPr>
            <w:tcW w:w="0" w:type="dxa"/>
            <w:vAlign w:val="bottom"/>
          </w:tcPr>
          <w:p>
            <w:pPr>
              <w:spacing w:after="0"/>
              <w:rPr>
                <w:sz w:val="1"/>
                <w:szCs w:val="1"/>
                <w:color w:val="auto"/>
              </w:rPr>
            </w:pPr>
          </w:p>
        </w:tc>
      </w:tr>
      <w:tr>
        <w:trPr>
          <w:trHeight w:val="179"/>
        </w:trPr>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w w:val="75"/>
              </w:rPr>
              <w:t>below).................</w:t>
            </w:r>
          </w:p>
        </w:tc>
        <w:tc>
          <w:tcPr>
            <w:tcW w:w="26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rPr>
              <w:t>(217) (11.1) (527)</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(13.5) General and</w:t>
            </w:r>
          </w:p>
        </w:tc>
        <w:tc>
          <w:tcPr>
            <w:tcW w:w="0" w:type="dxa"/>
            <w:vAlign w:val="bottom"/>
          </w:tcPr>
          <w:p>
            <w:pPr>
              <w:spacing w:after="0"/>
              <w:rPr>
                <w:sz w:val="1"/>
                <w:szCs w:val="1"/>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0"/>
              </w:rPr>
              <w:t>administrative...................</w:t>
            </w:r>
          </w:p>
        </w:tc>
        <w:tc>
          <w:tcPr>
            <w:tcW w:w="158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(10.6) (152) (16.2) Depreciation and</w:t>
            </w:r>
          </w:p>
        </w:tc>
        <w:tc>
          <w:tcPr>
            <w:tcW w:w="0" w:type="dxa"/>
            <w:vAlign w:val="bottom"/>
          </w:tcPr>
          <w:p>
            <w:pPr>
              <w:spacing w:after="0"/>
              <w:rPr>
                <w:sz w:val="1"/>
                <w:szCs w:val="1"/>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4"/>
              </w:rPr>
              <w:t>amortization................</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(21) (5.8) (36)</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(5.1) Asset impairments and unusual</w:t>
            </w:r>
          </w:p>
        </w:tc>
        <w:tc>
          <w:tcPr>
            <w:tcW w:w="0" w:type="dxa"/>
            <w:vAlign w:val="bottom"/>
          </w:tcPr>
          <w:p>
            <w:pPr>
              <w:spacing w:after="0"/>
              <w:rPr>
                <w:sz w:val="1"/>
                <w:szCs w:val="1"/>
                <w:color w:val="auto"/>
              </w:rPr>
            </w:pPr>
          </w:p>
        </w:tc>
      </w:tr>
      <w:tr>
        <w:trPr>
          <w:trHeight w:val="179"/>
        </w:trPr>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items..........</w:t>
            </w: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(214) (98.6) (301) (97.4) --</w:t>
            </w:r>
          </w:p>
        </w:tc>
        <w:tc>
          <w:tcPr>
            <w:tcW w:w="0" w:type="dxa"/>
            <w:vAlign w:val="bottom"/>
          </w:tcPr>
          <w:p>
            <w:pPr>
              <w:spacing w:after="0"/>
              <w:rPr>
                <w:sz w:val="1"/>
                <w:szCs w:val="1"/>
                <w:color w:val="auto"/>
              </w:rPr>
            </w:pPr>
          </w:p>
        </w:tc>
      </w:tr>
      <w:tr>
        <w:trPr>
          <w:trHeight w:val="179"/>
        </w:trPr>
        <w:tc>
          <w:tcPr>
            <w:tcW w:w="41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 ------- (499) (16.8) (1,016) (17.3) ----</w:t>
            </w:r>
          </w:p>
        </w:tc>
        <w:tc>
          <w:tcPr>
            <w:tcW w:w="0" w:type="dxa"/>
            <w:vAlign w:val="bottom"/>
          </w:tcPr>
          <w:p>
            <w:pPr>
              <w:spacing w:after="0"/>
              <w:rPr>
                <w:sz w:val="1"/>
                <w:szCs w:val="1"/>
                <w:color w:val="auto"/>
              </w:rPr>
            </w:pPr>
          </w:p>
        </w:tc>
      </w:tr>
      <w:tr>
        <w:trPr>
          <w:trHeight w:val="179"/>
        </w:trPr>
        <w:tc>
          <w:tcPr>
            <w:tcW w:w="1480" w:type="dxa"/>
            <w:vAlign w:val="bottom"/>
            <w:vMerge w:val="restart"/>
          </w:tcPr>
          <w:p>
            <w:pPr>
              <w:jc w:val="right"/>
              <w:spacing w:after="0"/>
              <w:rPr>
                <w:sz w:val="20"/>
                <w:szCs w:val="20"/>
                <w:color w:val="auto"/>
              </w:rPr>
            </w:pPr>
            <w:r>
              <w:rPr>
                <w:rFonts w:ascii="Courier New" w:cs="Courier New" w:eastAsia="Courier New" w:hAnsi="Courier New"/>
                <w:sz w:val="8"/>
                <w:szCs w:val="8"/>
                <w:color w:val="auto"/>
                <w:w w:val="71"/>
              </w:rPr>
              <w:t>operations.........................</w:t>
            </w:r>
            <w:r>
              <w:rPr>
                <w:rFonts w:ascii="Courier New" w:cs="Courier New" w:eastAsia="Courier New" w:hAnsi="Courier New"/>
                <w:sz w:val="11"/>
                <w:szCs w:val="11"/>
                <w:color w:val="auto"/>
                <w:w w:val="71"/>
                <w:vertAlign w:val="superscript"/>
              </w:rPr>
              <w:t>--------</w:t>
            </w:r>
          </w:p>
        </w:tc>
        <w:tc>
          <w:tcPr>
            <w:tcW w:w="2660" w:type="dxa"/>
            <w:vAlign w:val="bottom"/>
            <w:gridSpan w:val="2"/>
          </w:tcPr>
          <w:p>
            <w:pPr>
              <w:jc w:val="right"/>
              <w:ind w:right="1002"/>
              <w:spacing w:after="0" w:line="179" w:lineRule="exact"/>
              <w:rPr>
                <w:sz w:val="20"/>
                <w:szCs w:val="20"/>
                <w:color w:val="auto"/>
              </w:rPr>
            </w:pPr>
            <w:r>
              <w:rPr>
                <w:rFonts w:ascii="Courier New" w:cs="Courier New" w:eastAsia="Courier New" w:hAnsi="Courier New"/>
                <w:sz w:val="16"/>
                <w:szCs w:val="16"/>
                <w:color w:val="auto"/>
              </w:rPr>
              <w:t>Income from</w:t>
            </w:r>
          </w:p>
        </w:tc>
        <w:tc>
          <w:tcPr>
            <w:tcW w:w="0" w:type="dxa"/>
            <w:vAlign w:val="bottom"/>
          </w:tcPr>
          <w:p>
            <w:pPr>
              <w:spacing w:after="0"/>
              <w:rPr>
                <w:sz w:val="1"/>
                <w:szCs w:val="1"/>
                <w:color w:val="auto"/>
              </w:rPr>
            </w:pPr>
          </w:p>
        </w:tc>
      </w:tr>
      <w:tr>
        <w:trPr>
          <w:trHeight w:val="179"/>
        </w:trPr>
        <w:tc>
          <w:tcPr>
            <w:tcW w:w="14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148 50.5</w:t>
            </w:r>
          </w:p>
        </w:tc>
        <w:tc>
          <w:tcPr>
            <w:tcW w:w="0" w:type="dxa"/>
            <w:vAlign w:val="bottom"/>
          </w:tcPr>
          <w:p>
            <w:pPr>
              <w:spacing w:after="0"/>
              <w:rPr>
                <w:sz w:val="1"/>
                <w:szCs w:val="1"/>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167 27.0 ----- -------</w:t>
            </w:r>
          </w:p>
        </w:tc>
        <w:tc>
          <w:tcPr>
            <w:tcW w:w="158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w w:val="98"/>
              </w:rPr>
              <w:t>Other income</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(expense): Interest</w:t>
            </w:r>
          </w:p>
        </w:tc>
        <w:tc>
          <w:tcPr>
            <w:tcW w:w="0" w:type="dxa"/>
            <w:vAlign w:val="bottom"/>
          </w:tcPr>
          <w:p>
            <w:pPr>
              <w:spacing w:after="0"/>
              <w:rPr>
                <w:sz w:val="1"/>
                <w:szCs w:val="1"/>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73"/>
              </w:rPr>
              <w:t>expense.............................</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54 26.9</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110 26.8 Interest and other income,</w:t>
            </w:r>
          </w:p>
        </w:tc>
        <w:tc>
          <w:tcPr>
            <w:tcW w:w="0" w:type="dxa"/>
            <w:vAlign w:val="bottom"/>
          </w:tcPr>
          <w:p>
            <w:pPr>
              <w:spacing w:after="0"/>
              <w:rPr>
                <w:sz w:val="1"/>
                <w:szCs w:val="1"/>
                <w:color w:val="auto"/>
              </w:rPr>
            </w:pPr>
          </w:p>
        </w:tc>
      </w:tr>
      <w:tr>
        <w:trPr>
          <w:trHeight w:val="179"/>
        </w:trPr>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4"/>
              </w:rPr>
              <w:t>net...............</w:t>
            </w:r>
          </w:p>
        </w:tc>
        <w:tc>
          <w:tcPr>
            <w:tcW w:w="26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(7) (36.8) 5 16.7</w:t>
            </w:r>
          </w:p>
        </w:tc>
        <w:tc>
          <w:tcPr>
            <w:tcW w:w="0" w:type="dxa"/>
            <w:vAlign w:val="bottom"/>
          </w:tcPr>
          <w:p>
            <w:pPr>
              <w:spacing w:after="0"/>
              <w:rPr>
                <w:sz w:val="1"/>
                <w:szCs w:val="1"/>
                <w:color w:val="auto"/>
              </w:rPr>
            </w:pPr>
          </w:p>
        </w:tc>
      </w:tr>
      <w:tr>
        <w:trPr>
          <w:trHeight w:val="261"/>
        </w:trPr>
        <w:tc>
          <w:tcPr>
            <w:tcW w:w="148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5"/>
              </w:rPr>
              <w:t>interest............................</w:t>
            </w:r>
          </w:p>
        </w:tc>
        <w:tc>
          <w:tcPr>
            <w:tcW w:w="108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6"/>
              </w:rPr>
              <w:t>Minority</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4 66.7</w:t>
            </w:r>
          </w:p>
        </w:tc>
        <w:tc>
          <w:tcPr>
            <w:tcW w:w="0" w:type="dxa"/>
            <w:vAlign w:val="bottom"/>
          </w:tcPr>
          <w:p>
            <w:pPr>
              <w:spacing w:after="0"/>
              <w:rPr>
                <w:sz w:val="1"/>
                <w:szCs w:val="1"/>
                <w:color w:val="auto"/>
              </w:rPr>
            </w:pPr>
          </w:p>
        </w:tc>
      </w:tr>
      <w:tr>
        <w:trPr>
          <w:trHeight w:val="97"/>
        </w:trPr>
        <w:tc>
          <w:tcPr>
            <w:tcW w:w="14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71"/>
              </w:rPr>
              <w:t>9 75.0 ----- -------</w:t>
            </w:r>
          </w:p>
        </w:tc>
        <w:tc>
          <w:tcPr>
            <w:tcW w:w="26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51 27.1 124 31.6 -----</w:t>
            </w:r>
          </w:p>
        </w:tc>
        <w:tc>
          <w:tcPr>
            <w:tcW w:w="0" w:type="dxa"/>
            <w:vAlign w:val="bottom"/>
          </w:tcPr>
          <w:p>
            <w:pPr>
              <w:spacing w:after="0"/>
              <w:rPr>
                <w:sz w:val="1"/>
                <w:szCs w:val="1"/>
                <w:color w:val="auto"/>
              </w:rPr>
            </w:pPr>
          </w:p>
        </w:tc>
      </w:tr>
      <w:tr>
        <w:trPr>
          <w:trHeight w:val="179"/>
        </w:trPr>
        <w:tc>
          <w:tcPr>
            <w:tcW w:w="14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2"/>
              </w:rPr>
              <w:t>taxes.....................</w:t>
            </w:r>
            <w:r>
              <w:rPr>
                <w:rFonts w:ascii="Courier New" w:cs="Courier New" w:eastAsia="Courier New" w:hAnsi="Courier New"/>
                <w:sz w:val="16"/>
                <w:szCs w:val="16"/>
                <w:color w:val="auto"/>
                <w:w w:val="72"/>
                <w:vertAlign w:val="superscript"/>
              </w:rPr>
              <w:t>-------</w:t>
            </w:r>
          </w:p>
        </w:tc>
        <w:tc>
          <w:tcPr>
            <w:tcW w:w="2660" w:type="dxa"/>
            <w:vAlign w:val="bottom"/>
            <w:gridSpan w:val="2"/>
          </w:tcPr>
          <w:p>
            <w:pPr>
              <w:ind w:left="60"/>
              <w:spacing w:after="0" w:line="179" w:lineRule="exact"/>
              <w:rPr>
                <w:sz w:val="20"/>
                <w:szCs w:val="20"/>
                <w:color w:val="auto"/>
              </w:rPr>
            </w:pPr>
            <w:r>
              <w:rPr>
                <w:rFonts w:ascii="Courier New" w:cs="Courier New" w:eastAsia="Courier New" w:hAnsi="Courier New"/>
                <w:sz w:val="16"/>
                <w:szCs w:val="16"/>
                <w:color w:val="auto"/>
              </w:rPr>
              <w:t>Income before income</w:t>
            </w:r>
          </w:p>
        </w:tc>
        <w:tc>
          <w:tcPr>
            <w:tcW w:w="0" w:type="dxa"/>
            <w:vAlign w:val="bottom"/>
          </w:tcPr>
          <w:p>
            <w:pPr>
              <w:spacing w:after="0"/>
              <w:rPr>
                <w:sz w:val="1"/>
                <w:szCs w:val="1"/>
                <w:color w:val="auto"/>
              </w:rPr>
            </w:pPr>
          </w:p>
        </w:tc>
      </w:tr>
      <w:tr>
        <w:trPr>
          <w:trHeight w:val="179"/>
        </w:trPr>
        <w:tc>
          <w:tcPr>
            <w:tcW w:w="14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199 189.5 291</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129.3 Provision for income</w:t>
            </w:r>
          </w:p>
        </w:tc>
        <w:tc>
          <w:tcPr>
            <w:tcW w:w="0" w:type="dxa"/>
            <w:vAlign w:val="bottom"/>
          </w:tcPr>
          <w:p>
            <w:pPr>
              <w:spacing w:after="0"/>
              <w:rPr>
                <w:sz w:val="1"/>
                <w:szCs w:val="1"/>
                <w:color w:val="auto"/>
              </w:rPr>
            </w:pPr>
          </w:p>
        </w:tc>
      </w:tr>
      <w:tr>
        <w:trPr>
          <w:trHeight w:val="179"/>
        </w:trPr>
        <w:tc>
          <w:tcPr>
            <w:tcW w:w="256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7"/>
              </w:rPr>
              <w:t>taxes.....................</w:t>
            </w:r>
          </w:p>
        </w:tc>
        <w:tc>
          <w:tcPr>
            <w:tcW w:w="15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8 7.6 32 18.8 ---</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 ------- Income before extraordinary item</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and cumulative effect of change in</w:t>
            </w:r>
          </w:p>
        </w:tc>
        <w:tc>
          <w:tcPr>
            <w:tcW w:w="0" w:type="dxa"/>
            <w:vAlign w:val="bottom"/>
          </w:tcPr>
          <w:p>
            <w:pPr>
              <w:spacing w:after="0"/>
              <w:rPr>
                <w:sz w:val="1"/>
                <w:szCs w:val="1"/>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accounting principle.....</w:t>
            </w:r>
          </w:p>
        </w:tc>
        <w:tc>
          <w:tcPr>
            <w:tcW w:w="158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191 259</w:t>
            </w:r>
          </w:p>
        </w:tc>
        <w:tc>
          <w:tcPr>
            <w:tcW w:w="0" w:type="dxa"/>
            <w:vAlign w:val="bottom"/>
          </w:tcPr>
          <w:p>
            <w:pPr>
              <w:spacing w:after="0"/>
              <w:rPr>
                <w:sz w:val="1"/>
                <w:szCs w:val="1"/>
                <w:color w:val="auto"/>
              </w:rPr>
            </w:pPr>
          </w:p>
        </w:tc>
      </w:tr>
      <w:tr>
        <w:trPr>
          <w:trHeight w:val="179"/>
        </w:trPr>
        <w:tc>
          <w:tcPr>
            <w:tcW w:w="1480" w:type="dxa"/>
            <w:vAlign w:val="bottom"/>
            <w:vMerge w:val="restart"/>
          </w:tcPr>
          <w:p>
            <w:pPr>
              <w:jc w:val="right"/>
              <w:spacing w:after="0"/>
              <w:rPr>
                <w:sz w:val="20"/>
                <w:szCs w:val="20"/>
                <w:color w:val="auto"/>
              </w:rPr>
            </w:pPr>
            <w:r>
              <w:rPr>
                <w:rFonts w:ascii="Courier New" w:cs="Courier New" w:eastAsia="Courier New" w:hAnsi="Courier New"/>
                <w:sz w:val="10"/>
                <w:szCs w:val="10"/>
                <w:color w:val="auto"/>
                <w:w w:val="73"/>
              </w:rPr>
              <w:t>loss.............................</w:t>
            </w:r>
          </w:p>
        </w:tc>
        <w:tc>
          <w:tcPr>
            <w:tcW w:w="2660" w:type="dxa"/>
            <w:vAlign w:val="bottom"/>
            <w:gridSpan w:val="2"/>
          </w:tcPr>
          <w:p>
            <w:pPr>
              <w:jc w:val="center"/>
              <w:ind w:right="1362"/>
              <w:spacing w:after="0" w:line="179" w:lineRule="exact"/>
              <w:rPr>
                <w:sz w:val="20"/>
                <w:szCs w:val="20"/>
                <w:color w:val="auto"/>
              </w:rPr>
            </w:pPr>
            <w:r>
              <w:rPr>
                <w:rFonts w:ascii="Courier New" w:cs="Courier New" w:eastAsia="Courier New" w:hAnsi="Courier New"/>
                <w:sz w:val="16"/>
                <w:szCs w:val="16"/>
                <w:color w:val="auto"/>
                <w:w w:val="97"/>
              </w:rPr>
              <w:t>Extraordinary</w:t>
            </w:r>
          </w:p>
        </w:tc>
        <w:tc>
          <w:tcPr>
            <w:tcW w:w="0" w:type="dxa"/>
            <w:vAlign w:val="bottom"/>
          </w:tcPr>
          <w:p>
            <w:pPr>
              <w:spacing w:after="0"/>
              <w:rPr>
                <w:sz w:val="1"/>
                <w:szCs w:val="1"/>
                <w:color w:val="auto"/>
              </w:rPr>
            </w:pPr>
          </w:p>
        </w:tc>
      </w:tr>
      <w:tr>
        <w:trPr>
          <w:trHeight w:val="179"/>
        </w:trPr>
        <w:tc>
          <w:tcPr>
            <w:tcW w:w="14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5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 (1)</w:t>
            </w:r>
          </w:p>
        </w:tc>
        <w:tc>
          <w:tcPr>
            <w:tcW w:w="0" w:type="dxa"/>
            <w:vAlign w:val="bottom"/>
          </w:tcPr>
          <w:p>
            <w:pPr>
              <w:spacing w:after="0"/>
              <w:rPr>
                <w:sz w:val="1"/>
                <w:szCs w:val="1"/>
                <w:color w:val="auto"/>
              </w:rPr>
            </w:pPr>
          </w:p>
        </w:tc>
      </w:tr>
      <w:tr>
        <w:trPr>
          <w:trHeight w:val="179"/>
        </w:trPr>
        <w:tc>
          <w:tcPr>
            <w:tcW w:w="41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Cumulative effect of change in accounting</w:t>
            </w:r>
          </w:p>
        </w:tc>
        <w:tc>
          <w:tcPr>
            <w:tcW w:w="0" w:type="dxa"/>
            <w:vAlign w:val="bottom"/>
          </w:tcPr>
          <w:p>
            <w:pPr>
              <w:spacing w:after="0"/>
              <w:rPr>
                <w:sz w:val="1"/>
                <w:szCs w:val="1"/>
                <w:color w:val="auto"/>
              </w:rPr>
            </w:pPr>
          </w:p>
        </w:tc>
      </w:tr>
      <w:tr>
        <w:trPr>
          <w:trHeight w:val="179"/>
        </w:trPr>
        <w:tc>
          <w:tcPr>
            <w:tcW w:w="2560" w:type="dxa"/>
            <w:vAlign w:val="bottom"/>
            <w:gridSpan w:val="2"/>
          </w:tcPr>
          <w:p>
            <w:pPr>
              <w:jc w:val="right"/>
              <w:spacing w:after="0" w:line="179" w:lineRule="exact"/>
              <w:rPr>
                <w:sz w:val="20"/>
                <w:szCs w:val="20"/>
                <w:color w:val="auto"/>
              </w:rPr>
            </w:pPr>
            <w:r>
              <w:rPr>
                <w:rFonts w:ascii="Courier New" w:cs="Courier New" w:eastAsia="Courier New" w:hAnsi="Courier New"/>
                <w:sz w:val="11"/>
                <w:szCs w:val="11"/>
                <w:color w:val="auto"/>
                <w:w w:val="72"/>
              </w:rPr>
              <w:t>principle....................................</w:t>
            </w:r>
            <w:r>
              <w:rPr>
                <w:rFonts w:ascii="Courier New" w:cs="Courier New" w:eastAsia="Courier New" w:hAnsi="Courier New"/>
                <w:sz w:val="19"/>
                <w:szCs w:val="19"/>
                <w:color w:val="auto"/>
                <w:w w:val="72"/>
                <w:vertAlign w:val="subscript"/>
              </w:rPr>
              <w:t>-------</w:t>
            </w:r>
          </w:p>
        </w:tc>
        <w:tc>
          <w:tcPr>
            <w:tcW w:w="1580" w:type="dxa"/>
            <w:vAlign w:val="bottom"/>
            <w:vMerge w:val="restart"/>
          </w:tcPr>
          <w:p>
            <w:pPr>
              <w:jc w:val="right"/>
              <w:ind w:right="942"/>
              <w:spacing w:after="0"/>
              <w:rPr>
                <w:sz w:val="20"/>
                <w:szCs w:val="20"/>
                <w:color w:val="auto"/>
              </w:rPr>
            </w:pPr>
            <w:r>
              <w:rPr>
                <w:rFonts w:ascii="Courier New" w:cs="Courier New" w:eastAsia="Courier New" w:hAnsi="Courier New"/>
                <w:sz w:val="16"/>
                <w:szCs w:val="16"/>
                <w:color w:val="auto"/>
              </w:rPr>
              <w:t>Net</w:t>
            </w:r>
          </w:p>
        </w:tc>
        <w:tc>
          <w:tcPr>
            <w:tcW w:w="0" w:type="dxa"/>
            <w:vAlign w:val="bottom"/>
          </w:tcPr>
          <w:p>
            <w:pPr>
              <w:spacing w:after="0"/>
              <w:rPr>
                <w:sz w:val="1"/>
                <w:szCs w:val="1"/>
                <w:color w:val="auto"/>
              </w:rPr>
            </w:pPr>
          </w:p>
        </w:tc>
      </w:tr>
      <w:tr>
        <w:trPr>
          <w:trHeight w:val="179"/>
        </w:trPr>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-- 2</w:t>
            </w:r>
          </w:p>
        </w:tc>
        <w:tc>
          <w:tcPr>
            <w:tcW w:w="10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w:t>
            </w: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80" w:type="dxa"/>
            <w:vAlign w:val="bottom"/>
          </w:tcPr>
          <w:p>
            <w:pPr>
              <w:jc w:val="right"/>
              <w:spacing w:after="0"/>
              <w:rPr>
                <w:sz w:val="20"/>
                <w:szCs w:val="20"/>
                <w:color w:val="auto"/>
              </w:rPr>
            </w:pPr>
            <w:r>
              <w:rPr>
                <w:rFonts w:ascii="Courier New" w:cs="Courier New" w:eastAsia="Courier New" w:hAnsi="Courier New"/>
                <w:sz w:val="8"/>
                <w:szCs w:val="8"/>
                <w:color w:val="auto"/>
                <w:w w:val="70"/>
              </w:rPr>
              <w:t>income.....................................</w:t>
            </w:r>
          </w:p>
        </w:tc>
        <w:tc>
          <w:tcPr>
            <w:tcW w:w="2660" w:type="dxa"/>
            <w:vAlign w:val="bottom"/>
            <w:gridSpan w:val="2"/>
            <w:vMerge w:val="restart"/>
          </w:tcPr>
          <w:p>
            <w:pPr>
              <w:jc w:val="right"/>
              <w:ind w:right="802"/>
              <w:spacing w:after="0"/>
              <w:rPr>
                <w:sz w:val="20"/>
                <w:szCs w:val="20"/>
                <w:color w:val="auto"/>
              </w:rPr>
            </w:pPr>
            <w:r>
              <w:rPr>
                <w:rFonts w:ascii="Courier New" w:cs="Courier New" w:eastAsia="Courier New" w:hAnsi="Courier New"/>
                <w:sz w:val="16"/>
                <w:szCs w:val="16"/>
                <w:color w:val="auto"/>
                <w:w w:val="96"/>
              </w:rPr>
              <w:t>$ 260 ===== =======</w:t>
            </w:r>
          </w:p>
        </w:tc>
        <w:tc>
          <w:tcPr>
            <w:tcW w:w="0" w:type="dxa"/>
            <w:vAlign w:val="bottom"/>
          </w:tcPr>
          <w:p>
            <w:pPr>
              <w:spacing w:after="0"/>
              <w:rPr>
                <w:sz w:val="1"/>
                <w:szCs w:val="1"/>
                <w:color w:val="auto"/>
              </w:rPr>
            </w:pPr>
          </w:p>
        </w:tc>
      </w:tr>
      <w:tr>
        <w:trPr>
          <w:trHeight w:val="261"/>
        </w:trPr>
        <w:tc>
          <w:tcPr>
            <w:tcW w:w="1480" w:type="dxa"/>
            <w:vAlign w:val="bottom"/>
          </w:tcPr>
          <w:p>
            <w:pPr>
              <w:jc w:val="right"/>
              <w:ind w:right="8"/>
              <w:spacing w:after="0"/>
              <w:rPr>
                <w:sz w:val="20"/>
                <w:szCs w:val="20"/>
                <w:color w:val="auto"/>
              </w:rPr>
            </w:pPr>
            <w:r>
              <w:rPr>
                <w:rFonts w:ascii="Courier New" w:cs="Courier New" w:eastAsia="Courier New" w:hAnsi="Courier New"/>
                <w:sz w:val="16"/>
                <w:szCs w:val="16"/>
                <w:color w:val="auto"/>
              </w:rPr>
              <w:t>$ 191</w:t>
            </w:r>
          </w:p>
        </w:tc>
        <w:tc>
          <w:tcPr>
            <w:tcW w:w="26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37"/>
        </w:trPr>
        <w:tc>
          <w:tcPr>
            <w:tcW w:w="1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29</w:t>
      </w:r>
    </w:p>
    <w:p>
      <w:pPr>
        <w:spacing w:after="0" w:line="177" w:lineRule="exact"/>
        <w:rPr>
          <w:sz w:val="20"/>
          <w:szCs w:val="20"/>
          <w:color w:val="auto"/>
        </w:rPr>
      </w:pPr>
    </w:p>
    <w:p>
      <w:pPr>
        <w:ind w:right="2779" w:firstLine="465"/>
        <w:spacing w:after="0" w:line="289" w:lineRule="auto"/>
        <w:rPr>
          <w:sz w:val="20"/>
          <w:szCs w:val="20"/>
          <w:color w:val="auto"/>
        </w:rPr>
      </w:pPr>
      <w:r>
        <w:rPr>
          <w:rFonts w:ascii="Courier New" w:cs="Courier New" w:eastAsia="Courier New" w:hAnsi="Courier New"/>
          <w:sz w:val="16"/>
          <w:szCs w:val="16"/>
          <w:color w:val="auto"/>
        </w:rPr>
        <w:t>The following table presents, for the periods indicated, the percentage relationship that the respective condensed consolidated statements of operations line items bear to operating revenues:</w:t>
      </w:r>
    </w:p>
    <w:p>
      <w:pPr>
        <w:spacing w:after="0" w:line="61"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6"/>
          <w:szCs w:val="16"/>
          <w:color w:val="auto"/>
        </w:rPr>
        <w:t>THREE MONTHS ENDED SIX MONTHS ENDED JUNE</w:t>
      </w:r>
    </w:p>
    <w:p>
      <w:pPr>
        <w:spacing w:after="0" w:line="26" w:lineRule="exact"/>
        <w:rPr>
          <w:sz w:val="20"/>
          <w:szCs w:val="20"/>
          <w:color w:val="auto"/>
        </w:rPr>
      </w:pPr>
    </w:p>
    <w:p>
      <w:pPr>
        <w:jc w:val="center"/>
        <w:ind w:right="6139"/>
        <w:spacing w:after="0"/>
        <w:rPr>
          <w:sz w:val="20"/>
          <w:szCs w:val="20"/>
          <w:color w:val="auto"/>
        </w:rPr>
      </w:pPr>
      <w:r>
        <w:rPr>
          <w:rFonts w:ascii="Courier New" w:cs="Courier New" w:eastAsia="Courier New" w:hAnsi="Courier New"/>
          <w:sz w:val="14"/>
          <w:szCs w:val="14"/>
          <w:color w:val="auto"/>
        </w:rPr>
        <w:t>30, JUNE 30, ------------------ -----------</w:t>
      </w:r>
    </w:p>
    <w:tbl>
      <w:tblPr>
        <w:tblLayout w:type="fixed"/>
        <w:tblInd w:w="40" w:type="dxa"/>
        <w:tblCellMar>
          <w:top w:w="0" w:type="dxa"/>
          <w:left w:w="0" w:type="dxa"/>
          <w:bottom w:w="0" w:type="dxa"/>
          <w:right w:w="0" w:type="dxa"/>
        </w:tblCellMar>
      </w:tblPr>
      <w:tr>
        <w:trPr>
          <w:trHeight w:val="171"/>
        </w:trPr>
        <w:tc>
          <w:tcPr>
            <w:tcW w:w="1960" w:type="dxa"/>
            <w:vAlign w:val="bottom"/>
          </w:tcPr>
          <w:p>
            <w:pPr>
              <w:spacing w:after="0" w:line="171" w:lineRule="exact"/>
              <w:rPr>
                <w:sz w:val="20"/>
                <w:szCs w:val="20"/>
                <w:color w:val="auto"/>
              </w:rPr>
            </w:pPr>
            <w:r>
              <w:rPr>
                <w:rFonts w:ascii="Courier New" w:cs="Courier New" w:eastAsia="Courier New" w:hAnsi="Courier New"/>
                <w:sz w:val="16"/>
                <w:szCs w:val="16"/>
                <w:color w:val="auto"/>
              </w:rPr>
              <w:t>----- 2001 2000 2001</w:t>
            </w:r>
          </w:p>
        </w:tc>
        <w:tc>
          <w:tcPr>
            <w:tcW w:w="2040" w:type="dxa"/>
            <w:vAlign w:val="bottom"/>
          </w:tcPr>
          <w:p>
            <w:pPr>
              <w:jc w:val="right"/>
              <w:spacing w:after="0" w:line="171" w:lineRule="exact"/>
              <w:rPr>
                <w:sz w:val="20"/>
                <w:szCs w:val="20"/>
                <w:color w:val="auto"/>
              </w:rPr>
            </w:pPr>
            <w:r>
              <w:rPr>
                <w:rFonts w:ascii="Courier New" w:cs="Courier New" w:eastAsia="Courier New" w:hAnsi="Courier New"/>
                <w:sz w:val="16"/>
                <w:szCs w:val="16"/>
                <w:color w:val="auto"/>
                <w:w w:val="95"/>
              </w:rPr>
              <w:t>2000 ------ ------ ---</w:t>
            </w:r>
          </w:p>
        </w:tc>
      </w:tr>
      <w:tr>
        <w:trPr>
          <w:trHeight w:val="179"/>
        </w:trPr>
        <w:tc>
          <w:tcPr>
            <w:tcW w:w="40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6"/>
              </w:rPr>
              <w:t>-- ----- STATEMENT OF OPERATIONS: Operating</w:t>
            </w:r>
          </w:p>
        </w:tc>
      </w:tr>
      <w:tr>
        <w:trPr>
          <w:trHeight w:val="179"/>
        </w:trPr>
        <w:tc>
          <w:tcPr>
            <w:tcW w:w="1960" w:type="dxa"/>
            <w:vAlign w:val="bottom"/>
          </w:tcPr>
          <w:p>
            <w:pPr>
              <w:spacing w:after="0"/>
              <w:rPr>
                <w:sz w:val="20"/>
                <w:szCs w:val="20"/>
                <w:color w:val="auto"/>
              </w:rPr>
            </w:pPr>
            <w:r>
              <w:rPr>
                <w:rFonts w:ascii="Courier New" w:cs="Courier New" w:eastAsia="Courier New" w:hAnsi="Courier New"/>
                <w:sz w:val="12"/>
                <w:szCs w:val="12"/>
                <w:color w:val="auto"/>
                <w:w w:val="74"/>
              </w:rPr>
              <w:t>revenues............................</w:t>
            </w:r>
          </w:p>
        </w:tc>
        <w:tc>
          <w:tcPr>
            <w:tcW w:w="2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100.0%</w:t>
            </w:r>
          </w:p>
        </w:tc>
      </w:tr>
      <w:tr>
        <w:trPr>
          <w:trHeight w:val="207"/>
        </w:trPr>
        <w:tc>
          <w:tcPr>
            <w:tcW w:w="40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100.0% 100.0% 100.0% ----- ----- ----- ----</w:t>
            </w:r>
          </w:p>
        </w:tc>
      </w:tr>
    </w:tbl>
    <w:p>
      <w:pPr>
        <w:jc w:val="center"/>
        <w:ind w:right="6139"/>
        <w:spacing w:after="0" w:line="236" w:lineRule="auto"/>
        <w:rPr>
          <w:sz w:val="20"/>
          <w:szCs w:val="20"/>
          <w:color w:val="auto"/>
        </w:rPr>
      </w:pPr>
      <w:r>
        <w:rPr>
          <w:rFonts w:ascii="Courier New" w:cs="Courier New" w:eastAsia="Courier New" w:hAnsi="Courier New"/>
          <w:sz w:val="16"/>
          <w:szCs w:val="16"/>
          <w:color w:val="auto"/>
        </w:rPr>
        <w:t>- Costs and expenses: Operating (exclusive</w:t>
      </w:r>
    </w:p>
    <w:p>
      <w:pPr>
        <w:jc w:val="center"/>
        <w:ind w:right="6139"/>
        <w:spacing w:after="0" w:line="237" w:lineRule="auto"/>
        <w:rPr>
          <w:sz w:val="20"/>
          <w:szCs w:val="20"/>
          <w:color w:val="auto"/>
        </w:rPr>
      </w:pPr>
      <w:r>
        <w:rPr>
          <w:rFonts w:ascii="Courier New" w:cs="Courier New" w:eastAsia="Courier New" w:hAnsi="Courier New"/>
          <w:sz w:val="16"/>
          <w:szCs w:val="16"/>
          <w:color w:val="auto"/>
        </w:rPr>
        <w:t>of depreciation and amortization shown</w:t>
      </w:r>
    </w:p>
    <w:tbl>
      <w:tblPr>
        <w:tblLayout w:type="fixed"/>
        <w:tblInd w:w="40" w:type="dxa"/>
        <w:tblCellMar>
          <w:top w:w="0" w:type="dxa"/>
          <w:left w:w="0" w:type="dxa"/>
          <w:bottom w:w="0" w:type="dxa"/>
          <w:right w:w="0" w:type="dxa"/>
        </w:tblCellMar>
      </w:tblPr>
      <w:tr>
        <w:trPr>
          <w:trHeight w:val="151"/>
        </w:trPr>
        <w:tc>
          <w:tcPr>
            <w:tcW w:w="1340" w:type="dxa"/>
            <w:vAlign w:val="bottom"/>
            <w:gridSpan w:val="2"/>
          </w:tcPr>
          <w:p>
            <w:pPr>
              <w:jc w:val="right"/>
              <w:spacing w:after="0" w:line="152" w:lineRule="exact"/>
              <w:rPr>
                <w:sz w:val="20"/>
                <w:szCs w:val="20"/>
                <w:color w:val="auto"/>
              </w:rPr>
            </w:pPr>
            <w:r>
              <w:rPr>
                <w:rFonts w:ascii="Courier New" w:cs="Courier New" w:eastAsia="Courier New" w:hAnsi="Courier New"/>
                <w:sz w:val="14"/>
                <w:szCs w:val="14"/>
                <w:color w:val="auto"/>
                <w:w w:val="71"/>
              </w:rPr>
              <w:t>below)................</w:t>
            </w:r>
          </w:p>
        </w:tc>
        <w:tc>
          <w:tcPr>
            <w:tcW w:w="266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rPr>
              <w:t>59.4 59.7 60.0 60.2</w:t>
            </w: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98"/>
              </w:rPr>
              <w:t>administrative</w:t>
            </w:r>
          </w:p>
        </w:tc>
        <w:tc>
          <w:tcPr>
            <w:tcW w:w="2660" w:type="dxa"/>
            <w:vAlign w:val="bottom"/>
          </w:tcPr>
          <w:p>
            <w:pPr>
              <w:jc w:val="center"/>
              <w:ind w:right="1262"/>
              <w:spacing w:after="0" w:line="179" w:lineRule="exact"/>
              <w:rPr>
                <w:sz w:val="20"/>
                <w:szCs w:val="20"/>
                <w:color w:val="auto"/>
              </w:rPr>
            </w:pPr>
            <w:r>
              <w:rPr>
                <w:rFonts w:ascii="Courier New" w:cs="Courier New" w:eastAsia="Courier New" w:hAnsi="Courier New"/>
                <w:sz w:val="16"/>
                <w:szCs w:val="16"/>
                <w:color w:val="auto"/>
                <w:w w:val="98"/>
              </w:rPr>
              <w:t>General and</w:t>
            </w: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spacing w:after="0"/>
              <w:rPr>
                <w:sz w:val="15"/>
                <w:szCs w:val="15"/>
                <w:color w:val="auto"/>
              </w:rPr>
            </w:pP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 13.7 13.6</w:t>
            </w:r>
          </w:p>
        </w:tc>
        <w:tc>
          <w:tcPr>
            <w:tcW w:w="0" w:type="dxa"/>
            <w:vAlign w:val="bottom"/>
          </w:tcPr>
          <w:p>
            <w:pPr>
              <w:spacing w:after="0"/>
              <w:rPr>
                <w:sz w:val="1"/>
                <w:szCs w:val="1"/>
                <w:color w:val="auto"/>
              </w:rPr>
            </w:pPr>
          </w:p>
        </w:tc>
      </w:tr>
      <w:tr>
        <w:trPr>
          <w:trHeight w:val="179"/>
        </w:trPr>
        <w:tc>
          <w:tcPr>
            <w:tcW w:w="800" w:type="dxa"/>
            <w:vAlign w:val="bottom"/>
          </w:tcPr>
          <w:p>
            <w:pPr>
              <w:spacing w:after="0"/>
              <w:rPr>
                <w:sz w:val="15"/>
                <w:szCs w:val="15"/>
                <w:color w:val="auto"/>
              </w:rPr>
            </w:pPr>
          </w:p>
        </w:tc>
        <w:tc>
          <w:tcPr>
            <w:tcW w:w="3200" w:type="dxa"/>
            <w:vAlign w:val="bottom"/>
            <w:gridSpan w:val="2"/>
          </w:tcPr>
          <w:p>
            <w:pPr>
              <w:jc w:val="center"/>
              <w:ind w:right="702"/>
              <w:spacing w:after="0" w:line="179" w:lineRule="exact"/>
              <w:rPr>
                <w:sz w:val="20"/>
                <w:szCs w:val="20"/>
                <w:color w:val="auto"/>
              </w:rPr>
            </w:pPr>
            <w:r>
              <w:rPr>
                <w:rFonts w:ascii="Courier New" w:cs="Courier New" w:eastAsia="Courier New" w:hAnsi="Courier New"/>
                <w:sz w:val="16"/>
                <w:szCs w:val="16"/>
                <w:color w:val="auto"/>
                <w:w w:val="96"/>
              </w:rPr>
              <w:t>14.0 14.5 Depreciation and</w:t>
            </w:r>
          </w:p>
        </w:tc>
        <w:tc>
          <w:tcPr>
            <w:tcW w:w="0" w:type="dxa"/>
            <w:vAlign w:val="bottom"/>
          </w:tcPr>
          <w:p>
            <w:pPr>
              <w:spacing w:after="0"/>
              <w:rPr>
                <w:sz w:val="1"/>
                <w:szCs w:val="1"/>
                <w:color w:val="auto"/>
              </w:rPr>
            </w:pPr>
          </w:p>
        </w:tc>
      </w:tr>
      <w:tr>
        <w:trPr>
          <w:trHeight w:val="179"/>
        </w:trPr>
        <w:tc>
          <w:tcPr>
            <w:tcW w:w="13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amortization...............</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11.7 11.1 12.0</w:t>
            </w:r>
          </w:p>
        </w:tc>
        <w:tc>
          <w:tcPr>
            <w:tcW w:w="0" w:type="dxa"/>
            <w:vAlign w:val="bottom"/>
          </w:tcPr>
          <w:p>
            <w:pPr>
              <w:spacing w:after="0"/>
              <w:rPr>
                <w:sz w:val="1"/>
                <w:szCs w:val="1"/>
                <w:color w:val="auto"/>
              </w:rPr>
            </w:pPr>
          </w:p>
        </w:tc>
      </w:tr>
      <w:tr>
        <w:trPr>
          <w:trHeight w:val="179"/>
        </w:trPr>
        <w:tc>
          <w:tcPr>
            <w:tcW w:w="40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11.0 Asset impairments and unusual</w:t>
            </w:r>
          </w:p>
        </w:tc>
        <w:tc>
          <w:tcPr>
            <w:tcW w:w="0" w:type="dxa"/>
            <w:vAlign w:val="bottom"/>
          </w:tcPr>
          <w:p>
            <w:pPr>
              <w:spacing w:after="0"/>
              <w:rPr>
                <w:sz w:val="1"/>
                <w:szCs w:val="1"/>
                <w:color w:val="auto"/>
              </w:rPr>
            </w:pPr>
          </w:p>
        </w:tc>
      </w:tr>
      <w:tr>
        <w:trPr>
          <w:trHeight w:val="179"/>
        </w:trPr>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items.........</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0.1 6.6 0.1 4.8 ----- -----</w:t>
            </w:r>
          </w:p>
        </w:tc>
        <w:tc>
          <w:tcPr>
            <w:tcW w:w="0" w:type="dxa"/>
            <w:vAlign w:val="bottom"/>
          </w:tcPr>
          <w:p>
            <w:pPr>
              <w:spacing w:after="0"/>
              <w:rPr>
                <w:sz w:val="1"/>
                <w:szCs w:val="1"/>
                <w:color w:val="auto"/>
              </w:rPr>
            </w:pPr>
          </w:p>
        </w:tc>
      </w:tr>
      <w:tr>
        <w:trPr>
          <w:trHeight w:val="179"/>
        </w:trPr>
        <w:tc>
          <w:tcPr>
            <w:tcW w:w="8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75"/>
              </w:rPr>
              <w:t>----- -----</w:t>
            </w:r>
          </w:p>
        </w:tc>
        <w:tc>
          <w:tcPr>
            <w:tcW w:w="32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84.9 91.0 86.1 90.5 ----- -----</w:t>
            </w: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w w:val="83"/>
              </w:rPr>
              <w:t>operations</w:t>
            </w:r>
            <w:r>
              <w:rPr>
                <w:rFonts w:ascii="Courier New" w:cs="Courier New" w:eastAsia="Courier New" w:hAnsi="Courier New"/>
                <w:sz w:val="31"/>
                <w:szCs w:val="31"/>
                <w:color w:val="auto"/>
                <w:w w:val="83"/>
                <w:vertAlign w:val="superscript"/>
              </w:rPr>
              <w:t>-----</w:t>
            </w:r>
          </w:p>
        </w:tc>
        <w:tc>
          <w:tcPr>
            <w:tcW w:w="2660" w:type="dxa"/>
            <w:vAlign w:val="bottom"/>
          </w:tcPr>
          <w:p>
            <w:pPr>
              <w:jc w:val="right"/>
              <w:ind w:right="842"/>
              <w:spacing w:after="0" w:line="179" w:lineRule="exact"/>
              <w:rPr>
                <w:sz w:val="20"/>
                <w:szCs w:val="20"/>
                <w:color w:val="auto"/>
              </w:rPr>
            </w:pPr>
            <w:r>
              <w:rPr>
                <w:rFonts w:ascii="Courier New" w:cs="Courier New" w:eastAsia="Courier New" w:hAnsi="Courier New"/>
                <w:sz w:val="16"/>
                <w:szCs w:val="16"/>
                <w:color w:val="auto"/>
              </w:rPr>
              <w:t>----- Income from</w:t>
            </w: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15.1 9.0</w:t>
            </w:r>
          </w:p>
        </w:tc>
        <w:tc>
          <w:tcPr>
            <w:tcW w:w="0" w:type="dxa"/>
            <w:vAlign w:val="bottom"/>
          </w:tcPr>
          <w:p>
            <w:pPr>
              <w:spacing w:after="0"/>
              <w:rPr>
                <w:sz w:val="1"/>
                <w:szCs w:val="1"/>
                <w:color w:val="auto"/>
              </w:rPr>
            </w:pPr>
          </w:p>
        </w:tc>
      </w:tr>
      <w:tr>
        <w:trPr>
          <w:trHeight w:val="179"/>
        </w:trPr>
        <w:tc>
          <w:tcPr>
            <w:tcW w:w="13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13.9 9.5 -----</w:t>
            </w:r>
          </w:p>
        </w:tc>
        <w:tc>
          <w:tcPr>
            <w:tcW w:w="266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 ----- ----- Other</w:t>
            </w:r>
          </w:p>
        </w:tc>
        <w:tc>
          <w:tcPr>
            <w:tcW w:w="0" w:type="dxa"/>
            <w:vAlign w:val="bottom"/>
          </w:tcPr>
          <w:p>
            <w:pPr>
              <w:spacing w:after="0"/>
              <w:rPr>
                <w:sz w:val="1"/>
                <w:szCs w:val="1"/>
                <w:color w:val="auto"/>
              </w:rPr>
            </w:pPr>
          </w:p>
        </w:tc>
      </w:tr>
      <w:tr>
        <w:trPr>
          <w:trHeight w:val="179"/>
        </w:trPr>
        <w:tc>
          <w:tcPr>
            <w:tcW w:w="80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w w:val="95"/>
              </w:rPr>
              <w:t>expense</w:t>
            </w:r>
          </w:p>
        </w:tc>
        <w:tc>
          <w:tcPr>
            <w:tcW w:w="3200" w:type="dxa"/>
            <w:vAlign w:val="bottom"/>
            <w:gridSpan w:val="2"/>
          </w:tcPr>
          <w:p>
            <w:pPr>
              <w:jc w:val="center"/>
              <w:ind w:right="702"/>
              <w:spacing w:after="0" w:line="179" w:lineRule="exact"/>
              <w:rPr>
                <w:sz w:val="20"/>
                <w:szCs w:val="20"/>
                <w:color w:val="auto"/>
              </w:rPr>
            </w:pPr>
            <w:r>
              <w:rPr>
                <w:rFonts w:ascii="Courier New" w:cs="Courier New" w:eastAsia="Courier New" w:hAnsi="Courier New"/>
                <w:sz w:val="16"/>
                <w:szCs w:val="16"/>
                <w:color w:val="auto"/>
                <w:w w:val="96"/>
              </w:rPr>
              <w:t>income (expense): Interest</w:t>
            </w: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(5.0)</w:t>
            </w:r>
          </w:p>
        </w:tc>
        <w:tc>
          <w:tcPr>
            <w:tcW w:w="0" w:type="dxa"/>
            <w:vAlign w:val="bottom"/>
          </w:tcPr>
          <w:p>
            <w:pPr>
              <w:spacing w:after="0"/>
              <w:rPr>
                <w:sz w:val="1"/>
                <w:szCs w:val="1"/>
                <w:color w:val="auto"/>
              </w:rPr>
            </w:pPr>
          </w:p>
        </w:tc>
      </w:tr>
      <w:tr>
        <w:trPr>
          <w:trHeight w:val="179"/>
        </w:trPr>
        <w:tc>
          <w:tcPr>
            <w:tcW w:w="400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7"/>
              </w:rPr>
              <w:t>(6.2) (5.3) (6.3) Interest and other</w:t>
            </w:r>
          </w:p>
        </w:tc>
        <w:tc>
          <w:tcPr>
            <w:tcW w:w="0" w:type="dxa"/>
            <w:vAlign w:val="bottom"/>
          </w:tcPr>
          <w:p>
            <w:pPr>
              <w:spacing w:after="0"/>
              <w:rPr>
                <w:sz w:val="1"/>
                <w:szCs w:val="1"/>
                <w:color w:val="auto"/>
              </w:rPr>
            </w:pPr>
          </w:p>
        </w:tc>
      </w:tr>
      <w:tr>
        <w:trPr>
          <w:trHeight w:val="179"/>
        </w:trPr>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income, net..............</w:t>
            </w:r>
          </w:p>
        </w:tc>
        <w:tc>
          <w:tcPr>
            <w:tcW w:w="2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0.4 0.6 0.6 0.5</w:t>
            </w:r>
          </w:p>
        </w:tc>
        <w:tc>
          <w:tcPr>
            <w:tcW w:w="0" w:type="dxa"/>
            <w:vAlign w:val="bottom"/>
          </w:tcPr>
          <w:p>
            <w:pPr>
              <w:spacing w:after="0"/>
              <w:rPr>
                <w:sz w:val="1"/>
                <w:szCs w:val="1"/>
                <w:color w:val="auto"/>
              </w:rPr>
            </w:pPr>
          </w:p>
        </w:tc>
      </w:tr>
      <w:tr>
        <w:trPr>
          <w:trHeight w:val="179"/>
        </w:trPr>
        <w:tc>
          <w:tcPr>
            <w:tcW w:w="1340" w:type="dxa"/>
            <w:vAlign w:val="bottom"/>
            <w:gridSpan w:val="2"/>
            <w:vMerge w:val="restart"/>
          </w:tcPr>
          <w:p>
            <w:pPr>
              <w:jc w:val="right"/>
              <w:ind w:right="422"/>
              <w:spacing w:after="0"/>
              <w:rPr>
                <w:sz w:val="20"/>
                <w:szCs w:val="20"/>
                <w:color w:val="auto"/>
              </w:rPr>
            </w:pPr>
            <w:r>
              <w:rPr>
                <w:rFonts w:ascii="Courier New" w:cs="Courier New" w:eastAsia="Courier New" w:hAnsi="Courier New"/>
                <w:sz w:val="16"/>
                <w:szCs w:val="16"/>
                <w:color w:val="auto"/>
              </w:rPr>
              <w:t>interest</w:t>
            </w:r>
          </w:p>
        </w:tc>
        <w:tc>
          <w:tcPr>
            <w:tcW w:w="2660" w:type="dxa"/>
            <w:vAlign w:val="bottom"/>
          </w:tcPr>
          <w:p>
            <w:pPr>
              <w:jc w:val="center"/>
              <w:ind w:right="1262"/>
              <w:spacing w:after="0" w:line="179" w:lineRule="exact"/>
              <w:rPr>
                <w:sz w:val="20"/>
                <w:szCs w:val="20"/>
                <w:color w:val="auto"/>
              </w:rPr>
            </w:pPr>
            <w:r>
              <w:rPr>
                <w:rFonts w:ascii="Courier New" w:cs="Courier New" w:eastAsia="Courier New" w:hAnsi="Courier New"/>
                <w:sz w:val="16"/>
                <w:szCs w:val="16"/>
                <w:color w:val="auto"/>
                <w:w w:val="98"/>
              </w:rPr>
              <w:t>Minority</w:t>
            </w:r>
          </w:p>
        </w:tc>
        <w:tc>
          <w:tcPr>
            <w:tcW w:w="0" w:type="dxa"/>
            <w:vAlign w:val="bottom"/>
          </w:tcPr>
          <w:p>
            <w:pPr>
              <w:spacing w:after="0"/>
              <w:rPr>
                <w:sz w:val="1"/>
                <w:szCs w:val="1"/>
                <w:color w:val="auto"/>
              </w:rPr>
            </w:pPr>
          </w:p>
        </w:tc>
      </w:tr>
      <w:tr>
        <w:trPr>
          <w:trHeight w:val="179"/>
        </w:trPr>
        <w:tc>
          <w:tcPr>
            <w:tcW w:w="134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79"/>
        </w:trPr>
        <w:tc>
          <w:tcPr>
            <w:tcW w:w="800" w:type="dxa"/>
            <w:vAlign w:val="bottom"/>
          </w:tcPr>
          <w:p>
            <w:pPr>
              <w:jc w:val="right"/>
              <w:ind w:right="29"/>
              <w:spacing w:after="0" w:line="179" w:lineRule="exact"/>
              <w:rPr>
                <w:sz w:val="20"/>
                <w:szCs w:val="20"/>
                <w:color w:val="auto"/>
              </w:rPr>
            </w:pPr>
            <w:r>
              <w:rPr>
                <w:rFonts w:ascii="Courier New" w:cs="Courier New" w:eastAsia="Courier New" w:hAnsi="Courier New"/>
                <w:sz w:val="16"/>
                <w:szCs w:val="16"/>
                <w:color w:val="auto"/>
              </w:rPr>
              <w:t>(0.2)</w:t>
            </w:r>
          </w:p>
        </w:tc>
        <w:tc>
          <w:tcPr>
            <w:tcW w:w="32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 (0.2) ----- ----- ----- -----</w:t>
            </w:r>
          </w:p>
        </w:tc>
        <w:tc>
          <w:tcPr>
            <w:tcW w:w="0" w:type="dxa"/>
            <w:vAlign w:val="bottom"/>
          </w:tcPr>
          <w:p>
            <w:pPr>
              <w:spacing w:after="0"/>
              <w:rPr>
                <w:sz w:val="1"/>
                <w:szCs w:val="1"/>
                <w:color w:val="auto"/>
              </w:rPr>
            </w:pPr>
          </w:p>
        </w:tc>
      </w:tr>
      <w:tr>
        <w:trPr>
          <w:trHeight w:val="179"/>
        </w:trPr>
        <w:tc>
          <w:tcPr>
            <w:tcW w:w="40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6"/>
              </w:rPr>
              <w:t>(4.7) (5.8) (4.7) (6.0) ----- ----- ----- -</w:t>
            </w:r>
          </w:p>
        </w:tc>
        <w:tc>
          <w:tcPr>
            <w:tcW w:w="0" w:type="dxa"/>
            <w:vAlign w:val="bottom"/>
          </w:tcPr>
          <w:p>
            <w:pPr>
              <w:spacing w:after="0"/>
              <w:rPr>
                <w:sz w:val="1"/>
                <w:szCs w:val="1"/>
                <w:color w:val="auto"/>
              </w:rPr>
            </w:pPr>
          </w:p>
        </w:tc>
      </w:tr>
      <w:tr>
        <w:trPr>
          <w:trHeight w:val="179"/>
        </w:trPr>
        <w:tc>
          <w:tcPr>
            <w:tcW w:w="800" w:type="dxa"/>
            <w:vAlign w:val="bottom"/>
            <w:vMerge w:val="restart"/>
          </w:tcPr>
          <w:p>
            <w:pPr>
              <w:jc w:val="center"/>
              <w:spacing w:after="0"/>
              <w:rPr>
                <w:sz w:val="20"/>
                <w:szCs w:val="20"/>
                <w:color w:val="auto"/>
              </w:rPr>
            </w:pPr>
            <w:r>
              <w:rPr>
                <w:rFonts w:ascii="Courier New" w:cs="Courier New" w:eastAsia="Courier New" w:hAnsi="Courier New"/>
                <w:sz w:val="7"/>
                <w:szCs w:val="7"/>
                <w:color w:val="auto"/>
                <w:w w:val="72"/>
              </w:rPr>
              <w:t>taxes....................</w:t>
            </w:r>
          </w:p>
        </w:tc>
        <w:tc>
          <w:tcPr>
            <w:tcW w:w="3200" w:type="dxa"/>
            <w:vAlign w:val="bottom"/>
            <w:gridSpan w:val="2"/>
          </w:tcPr>
          <w:p>
            <w:pPr>
              <w:jc w:val="center"/>
              <w:ind w:right="722"/>
              <w:spacing w:after="0" w:line="179" w:lineRule="exact"/>
              <w:rPr>
                <w:sz w:val="20"/>
                <w:szCs w:val="20"/>
                <w:color w:val="auto"/>
              </w:rPr>
            </w:pPr>
            <w:r>
              <w:rPr>
                <w:rFonts w:ascii="Courier New" w:cs="Courier New" w:eastAsia="Courier New" w:hAnsi="Courier New"/>
                <w:sz w:val="16"/>
                <w:szCs w:val="16"/>
                <w:color w:val="auto"/>
                <w:w w:val="96"/>
              </w:rPr>
              <w:t>---- Income before income</w:t>
            </w:r>
          </w:p>
        </w:tc>
        <w:tc>
          <w:tcPr>
            <w:tcW w:w="0" w:type="dxa"/>
            <w:vAlign w:val="bottom"/>
          </w:tcPr>
          <w:p>
            <w:pPr>
              <w:spacing w:after="0"/>
              <w:rPr>
                <w:sz w:val="1"/>
                <w:szCs w:val="1"/>
                <w:color w:val="auto"/>
              </w:rPr>
            </w:pPr>
          </w:p>
        </w:tc>
      </w:tr>
      <w:tr>
        <w:trPr>
          <w:trHeight w:val="179"/>
        </w:trPr>
        <w:tc>
          <w:tcPr>
            <w:tcW w:w="8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10.4 3.2 9.2 3.5</w:t>
            </w:r>
          </w:p>
        </w:tc>
        <w:tc>
          <w:tcPr>
            <w:tcW w:w="0" w:type="dxa"/>
            <w:vAlign w:val="bottom"/>
          </w:tcPr>
          <w:p>
            <w:pPr>
              <w:spacing w:after="0"/>
              <w:rPr>
                <w:sz w:val="1"/>
                <w:szCs w:val="1"/>
                <w:color w:val="auto"/>
              </w:rPr>
            </w:pPr>
          </w:p>
        </w:tc>
      </w:tr>
      <w:tr>
        <w:trPr>
          <w:trHeight w:val="179"/>
        </w:trPr>
        <w:tc>
          <w:tcPr>
            <w:tcW w:w="800" w:type="dxa"/>
            <w:vAlign w:val="bottom"/>
            <w:vMerge w:val="restart"/>
          </w:tcPr>
          <w:p>
            <w:pPr>
              <w:jc w:val="center"/>
              <w:spacing w:after="0"/>
              <w:rPr>
                <w:sz w:val="20"/>
                <w:szCs w:val="20"/>
                <w:color w:val="auto"/>
              </w:rPr>
            </w:pPr>
            <w:r>
              <w:rPr>
                <w:rFonts w:ascii="Courier New" w:cs="Courier New" w:eastAsia="Courier New" w:hAnsi="Courier New"/>
                <w:sz w:val="7"/>
                <w:szCs w:val="7"/>
                <w:color w:val="auto"/>
                <w:w w:val="76"/>
              </w:rPr>
              <w:t>taxes....................</w:t>
            </w:r>
          </w:p>
        </w:tc>
        <w:tc>
          <w:tcPr>
            <w:tcW w:w="3200" w:type="dxa"/>
            <w:vAlign w:val="bottom"/>
            <w:gridSpan w:val="2"/>
          </w:tcPr>
          <w:p>
            <w:pPr>
              <w:jc w:val="center"/>
              <w:ind w:right="702"/>
              <w:spacing w:after="0" w:line="179" w:lineRule="exact"/>
              <w:rPr>
                <w:sz w:val="20"/>
                <w:szCs w:val="20"/>
                <w:color w:val="auto"/>
              </w:rPr>
            </w:pPr>
            <w:r>
              <w:rPr>
                <w:rFonts w:ascii="Courier New" w:cs="Courier New" w:eastAsia="Courier New" w:hAnsi="Courier New"/>
                <w:sz w:val="16"/>
                <w:szCs w:val="16"/>
                <w:color w:val="auto"/>
                <w:w w:val="96"/>
              </w:rPr>
              <w:t>Provision for income</w:t>
            </w:r>
          </w:p>
        </w:tc>
        <w:tc>
          <w:tcPr>
            <w:tcW w:w="0" w:type="dxa"/>
            <w:vAlign w:val="bottom"/>
          </w:tcPr>
          <w:p>
            <w:pPr>
              <w:spacing w:after="0"/>
              <w:rPr>
                <w:sz w:val="1"/>
                <w:szCs w:val="1"/>
                <w:color w:val="auto"/>
              </w:rPr>
            </w:pPr>
          </w:p>
        </w:tc>
      </w:tr>
      <w:tr>
        <w:trPr>
          <w:trHeight w:val="179"/>
        </w:trPr>
        <w:tc>
          <w:tcPr>
            <w:tcW w:w="8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 3.2 3.6 2.6 -</w:t>
            </w:r>
          </w:p>
        </w:tc>
        <w:tc>
          <w:tcPr>
            <w:tcW w:w="0" w:type="dxa"/>
            <w:vAlign w:val="bottom"/>
          </w:tcPr>
          <w:p>
            <w:pPr>
              <w:spacing w:after="0"/>
              <w:rPr>
                <w:sz w:val="1"/>
                <w:szCs w:val="1"/>
                <w:color w:val="auto"/>
              </w:rPr>
            </w:pPr>
          </w:p>
        </w:tc>
      </w:tr>
      <w:tr>
        <w:trPr>
          <w:trHeight w:val="207"/>
        </w:trPr>
        <w:tc>
          <w:tcPr>
            <w:tcW w:w="800" w:type="dxa"/>
            <w:vAlign w:val="bottom"/>
          </w:tcPr>
          <w:p>
            <w:pPr>
              <w:jc w:val="right"/>
              <w:ind w:right="2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6"/>
              </w:rPr>
              <w:t>----- ----- Income before</w:t>
            </w:r>
          </w:p>
        </w:tc>
        <w:tc>
          <w:tcPr>
            <w:tcW w:w="0" w:type="dxa"/>
            <w:vAlign w:val="bottom"/>
          </w:tcPr>
          <w:p>
            <w:pPr>
              <w:spacing w:after="0"/>
              <w:rPr>
                <w:sz w:val="1"/>
                <w:szCs w:val="1"/>
                <w:color w:val="auto"/>
              </w:rPr>
            </w:pPr>
          </w:p>
        </w:tc>
      </w:tr>
    </w:tbl>
    <w:p>
      <w:pPr>
        <w:ind w:left="40"/>
        <w:spacing w:after="0" w:line="236" w:lineRule="auto"/>
        <w:rPr>
          <w:sz w:val="20"/>
          <w:szCs w:val="20"/>
          <w:color w:val="auto"/>
        </w:rPr>
      </w:pPr>
      <w:r>
        <w:rPr>
          <w:rFonts w:ascii="Courier New" w:cs="Courier New" w:eastAsia="Courier New" w:hAnsi="Courier New"/>
          <w:sz w:val="16"/>
          <w:szCs w:val="16"/>
          <w:color w:val="auto"/>
        </w:rPr>
        <w:t>extraordinary item and cumulative effect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principle...................................</w:t>
            </w:r>
          </w:p>
        </w:tc>
        <w:tc>
          <w:tcPr>
            <w:tcW w:w="2920" w:type="dxa"/>
            <w:vAlign w:val="bottom"/>
          </w:tcPr>
          <w:p>
            <w:pPr>
              <w:spacing w:after="0"/>
              <w:rPr>
                <w:sz w:val="20"/>
                <w:szCs w:val="20"/>
                <w:color w:val="auto"/>
              </w:rPr>
            </w:pPr>
            <w:r>
              <w:rPr>
                <w:rFonts w:ascii="Courier New" w:cs="Courier New" w:eastAsia="Courier New" w:hAnsi="Courier New"/>
                <w:sz w:val="16"/>
                <w:szCs w:val="16"/>
                <w:color w:val="auto"/>
              </w:rPr>
              <w:t>change in accounting</w:t>
            </w:r>
          </w:p>
        </w:tc>
        <w:tc>
          <w:tcPr>
            <w:tcW w:w="0" w:type="dxa"/>
            <w:vAlign w:val="bottom"/>
          </w:tcPr>
          <w:p>
            <w:pPr>
              <w:spacing w:after="0"/>
              <w:rPr>
                <w:sz w:val="1"/>
                <w:szCs w:val="1"/>
                <w:color w:val="auto"/>
              </w:rPr>
            </w:pPr>
          </w:p>
        </w:tc>
      </w:tr>
      <w:tr>
        <w:trPr>
          <w:trHeight w:val="69"/>
        </w:trPr>
        <w:tc>
          <w:tcPr>
            <w:tcW w:w="1120" w:type="dxa"/>
            <w:vAlign w:val="bottom"/>
            <w:vMerge w:val="continue"/>
          </w:tcPr>
          <w:p>
            <w:pPr>
              <w:spacing w:after="0"/>
              <w:rPr>
                <w:sz w:val="5"/>
                <w:szCs w:val="5"/>
                <w:color w:val="auto"/>
              </w:rPr>
            </w:pPr>
          </w:p>
        </w:tc>
        <w:tc>
          <w:tcPr>
            <w:tcW w:w="2920" w:type="dxa"/>
            <w:vAlign w:val="bottom"/>
            <w:vMerge w:val="restart"/>
          </w:tcPr>
          <w:p>
            <w:pPr>
              <w:spacing w:after="0"/>
              <w:rPr>
                <w:sz w:val="20"/>
                <w:szCs w:val="20"/>
                <w:color w:val="auto"/>
              </w:rPr>
            </w:pPr>
            <w:r>
              <w:rPr>
                <w:rFonts w:ascii="Courier New" w:cs="Courier New" w:eastAsia="Courier New" w:hAnsi="Courier New"/>
                <w:sz w:val="16"/>
                <w:szCs w:val="16"/>
                <w:color w:val="auto"/>
              </w:rPr>
              <w:t>-- 5.6 0.9 Extraordinary</w:t>
            </w:r>
          </w:p>
        </w:tc>
        <w:tc>
          <w:tcPr>
            <w:tcW w:w="0" w:type="dxa"/>
            <w:vAlign w:val="bottom"/>
          </w:tcPr>
          <w:p>
            <w:pPr>
              <w:spacing w:after="0"/>
              <w:rPr>
                <w:sz w:val="1"/>
                <w:szCs w:val="1"/>
                <w:color w:val="auto"/>
              </w:rPr>
            </w:pPr>
          </w:p>
        </w:tc>
      </w:tr>
      <w:tr>
        <w:trPr>
          <w:trHeight w:val="179"/>
        </w:trPr>
        <w:tc>
          <w:tcPr>
            <w:tcW w:w="1120" w:type="dxa"/>
            <w:vAlign w:val="bottom"/>
          </w:tcPr>
          <w:p>
            <w:pPr>
              <w:jc w:val="right"/>
              <w:ind w:right="54"/>
              <w:spacing w:after="0" w:line="179" w:lineRule="exact"/>
              <w:rPr>
                <w:sz w:val="20"/>
                <w:szCs w:val="20"/>
                <w:color w:val="auto"/>
              </w:rPr>
            </w:pPr>
            <w:r>
              <w:rPr>
                <w:rFonts w:ascii="Courier New" w:cs="Courier New" w:eastAsia="Courier New" w:hAnsi="Courier New"/>
                <w:sz w:val="16"/>
                <w:szCs w:val="16"/>
                <w:color w:val="auto"/>
              </w:rPr>
              <w:t>6.6</w:t>
            </w:r>
          </w:p>
        </w:tc>
        <w:tc>
          <w:tcPr>
            <w:tcW w:w="2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120" w:type="dxa"/>
            <w:vAlign w:val="bottom"/>
          </w:tcPr>
          <w:p>
            <w:pPr>
              <w:jc w:val="right"/>
              <w:spacing w:after="0"/>
              <w:rPr>
                <w:sz w:val="20"/>
                <w:szCs w:val="20"/>
                <w:color w:val="auto"/>
              </w:rPr>
            </w:pPr>
            <w:r>
              <w:rPr>
                <w:rFonts w:ascii="Courier New" w:cs="Courier New" w:eastAsia="Courier New" w:hAnsi="Courier New"/>
                <w:sz w:val="8"/>
                <w:szCs w:val="8"/>
                <w:color w:val="auto"/>
                <w:w w:val="71"/>
              </w:rPr>
              <w:t>loss............................</w:t>
            </w: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 -- -- -</w:t>
            </w:r>
          </w:p>
        </w:tc>
        <w:tc>
          <w:tcPr>
            <w:tcW w:w="0" w:type="dxa"/>
            <w:vAlign w:val="bottom"/>
          </w:tcPr>
          <w:p>
            <w:pPr>
              <w:spacing w:after="0"/>
              <w:rPr>
                <w:sz w:val="1"/>
                <w:szCs w:val="1"/>
                <w:color w:val="auto"/>
              </w:rPr>
            </w:pPr>
          </w:p>
        </w:tc>
      </w:tr>
    </w:tbl>
    <w:p>
      <w:pPr>
        <w:jc w:val="both"/>
        <w:ind w:right="6139" w:firstLine="40"/>
        <w:spacing w:after="0" w:line="270" w:lineRule="auto"/>
        <w:tabs>
          <w:tab w:leader="none" w:pos="231"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Cumulative effect of change in accounting principle...................................</w:t>
      </w:r>
    </w:p>
    <w:p>
      <w:pPr>
        <w:ind w:left="220"/>
        <w:spacing w:after="0" w:line="238" w:lineRule="auto"/>
        <w:rPr>
          <w:sz w:val="20"/>
          <w:szCs w:val="20"/>
          <w:color w:val="auto"/>
        </w:rPr>
      </w:pPr>
      <w:r>
        <w:rPr>
          <w:rFonts w:ascii="Courier New" w:cs="Courier New" w:eastAsia="Courier New" w:hAnsi="Courier New"/>
          <w:sz w:val="16"/>
          <w:szCs w:val="16"/>
          <w:color w:val="auto"/>
        </w:rPr>
        <w:t>-- -- -- -- ----- ----- ----- ----- Net</w:t>
      </w:r>
    </w:p>
    <w:p>
      <w:pPr>
        <w:ind w:left="80"/>
        <w:spacing w:after="0" w:line="237" w:lineRule="auto"/>
        <w:rPr>
          <w:sz w:val="20"/>
          <w:szCs w:val="20"/>
          <w:color w:val="auto"/>
        </w:rPr>
      </w:pPr>
      <w:r>
        <w:rPr>
          <w:rFonts w:ascii="Courier New" w:cs="Courier New" w:eastAsia="Courier New" w:hAnsi="Courier New"/>
          <w:sz w:val="16"/>
          <w:szCs w:val="16"/>
          <w:color w:val="auto"/>
        </w:rPr>
        <w:t>income....................................</w:t>
      </w:r>
    </w:p>
    <w:p>
      <w:pPr>
        <w:ind w:left="80"/>
        <w:spacing w:after="0"/>
        <w:rPr>
          <w:sz w:val="20"/>
          <w:szCs w:val="20"/>
          <w:color w:val="auto"/>
        </w:rPr>
      </w:pPr>
      <w:r>
        <w:rPr>
          <w:rFonts w:ascii="Courier New" w:cs="Courier New" w:eastAsia="Courier New" w:hAnsi="Courier New"/>
          <w:sz w:val="16"/>
          <w:szCs w:val="16"/>
          <w:color w:val="auto"/>
        </w:rPr>
        <w:t>6.6% --% 5.6% 0.9% ===== ===== ===== =====</w:t>
      </w:r>
    </w:p>
    <w:p>
      <w:pPr>
        <w:spacing w:after="0" w:line="32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269"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30</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Operating Revenues</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Operating revenues by reportable segment (in millions):</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OPERATING REVENUES FOR THE THREE AND SIX MONTHS ENDED JUNE 30, 2001 AND 2000</w:t>
      </w:r>
    </w:p>
    <w:p>
      <w:pPr>
        <w:spacing w:after="0" w:line="19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(OPERATING REVENUES CHART)</w:t>
      </w:r>
    </w:p>
    <w:p>
      <w:pPr>
        <w:spacing w:after="0" w:line="177"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THREE MONTHS THREE MONTHS SIX MONTHS</w:t>
      </w:r>
    </w:p>
    <w:p>
      <w:pPr>
        <w:spacing w:after="0" w:line="23"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SIX MONTHS ENDED JUNE 30, ENDED JUNE</w:t>
      </w:r>
    </w:p>
    <w:p>
      <w:pPr>
        <w:jc w:val="center"/>
        <w:ind w:right="6699"/>
        <w:spacing w:after="0" w:line="236" w:lineRule="auto"/>
        <w:rPr>
          <w:sz w:val="20"/>
          <w:szCs w:val="20"/>
          <w:color w:val="auto"/>
        </w:rPr>
      </w:pPr>
      <w:r>
        <w:rPr>
          <w:rFonts w:ascii="Courier New" w:cs="Courier New" w:eastAsia="Courier New" w:hAnsi="Courier New"/>
          <w:sz w:val="16"/>
          <w:szCs w:val="16"/>
          <w:color w:val="auto"/>
        </w:rPr>
        <w:t>30, ENDED JUNE 30, ENDED JUNE 30,</w:t>
      </w:r>
    </w:p>
    <w:p>
      <w:pPr>
        <w:spacing w:after="0" w:line="1"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2001 2000 2001 2000 -------------- --</w:t>
      </w:r>
    </w:p>
    <w:p>
      <w:pPr>
        <w:spacing w:after="0" w:line="1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tbl>
      <w:tblPr>
        <w:tblLayout w:type="fixed"/>
        <w:tblInd w:w="0" w:type="dxa"/>
        <w:tblCellMar>
          <w:top w:w="0" w:type="dxa"/>
          <w:left w:w="0" w:type="dxa"/>
          <w:bottom w:w="0" w:type="dxa"/>
          <w:right w:w="0" w:type="dxa"/>
        </w:tblCellMar>
      </w:tblPr>
      <w:tr>
        <w:trPr>
          <w:trHeight w:val="261"/>
        </w:trPr>
        <w:tc>
          <w:tcPr>
            <w:tcW w:w="110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78"/>
              </w:rPr>
              <w:t>NASW..................................</w:t>
            </w:r>
          </w:p>
        </w:tc>
        <w:tc>
          <w:tcPr>
            <w:tcW w:w="122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
        </w:trPr>
        <w:tc>
          <w:tcPr>
            <w:tcW w:w="1100" w:type="dxa"/>
            <w:vAlign w:val="bottom"/>
            <w:vMerge w:val="continue"/>
          </w:tcPr>
          <w:p>
            <w:pPr>
              <w:spacing w:after="0"/>
              <w:rPr>
                <w:sz w:val="5"/>
                <w:szCs w:val="5"/>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$2,912</w:t>
            </w:r>
          </w:p>
        </w:tc>
        <w:tc>
          <w:tcPr>
            <w:tcW w:w="60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93"/>
              </w:rPr>
              <w:t>$5,462</w:t>
            </w:r>
          </w:p>
        </w:tc>
        <w:tc>
          <w:tcPr>
            <w:tcW w:w="1060" w:type="dxa"/>
            <w:vAlign w:val="bottom"/>
            <w:vMerge w:val="restart"/>
          </w:tcPr>
          <w:p>
            <w:pPr>
              <w:jc w:val="right"/>
              <w:ind w:right="242"/>
              <w:spacing w:after="0"/>
              <w:rPr>
                <w:sz w:val="20"/>
                <w:szCs w:val="20"/>
                <w:color w:val="auto"/>
              </w:rPr>
            </w:pPr>
            <w:r>
              <w:rPr>
                <w:rFonts w:ascii="Courier New" w:cs="Courier New" w:eastAsia="Courier New" w:hAnsi="Courier New"/>
                <w:sz w:val="16"/>
                <w:szCs w:val="16"/>
                <w:color w:val="auto"/>
              </w:rPr>
              <w:t>$ 5,622</w:t>
            </w:r>
          </w:p>
        </w:tc>
        <w:tc>
          <w:tcPr>
            <w:tcW w:w="0" w:type="dxa"/>
            <w:vAlign w:val="bottom"/>
          </w:tcPr>
          <w:p>
            <w:pPr>
              <w:spacing w:after="0"/>
              <w:rPr>
                <w:sz w:val="1"/>
                <w:szCs w:val="1"/>
                <w:color w:val="auto"/>
              </w:rPr>
            </w:pPr>
          </w:p>
        </w:tc>
      </w:tr>
      <w:tr>
        <w:trPr>
          <w:trHeight w:val="179"/>
        </w:trPr>
        <w:tc>
          <w:tcPr>
            <w:tcW w:w="1100" w:type="dxa"/>
            <w:vAlign w:val="bottom"/>
          </w:tcPr>
          <w:p>
            <w:pPr>
              <w:jc w:val="right"/>
              <w:ind w:right="24"/>
              <w:spacing w:after="0" w:line="179" w:lineRule="exact"/>
              <w:rPr>
                <w:sz w:val="20"/>
                <w:szCs w:val="20"/>
                <w:color w:val="auto"/>
              </w:rPr>
            </w:pPr>
            <w:r>
              <w:rPr>
                <w:rFonts w:ascii="Courier New" w:cs="Courier New" w:eastAsia="Courier New" w:hAnsi="Courier New"/>
                <w:sz w:val="16"/>
                <w:szCs w:val="16"/>
                <w:color w:val="auto"/>
              </w:rPr>
              <w:t>$2,819</w:t>
            </w:r>
          </w:p>
        </w:tc>
        <w:tc>
          <w:tcPr>
            <w:tcW w:w="6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00" w:type="dxa"/>
            <w:vAlign w:val="bottom"/>
          </w:tcPr>
          <w:p>
            <w:pPr>
              <w:jc w:val="right"/>
              <w:spacing w:after="0"/>
              <w:rPr>
                <w:sz w:val="20"/>
                <w:szCs w:val="20"/>
                <w:color w:val="auto"/>
              </w:rPr>
            </w:pPr>
            <w:r>
              <w:rPr>
                <w:rFonts w:ascii="Courier New" w:cs="Courier New" w:eastAsia="Courier New" w:hAnsi="Courier New"/>
                <w:sz w:val="6"/>
                <w:szCs w:val="6"/>
                <w:color w:val="auto"/>
                <w:w w:val="78"/>
              </w:rPr>
              <w:t>Other.................................</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$ 354</w:t>
            </w:r>
          </w:p>
        </w:tc>
        <w:tc>
          <w:tcPr>
            <w:tcW w:w="6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$ 172</w:t>
            </w:r>
          </w:p>
        </w:tc>
        <w:tc>
          <w:tcPr>
            <w:tcW w:w="1060" w:type="dxa"/>
            <w:vAlign w:val="bottom"/>
            <w:vMerge w:val="restart"/>
          </w:tcPr>
          <w:p>
            <w:pPr>
              <w:jc w:val="right"/>
              <w:ind w:right="522"/>
              <w:spacing w:after="0"/>
              <w:rPr>
                <w:sz w:val="20"/>
                <w:szCs w:val="20"/>
                <w:color w:val="auto"/>
              </w:rPr>
            </w:pPr>
            <w:r>
              <w:rPr>
                <w:rFonts w:ascii="Courier New" w:cs="Courier New" w:eastAsia="Courier New" w:hAnsi="Courier New"/>
                <w:sz w:val="16"/>
                <w:szCs w:val="16"/>
                <w:color w:val="auto"/>
                <w:w w:val="91"/>
              </w:rPr>
              <w:t>$ 861</w:t>
            </w:r>
          </w:p>
        </w:tc>
        <w:tc>
          <w:tcPr>
            <w:tcW w:w="0" w:type="dxa"/>
            <w:vAlign w:val="bottom"/>
          </w:tcPr>
          <w:p>
            <w:pPr>
              <w:spacing w:after="0"/>
              <w:rPr>
                <w:sz w:val="1"/>
                <w:szCs w:val="1"/>
                <w:color w:val="auto"/>
              </w:rPr>
            </w:pPr>
          </w:p>
        </w:tc>
      </w:tr>
      <w:tr>
        <w:trPr>
          <w:trHeight w:val="179"/>
        </w:trPr>
        <w:tc>
          <w:tcPr>
            <w:tcW w:w="11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$ 96</w:t>
            </w:r>
          </w:p>
        </w:tc>
        <w:tc>
          <w:tcPr>
            <w:tcW w:w="6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Total.......................</w:t>
            </w:r>
          </w:p>
        </w:tc>
        <w:tc>
          <w:tcPr>
            <w:tcW w:w="6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$2,915</w:t>
            </w:r>
          </w:p>
        </w:tc>
        <w:tc>
          <w:tcPr>
            <w:tcW w:w="0" w:type="dxa"/>
            <w:vAlign w:val="bottom"/>
          </w:tcPr>
          <w:p>
            <w:pPr>
              <w:spacing w:after="0"/>
              <w:rPr>
                <w:sz w:val="1"/>
                <w:szCs w:val="1"/>
                <w:color w:val="auto"/>
              </w:rPr>
            </w:pPr>
          </w:p>
        </w:tc>
      </w:tr>
    </w:tbl>
    <w:p>
      <w:pPr>
        <w:ind w:left="780"/>
        <w:spacing w:after="0"/>
        <w:rPr>
          <w:sz w:val="20"/>
          <w:szCs w:val="20"/>
          <w:color w:val="auto"/>
        </w:rPr>
      </w:pPr>
      <w:r>
        <w:rPr>
          <w:rFonts w:ascii="Courier New" w:cs="Courier New" w:eastAsia="Courier New" w:hAnsi="Courier New"/>
          <w:sz w:val="16"/>
          <w:szCs w:val="16"/>
          <w:color w:val="auto"/>
        </w:rPr>
        <w:t>$3,266 $5,634 $ 6,483</w:t>
      </w:r>
    </w:p>
    <w:p>
      <w:pPr>
        <w:spacing w:after="0" w:line="327" w:lineRule="exact"/>
        <w:rPr>
          <w:sz w:val="20"/>
          <w:szCs w:val="20"/>
          <w:color w:val="auto"/>
        </w:rPr>
      </w:pPr>
    </w:p>
    <w:p>
      <w:pPr>
        <w:ind w:right="2879" w:firstLine="465"/>
        <w:spacing w:after="0" w:line="250" w:lineRule="auto"/>
        <w:rPr>
          <w:sz w:val="20"/>
          <w:szCs w:val="20"/>
          <w:color w:val="auto"/>
        </w:rPr>
      </w:pPr>
      <w:r>
        <w:rPr>
          <w:rFonts w:ascii="Courier New" w:cs="Courier New" w:eastAsia="Courier New" w:hAnsi="Courier New"/>
          <w:sz w:val="16"/>
          <w:szCs w:val="16"/>
          <w:color w:val="auto"/>
        </w:rPr>
        <w:t>For the three and six months ended June 30, 2001, the Company's operating revenues decreased $351 million, or 10.7% and $849 million or 13.1%, respectively, as compared to the corresponding 2000 period. The decrease in the Company's operating revenues is primarily due to the divestiture of substantially all of the Company's international operations outside of North America, the Company's non-solid waste businesses, which are aggregated as "Other" in the table above, and certain non-integrated NASW operations. These divestitures were part of the Company's strategic plan to focus on internal growth and NASW operations.</w:t>
      </w:r>
    </w:p>
    <w:p>
      <w:pPr>
        <w:spacing w:after="0" w:line="9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NASW operating revenue mix (in millions):</w:t>
      </w:r>
    </w:p>
    <w:p>
      <w:pPr>
        <w:spacing w:after="0" w:line="177" w:lineRule="exact"/>
        <w:rPr>
          <w:sz w:val="20"/>
          <w:szCs w:val="20"/>
          <w:color w:val="auto"/>
        </w:rPr>
      </w:pPr>
    </w:p>
    <w:p>
      <w:pPr>
        <w:jc w:val="center"/>
        <w:ind w:right="2799"/>
        <w:spacing w:after="0"/>
        <w:rPr>
          <w:sz w:val="20"/>
          <w:szCs w:val="20"/>
          <w:color w:val="auto"/>
        </w:rPr>
      </w:pPr>
      <w:r>
        <w:rPr>
          <w:rFonts w:ascii="Courier New" w:cs="Courier New" w:eastAsia="Courier New" w:hAnsi="Courier New"/>
          <w:sz w:val="14"/>
          <w:szCs w:val="14"/>
          <w:color w:val="auto"/>
        </w:rPr>
        <w:t>OPERATING REVENUES FOR THE THREE AND SIX MONTHS ENDED JUNE 30, 2001 AND 2000</w:t>
      </w:r>
    </w:p>
    <w:p>
      <w:pPr>
        <w:spacing w:after="0" w:line="19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(OPERATING REVENUES CHART)</w:t>
      </w:r>
    </w:p>
    <w:p>
      <w:pPr>
        <w:spacing w:after="0" w:line="177"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THREE MONTHS THREE MONTHS SIX MONTHS</w:t>
      </w:r>
    </w:p>
    <w:p>
      <w:pPr>
        <w:spacing w:after="0" w:line="23"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6"/>
          <w:szCs w:val="16"/>
          <w:color w:val="auto"/>
        </w:rPr>
        <w:t>SIX MONTHS ENDED JUNE 30, ENDED JUNE</w:t>
      </w:r>
    </w:p>
    <w:p>
      <w:pPr>
        <w:jc w:val="center"/>
        <w:ind w:right="6699"/>
        <w:spacing w:after="0" w:line="236" w:lineRule="auto"/>
        <w:rPr>
          <w:sz w:val="20"/>
          <w:szCs w:val="20"/>
          <w:color w:val="auto"/>
        </w:rPr>
      </w:pPr>
      <w:r>
        <w:rPr>
          <w:rFonts w:ascii="Courier New" w:cs="Courier New" w:eastAsia="Courier New" w:hAnsi="Courier New"/>
          <w:sz w:val="16"/>
          <w:szCs w:val="16"/>
          <w:color w:val="auto"/>
        </w:rPr>
        <w:t>30, ENDED JUNE 30, ENDED JUNE 30,</w:t>
      </w:r>
    </w:p>
    <w:p>
      <w:pPr>
        <w:spacing w:after="0" w:line="1" w:lineRule="exact"/>
        <w:rPr>
          <w:sz w:val="20"/>
          <w:szCs w:val="20"/>
          <w:color w:val="auto"/>
        </w:rPr>
      </w:pPr>
    </w:p>
    <w:p>
      <w:pPr>
        <w:jc w:val="center"/>
        <w:ind w:right="6699"/>
        <w:spacing w:after="0"/>
        <w:rPr>
          <w:sz w:val="20"/>
          <w:szCs w:val="20"/>
          <w:color w:val="auto"/>
        </w:rPr>
      </w:pPr>
      <w:r>
        <w:rPr>
          <w:rFonts w:ascii="Courier New" w:cs="Courier New" w:eastAsia="Courier New" w:hAnsi="Courier New"/>
          <w:sz w:val="14"/>
          <w:szCs w:val="14"/>
          <w:color w:val="auto"/>
        </w:rPr>
        <w:t>2001 2000 2001 2000 -------------- --</w:t>
      </w:r>
    </w:p>
    <w:p>
      <w:pPr>
        <w:spacing w:after="0" w:line="1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 ---------</w:t>
      </w:r>
    </w:p>
    <w:p>
      <w:pPr>
        <w:ind w:left="1520"/>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Collection............................</w:t>
      </w:r>
    </w:p>
    <w:p>
      <w:pPr>
        <w:jc w:val="center"/>
        <w:ind w:right="6699"/>
        <w:spacing w:after="0" w:line="237" w:lineRule="auto"/>
        <w:rPr>
          <w:sz w:val="20"/>
          <w:szCs w:val="20"/>
          <w:color w:val="auto"/>
        </w:rPr>
      </w:pPr>
      <w:r>
        <w:rPr>
          <w:rFonts w:ascii="Courier New" w:cs="Courier New" w:eastAsia="Courier New" w:hAnsi="Courier New"/>
          <w:sz w:val="16"/>
          <w:szCs w:val="16"/>
          <w:color w:val="auto"/>
        </w:rPr>
        <w:t>$1,925 $1,964 $3,779 $ 3,826</w:t>
      </w:r>
    </w:p>
    <w:p>
      <w:pPr>
        <w:spacing w:after="0" w:line="237" w:lineRule="auto"/>
        <w:rPr>
          <w:sz w:val="20"/>
          <w:szCs w:val="20"/>
          <w:color w:val="auto"/>
        </w:rPr>
      </w:pPr>
      <w:r>
        <w:rPr>
          <w:rFonts w:ascii="Courier New" w:cs="Courier New" w:eastAsia="Courier New" w:hAnsi="Courier New"/>
          <w:sz w:val="16"/>
          <w:szCs w:val="16"/>
          <w:color w:val="auto"/>
        </w:rPr>
        <w:t>Disposal..............................</w:t>
      </w:r>
    </w:p>
    <w:p>
      <w:pPr>
        <w:ind w:right="6679" w:firstLine="551"/>
        <w:spacing w:after="0" w:line="270" w:lineRule="auto"/>
        <w:tabs>
          <w:tab w:leader="none" w:pos="742"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882 $ 870 $1,661 $ 1,674 Transfer..............................</w:t>
      </w: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$ 384 $ 371 $ 712 $ 693 Recycling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20" w:type="dxa"/>
            <w:vAlign w:val="bottom"/>
          </w:tcPr>
          <w:p>
            <w:pPr>
              <w:jc w:val="right"/>
              <w:spacing w:after="0"/>
              <w:rPr>
                <w:sz w:val="20"/>
                <w:szCs w:val="20"/>
                <w:color w:val="auto"/>
              </w:rPr>
            </w:pPr>
            <w:r>
              <w:rPr>
                <w:rFonts w:ascii="Courier New" w:cs="Courier New" w:eastAsia="Courier New" w:hAnsi="Courier New"/>
                <w:sz w:val="9"/>
                <w:szCs w:val="9"/>
                <w:color w:val="auto"/>
                <w:w w:val="77"/>
              </w:rPr>
              <w:t>other...................</w:t>
            </w:r>
          </w:p>
        </w:tc>
        <w:tc>
          <w:tcPr>
            <w:tcW w:w="4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300" w:type="dxa"/>
            <w:vAlign w:val="bottom"/>
            <w:vMerge w:val="restart"/>
          </w:tcPr>
          <w:p>
            <w:pPr>
              <w:spacing w:after="0"/>
              <w:rPr>
                <w:sz w:val="20"/>
                <w:szCs w:val="20"/>
                <w:color w:val="auto"/>
              </w:rPr>
            </w:pPr>
            <w:r>
              <w:rPr>
                <w:rFonts w:ascii="Courier New" w:cs="Courier New" w:eastAsia="Courier New" w:hAnsi="Courier New"/>
                <w:sz w:val="16"/>
                <w:szCs w:val="16"/>
                <w:color w:val="auto"/>
                <w:w w:val="97"/>
              </w:rPr>
              <w:t>301</w:t>
            </w:r>
          </w:p>
        </w:tc>
        <w:tc>
          <w:tcPr>
            <w:tcW w:w="680" w:type="dxa"/>
            <w:vAlign w:val="bottom"/>
            <w:vMerge w:val="restart"/>
          </w:tcPr>
          <w:p>
            <w:pPr>
              <w:jc w:val="right"/>
              <w:ind w:right="62"/>
              <w:spacing w:after="0"/>
              <w:rPr>
                <w:sz w:val="20"/>
                <w:szCs w:val="20"/>
                <w:color w:val="auto"/>
              </w:rPr>
            </w:pPr>
            <w:r>
              <w:rPr>
                <w:rFonts w:ascii="Courier New" w:cs="Courier New" w:eastAsia="Courier New" w:hAnsi="Courier New"/>
                <w:sz w:val="16"/>
                <w:szCs w:val="16"/>
                <w:color w:val="auto"/>
              </w:rPr>
              <w:t>$ 452</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w w:val="94"/>
              </w:rPr>
              <w:t>$ 154 $ 248</w:t>
            </w:r>
          </w:p>
        </w:tc>
        <w:tc>
          <w:tcPr>
            <w:tcW w:w="0" w:type="dxa"/>
            <w:vAlign w:val="bottom"/>
          </w:tcPr>
          <w:p>
            <w:pPr>
              <w:spacing w:after="0"/>
              <w:rPr>
                <w:sz w:val="1"/>
                <w:szCs w:val="1"/>
                <w:color w:val="auto"/>
              </w:rPr>
            </w:pPr>
          </w:p>
        </w:tc>
      </w:tr>
      <w:tr>
        <w:trPr>
          <w:trHeight w:val="69"/>
        </w:trPr>
        <w:tc>
          <w:tcPr>
            <w:tcW w:w="10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740" w:type="dxa"/>
            <w:vAlign w:val="bottom"/>
            <w:gridSpan w:val="3"/>
          </w:tcPr>
          <w:p>
            <w:pPr>
              <w:jc w:val="right"/>
              <w:spacing w:after="0"/>
              <w:rPr>
                <w:sz w:val="20"/>
                <w:szCs w:val="20"/>
                <w:color w:val="auto"/>
              </w:rPr>
            </w:pPr>
            <w:r>
              <w:rPr>
                <w:rFonts w:ascii="Courier New" w:cs="Courier New" w:eastAsia="Courier New" w:hAnsi="Courier New"/>
                <w:sz w:val="10"/>
                <w:szCs w:val="10"/>
                <w:color w:val="auto"/>
                <w:w w:val="75"/>
              </w:rPr>
              <w:t>Intercompany..........................</w:t>
            </w:r>
          </w:p>
        </w:tc>
        <w:tc>
          <w:tcPr>
            <w:tcW w:w="6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 (991)</w:t>
            </w:r>
          </w:p>
        </w:tc>
        <w:tc>
          <w:tcPr>
            <w:tcW w:w="102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$(1,023)</w:t>
            </w:r>
          </w:p>
        </w:tc>
        <w:tc>
          <w:tcPr>
            <w:tcW w:w="0" w:type="dxa"/>
            <w:vAlign w:val="bottom"/>
          </w:tcPr>
          <w:p>
            <w:pPr>
              <w:spacing w:after="0"/>
              <w:rPr>
                <w:sz w:val="1"/>
                <w:szCs w:val="1"/>
                <w:color w:val="auto"/>
              </w:rPr>
            </w:pPr>
          </w:p>
        </w:tc>
      </w:tr>
      <w:tr>
        <w:trPr>
          <w:trHeight w:val="179"/>
        </w:trPr>
        <w:tc>
          <w:tcPr>
            <w:tcW w:w="1020" w:type="dxa"/>
            <w:vAlign w:val="bottom"/>
          </w:tcPr>
          <w:p>
            <w:pPr>
              <w:jc w:val="right"/>
              <w:ind w:right="38"/>
              <w:spacing w:after="0" w:line="179" w:lineRule="exact"/>
              <w:rPr>
                <w:sz w:val="20"/>
                <w:szCs w:val="20"/>
                <w:color w:val="auto"/>
              </w:rPr>
            </w:pPr>
            <w:r>
              <w:rPr>
                <w:rFonts w:ascii="Courier New" w:cs="Courier New" w:eastAsia="Courier New" w:hAnsi="Courier New"/>
                <w:sz w:val="16"/>
                <w:szCs w:val="16"/>
                <w:color w:val="auto"/>
              </w:rPr>
              <w:t>$ (526)</w:t>
            </w:r>
          </w:p>
        </w:tc>
        <w:tc>
          <w:tcPr>
            <w:tcW w:w="72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w w:val="92"/>
              </w:rPr>
              <w:t>$ (541)</w:t>
            </w:r>
          </w:p>
        </w:tc>
        <w:tc>
          <w:tcPr>
            <w:tcW w:w="68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0"/>
              </w:rPr>
              <w:t>Total.......................</w:t>
            </w: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$2,819</w:t>
            </w:r>
          </w:p>
        </w:tc>
        <w:tc>
          <w:tcPr>
            <w:tcW w:w="0" w:type="dxa"/>
            <w:vAlign w:val="bottom"/>
          </w:tcPr>
          <w:p>
            <w:pPr>
              <w:spacing w:after="0"/>
              <w:rPr>
                <w:sz w:val="1"/>
                <w:szCs w:val="1"/>
                <w:color w:val="auto"/>
              </w:rPr>
            </w:pPr>
          </w:p>
        </w:tc>
      </w:tr>
      <w:tr>
        <w:trPr>
          <w:trHeight w:val="261"/>
        </w:trPr>
        <w:tc>
          <w:tcPr>
            <w:tcW w:w="14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$2,912</w:t>
            </w:r>
          </w:p>
        </w:tc>
        <w:tc>
          <w:tcPr>
            <w:tcW w:w="2000" w:type="dxa"/>
            <w:vAlign w:val="bottom"/>
            <w:gridSpan w:val="3"/>
          </w:tcPr>
          <w:p>
            <w:pPr>
              <w:spacing w:after="0"/>
              <w:rPr>
                <w:sz w:val="20"/>
                <w:szCs w:val="20"/>
                <w:color w:val="auto"/>
              </w:rPr>
            </w:pPr>
            <w:r>
              <w:rPr>
                <w:rFonts w:ascii="Courier New" w:cs="Courier New" w:eastAsia="Courier New" w:hAnsi="Courier New"/>
                <w:sz w:val="16"/>
                <w:szCs w:val="16"/>
                <w:color w:val="auto"/>
              </w:rPr>
              <w:t>$5,462 $ 5,622</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269"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31</w:t>
      </w:r>
    </w:p>
    <w:p>
      <w:pPr>
        <w:spacing w:after="0" w:line="177" w:lineRule="exact"/>
        <w:rPr>
          <w:sz w:val="20"/>
          <w:szCs w:val="20"/>
          <w:color w:val="auto"/>
        </w:rPr>
      </w:pPr>
    </w:p>
    <w:p>
      <w:pPr>
        <w:ind w:right="2779" w:firstLine="465"/>
        <w:spacing w:after="0" w:line="242" w:lineRule="auto"/>
        <w:rPr>
          <w:sz w:val="20"/>
          <w:szCs w:val="20"/>
          <w:color w:val="auto"/>
        </w:rPr>
      </w:pPr>
      <w:r>
        <w:rPr>
          <w:rFonts w:ascii="Courier New" w:cs="Courier New" w:eastAsia="Courier New" w:hAnsi="Courier New"/>
          <w:sz w:val="16"/>
          <w:szCs w:val="16"/>
          <w:color w:val="auto"/>
        </w:rPr>
        <w:t>For the three and six months ended June 30, 2001, NASW operating revenues decreased as compared to the corresponding prior year periods by $93 million or 3.2% and $160 million or 2.8%, respectively. For both periods, the primary reason for the decrease is the divestitures of non-integrated NASW operations during 2000 and, to a lesser extent, in 2001, offset slightly by the acquisition of certain NASW operations in 2001 and the full period effect of such acquisitions in 2000. The Company experienced negative internal growth of 1.3% and 1.0% for the three and six months ended June 30, 2001, respectively. Internal revenue growth was negatively impacted by an overall price decrease in the recyclable materials markets of 2.0% and 1.6% for the three and six months ended June 30, 2001. However, partially offsetting the decline in commodity prices were price increases of 1.5% for both the three and six months ended June 30, 2001. The negative volume of 0.8% and 0.9% for NASW operations for the three and six months ended June 30, 2001 is primarily attributable to an overall slowing of the economy in certain geographic areas of North America, the Company's culling of unprofitable accounts, and the impact of the Company's change in policy regarding third party waste brokers requiring them to sign standardized service agreements that provide for timely payments for services rendered.</w:t>
      </w:r>
    </w:p>
    <w:p>
      <w:pPr>
        <w:spacing w:after="0" w:line="105" w:lineRule="exact"/>
        <w:rPr>
          <w:sz w:val="20"/>
          <w:szCs w:val="20"/>
          <w:color w:val="auto"/>
        </w:rPr>
      </w:pPr>
    </w:p>
    <w:p>
      <w:pPr>
        <w:ind w:left="180" w:right="2779"/>
        <w:spacing w:after="0" w:line="342" w:lineRule="auto"/>
        <w:rPr>
          <w:sz w:val="20"/>
          <w:szCs w:val="20"/>
          <w:color w:val="auto"/>
        </w:rPr>
      </w:pPr>
      <w:r>
        <w:rPr>
          <w:rFonts w:ascii="Courier New" w:cs="Courier New" w:eastAsia="Courier New" w:hAnsi="Courier New"/>
          <w:sz w:val="16"/>
          <w:szCs w:val="16"/>
          <w:color w:val="auto"/>
        </w:rPr>
        <w:t>Operating Costs and Expenses (Exclusive of Depreciation and Amortization Shown Below)</w:t>
      </w:r>
    </w:p>
    <w:p>
      <w:pPr>
        <w:spacing w:after="0" w:line="20" w:lineRule="exact"/>
        <w:rPr>
          <w:sz w:val="20"/>
          <w:szCs w:val="20"/>
          <w:color w:val="auto"/>
        </w:rPr>
      </w:pPr>
    </w:p>
    <w:p>
      <w:pPr>
        <w:ind w:right="2779" w:firstLine="465"/>
        <w:spacing w:after="0" w:line="246" w:lineRule="auto"/>
        <w:rPr>
          <w:sz w:val="20"/>
          <w:szCs w:val="20"/>
          <w:color w:val="auto"/>
        </w:rPr>
      </w:pPr>
      <w:r>
        <w:rPr>
          <w:rFonts w:ascii="Courier New" w:cs="Courier New" w:eastAsia="Courier New" w:hAnsi="Courier New"/>
          <w:sz w:val="16"/>
          <w:szCs w:val="16"/>
          <w:color w:val="auto"/>
        </w:rPr>
        <w:t>Operating costs and expenses decreased $217 million or 11.1% and $527 million or 13.5% for the three and six months ended June 30, 2001 as compared to the prior year periods. As a percentage of operating revenues, operating costs and expenses were 59.4% and 60.0% for the three and six months ended June 30, 2001, respectively, and 59.7% and 60.2% for the corresponding prior year periods. The decrease in operating costs and expenses is substantially attributable to the divestiture during 2000 of the Company's international operations outside of North America, the Company's non-solid waste businesses and non-integrated NASW operations discussed above. In addition, operating costs and expenses decreased for the second quarter of 2001 compared to the corresponding prior year due to a decrease in repairs and maintenance costs as a result of increased emphasis on preventative maintenance.</w:t>
      </w:r>
    </w:p>
    <w:p>
      <w:pPr>
        <w:spacing w:after="0" w:line="9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General and Administrative</w:t>
      </w:r>
    </w:p>
    <w:p>
      <w:pPr>
        <w:spacing w:after="0" w:line="177" w:lineRule="exact"/>
        <w:rPr>
          <w:sz w:val="20"/>
          <w:szCs w:val="20"/>
          <w:color w:val="auto"/>
        </w:rPr>
      </w:pPr>
    </w:p>
    <w:p>
      <w:pPr>
        <w:ind w:right="2779" w:firstLine="465"/>
        <w:spacing w:after="0" w:line="241" w:lineRule="auto"/>
        <w:rPr>
          <w:sz w:val="20"/>
          <w:szCs w:val="20"/>
          <w:color w:val="auto"/>
        </w:rPr>
      </w:pPr>
      <w:r>
        <w:rPr>
          <w:rFonts w:ascii="Courier New" w:cs="Courier New" w:eastAsia="Courier New" w:hAnsi="Courier New"/>
          <w:sz w:val="16"/>
          <w:szCs w:val="16"/>
          <w:color w:val="auto"/>
        </w:rPr>
        <w:t>General and administrative expenses decreased $47 million or 10.6% and $152 million or 16.2% for the three and six months ended June 30, 2001 as compared to the prior year periods. Significantly contributing to the overall decrease in general and administrative costs was the impact of the divestitures that the Company completed throughout 2000. As a percentage of operating revenues, general and administrative expenses were 13.7% and 14.0% for the three and six months ended June 30, 2001, respectively, and 13.6% and 14.5% for the corresponding prior year periods. The decrease for the six months ended June 30, 2001 compared to the corresponding prior year period is attributable to significant costs that were incurred in the first half of 2000 for professional accounting and consulting services for accounting and process improvement initiatives that began as part of the Company's 1999 accounting review. These costs were not incurred in 2001, as the Company was able to stabilize its accounting systems and complete its process improvement initiatives in the second half of 2000. In addition, the Company experienced a decline in its provision for bad debts from $21 million for the six months ended June 30, 2000 to $5 million for the six months ended June 30, 2001 due to the Company's overall improved collection efforts and assessments of required reserves for uncollectible accounts, using a specific review process. Offsetting these improvements, the Company experienced increased general and administrative expenses for the three and six months ended June 30, 2001 compared to the corresponding prior year period due to an increase in permanent staffing at the corporate office.</w:t>
      </w:r>
    </w:p>
    <w:p>
      <w:pPr>
        <w:spacing w:after="0" w:line="10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Depreciation and Amortization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Depreciation and amortization expenses decreased $21 million or 5.8% and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 million or 5.1% for the three and six months ended June 30, 2001 as compared</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prior year periods. This decrease in depreciation and amortization</w:t>
      </w:r>
    </w:p>
    <w:p>
      <w:pPr>
        <w:spacing w:after="0" w:line="236" w:lineRule="auto"/>
        <w:rPr>
          <w:sz w:val="20"/>
          <w:szCs w:val="20"/>
          <w:color w:val="auto"/>
        </w:rPr>
      </w:pPr>
      <w:r>
        <w:rPr>
          <w:rFonts w:ascii="Courier New" w:cs="Courier New" w:eastAsia="Courier New" w:hAnsi="Courier New"/>
          <w:sz w:val="16"/>
          <w:szCs w:val="16"/>
          <w:color w:val="auto"/>
        </w:rPr>
        <w:t>expense is attributable to the amortization expense of goodwill on operations</w:t>
      </w:r>
    </w:p>
    <w:p>
      <w:pPr>
        <w:spacing w:after="0" w:line="237" w:lineRule="auto"/>
        <w:rPr>
          <w:sz w:val="20"/>
          <w:szCs w:val="20"/>
          <w:color w:val="auto"/>
        </w:rPr>
      </w:pPr>
      <w:r>
        <w:rPr>
          <w:rFonts w:ascii="Courier New" w:cs="Courier New" w:eastAsia="Courier New" w:hAnsi="Courier New"/>
          <w:sz w:val="16"/>
          <w:szCs w:val="16"/>
          <w:color w:val="auto"/>
        </w:rPr>
        <w:t>that were divested throughout 2000, more cost-effective use of the Company's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landfill assets and a temporary increase of fully depreciated trucks and other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equipment associated with delays in receiving new equipment. As a percentage of</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revenues, depreciation and amortization expense was 11.7% and 12.0%</w:t>
      </w:r>
    </w:p>
    <w:p>
      <w:pPr>
        <w:spacing w:after="0" w:line="236" w:lineRule="auto"/>
        <w:rPr>
          <w:sz w:val="20"/>
          <w:szCs w:val="20"/>
          <w:color w:val="auto"/>
        </w:rPr>
      </w:pPr>
      <w:r>
        <w:rPr>
          <w:rFonts w:ascii="Courier New" w:cs="Courier New" w:eastAsia="Courier New" w:hAnsi="Courier New"/>
          <w:sz w:val="16"/>
          <w:szCs w:val="16"/>
          <w:color w:val="auto"/>
        </w:rPr>
        <w:t>for the three and six months ended June 30, 2001, respectively, and 11.1%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 for the corresponding prior year</w:t>
      </w:r>
    </w:p>
    <w:p>
      <w:pPr>
        <w:sectPr>
          <w:pgSz w:w="11900" w:h="16838" w:orient="portrait"/>
          <w:cols w:equalWidth="0" w:num="1">
            <w:col w:w="10219"/>
          </w:cols>
          <w:pgMar w:left="240" w:top="269" w:right="1440" w:bottom="1440" w:gutter="0" w:footer="0" w:header="0"/>
        </w:sectPr>
      </w:pPr>
    </w:p>
    <w:p>
      <w:pPr>
        <w:spacing w:after="0" w:line="149"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19"/>
          </w:cols>
          <w:pgMar w:left="240" w:top="269" w:right="1440" w:bottom="1440"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32</w:t>
      </w:r>
    </w:p>
    <w:p>
      <w:pPr>
        <w:spacing w:after="0" w:line="177" w:lineRule="exact"/>
        <w:rPr>
          <w:sz w:val="20"/>
          <w:szCs w:val="20"/>
          <w:color w:val="auto"/>
        </w:rPr>
      </w:pPr>
    </w:p>
    <w:p>
      <w:pPr>
        <w:ind w:right="2779"/>
        <w:spacing w:after="0" w:line="245" w:lineRule="auto"/>
        <w:rPr>
          <w:sz w:val="20"/>
          <w:szCs w:val="20"/>
          <w:color w:val="auto"/>
        </w:rPr>
      </w:pPr>
      <w:r>
        <w:rPr>
          <w:rFonts w:ascii="Courier New" w:cs="Courier New" w:eastAsia="Courier New" w:hAnsi="Courier New"/>
          <w:sz w:val="16"/>
          <w:szCs w:val="16"/>
          <w:color w:val="auto"/>
        </w:rPr>
        <w:t>periods. The increase in depreciation and amortization expense as a percentage of operating revenues is substantially attributable to fixed asset depreciation that was suspended on operations classified as held-for-sale. The amount of depreciation suspended for operations classified as held-for-sale was $4 million or 0.1% of operating revenues and $7 million or 0.1% of operating revenues for the three and six months ended June 30, 2001. For the three and six months ended June 30, 2000, the amount of depreciation suspended for operations classified as held-for-sale was $32 million or 1.0% of operating revenues and $83 million or 1.3% of operating revenues, respectively. Offsetting this impact of suspended depreciation due to assets held for sale is the impact of more cost-effective use of the Company's landfill assets and a temporary increase of fully depreciated trucks and other equipment associated with delays in receiving new equipment.</w:t>
      </w:r>
    </w:p>
    <w:p>
      <w:pPr>
        <w:spacing w:after="0" w:line="9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Asset Impairments and Unusual Items</w:t>
      </w:r>
    </w:p>
    <w:p>
      <w:pPr>
        <w:spacing w:after="0" w:line="177" w:lineRule="exact"/>
        <w:rPr>
          <w:sz w:val="20"/>
          <w:szCs w:val="20"/>
          <w:color w:val="auto"/>
        </w:rPr>
      </w:pPr>
    </w:p>
    <w:p>
      <w:pPr>
        <w:ind w:right="3159" w:firstLine="465"/>
        <w:spacing w:after="0" w:line="263" w:lineRule="auto"/>
        <w:rPr>
          <w:sz w:val="20"/>
          <w:szCs w:val="20"/>
          <w:color w:val="auto"/>
        </w:rPr>
      </w:pPr>
      <w:r>
        <w:rPr>
          <w:rFonts w:ascii="Courier New" w:cs="Courier New" w:eastAsia="Courier New" w:hAnsi="Courier New"/>
          <w:sz w:val="16"/>
          <w:szCs w:val="16"/>
          <w:color w:val="auto"/>
        </w:rPr>
        <w:t>For the three and six months ended June 30, 2001, asset impairments and unusual items of $3 million and $8 million, respectively, were primarily attributable to the Company's divestiture activities, offset in part by reversals of loss contract reserves that were determined to be in excess of current requirements and other unusual items.</w:t>
      </w:r>
    </w:p>
    <w:p>
      <w:pPr>
        <w:spacing w:after="0" w:line="80" w:lineRule="exact"/>
        <w:rPr>
          <w:sz w:val="20"/>
          <w:szCs w:val="20"/>
          <w:color w:val="auto"/>
        </w:rPr>
      </w:pPr>
    </w:p>
    <w:p>
      <w:pPr>
        <w:ind w:right="2779" w:firstLine="465"/>
        <w:spacing w:after="0" w:line="251" w:lineRule="auto"/>
        <w:rPr>
          <w:sz w:val="20"/>
          <w:szCs w:val="20"/>
          <w:color w:val="auto"/>
        </w:rPr>
      </w:pPr>
      <w:r>
        <w:rPr>
          <w:rFonts w:ascii="Courier New" w:cs="Courier New" w:eastAsia="Courier New" w:hAnsi="Courier New"/>
          <w:sz w:val="16"/>
          <w:szCs w:val="16"/>
          <w:color w:val="auto"/>
        </w:rPr>
        <w:t>The Company completed the settlement of its obligations under the qualified defined benefit plan for all eligible non-union domestic employees of Waste Management Holdings, Inc. ("WM Holdings") in the first quarter of 2001. This plan was terminated as of October 31, 1999 in connection with the merger between the Company and WM Holdings (the "WM Holdings Merger") in July 1998. Costs related to the termination of this plan resulted in a non-cash charge to asset impairments and unusual items of approximately $14 million and $92 million for the three and six months ended June 30, 2000.</w:t>
      </w:r>
    </w:p>
    <w:p>
      <w:pPr>
        <w:spacing w:after="0" w:line="94" w:lineRule="exact"/>
        <w:rPr>
          <w:sz w:val="20"/>
          <w:szCs w:val="20"/>
          <w:color w:val="auto"/>
        </w:rPr>
      </w:pPr>
    </w:p>
    <w:p>
      <w:pPr>
        <w:ind w:right="2879" w:firstLine="465"/>
        <w:spacing w:after="0" w:line="251" w:lineRule="auto"/>
        <w:rPr>
          <w:sz w:val="20"/>
          <w:szCs w:val="20"/>
          <w:color w:val="auto"/>
        </w:rPr>
      </w:pPr>
      <w:r>
        <w:rPr>
          <w:rFonts w:ascii="Courier New" w:cs="Courier New" w:eastAsia="Courier New" w:hAnsi="Courier New"/>
          <w:sz w:val="16"/>
          <w:szCs w:val="16"/>
          <w:color w:val="auto"/>
        </w:rPr>
        <w:t>The Company recorded a charge to asset impairments and unusual items of approximately $125 million and $114 million for the three and six months ended June 30, 2000 related to net gains and losses on operations divested during the respective periods. Additionally, the Company recorded charges to asset impairments and unusual items of approximately $78 million and $102 million for the three and six months ended June 30, 2000, respectively, for operations held-for-sale that had a carrying value greater than management's best estimate of anticipated proceeds.</w:t>
      </w:r>
    </w:p>
    <w:p>
      <w:pPr>
        <w:spacing w:after="0" w:line="9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(Expense) Income</w:t>
      </w:r>
    </w:p>
    <w:p>
      <w:pPr>
        <w:spacing w:after="0" w:line="177" w:lineRule="exact"/>
        <w:rPr>
          <w:sz w:val="20"/>
          <w:szCs w:val="20"/>
          <w:color w:val="auto"/>
        </w:rPr>
      </w:pPr>
    </w:p>
    <w:p>
      <w:pPr>
        <w:ind w:right="2779" w:firstLine="465"/>
        <w:spacing w:after="0" w:line="250" w:lineRule="auto"/>
        <w:rPr>
          <w:sz w:val="20"/>
          <w:szCs w:val="20"/>
          <w:color w:val="auto"/>
        </w:rPr>
      </w:pPr>
      <w:r>
        <w:rPr>
          <w:rFonts w:ascii="Courier New" w:cs="Courier New" w:eastAsia="Courier New" w:hAnsi="Courier New"/>
          <w:sz w:val="16"/>
          <w:szCs w:val="16"/>
          <w:color w:val="auto"/>
        </w:rPr>
        <w:t>The decrease in interest expense for the three and six months ended June 30, 2001, as compared to the corresponding periods of 2000, is primarily due to the net debt reduction throughout 2000 and 2001 from proceeds related to the Company's divestiture program and cash flow from operations. The increase in interest income in 2001, as compared to 2000, is primarily due to temporarily investing the proceeds from the Company's February 2001 issuance of $600 million of senior unsecured notes as well as available cash resulting from delays in capital expenditures. Such proceeds were used to repay senior notes which matured during the second quarter of 2001.</w:t>
      </w:r>
    </w:p>
    <w:p>
      <w:pPr>
        <w:spacing w:after="0" w:line="9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Provision for Income Taxes</w:t>
      </w:r>
    </w:p>
    <w:p>
      <w:pPr>
        <w:spacing w:after="0" w:line="177" w:lineRule="exact"/>
        <w:rPr>
          <w:sz w:val="20"/>
          <w:szCs w:val="20"/>
          <w:color w:val="auto"/>
        </w:rPr>
      </w:pPr>
    </w:p>
    <w:p>
      <w:pPr>
        <w:ind w:right="2779" w:firstLine="465"/>
        <w:spacing w:after="0" w:line="245" w:lineRule="auto"/>
        <w:rPr>
          <w:sz w:val="20"/>
          <w:szCs w:val="20"/>
          <w:color w:val="auto"/>
        </w:rPr>
      </w:pPr>
      <w:r>
        <w:rPr>
          <w:rFonts w:ascii="Courier New" w:cs="Courier New" w:eastAsia="Courier New" w:hAnsi="Courier New"/>
          <w:sz w:val="16"/>
          <w:szCs w:val="16"/>
          <w:color w:val="auto"/>
        </w:rPr>
        <w:t>The Company recorded a provision for income taxes of $113 million and $202 million for the three and six months ended June 30, 2001, respectively and $105 million and $170 million for the corresponding periods of 2000. The difference in federal income taxes computed at the federal statutory rate and reported income taxes for the three and six months ended June 30, 2001 and 2000 is primarily due to state and local income taxes, non-deductible costs related to acquired intangibles, and non-deductible costs associated with the impairment and divestiture of certain businesses. Additionally, in the second quarter of 2001, the Company recorded a net tax benefit of $12 million. Scheduled Canadian federal and provincial tax rate reductions resulted in a benefit of $42 million, which was offset in part by an expense of $30 million related to the Company's plan to repatriate certain Canadian capital and earnings previously deemed permanently invested in Canada.</w:t>
      </w:r>
    </w:p>
    <w:p>
      <w:pPr>
        <w:spacing w:after="0" w:line="99"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269"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33</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Extraordinary Loss</w:t>
      </w:r>
    </w:p>
    <w:p>
      <w:pPr>
        <w:spacing w:after="0" w:line="177" w:lineRule="exact"/>
        <w:rPr>
          <w:sz w:val="20"/>
          <w:szCs w:val="20"/>
          <w:color w:val="auto"/>
        </w:rPr>
      </w:pPr>
    </w:p>
    <w:p>
      <w:pPr>
        <w:ind w:right="3059" w:firstLine="465"/>
        <w:spacing w:after="0" w:line="301" w:lineRule="auto"/>
        <w:rPr>
          <w:sz w:val="20"/>
          <w:szCs w:val="20"/>
          <w:color w:val="auto"/>
        </w:rPr>
      </w:pPr>
      <w:r>
        <w:rPr>
          <w:rFonts w:ascii="Courier New" w:cs="Courier New" w:eastAsia="Courier New" w:hAnsi="Courier New"/>
          <w:sz w:val="14"/>
          <w:szCs w:val="14"/>
          <w:color w:val="auto"/>
        </w:rPr>
        <w:t>In March 2001, the Company, working with local governmental authorities, refinanced $339 million of fixed-rate tax-exempt bonds maturing through 2008 with $326 million of variable-rate tax-exempt bonds maturing through 2011 and $17 million of fixed-rate bonds maturing through 2001. The Company recorded a net extraordinary loss of $1 million in the first quarter of 2001 for the remaining unamortized premium and issuance costs related to the retired debt.</w:t>
      </w:r>
    </w:p>
    <w:p>
      <w:pPr>
        <w:spacing w:after="0" w:line="5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Cumulative Effect of Change in Accounting Principle</w:t>
      </w:r>
    </w:p>
    <w:p>
      <w:pPr>
        <w:spacing w:after="0" w:line="177" w:lineRule="exact"/>
        <w:rPr>
          <w:sz w:val="20"/>
          <w:szCs w:val="20"/>
          <w:color w:val="auto"/>
        </w:rPr>
      </w:pPr>
    </w:p>
    <w:p>
      <w:pPr>
        <w:ind w:right="2779" w:firstLine="465"/>
        <w:spacing w:after="0" w:line="322" w:lineRule="auto"/>
        <w:rPr>
          <w:sz w:val="20"/>
          <w:szCs w:val="20"/>
          <w:color w:val="auto"/>
        </w:rPr>
      </w:pPr>
      <w:r>
        <w:rPr>
          <w:rFonts w:ascii="Courier New" w:cs="Courier New" w:eastAsia="Courier New" w:hAnsi="Courier New"/>
          <w:sz w:val="14"/>
          <w:szCs w:val="14"/>
          <w:color w:val="auto"/>
        </w:rPr>
        <w:t>Statement of Financial Accounting Standards 133, "Accounting for Derivative Instruments and Hedging Activities" ("SFAS No. 133") became effective for the Company as of January 1, 2001. Adoption of SFAS No. 133 resulted in a gain, net of tax, of approximately $2 million in the first quarter of 2001.</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77" w:lineRule="exact"/>
        <w:rPr>
          <w:sz w:val="20"/>
          <w:szCs w:val="20"/>
          <w:color w:val="auto"/>
        </w:rPr>
      </w:pPr>
    </w:p>
    <w:p>
      <w:pPr>
        <w:ind w:right="2779" w:firstLine="465"/>
        <w:spacing w:after="0" w:line="246" w:lineRule="auto"/>
        <w:rPr>
          <w:sz w:val="20"/>
          <w:szCs w:val="20"/>
          <w:color w:val="auto"/>
        </w:rPr>
      </w:pPr>
      <w:r>
        <w:rPr>
          <w:rFonts w:ascii="Courier New" w:cs="Courier New" w:eastAsia="Courier New" w:hAnsi="Courier New"/>
          <w:sz w:val="16"/>
          <w:szCs w:val="16"/>
          <w:color w:val="auto"/>
        </w:rPr>
        <w:t>The Company operates in an industry that requires a high level of capital investment. The Company's capital requirements primarily stem from (i) its working capital needs for its ongoing operations, (ii) capital expenditures for construction and expansion of its landfill sites, as well as new trucks and equipment for its collection operations, (iii) refurbishments and improvements at its waste-to-energy facilities and (iv) business acquisitions. The Company's strategy is to meet these capital needs first from internally generated funds. Historically, the Company has also obtained financing from various financing sources available at the time, including the incurrence of debt and the issuance of its common stock. The Company believes that its current cash flows from operations and its level of credit capacity is sufficient to meet its ongoing operating requirements.</w:t>
      </w:r>
    </w:p>
    <w:p>
      <w:pPr>
        <w:spacing w:after="0" w:line="96" w:lineRule="exact"/>
        <w:rPr>
          <w:sz w:val="20"/>
          <w:szCs w:val="20"/>
          <w:color w:val="auto"/>
        </w:rPr>
      </w:pPr>
    </w:p>
    <w:p>
      <w:pPr>
        <w:ind w:right="2959" w:firstLine="465"/>
        <w:spacing w:after="0" w:line="342" w:lineRule="auto"/>
        <w:rPr>
          <w:sz w:val="20"/>
          <w:szCs w:val="20"/>
          <w:color w:val="auto"/>
        </w:rPr>
      </w:pPr>
      <w:r>
        <w:rPr>
          <w:rFonts w:ascii="Courier New" w:cs="Courier New" w:eastAsia="Courier New" w:hAnsi="Courier New"/>
          <w:sz w:val="16"/>
          <w:szCs w:val="16"/>
          <w:color w:val="auto"/>
        </w:rPr>
        <w:t>The following is a summary of the Company's cash flows statements for the six months ended June 30, 2001 and 2000 (in millions):</w:t>
      </w:r>
    </w:p>
    <w:p>
      <w:pPr>
        <w:spacing w:after="0" w:line="20"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SIX MONTHS ENDED JUNE 30, -------------</w:t>
      </w:r>
    </w:p>
    <w:p>
      <w:pPr>
        <w:spacing w:after="0" w:line="26" w:lineRule="exact"/>
        <w:rPr>
          <w:sz w:val="20"/>
          <w:szCs w:val="20"/>
          <w:color w:val="auto"/>
        </w:rPr>
      </w:pPr>
    </w:p>
    <w:p>
      <w:pPr>
        <w:ind w:right="6499" w:firstLine="135"/>
        <w:spacing w:after="0" w:line="270" w:lineRule="auto"/>
        <w:tabs>
          <w:tab w:leader="none" w:pos="512"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2001 2000 ----- ------- Operating activities..............................</w:t>
      </w:r>
    </w:p>
    <w:p>
      <w:pPr>
        <w:ind w:left="78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$ 866 $ 1,102 Investing</w:t>
      </w:r>
    </w:p>
    <w:p>
      <w:pPr>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activities..............................</w:t>
      </w:r>
    </w:p>
    <w:p>
      <w:pPr>
        <w:ind w:left="1540" w:hanging="568"/>
        <w:spacing w:after="0" w:line="236" w:lineRule="auto"/>
        <w:tabs>
          <w:tab w:leader="none" w:pos="1540"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386 Financing</w:t>
      </w:r>
    </w:p>
    <w:p>
      <w:pPr>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activities..............................</w:t>
      </w:r>
    </w:p>
    <w:p>
      <w:pPr>
        <w:ind w:left="1800" w:hanging="549"/>
        <w:spacing w:after="0"/>
        <w:tabs>
          <w:tab w:leader="none" w:pos="1800" w:val="left"/>
        </w:tabs>
        <w:numPr>
          <w:ilvl w:val="2"/>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(1,562)</w:t>
      </w:r>
    </w:p>
    <w:p>
      <w:pPr>
        <w:spacing w:after="0" w:line="327" w:lineRule="exact"/>
        <w:rPr>
          <w:sz w:val="20"/>
          <w:szCs w:val="20"/>
          <w:color w:val="auto"/>
        </w:rPr>
      </w:pPr>
    </w:p>
    <w:p>
      <w:pPr>
        <w:ind w:right="2779" w:firstLine="465"/>
        <w:spacing w:after="0" w:line="281" w:lineRule="auto"/>
        <w:rPr>
          <w:sz w:val="20"/>
          <w:szCs w:val="20"/>
          <w:color w:val="auto"/>
        </w:rPr>
      </w:pPr>
      <w:r>
        <w:rPr>
          <w:rFonts w:ascii="Courier New" w:cs="Courier New" w:eastAsia="Courier New" w:hAnsi="Courier New"/>
          <w:sz w:val="14"/>
          <w:szCs w:val="14"/>
          <w:color w:val="auto"/>
        </w:rPr>
        <w:t>For the six months ended June 30, 2001, the Company generated cash flows from operations of approximately $866 million. Favorably impacting the Company's cash flows from operations was an improvement in the Company's days sales outstanding from approximately 50 days at December 31, 2000 to approximately 47 days at June 30, 2001. The Company used $449 million for its investing activities during the six months ended June 30, 2001. Included in the Company's investing activities for this period were capital expenditures of $474 million and acquisitions of solid waste businesses of $65 million offset by proceeds from sales of assets and other investing activities of $90 million. Capital expenditures for the first half of 2001 were lower than the Company's budgeted amounts for the period as well as lower than the corresponding period in 2000. The Company, however, still expects to meet its full year 2001 budgeted allocation for capital expenditures of approximately $1.4 billion. In addition, the Company used $114 million for financing activities which is primarily comprised of $133 million of net debt reductions offset by proceeds from exercises of common stock options and warrants and other financing activities.</w:t>
      </w:r>
    </w:p>
    <w:p>
      <w:pPr>
        <w:spacing w:after="0" w:line="256" w:lineRule="exact"/>
        <w:rPr>
          <w:sz w:val="20"/>
          <w:szCs w:val="20"/>
          <w:color w:val="auto"/>
        </w:rPr>
      </w:pPr>
    </w:p>
    <w:p>
      <w:pPr>
        <w:ind w:right="2879" w:firstLine="465"/>
        <w:spacing w:after="0" w:line="251" w:lineRule="auto"/>
        <w:rPr>
          <w:sz w:val="20"/>
          <w:szCs w:val="20"/>
          <w:color w:val="auto"/>
        </w:rPr>
      </w:pPr>
      <w:r>
        <w:rPr>
          <w:rFonts w:ascii="Courier New" w:cs="Courier New" w:eastAsia="Courier New" w:hAnsi="Courier New"/>
          <w:sz w:val="16"/>
          <w:szCs w:val="16"/>
          <w:color w:val="auto"/>
        </w:rPr>
        <w:t>For the six months ended June 30, 2000, cash used to acquire businesses of $169 million, capital expenditures of $564 million and net debt reductions of approximately $1,563 million were primarily financed with cash flows from operating activities of $1,102 million and proceeds from the sale of assets of $1,083 million. Favorably impacting cash flows from operations for the six months ended June 30, 2000 was a tax refund of approximately $200 million and improvements in the Company's accounts receivable average days sales outstanding.</w:t>
      </w:r>
    </w:p>
    <w:p>
      <w:pPr>
        <w:spacing w:after="0" w:line="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32</w:t>
      </w:r>
    </w:p>
    <w:p>
      <w:pPr>
        <w:sectPr>
          <w:pgSz w:w="11900" w:h="16838" w:orient="portrait"/>
          <w:cols w:equalWidth="0" w:num="1">
            <w:col w:w="10219"/>
          </w:cols>
          <w:pgMar w:left="240" w:top="269" w:right="1440" w:bottom="1440" w:gutter="0" w:footer="0" w:header="0"/>
        </w:sectPr>
      </w:pPr>
    </w:p>
    <w:bookmarkStart w:id="35" w:name="page36"/>
    <w:bookmarkEnd w:id="35"/>
    <w:p>
      <w:pPr>
        <w:ind w:left="285"/>
        <w:spacing w:after="0"/>
        <w:rPr>
          <w:sz w:val="20"/>
          <w:szCs w:val="20"/>
          <w:color w:val="auto"/>
        </w:rPr>
      </w:pPr>
      <w:r>
        <w:rPr>
          <w:rFonts w:ascii="Courier New" w:cs="Courier New" w:eastAsia="Courier New" w:hAnsi="Courier New"/>
          <w:sz w:val="16"/>
          <w:szCs w:val="16"/>
          <w:color w:val="auto"/>
        </w:rPr>
        <w:t>34</w:t>
      </w:r>
    </w:p>
    <w:p>
      <w:pPr>
        <w:spacing w:after="0" w:line="177" w:lineRule="exact"/>
        <w:rPr>
          <w:sz w:val="20"/>
          <w:szCs w:val="20"/>
          <w:color w:val="auto"/>
        </w:rPr>
      </w:pPr>
    </w:p>
    <w:p>
      <w:pPr>
        <w:ind w:left="5" w:right="2779" w:firstLine="465"/>
        <w:spacing w:after="0" w:line="290" w:lineRule="auto"/>
        <w:rPr>
          <w:sz w:val="20"/>
          <w:szCs w:val="20"/>
          <w:color w:val="auto"/>
        </w:rPr>
      </w:pPr>
      <w:r>
        <w:rPr>
          <w:rFonts w:ascii="Courier New" w:cs="Courier New" w:eastAsia="Courier New" w:hAnsi="Courier New"/>
          <w:sz w:val="14"/>
          <w:szCs w:val="14"/>
          <w:color w:val="auto"/>
        </w:rPr>
        <w:t>The following summary of free cash flows has been prepared to highlight and facilitate understanding of the primary cash flow elements. It is not intended to replace the condensed consolidated statements of cash flows for the six months ended June 30, 2001 and 2000, which were prepared in accordance with generally accepted accounting principles. Adjusted free cash flow in the table below, which is not a measure of financial performance in accordance with generally accepted accounting principles, is defined as cash flows from operations less capital expenditures and then adjusted for certain cash flow activity that the Company considers as unusual for the respective periods.</w:t>
      </w:r>
    </w:p>
    <w:p>
      <w:pPr>
        <w:spacing w:after="0" w:line="64" w:lineRule="exact"/>
        <w:rPr>
          <w:sz w:val="20"/>
          <w:szCs w:val="20"/>
          <w:color w:val="auto"/>
        </w:rPr>
      </w:pPr>
    </w:p>
    <w:p>
      <w:pPr>
        <w:ind w:left="5" w:right="2879" w:firstLine="465"/>
        <w:spacing w:after="0" w:line="342" w:lineRule="auto"/>
        <w:rPr>
          <w:sz w:val="20"/>
          <w:szCs w:val="20"/>
          <w:color w:val="auto"/>
        </w:rPr>
      </w:pPr>
      <w:r>
        <w:rPr>
          <w:rFonts w:ascii="Courier New" w:cs="Courier New" w:eastAsia="Courier New" w:hAnsi="Courier New"/>
          <w:sz w:val="16"/>
          <w:szCs w:val="16"/>
          <w:color w:val="auto"/>
        </w:rPr>
        <w:t>The analysis of free cash flows for the six months ended June 30, 2001 and 2000 is as follows (in millions):</w:t>
      </w:r>
    </w:p>
    <w:p>
      <w:pPr>
        <w:spacing w:after="0" w:line="20" w:lineRule="exact"/>
        <w:rPr>
          <w:sz w:val="20"/>
          <w:szCs w:val="20"/>
          <w:color w:val="auto"/>
        </w:rPr>
      </w:pPr>
    </w:p>
    <w:p>
      <w:pPr>
        <w:ind w:left="45"/>
        <w:spacing w:after="0"/>
        <w:rPr>
          <w:sz w:val="20"/>
          <w:szCs w:val="20"/>
          <w:color w:val="auto"/>
        </w:rPr>
      </w:pPr>
      <w:r>
        <w:rPr>
          <w:rFonts w:ascii="Courier New" w:cs="Courier New" w:eastAsia="Courier New" w:hAnsi="Courier New"/>
          <w:sz w:val="16"/>
          <w:szCs w:val="16"/>
          <w:color w:val="auto"/>
        </w:rPr>
        <w:t>SIX MONTHS ENDED JUNE 30, ------------------ 2001 2000 ----</w:t>
      </w:r>
    </w:p>
    <w:p>
      <w:pPr>
        <w:spacing w:after="0" w:line="26" w:lineRule="exact"/>
        <w:rPr>
          <w:sz w:val="20"/>
          <w:szCs w:val="20"/>
          <w:color w:val="auto"/>
        </w:rPr>
      </w:pPr>
    </w:p>
    <w:tbl>
      <w:tblPr>
        <w:tblLayout w:type="fixed"/>
        <w:tblInd w:w="5" w:type="dxa"/>
        <w:tblCellMar>
          <w:top w:w="0" w:type="dxa"/>
          <w:left w:w="0" w:type="dxa"/>
          <w:bottom w:w="0" w:type="dxa"/>
          <w:right w:w="0" w:type="dxa"/>
        </w:tblCellMar>
      </w:tblPr>
      <w:tr>
        <w:trPr>
          <w:trHeight w:val="261"/>
        </w:trPr>
        <w:tc>
          <w:tcPr>
            <w:tcW w:w="23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2"/>
              </w:rPr>
              <w:t>EBITDA(a)...................................................</w:t>
            </w:r>
          </w:p>
        </w:tc>
        <w:tc>
          <w:tcPr>
            <w:tcW w:w="3180" w:type="dxa"/>
            <w:vAlign w:val="bottom"/>
          </w:tcPr>
          <w:p>
            <w:pPr>
              <w:jc w:val="right"/>
              <w:ind w:right="2262"/>
              <w:spacing w:after="0"/>
              <w:rPr>
                <w:sz w:val="20"/>
                <w:szCs w:val="20"/>
                <w:color w:val="auto"/>
              </w:rPr>
            </w:pPr>
            <w:r>
              <w:rPr>
                <w:rFonts w:ascii="Courier New" w:cs="Courier New" w:eastAsia="Courier New" w:hAnsi="Courier New"/>
                <w:sz w:val="16"/>
                <w:szCs w:val="16"/>
                <w:color w:val="auto"/>
                <w:w w:val="94"/>
              </w:rPr>
              <w:t>-- ------</w:t>
            </w:r>
          </w:p>
        </w:tc>
        <w:tc>
          <w:tcPr>
            <w:tcW w:w="0" w:type="dxa"/>
            <w:vAlign w:val="bottom"/>
          </w:tcPr>
          <w:p>
            <w:pPr>
              <w:spacing w:after="0"/>
              <w:rPr>
                <w:sz w:val="1"/>
                <w:szCs w:val="1"/>
                <w:color w:val="auto"/>
              </w:rPr>
            </w:pPr>
          </w:p>
        </w:tc>
      </w:tr>
      <w:tr>
        <w:trPr>
          <w:trHeight w:val="69"/>
        </w:trPr>
        <w:tc>
          <w:tcPr>
            <w:tcW w:w="2360" w:type="dxa"/>
            <w:vAlign w:val="bottom"/>
            <w:vMerge w:val="continue"/>
          </w:tcPr>
          <w:p>
            <w:pPr>
              <w:spacing w:after="0"/>
              <w:rPr>
                <w:sz w:val="5"/>
                <w:szCs w:val="5"/>
                <w:color w:val="auto"/>
              </w:rPr>
            </w:pPr>
          </w:p>
        </w:tc>
        <w:tc>
          <w:tcPr>
            <w:tcW w:w="3180" w:type="dxa"/>
            <w:vAlign w:val="bottom"/>
            <w:vMerge w:val="restart"/>
          </w:tcPr>
          <w:p>
            <w:pPr>
              <w:jc w:val="right"/>
              <w:ind w:right="1662"/>
              <w:spacing w:after="0"/>
              <w:rPr>
                <w:sz w:val="20"/>
                <w:szCs w:val="20"/>
                <w:color w:val="auto"/>
              </w:rPr>
            </w:pPr>
            <w:r>
              <w:rPr>
                <w:rFonts w:ascii="Courier New" w:cs="Courier New" w:eastAsia="Courier New" w:hAnsi="Courier New"/>
                <w:sz w:val="16"/>
                <w:szCs w:val="16"/>
                <w:color w:val="auto"/>
                <w:w w:val="98"/>
              </w:rPr>
              <w:t>$1,639 Interest</w:t>
            </w:r>
          </w:p>
        </w:tc>
        <w:tc>
          <w:tcPr>
            <w:tcW w:w="0" w:type="dxa"/>
            <w:vAlign w:val="bottom"/>
          </w:tcPr>
          <w:p>
            <w:pPr>
              <w:spacing w:after="0"/>
              <w:rPr>
                <w:sz w:val="1"/>
                <w:szCs w:val="1"/>
                <w:color w:val="auto"/>
              </w:rPr>
            </w:pPr>
          </w:p>
        </w:tc>
      </w:tr>
      <w:tr>
        <w:trPr>
          <w:trHeight w:val="179"/>
        </w:trPr>
        <w:tc>
          <w:tcPr>
            <w:tcW w:w="2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$1,469</w:t>
            </w:r>
          </w:p>
        </w:tc>
        <w:tc>
          <w:tcPr>
            <w:tcW w:w="3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360" w:type="dxa"/>
            <w:vAlign w:val="bottom"/>
          </w:tcPr>
          <w:p>
            <w:pPr>
              <w:jc w:val="right"/>
              <w:spacing w:after="0"/>
              <w:rPr>
                <w:sz w:val="20"/>
                <w:szCs w:val="20"/>
                <w:color w:val="auto"/>
              </w:rPr>
            </w:pPr>
            <w:r>
              <w:rPr>
                <w:rFonts w:ascii="Courier New" w:cs="Courier New" w:eastAsia="Courier New" w:hAnsi="Courier New"/>
                <w:sz w:val="10"/>
                <w:szCs w:val="10"/>
                <w:color w:val="auto"/>
                <w:w w:val="76"/>
              </w:rPr>
              <w:t>paid...............................................</w:t>
            </w:r>
          </w:p>
        </w:tc>
        <w:tc>
          <w:tcPr>
            <w:tcW w:w="318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(312)</w:t>
            </w:r>
          </w:p>
        </w:tc>
        <w:tc>
          <w:tcPr>
            <w:tcW w:w="0" w:type="dxa"/>
            <w:vAlign w:val="bottom"/>
          </w:tcPr>
          <w:p>
            <w:pPr>
              <w:spacing w:after="0"/>
              <w:rPr>
                <w:sz w:val="1"/>
                <w:szCs w:val="1"/>
                <w:color w:val="auto"/>
              </w:rPr>
            </w:pPr>
          </w:p>
        </w:tc>
      </w:tr>
      <w:tr>
        <w:trPr>
          <w:trHeight w:val="179"/>
        </w:trPr>
        <w:tc>
          <w:tcPr>
            <w:tcW w:w="5540" w:type="dxa"/>
            <w:vAlign w:val="bottom"/>
            <w:gridSpan w:val="2"/>
          </w:tcPr>
          <w:p>
            <w:pPr>
              <w:jc w:val="center"/>
              <w:spacing w:after="0" w:line="179" w:lineRule="exact"/>
              <w:rPr>
                <w:sz w:val="20"/>
                <w:szCs w:val="20"/>
                <w:color w:val="auto"/>
              </w:rPr>
            </w:pPr>
            <w:r>
              <w:rPr>
                <w:rFonts w:ascii="Courier New" w:cs="Courier New" w:eastAsia="Courier New" w:hAnsi="Courier New"/>
                <w:sz w:val="16"/>
                <w:szCs w:val="16"/>
                <w:color w:val="auto"/>
                <w:w w:val="96"/>
              </w:rPr>
              <w:t>(411) Taxes</w:t>
            </w:r>
          </w:p>
        </w:tc>
        <w:tc>
          <w:tcPr>
            <w:tcW w:w="0" w:type="dxa"/>
            <w:vAlign w:val="bottom"/>
          </w:tcPr>
          <w:p>
            <w:pPr>
              <w:spacing w:after="0"/>
              <w:rPr>
                <w:sz w:val="1"/>
                <w:szCs w:val="1"/>
                <w:color w:val="auto"/>
              </w:rPr>
            </w:pPr>
          </w:p>
        </w:tc>
      </w:tr>
      <w:tr>
        <w:trPr>
          <w:trHeight w:val="207"/>
        </w:trPr>
        <w:tc>
          <w:tcPr>
            <w:tcW w:w="2360" w:type="dxa"/>
            <w:vAlign w:val="bottom"/>
          </w:tcPr>
          <w:p>
            <w:pPr>
              <w:jc w:val="right"/>
              <w:spacing w:after="0"/>
              <w:rPr>
                <w:sz w:val="20"/>
                <w:szCs w:val="20"/>
                <w:color w:val="auto"/>
              </w:rPr>
            </w:pPr>
            <w:r>
              <w:rPr>
                <w:rFonts w:ascii="Courier New" w:cs="Courier New" w:eastAsia="Courier New" w:hAnsi="Courier New"/>
                <w:sz w:val="10"/>
                <w:szCs w:val="10"/>
                <w:color w:val="auto"/>
                <w:w w:val="72"/>
              </w:rPr>
              <w:t>paid..................................................</w:t>
            </w:r>
          </w:p>
        </w:tc>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bl>
    <w:p>
      <w:pPr>
        <w:ind w:left="85" w:right="4739" w:firstLine="101"/>
        <w:spacing w:after="0" w:line="270" w:lineRule="auto"/>
        <w:tabs>
          <w:tab w:leader="none" w:pos="643"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assets and liabilities, net of effects of acquisitions and divestitures, and other..................</w:t>
      </w:r>
    </w:p>
    <w:tbl>
      <w:tblPr>
        <w:tblLayout w:type="fixed"/>
        <w:tblInd w:w="85" w:type="dxa"/>
        <w:tblCellMar>
          <w:top w:w="0" w:type="dxa"/>
          <w:left w:w="0" w:type="dxa"/>
          <w:bottom w:w="0" w:type="dxa"/>
          <w:right w:w="0" w:type="dxa"/>
        </w:tblCellMar>
      </w:tblPr>
      <w:tr>
        <w:trPr>
          <w:trHeight w:val="152"/>
        </w:trPr>
        <w:tc>
          <w:tcPr>
            <w:tcW w:w="196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w w:val="84"/>
              </w:rPr>
              <w:t>(272) (53) ------ ------</w:t>
            </w:r>
          </w:p>
        </w:tc>
        <w:tc>
          <w:tcPr>
            <w:tcW w:w="3440" w:type="dxa"/>
            <w:vAlign w:val="bottom"/>
            <w:gridSpan w:val="2"/>
          </w:tcPr>
          <w:p>
            <w:pPr>
              <w:jc w:val="right"/>
              <w:ind w:right="62"/>
              <w:spacing w:after="0" w:line="152" w:lineRule="exact"/>
              <w:rPr>
                <w:sz w:val="20"/>
                <w:szCs w:val="20"/>
                <w:color w:val="auto"/>
              </w:rPr>
            </w:pPr>
            <w:r>
              <w:rPr>
                <w:rFonts w:ascii="Courier New" w:cs="Courier New" w:eastAsia="Courier New" w:hAnsi="Courier New"/>
                <w:sz w:val="16"/>
                <w:szCs w:val="16"/>
                <w:color w:val="auto"/>
              </w:rPr>
              <w:t>Net cash provided by operating</w:t>
            </w:r>
          </w:p>
        </w:tc>
        <w:tc>
          <w:tcPr>
            <w:tcW w:w="0" w:type="dxa"/>
            <w:vAlign w:val="bottom"/>
          </w:tcPr>
          <w:p>
            <w:pPr>
              <w:spacing w:after="0"/>
              <w:rPr>
                <w:sz w:val="1"/>
                <w:szCs w:val="1"/>
                <w:color w:val="auto"/>
              </w:rPr>
            </w:pPr>
          </w:p>
        </w:tc>
      </w:tr>
      <w:tr>
        <w:trPr>
          <w:trHeight w:val="179"/>
        </w:trPr>
        <w:tc>
          <w:tcPr>
            <w:tcW w:w="3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activities...................</w:t>
            </w:r>
          </w:p>
        </w:tc>
        <w:tc>
          <w:tcPr>
            <w:tcW w:w="2220" w:type="dxa"/>
            <w:vAlign w:val="bottom"/>
          </w:tcPr>
          <w:p>
            <w:pPr>
              <w:jc w:val="right"/>
              <w:ind w:right="422"/>
              <w:spacing w:after="0" w:line="179" w:lineRule="exact"/>
              <w:rPr>
                <w:sz w:val="20"/>
                <w:szCs w:val="20"/>
                <w:color w:val="auto"/>
              </w:rPr>
            </w:pPr>
            <w:r>
              <w:rPr>
                <w:rFonts w:ascii="Courier New" w:cs="Courier New" w:eastAsia="Courier New" w:hAnsi="Courier New"/>
                <w:sz w:val="16"/>
                <w:szCs w:val="16"/>
                <w:color w:val="auto"/>
              </w:rPr>
              <w:t>866 1,102 Capital</w:t>
            </w:r>
          </w:p>
        </w:tc>
        <w:tc>
          <w:tcPr>
            <w:tcW w:w="0" w:type="dxa"/>
            <w:vAlign w:val="bottom"/>
          </w:tcPr>
          <w:p>
            <w:pPr>
              <w:spacing w:after="0"/>
              <w:rPr>
                <w:sz w:val="1"/>
                <w:szCs w:val="1"/>
                <w:color w:val="auto"/>
              </w:rPr>
            </w:pPr>
          </w:p>
        </w:tc>
      </w:tr>
      <w:tr>
        <w:trPr>
          <w:trHeight w:val="179"/>
        </w:trPr>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expenditures........................................</w:t>
            </w:r>
          </w:p>
        </w:tc>
        <w:tc>
          <w:tcPr>
            <w:tcW w:w="2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(474)</w:t>
            </w:r>
          </w:p>
        </w:tc>
        <w:tc>
          <w:tcPr>
            <w:tcW w:w="0" w:type="dxa"/>
            <w:vAlign w:val="bottom"/>
          </w:tcPr>
          <w:p>
            <w:pPr>
              <w:spacing w:after="0"/>
              <w:rPr>
                <w:sz w:val="1"/>
                <w:szCs w:val="1"/>
                <w:color w:val="auto"/>
              </w:rPr>
            </w:pPr>
          </w:p>
        </w:tc>
      </w:tr>
      <w:tr>
        <w:trPr>
          <w:trHeight w:val="179"/>
        </w:trPr>
        <w:tc>
          <w:tcPr>
            <w:tcW w:w="31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(564) ------ ------</w:t>
            </w:r>
          </w:p>
        </w:tc>
        <w:tc>
          <w:tcPr>
            <w:tcW w:w="2220" w:type="dxa"/>
            <w:vAlign w:val="bottom"/>
          </w:tcPr>
          <w:p>
            <w:pPr>
              <w:jc w:val="right"/>
              <w:ind w:right="1262"/>
              <w:spacing w:after="0" w:line="179" w:lineRule="exact"/>
              <w:rPr>
                <w:sz w:val="20"/>
                <w:szCs w:val="20"/>
                <w:color w:val="auto"/>
              </w:rPr>
            </w:pPr>
            <w:r>
              <w:rPr>
                <w:rFonts w:ascii="Courier New" w:cs="Courier New" w:eastAsia="Courier New" w:hAnsi="Courier New"/>
                <w:sz w:val="16"/>
                <w:szCs w:val="16"/>
                <w:color w:val="auto"/>
                <w:w w:val="99"/>
              </w:rPr>
              <w:t>Free cash</w:t>
            </w:r>
          </w:p>
        </w:tc>
        <w:tc>
          <w:tcPr>
            <w:tcW w:w="0" w:type="dxa"/>
            <w:vAlign w:val="bottom"/>
          </w:tcPr>
          <w:p>
            <w:pPr>
              <w:spacing w:after="0"/>
              <w:rPr>
                <w:sz w:val="1"/>
                <w:szCs w:val="1"/>
                <w:color w:val="auto"/>
              </w:rPr>
            </w:pPr>
          </w:p>
        </w:tc>
      </w:tr>
      <w:tr>
        <w:trPr>
          <w:trHeight w:val="179"/>
        </w:trPr>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5"/>
              </w:rPr>
              <w:t>flow..............................................</w:t>
            </w:r>
          </w:p>
        </w:tc>
        <w:tc>
          <w:tcPr>
            <w:tcW w:w="2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392 538</w:t>
            </w:r>
          </w:p>
        </w:tc>
        <w:tc>
          <w:tcPr>
            <w:tcW w:w="0" w:type="dxa"/>
            <w:vAlign w:val="bottom"/>
          </w:tcPr>
          <w:p>
            <w:pPr>
              <w:spacing w:after="0"/>
              <w:rPr>
                <w:sz w:val="1"/>
                <w:szCs w:val="1"/>
                <w:color w:val="auto"/>
              </w:rPr>
            </w:pPr>
          </w:p>
        </w:tc>
      </w:tr>
      <w:tr>
        <w:trPr>
          <w:trHeight w:val="179"/>
        </w:trPr>
        <w:tc>
          <w:tcPr>
            <w:tcW w:w="196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0"/>
              </w:rPr>
              <w:t>refund.............................................</w:t>
            </w:r>
          </w:p>
        </w:tc>
        <w:tc>
          <w:tcPr>
            <w:tcW w:w="3440" w:type="dxa"/>
            <w:vAlign w:val="bottom"/>
            <w:gridSpan w:val="2"/>
          </w:tcPr>
          <w:p>
            <w:pPr>
              <w:jc w:val="right"/>
              <w:ind w:right="1862"/>
              <w:spacing w:after="0" w:line="179" w:lineRule="exact"/>
              <w:rPr>
                <w:sz w:val="20"/>
                <w:szCs w:val="20"/>
                <w:color w:val="auto"/>
              </w:rPr>
            </w:pPr>
            <w:r>
              <w:rPr>
                <w:rFonts w:ascii="Courier New" w:cs="Courier New" w:eastAsia="Courier New" w:hAnsi="Courier New"/>
                <w:sz w:val="16"/>
                <w:szCs w:val="16"/>
                <w:color w:val="auto"/>
                <w:w w:val="96"/>
              </w:rPr>
              <w:t>Adjustments: Tax</w:t>
            </w:r>
          </w:p>
        </w:tc>
        <w:tc>
          <w:tcPr>
            <w:tcW w:w="0" w:type="dxa"/>
            <w:vAlign w:val="bottom"/>
          </w:tcPr>
          <w:p>
            <w:pPr>
              <w:spacing w:after="0"/>
              <w:rPr>
                <w:sz w:val="1"/>
                <w:szCs w:val="1"/>
                <w:color w:val="auto"/>
              </w:rPr>
            </w:pPr>
          </w:p>
        </w:tc>
      </w:tr>
      <w:tr>
        <w:trPr>
          <w:trHeight w:val="179"/>
        </w:trPr>
        <w:tc>
          <w:tcPr>
            <w:tcW w:w="19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222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5400" w:type="dxa"/>
            <w:vAlign w:val="bottom"/>
            <w:gridSpan w:val="3"/>
          </w:tcPr>
          <w:p>
            <w:pPr>
              <w:jc w:val="right"/>
              <w:ind w:right="62"/>
              <w:spacing w:after="0" w:line="179" w:lineRule="exact"/>
              <w:rPr>
                <w:sz w:val="20"/>
                <w:szCs w:val="20"/>
                <w:color w:val="auto"/>
              </w:rPr>
            </w:pPr>
            <w:r>
              <w:rPr>
                <w:rFonts w:ascii="Courier New" w:cs="Courier New" w:eastAsia="Courier New" w:hAnsi="Courier New"/>
                <w:sz w:val="16"/>
                <w:szCs w:val="16"/>
                <w:color w:val="auto"/>
                <w:w w:val="99"/>
              </w:rPr>
              <w:t>(199) Payments for terminating the WM Holdings' defined</w:t>
            </w:r>
          </w:p>
        </w:tc>
        <w:tc>
          <w:tcPr>
            <w:tcW w:w="0" w:type="dxa"/>
            <w:vAlign w:val="bottom"/>
          </w:tcPr>
          <w:p>
            <w:pPr>
              <w:spacing w:after="0"/>
              <w:rPr>
                <w:sz w:val="1"/>
                <w:szCs w:val="1"/>
                <w:color w:val="auto"/>
              </w:rPr>
            </w:pPr>
          </w:p>
        </w:tc>
      </w:tr>
      <w:tr>
        <w:trPr>
          <w:trHeight w:val="179"/>
        </w:trPr>
        <w:tc>
          <w:tcPr>
            <w:tcW w:w="31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benefit pension plan.................................</w:t>
            </w:r>
          </w:p>
        </w:tc>
        <w:tc>
          <w:tcPr>
            <w:tcW w:w="2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13 8</w:t>
            </w:r>
          </w:p>
        </w:tc>
        <w:tc>
          <w:tcPr>
            <w:tcW w:w="0" w:type="dxa"/>
            <w:vAlign w:val="bottom"/>
          </w:tcPr>
          <w:p>
            <w:pPr>
              <w:spacing w:after="0"/>
              <w:rPr>
                <w:sz w:val="1"/>
                <w:szCs w:val="1"/>
                <w:color w:val="auto"/>
              </w:rPr>
            </w:pPr>
          </w:p>
        </w:tc>
      </w:tr>
      <w:tr>
        <w:trPr>
          <w:trHeight w:val="207"/>
        </w:trPr>
        <w:tc>
          <w:tcPr>
            <w:tcW w:w="31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Accounting and consulting services</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w w:val="95"/>
              </w:rPr>
              <w:t>..................... 64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5" w:type="dxa"/>
        <w:tblCellMar>
          <w:top w:w="0" w:type="dxa"/>
          <w:left w:w="0" w:type="dxa"/>
          <w:bottom w:w="0" w:type="dxa"/>
          <w:right w:w="0" w:type="dxa"/>
        </w:tblCellMar>
      </w:tblPr>
      <w:tr>
        <w:trPr>
          <w:trHeight w:val="151"/>
        </w:trPr>
        <w:tc>
          <w:tcPr>
            <w:tcW w:w="280" w:type="dxa"/>
            <w:vAlign w:val="bottom"/>
          </w:tcPr>
          <w:p>
            <w:pPr>
              <w:jc w:val="right"/>
              <w:spacing w:after="0" w:line="151" w:lineRule="exact"/>
              <w:rPr>
                <w:sz w:val="20"/>
                <w:szCs w:val="20"/>
                <w:color w:val="auto"/>
              </w:rPr>
            </w:pPr>
            <w:r>
              <w:rPr>
                <w:rFonts w:ascii="Courier New" w:cs="Courier New" w:eastAsia="Courier New" w:hAnsi="Courier New"/>
                <w:sz w:val="16"/>
                <w:szCs w:val="16"/>
                <w:color w:val="auto"/>
                <w:w w:val="90"/>
              </w:rPr>
              <w:t>135</w:t>
            </w:r>
          </w:p>
        </w:tc>
        <w:tc>
          <w:tcPr>
            <w:tcW w:w="5220" w:type="dxa"/>
            <w:vAlign w:val="bottom"/>
            <w:gridSpan w:val="3"/>
          </w:tcPr>
          <w:p>
            <w:pPr>
              <w:ind w:left="100"/>
              <w:spacing w:after="0" w:line="151" w:lineRule="exact"/>
              <w:rPr>
                <w:sz w:val="20"/>
                <w:szCs w:val="20"/>
                <w:color w:val="auto"/>
              </w:rPr>
            </w:pPr>
            <w:r>
              <w:rPr>
                <w:rFonts w:ascii="Courier New" w:cs="Courier New" w:eastAsia="Courier New" w:hAnsi="Courier New"/>
                <w:sz w:val="16"/>
                <w:szCs w:val="16"/>
                <w:color w:val="auto"/>
                <w:w w:val="96"/>
              </w:rPr>
              <w:t>Litigation settlements.................................</w:t>
            </w:r>
          </w:p>
        </w:tc>
        <w:tc>
          <w:tcPr>
            <w:tcW w:w="0" w:type="dxa"/>
            <w:vAlign w:val="bottom"/>
          </w:tcPr>
          <w:p>
            <w:pPr>
              <w:spacing w:after="0"/>
              <w:rPr>
                <w:sz w:val="1"/>
                <w:szCs w:val="1"/>
                <w:color w:val="auto"/>
              </w:rPr>
            </w:pPr>
          </w:p>
        </w:tc>
      </w:tr>
      <w:tr>
        <w:trPr>
          <w:trHeight w:val="179"/>
        </w:trPr>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38</w:t>
            </w:r>
          </w:p>
        </w:tc>
        <w:tc>
          <w:tcPr>
            <w:tcW w:w="5220" w:type="dxa"/>
            <w:vAlign w:val="bottom"/>
            <w:gridSpan w:val="3"/>
          </w:tcPr>
          <w:p>
            <w:pPr>
              <w:ind w:left="100"/>
              <w:spacing w:after="0" w:line="179" w:lineRule="exact"/>
              <w:rPr>
                <w:sz w:val="20"/>
                <w:szCs w:val="20"/>
                <w:color w:val="auto"/>
              </w:rPr>
            </w:pPr>
            <w:r>
              <w:rPr>
                <w:rFonts w:ascii="Courier New" w:cs="Courier New" w:eastAsia="Courier New" w:hAnsi="Courier New"/>
                <w:sz w:val="16"/>
                <w:szCs w:val="16"/>
                <w:color w:val="auto"/>
                <w:w w:val="98"/>
              </w:rPr>
              <w:t>29 Reimbursement for late allocation of employee stock</w:t>
            </w:r>
          </w:p>
        </w:tc>
        <w:tc>
          <w:tcPr>
            <w:tcW w:w="0" w:type="dxa"/>
            <w:vAlign w:val="bottom"/>
          </w:tcPr>
          <w:p>
            <w:pPr>
              <w:spacing w:after="0"/>
              <w:rPr>
                <w:sz w:val="1"/>
                <w:szCs w:val="1"/>
                <w:color w:val="auto"/>
              </w:rPr>
            </w:pPr>
          </w:p>
        </w:tc>
      </w:tr>
      <w:tr>
        <w:trPr>
          <w:trHeight w:val="179"/>
        </w:trPr>
        <w:tc>
          <w:tcPr>
            <w:tcW w:w="1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purchase plan shares</w:t>
            </w:r>
          </w:p>
        </w:tc>
        <w:tc>
          <w:tcPr>
            <w:tcW w:w="2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9"/>
              </w:rPr>
              <w:t>.................................</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-- 8</w:t>
            </w:r>
          </w:p>
        </w:tc>
        <w:tc>
          <w:tcPr>
            <w:tcW w:w="0" w:type="dxa"/>
            <w:vAlign w:val="bottom"/>
          </w:tcPr>
          <w:p>
            <w:pPr>
              <w:spacing w:after="0"/>
              <w:rPr>
                <w:sz w:val="1"/>
                <w:szCs w:val="1"/>
                <w:color w:val="auto"/>
              </w:rPr>
            </w:pPr>
          </w:p>
        </w:tc>
      </w:tr>
      <w:tr>
        <w:trPr>
          <w:trHeight w:val="179"/>
        </w:trPr>
        <w:tc>
          <w:tcPr>
            <w:tcW w:w="190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1"/>
              </w:rPr>
              <w:t>Other..................................................</w:t>
            </w:r>
          </w:p>
        </w:tc>
        <w:tc>
          <w:tcPr>
            <w:tcW w:w="284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rPr>
              <w:t>------ Adjusted free cash</w:t>
            </w:r>
          </w:p>
        </w:tc>
        <w:tc>
          <w:tcPr>
            <w:tcW w:w="7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4460" w:type="dxa"/>
            <w:vAlign w:val="bottom"/>
            <w:gridSpan w:val="2"/>
          </w:tcPr>
          <w:p>
            <w:pPr>
              <w:jc w:val="right"/>
              <w:ind w:right="2702"/>
              <w:spacing w:after="0" w:line="179" w:lineRule="exact"/>
              <w:rPr>
                <w:sz w:val="20"/>
                <w:szCs w:val="20"/>
                <w:color w:val="auto"/>
              </w:rPr>
            </w:pPr>
            <w:r>
              <w:rPr>
                <w:rFonts w:ascii="Courier New" w:cs="Courier New" w:eastAsia="Courier New" w:hAnsi="Courier New"/>
                <w:sz w:val="16"/>
                <w:szCs w:val="16"/>
                <w:color w:val="auto"/>
              </w:rPr>
              <w:t>19 ------</w:t>
            </w:r>
          </w:p>
        </w:tc>
        <w:tc>
          <w:tcPr>
            <w:tcW w:w="760" w:type="dxa"/>
            <w:vAlign w:val="bottom"/>
            <w:vMerge w:val="restart"/>
          </w:tcPr>
          <w:p>
            <w:pPr>
              <w:jc w:val="right"/>
              <w:ind w:right="202"/>
              <w:spacing w:after="0"/>
              <w:rPr>
                <w:sz w:val="20"/>
                <w:szCs w:val="20"/>
                <w:color w:val="auto"/>
              </w:rPr>
            </w:pPr>
            <w:r>
              <w:rPr>
                <w:rFonts w:ascii="Courier New" w:cs="Courier New" w:eastAsia="Courier New" w:hAnsi="Courier New"/>
                <w:sz w:val="16"/>
                <w:szCs w:val="16"/>
                <w:color w:val="auto"/>
                <w:w w:val="95"/>
              </w:rPr>
              <w:t>$ 538</w:t>
            </w:r>
          </w:p>
        </w:tc>
        <w:tc>
          <w:tcPr>
            <w:tcW w:w="0" w:type="dxa"/>
            <w:vAlign w:val="bottom"/>
          </w:tcPr>
          <w:p>
            <w:pPr>
              <w:spacing w:after="0"/>
              <w:rPr>
                <w:sz w:val="1"/>
                <w:szCs w:val="1"/>
                <w:color w:val="auto"/>
              </w:rPr>
            </w:pPr>
          </w:p>
        </w:tc>
      </w:tr>
      <w:tr>
        <w:trPr>
          <w:trHeight w:val="179"/>
        </w:trPr>
        <w:tc>
          <w:tcPr>
            <w:tcW w:w="2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9"/>
                <w:szCs w:val="9"/>
                <w:color w:val="auto"/>
                <w:w w:val="72"/>
              </w:rPr>
              <w:t>flow.....................................</w:t>
            </w:r>
          </w:p>
        </w:tc>
        <w:tc>
          <w:tcPr>
            <w:tcW w:w="2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$ 506</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840" w:type="dxa"/>
            <w:vAlign w:val="bottom"/>
          </w:tcPr>
          <w:p>
            <w:pPr>
              <w:jc w:val="right"/>
              <w:ind w:right="1302"/>
              <w:spacing w:after="0"/>
              <w:rPr>
                <w:sz w:val="20"/>
                <w:szCs w:val="20"/>
                <w:color w:val="auto"/>
              </w:rPr>
            </w:pPr>
            <w:r>
              <w:rPr>
                <w:rFonts w:ascii="Courier New" w:cs="Courier New" w:eastAsia="Courier New" w:hAnsi="Courier New"/>
                <w:sz w:val="16"/>
                <w:szCs w:val="16"/>
                <w:color w:val="auto"/>
              </w:rPr>
              <w:t>====== ======</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365" w:right="2959" w:hanging="365"/>
        <w:spacing w:after="0" w:line="250" w:lineRule="auto"/>
        <w:tabs>
          <w:tab w:leader="none" w:pos="36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defined herein as income from operations excluding depreciation and amortization and asset impairments and unusual items. EBITDA, which is not a measure of financial performance under generally accepted accounting principles, is provided because the Company understands that such information is used by certain investors when analyzing the financial position and performance of the Company.</w:t>
      </w:r>
    </w:p>
    <w:p>
      <w:pPr>
        <w:spacing w:after="0" w:line="91" w:lineRule="exact"/>
        <w:rPr>
          <w:sz w:val="20"/>
          <w:szCs w:val="20"/>
          <w:color w:val="auto"/>
        </w:rPr>
      </w:pPr>
    </w:p>
    <w:p>
      <w:pPr>
        <w:ind w:left="5" w:right="2879" w:firstLine="465"/>
        <w:spacing w:after="0" w:line="291" w:lineRule="auto"/>
        <w:rPr>
          <w:sz w:val="20"/>
          <w:szCs w:val="20"/>
          <w:color w:val="auto"/>
        </w:rPr>
      </w:pPr>
      <w:r>
        <w:rPr>
          <w:rFonts w:ascii="Courier New" w:cs="Courier New" w:eastAsia="Courier New" w:hAnsi="Courier New"/>
          <w:sz w:val="14"/>
          <w:szCs w:val="14"/>
          <w:color w:val="auto"/>
        </w:rPr>
        <w:t>In February 2001, the Company issued $600 of 7 3/8% senior unsecured notes due August 1, 2010. Interest is payable semi-annually on February 1 and August</w:t>
      </w:r>
    </w:p>
    <w:p>
      <w:pPr>
        <w:spacing w:after="0" w:line="1" w:lineRule="exact"/>
        <w:rPr>
          <w:sz w:val="20"/>
          <w:szCs w:val="20"/>
          <w:color w:val="auto"/>
        </w:rPr>
      </w:pPr>
    </w:p>
    <w:p>
      <w:pPr>
        <w:ind w:left="5" w:right="2779" w:hanging="5"/>
        <w:spacing w:after="0" w:line="254" w:lineRule="auto"/>
        <w:tabs>
          <w:tab w:leader="none" w:pos="28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from the offering of the notes were approximately $593 million, after deducting discounts to the underwriters and expenses. The Company used the net proceeds from this offering, together with cash from operations, to repay $600 million of senior notes which matured during the second quarter of 2001.</w:t>
      </w:r>
    </w:p>
    <w:p>
      <w:pPr>
        <w:spacing w:after="0" w:line="86" w:lineRule="exact"/>
        <w:rPr>
          <w:sz w:val="20"/>
          <w:szCs w:val="20"/>
          <w:color w:val="auto"/>
        </w:rPr>
      </w:pPr>
    </w:p>
    <w:p>
      <w:pPr>
        <w:jc w:val="both"/>
        <w:ind w:left="5" w:right="3059" w:firstLine="465"/>
        <w:spacing w:after="0" w:line="296" w:lineRule="auto"/>
        <w:rPr>
          <w:sz w:val="20"/>
          <w:szCs w:val="20"/>
          <w:color w:val="auto"/>
        </w:rPr>
      </w:pPr>
      <w:r>
        <w:rPr>
          <w:rFonts w:ascii="Courier New" w:cs="Courier New" w:eastAsia="Courier New" w:hAnsi="Courier New"/>
          <w:sz w:val="14"/>
          <w:szCs w:val="14"/>
          <w:color w:val="auto"/>
        </w:rPr>
        <w:t>In March 2001, the Company, working with local governmental authorities, refinanced $339 million of fixed-rate tax-exempt bonds maturing through 2008 with $326 million of variable-rate tax-exempt bonds maturing through 2011 and $17 of fixed-rate bonds maturing through 2001. The new borrowings include $4 million of related financing costs. The Company recorded a net extraordinary loss of $1 million in the first quarter of 2001 for the remaining unamortized premium and issuance costs related to the retired debt.</w:t>
      </w:r>
    </w:p>
    <w:p>
      <w:pPr>
        <w:spacing w:after="0" w:line="62" w:lineRule="exact"/>
        <w:rPr>
          <w:sz w:val="20"/>
          <w:szCs w:val="20"/>
          <w:color w:val="auto"/>
        </w:rPr>
      </w:pPr>
    </w:p>
    <w:p>
      <w:pPr>
        <w:ind w:left="465"/>
        <w:spacing w:after="0"/>
        <w:rPr>
          <w:sz w:val="20"/>
          <w:szCs w:val="20"/>
          <w:color w:val="auto"/>
        </w:rPr>
      </w:pPr>
      <w:r>
        <w:rPr>
          <w:rFonts w:ascii="Courier New" w:cs="Courier New" w:eastAsia="Courier New" w:hAnsi="Courier New"/>
          <w:sz w:val="16"/>
          <w:szCs w:val="16"/>
          <w:color w:val="auto"/>
        </w:rPr>
        <w:t>On June 29, 2001, the Company replaced its prior bank credit facilities</w:t>
      </w:r>
    </w:p>
    <w:p>
      <w:pPr>
        <w:spacing w:after="0" w:line="2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with a $750 million syndicated line of credit (the "Line of Credit") and a</w:t>
      </w:r>
    </w:p>
    <w:p>
      <w:pPr>
        <w:ind w:left="5"/>
        <w:spacing w:after="0"/>
        <w:rPr>
          <w:sz w:val="20"/>
          <w:szCs w:val="20"/>
          <w:color w:val="auto"/>
        </w:rPr>
      </w:pPr>
      <w:r>
        <w:rPr>
          <w:rFonts w:ascii="Courier New" w:cs="Courier New" w:eastAsia="Courier New" w:hAnsi="Courier New"/>
          <w:sz w:val="14"/>
          <w:szCs w:val="14"/>
          <w:color w:val="auto"/>
        </w:rPr>
        <w:t>$1,750 million syndicated revolving credit facility (the "Revolver"). The Line</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of Credit requires annual renewal by the lender and provides for a one-year term</w:t>
      </w:r>
    </w:p>
    <w:p>
      <w:pPr>
        <w:spacing w:after="0" w:line="20"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option at the Company's request while the Revolver matures in June 2006. At June</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30, 2001 and August 3,</w:t>
      </w:r>
    </w:p>
    <w:p>
      <w:pPr>
        <w:sectPr>
          <w:pgSz w:w="11900" w:h="16838" w:orient="portrait"/>
          <w:cols w:equalWidth="0" w:num="1">
            <w:col w:w="10224"/>
          </w:cols>
          <w:pgMar w:left="235" w:top="269" w:right="1440" w:bottom="1440" w:gutter="0" w:footer="0" w:header="0"/>
        </w:sectPr>
      </w:pPr>
    </w:p>
    <w:p>
      <w:pPr>
        <w:ind w:left="3725"/>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24"/>
          </w:cols>
          <w:pgMar w:left="235" w:top="269" w:right="1440" w:bottom="1440" w:gutter="0" w:footer="0" w:header="0"/>
          <w:type w:val="continuous"/>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35</w:t>
      </w:r>
    </w:p>
    <w:p>
      <w:pPr>
        <w:spacing w:after="0" w:line="177" w:lineRule="exact"/>
        <w:rPr>
          <w:sz w:val="20"/>
          <w:szCs w:val="20"/>
          <w:color w:val="auto"/>
        </w:rPr>
      </w:pPr>
    </w:p>
    <w:p>
      <w:pPr>
        <w:ind w:right="2779"/>
        <w:spacing w:after="0" w:line="406" w:lineRule="auto"/>
        <w:rPr>
          <w:sz w:val="20"/>
          <w:szCs w:val="20"/>
          <w:color w:val="auto"/>
        </w:rPr>
      </w:pPr>
      <w:r>
        <w:rPr>
          <w:rFonts w:ascii="Courier New" w:cs="Courier New" w:eastAsia="Courier New" w:hAnsi="Courier New"/>
          <w:sz w:val="14"/>
          <w:szCs w:val="14"/>
          <w:color w:val="auto"/>
        </w:rPr>
        <w:t>2001, the Company has unused and available credit capacity under its bank credit facilities of approximately $1.0 billion and $737 million, respectively.</w:t>
      </w:r>
    </w:p>
    <w:p>
      <w:pPr>
        <w:ind w:right="2959" w:firstLine="465"/>
        <w:spacing w:after="0" w:line="246" w:lineRule="auto"/>
        <w:rPr>
          <w:sz w:val="20"/>
          <w:szCs w:val="20"/>
          <w:color w:val="auto"/>
        </w:rPr>
      </w:pPr>
      <w:r>
        <w:rPr>
          <w:rFonts w:ascii="Courier New" w:cs="Courier New" w:eastAsia="Courier New" w:hAnsi="Courier New"/>
          <w:sz w:val="16"/>
          <w:szCs w:val="16"/>
          <w:color w:val="auto"/>
        </w:rPr>
        <w:t>On July 17, 1998, the Company issued $600 million of 6 1/8% mandatorily tendered senior notes, due July 15, 2011. The notes were subject to certain mandatory tender features as described in the indenture, which allowed the Company to purchase all of the outstanding notes on July 15, 2001. The Company used available cash on hand along with funds from the Company's Line of Credit to purchase the notes in July 2001. The Company expects to repay during the remainder of 2001 the amounts borrowed from its Line of Credit for this transaction. Accordingly, the $600 million of 6 1/8% senior notes have been classified as current at June 30, 2001. The Company expects to record an extraordinary loss of approximately $1 million for the early extinguishment of its $600 million of 6 1/8% manditorily tendered senior notes during the third quarter of 2001.</w:t>
      </w:r>
    </w:p>
    <w:p>
      <w:pPr>
        <w:spacing w:after="0" w:line="96" w:lineRule="exact"/>
        <w:rPr>
          <w:sz w:val="20"/>
          <w:szCs w:val="20"/>
          <w:color w:val="auto"/>
        </w:rPr>
      </w:pPr>
    </w:p>
    <w:p>
      <w:pPr>
        <w:ind w:right="2879" w:firstLine="465"/>
        <w:spacing w:after="0" w:line="258" w:lineRule="auto"/>
        <w:rPr>
          <w:sz w:val="20"/>
          <w:szCs w:val="20"/>
          <w:color w:val="auto"/>
        </w:rPr>
      </w:pPr>
      <w:r>
        <w:rPr>
          <w:rFonts w:ascii="Courier New" w:cs="Courier New" w:eastAsia="Courier New" w:hAnsi="Courier New"/>
          <w:sz w:val="16"/>
          <w:szCs w:val="16"/>
          <w:color w:val="auto"/>
        </w:rPr>
        <w:t>The Company's $535 million of 4% convertible subordinated notes are due on February 1, 2002. The Company intends to refinance this amount with other long-term financing. However, the Company has the intent and ability to utilize its Line of Credit and/or Revolver to refinance these borrowings in the event other long-term financing is not available. Therefore, the Company has classified these borrowings as long-term at June 30, 2001.</w:t>
      </w:r>
    </w:p>
    <w:p>
      <w:pPr>
        <w:spacing w:after="0" w:line="83" w:lineRule="exact"/>
        <w:rPr>
          <w:sz w:val="20"/>
          <w:szCs w:val="20"/>
          <w:color w:val="auto"/>
        </w:rPr>
      </w:pPr>
    </w:p>
    <w:p>
      <w:pPr>
        <w:ind w:right="2779" w:firstLine="465"/>
        <w:spacing w:after="0" w:line="244" w:lineRule="auto"/>
        <w:rPr>
          <w:sz w:val="20"/>
          <w:szCs w:val="20"/>
          <w:color w:val="auto"/>
        </w:rPr>
      </w:pPr>
      <w:r>
        <w:rPr>
          <w:rFonts w:ascii="Courier New" w:cs="Courier New" w:eastAsia="Courier New" w:hAnsi="Courier New"/>
          <w:sz w:val="16"/>
          <w:szCs w:val="16"/>
          <w:color w:val="auto"/>
        </w:rPr>
        <w:t>Estimates of the extent of the Company's degree of responsibility for remediation of a particular site and the method and ultimate cost of remediation require a number of assumptions and are inherently difficult, and the ultimate outcome may differ from current estimates. However, the Company believes that its extensive experience in the environmental services business, as well as its involvement with a large number of sites, provides a reasonable basis for estimating its aggregate liability. As additional information becomes available, estimates are adjusted as necessary. While the Company does not anticipate that any such adjustment would be material to its financial statements, it is reasonably possible that technological, regulatory or enforcement developments, the results of environmental studies, the non-existence or inability of other potentially responsible third parties to contribute to the settlements of such liabilities, or other factors could necessitate the recording of additional liabilities which could have a material adverse impact on the Company's financial statements.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 AND INFLATION</w:t>
      </w:r>
    </w:p>
    <w:p>
      <w:pPr>
        <w:spacing w:after="0" w:line="177" w:lineRule="exact"/>
        <w:rPr>
          <w:sz w:val="20"/>
          <w:szCs w:val="20"/>
          <w:color w:val="auto"/>
        </w:rPr>
      </w:pPr>
    </w:p>
    <w:p>
      <w:pPr>
        <w:ind w:right="2879" w:firstLine="465"/>
        <w:spacing w:after="0" w:line="251" w:lineRule="auto"/>
        <w:rPr>
          <w:sz w:val="20"/>
          <w:szCs w:val="20"/>
          <w:color w:val="auto"/>
        </w:rPr>
      </w:pPr>
      <w:r>
        <w:rPr>
          <w:rFonts w:ascii="Courier New" w:cs="Courier New" w:eastAsia="Courier New" w:hAnsi="Courier New"/>
          <w:sz w:val="16"/>
          <w:szCs w:val="16"/>
          <w:color w:val="auto"/>
        </w:rPr>
        <w:t>The Company's operating revenues are usually lower in the winter months, primarily because the volume of waste relating to construction and demolition activities usually increases in the spring and summer months, and the volume of industrial and residential waste in certain regions where the Company operates usually decreases during the winter months. The Company's first and fourth quarter results of operations typically reflect this seasonality. In addition, particularly harsh weather conditions may result in the temporary suspension of certain of the Company's operations.</w:t>
      </w:r>
    </w:p>
    <w:p>
      <w:pPr>
        <w:spacing w:after="0" w:line="94" w:lineRule="exact"/>
        <w:rPr>
          <w:sz w:val="20"/>
          <w:szCs w:val="20"/>
          <w:color w:val="auto"/>
        </w:rPr>
      </w:pPr>
    </w:p>
    <w:p>
      <w:pPr>
        <w:ind w:right="3159" w:firstLine="465"/>
        <w:spacing w:after="0" w:line="289" w:lineRule="auto"/>
        <w:rPr>
          <w:sz w:val="20"/>
          <w:szCs w:val="20"/>
          <w:color w:val="auto"/>
        </w:rPr>
      </w:pPr>
      <w:r>
        <w:rPr>
          <w:rFonts w:ascii="Courier New" w:cs="Courier New" w:eastAsia="Courier New" w:hAnsi="Courier New"/>
          <w:sz w:val="16"/>
          <w:szCs w:val="16"/>
          <w:color w:val="auto"/>
        </w:rPr>
        <w:t>The Company believes that inflation has not had, and is not expected to have in the near future, any material adverse effect on the results of operations.</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77" w:lineRule="exact"/>
        <w:rPr>
          <w:sz w:val="20"/>
          <w:szCs w:val="20"/>
          <w:color w:val="auto"/>
        </w:rPr>
      </w:pPr>
    </w:p>
    <w:p>
      <w:pPr>
        <w:ind w:right="2779" w:firstLine="465"/>
        <w:spacing w:after="0" w:line="239" w:lineRule="auto"/>
        <w:rPr>
          <w:sz w:val="20"/>
          <w:szCs w:val="20"/>
          <w:color w:val="auto"/>
        </w:rPr>
      </w:pPr>
      <w:r>
        <w:rPr>
          <w:rFonts w:ascii="Courier New" w:cs="Courier New" w:eastAsia="Courier New" w:hAnsi="Courier New"/>
          <w:sz w:val="16"/>
          <w:szCs w:val="16"/>
          <w:color w:val="auto"/>
        </w:rPr>
        <w:t>In June 2001, the Financial Accounting Standards Board issued Statement of Financial Accounting Standards No. 141 Accounting for Business Combinations("SFAS No. 141") and Statement of Financial Accounting Standards No. 142 Accounting for Goodwill and Other Intangible Assets ("SFAS No. 142"). SFAS No. 141 requires that all business combinations be accounted for using the purchase method of accounting and prohibits the pooling-of-interests method for business combinations initiated after June 30, 2001. According to SFAS No. 142, goodwill which arises from purchases after June 30, 2001 cannot be amortized. In addition, SFAS No. 142 requires the continuation of the amortization of goodwill and all intangible assets through December 31, 2001, but amortization of existing goodwill will cease on January 1, 2002. Entities must use their current goodwill impairment approach through December 31, 2001, and begin to apply the new impairment approach on January 1, 2002. The Company has six months from the date it initially applies SFAS No. 142 to test goodwill for impairment and any impairment charge resulting from the</w:t>
      </w:r>
    </w:p>
    <w:p>
      <w:pPr>
        <w:sectPr>
          <w:pgSz w:w="11900" w:h="16838" w:orient="portrait"/>
          <w:cols w:equalWidth="0" w:num="1">
            <w:col w:w="10219"/>
          </w:cols>
          <w:pgMar w:left="240" w:top="269" w:right="1440" w:bottom="1440" w:gutter="0" w:footer="0" w:header="0"/>
        </w:sectPr>
      </w:pPr>
    </w:p>
    <w:p>
      <w:pPr>
        <w:spacing w:after="0" w:line="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19"/>
          </w:cols>
          <w:pgMar w:left="240" w:top="269"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36</w:t>
      </w:r>
    </w:p>
    <w:p>
      <w:pPr>
        <w:spacing w:after="0" w:line="177" w:lineRule="exact"/>
        <w:rPr>
          <w:sz w:val="20"/>
          <w:szCs w:val="20"/>
          <w:color w:val="auto"/>
        </w:rPr>
      </w:pPr>
    </w:p>
    <w:p>
      <w:pPr>
        <w:ind w:right="2879"/>
        <w:spacing w:after="0" w:line="258" w:lineRule="auto"/>
        <w:rPr>
          <w:sz w:val="20"/>
          <w:szCs w:val="20"/>
          <w:color w:val="auto"/>
        </w:rPr>
      </w:pPr>
      <w:r>
        <w:rPr>
          <w:rFonts w:ascii="Courier New" w:cs="Courier New" w:eastAsia="Courier New" w:hAnsi="Courier New"/>
          <w:sz w:val="16"/>
          <w:szCs w:val="16"/>
          <w:color w:val="auto"/>
        </w:rPr>
        <w:t>initial application of the new rule must be classified as the cumulative effect of a change in accounting principle. Thereafter, goodwill should be tested for impairment annually and impairment losses should be presented in the operating section of the income statement unless they are associated with a discontinued operation. In those cases, any impairment losses will be included, net of tax, within the results of discontinued operations.</w:t>
      </w:r>
    </w:p>
    <w:p>
      <w:pPr>
        <w:spacing w:after="0" w:line="83" w:lineRule="exact"/>
        <w:rPr>
          <w:sz w:val="20"/>
          <w:szCs w:val="20"/>
          <w:color w:val="auto"/>
        </w:rPr>
      </w:pPr>
    </w:p>
    <w:p>
      <w:pPr>
        <w:ind w:right="2779" w:firstLine="465"/>
        <w:spacing w:after="0" w:line="292" w:lineRule="auto"/>
        <w:rPr>
          <w:sz w:val="20"/>
          <w:szCs w:val="20"/>
          <w:color w:val="auto"/>
        </w:rPr>
      </w:pPr>
      <w:r>
        <w:rPr>
          <w:rFonts w:ascii="Courier New" w:cs="Courier New" w:eastAsia="Courier New" w:hAnsi="Courier New"/>
          <w:sz w:val="14"/>
          <w:szCs w:val="14"/>
          <w:color w:val="auto"/>
        </w:rPr>
        <w:t>During the first half of 2001, all of the Company's business combinations were accounted for by using the purchase method. The Company will continue to use the purchase method of accounting for its business combinations in accordance with its adoption of SFAS No. 141. Management is currently assessing the impact that the adoption of SFAS No. 142 will have on the Company's consolidated financial statements. However, the Company has recalculated its basic and diluted earnings per share for the three and six months ended June 30, 2001 and 2000 without the impact of goodwill amortization, as follows:</w:t>
      </w:r>
    </w:p>
    <w:p>
      <w:pPr>
        <w:spacing w:after="0" w:line="66"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6"/>
          <w:szCs w:val="16"/>
          <w:color w:val="auto"/>
        </w:rPr>
        <w:t>THREE MONTHS SIX MONTHS ENDED ENDED</w:t>
      </w:r>
    </w:p>
    <w:p>
      <w:pPr>
        <w:spacing w:after="0" w:line="26"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4"/>
          <w:szCs w:val="14"/>
          <w:color w:val="auto"/>
        </w:rPr>
        <w:t>JUNE 30, JUNE 30, -------------- -----</w:t>
      </w:r>
    </w:p>
    <w:p>
      <w:pPr>
        <w:spacing w:after="0" w:line="18"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--------- 2001 2000 2001 2000 ----- --</w:t>
      </w:r>
    </w:p>
    <w:p>
      <w:pPr>
        <w:ind w:left="500"/>
        <w:spacing w:after="0" w:line="236" w:lineRule="auto"/>
        <w:rPr>
          <w:sz w:val="20"/>
          <w:szCs w:val="20"/>
          <w:color w:val="auto"/>
        </w:rPr>
      </w:pPr>
      <w:r>
        <w:rPr>
          <w:rFonts w:ascii="Courier New" w:cs="Courier New" w:eastAsia="Courier New" w:hAnsi="Courier New"/>
          <w:sz w:val="16"/>
          <w:szCs w:val="16"/>
          <w:color w:val="auto"/>
        </w:rPr>
        <w:t>--- ----- ----- Reported net</w:t>
      </w:r>
    </w:p>
    <w:p>
      <w:pPr>
        <w:spacing w:after="0" w:line="237" w:lineRule="auto"/>
        <w:rPr>
          <w:sz w:val="20"/>
          <w:szCs w:val="20"/>
          <w:color w:val="auto"/>
        </w:rPr>
      </w:pPr>
      <w:r>
        <w:rPr>
          <w:rFonts w:ascii="Courier New" w:cs="Courier New" w:eastAsia="Courier New" w:hAnsi="Courier New"/>
          <w:sz w:val="16"/>
          <w:szCs w:val="16"/>
          <w:color w:val="auto"/>
        </w:rPr>
        <w:t>income.................................</w:t>
      </w:r>
    </w:p>
    <w:p>
      <w:pPr>
        <w:spacing w:after="0" w:line="1" w:lineRule="exact"/>
        <w:rPr>
          <w:sz w:val="20"/>
          <w:szCs w:val="20"/>
          <w:color w:val="auto"/>
        </w:rPr>
      </w:pPr>
    </w:p>
    <w:p>
      <w:pPr>
        <w:ind w:left="460" w:right="6979" w:hanging="94"/>
        <w:spacing w:after="0" w:line="270" w:lineRule="auto"/>
        <w:tabs>
          <w:tab w:leader="none" w:pos="553"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191 $ -- $ 315 $ 55 Add back: goodwill amortization, net of</w:t>
      </w:r>
    </w:p>
    <w:tbl>
      <w:tblPr>
        <w:tblLayout w:type="fixed"/>
        <w:tblInd w:w="0" w:type="dxa"/>
        <w:tblCellMar>
          <w:top w:w="0" w:type="dxa"/>
          <w:left w:w="0" w:type="dxa"/>
          <w:bottom w:w="0" w:type="dxa"/>
          <w:right w:w="0" w:type="dxa"/>
        </w:tblCellMar>
      </w:tblPr>
      <w:tr>
        <w:trPr>
          <w:trHeight w:val="152"/>
        </w:trPr>
        <w:tc>
          <w:tcPr>
            <w:tcW w:w="1200" w:type="dxa"/>
            <w:vAlign w:val="bottom"/>
          </w:tcPr>
          <w:p>
            <w:pPr>
              <w:ind w:left="40"/>
              <w:spacing w:after="0" w:line="152" w:lineRule="exact"/>
              <w:rPr>
                <w:sz w:val="20"/>
                <w:szCs w:val="20"/>
                <w:color w:val="auto"/>
              </w:rPr>
            </w:pPr>
            <w:r>
              <w:rPr>
                <w:rFonts w:ascii="Courier New" w:cs="Courier New" w:eastAsia="Courier New" w:hAnsi="Courier New"/>
                <w:sz w:val="16"/>
                <w:szCs w:val="16"/>
                <w:color w:val="auto"/>
                <w:w w:val="98"/>
              </w:rPr>
              <w:t>taxes.......</w:t>
            </w:r>
          </w:p>
        </w:tc>
        <w:tc>
          <w:tcPr>
            <w:tcW w:w="2380" w:type="dxa"/>
            <w:vAlign w:val="bottom"/>
          </w:tcPr>
          <w:p>
            <w:pPr>
              <w:jc w:val="right"/>
              <w:spacing w:after="0" w:line="152" w:lineRule="exact"/>
              <w:rPr>
                <w:sz w:val="20"/>
                <w:szCs w:val="20"/>
                <w:color w:val="auto"/>
              </w:rPr>
            </w:pPr>
            <w:r>
              <w:rPr>
                <w:rFonts w:ascii="Courier New" w:cs="Courier New" w:eastAsia="Courier New" w:hAnsi="Courier New"/>
                <w:sz w:val="16"/>
                <w:szCs w:val="16"/>
                <w:color w:val="auto"/>
                <w:w w:val="98"/>
              </w:rPr>
              <w:t>31 36 62 74 ----- ----- -</w:t>
            </w:r>
          </w:p>
        </w:tc>
        <w:tc>
          <w:tcPr>
            <w:tcW w:w="0" w:type="dxa"/>
            <w:vAlign w:val="bottom"/>
          </w:tcPr>
          <w:p>
            <w:pPr>
              <w:spacing w:after="0"/>
              <w:rPr>
                <w:sz w:val="1"/>
                <w:szCs w:val="1"/>
                <w:color w:val="auto"/>
              </w:rPr>
            </w:pPr>
          </w:p>
        </w:tc>
      </w:tr>
      <w:tr>
        <w:trPr>
          <w:trHeight w:val="261"/>
        </w:trPr>
        <w:tc>
          <w:tcPr>
            <w:tcW w:w="1200" w:type="dxa"/>
            <w:vAlign w:val="bottom"/>
            <w:vMerge w:val="restart"/>
          </w:tcPr>
          <w:p>
            <w:pPr>
              <w:spacing w:after="0"/>
              <w:rPr>
                <w:sz w:val="20"/>
                <w:szCs w:val="20"/>
                <w:color w:val="auto"/>
              </w:rPr>
            </w:pPr>
            <w:r>
              <w:rPr>
                <w:rFonts w:ascii="Courier New" w:cs="Courier New" w:eastAsia="Courier New" w:hAnsi="Courier New"/>
                <w:sz w:val="16"/>
                <w:szCs w:val="16"/>
                <w:color w:val="auto"/>
                <w:w w:val="93"/>
              </w:rPr>
              <w:t xml:space="preserve">income  </w:t>
            </w:r>
            <w:r>
              <w:rPr>
                <w:rFonts w:ascii="Courier New" w:cs="Courier New" w:eastAsia="Courier New" w:hAnsi="Courier New"/>
                <w:sz w:val="31"/>
                <w:szCs w:val="31"/>
                <w:color w:val="auto"/>
                <w:w w:val="93"/>
                <w:vertAlign w:val="superscript"/>
              </w:rPr>
              <w:t>----</w:t>
            </w:r>
          </w:p>
        </w:tc>
        <w:tc>
          <w:tcPr>
            <w:tcW w:w="238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6"/>
              </w:rPr>
              <w:t>----- Adjusted net</w:t>
            </w:r>
          </w:p>
        </w:tc>
        <w:tc>
          <w:tcPr>
            <w:tcW w:w="0" w:type="dxa"/>
            <w:vAlign w:val="bottom"/>
          </w:tcPr>
          <w:p>
            <w:pPr>
              <w:spacing w:after="0"/>
              <w:rPr>
                <w:sz w:val="1"/>
                <w:szCs w:val="1"/>
                <w:color w:val="auto"/>
              </w:rPr>
            </w:pPr>
          </w:p>
        </w:tc>
      </w:tr>
      <w:tr>
        <w:trPr>
          <w:trHeight w:val="125"/>
        </w:trPr>
        <w:tc>
          <w:tcPr>
            <w:tcW w:w="3580" w:type="dxa"/>
            <w:vAlign w:val="bottom"/>
            <w:gridSpan w:val="2"/>
            <w:vMerge w:val="continue"/>
          </w:tcPr>
          <w:p>
            <w:pPr>
              <w:jc w:val="right"/>
              <w:spacing w:after="0" w:line="75" w:lineRule="exact"/>
              <w:rPr>
                <w:sz w:val="20"/>
                <w:szCs w:val="20"/>
                <w:color w:val="auto"/>
              </w:rPr>
            </w:pPr>
            <w:r>
              <w:rPr>
                <w:rFonts w:ascii="Courier New" w:cs="Courier New" w:eastAsia="Courier New" w:hAnsi="Courier New"/>
                <w:sz w:val="8"/>
                <w:szCs w:val="8"/>
                <w:color w:val="auto"/>
              </w:rPr>
              <w:t>.................................</w:t>
            </w:r>
          </w:p>
        </w:tc>
        <w:tc>
          <w:tcPr>
            <w:tcW w:w="0" w:type="dxa"/>
            <w:vAlign w:val="bottom"/>
          </w:tcPr>
          <w:p>
            <w:pPr>
              <w:spacing w:after="0"/>
              <w:rPr>
                <w:sz w:val="1"/>
                <w:szCs w:val="1"/>
                <w:color w:val="auto"/>
              </w:rPr>
            </w:pPr>
          </w:p>
        </w:tc>
      </w:tr>
    </w:tbl>
    <w:p>
      <w:pPr>
        <w:ind w:left="420" w:hanging="193"/>
        <w:spacing w:after="0" w:line="236" w:lineRule="auto"/>
        <w:tabs>
          <w:tab w:leader="none" w:pos="4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222 $ 36 $ 377 $ 129 ===== =====</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BASIC EARNINGS PER COMMON</w:t>
      </w:r>
    </w:p>
    <w:p>
      <w:pPr>
        <w:ind w:left="92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 Reported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9"/>
              </w:rPr>
              <w:t>income.................................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w:t>
            </w:r>
          </w:p>
        </w:tc>
        <w:tc>
          <w:tcPr>
            <w:tcW w:w="5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$0.50</w:t>
            </w:r>
          </w:p>
        </w:tc>
        <w:tc>
          <w:tcPr>
            <w:tcW w:w="166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$0.09 Goodwill</w:t>
            </w:r>
          </w:p>
        </w:tc>
        <w:tc>
          <w:tcPr>
            <w:tcW w:w="0" w:type="dxa"/>
            <w:vAlign w:val="bottom"/>
          </w:tcPr>
          <w:p>
            <w:pPr>
              <w:spacing w:after="0"/>
              <w:rPr>
                <w:sz w:val="1"/>
                <w:szCs w:val="1"/>
                <w:color w:val="auto"/>
              </w:rPr>
            </w:pPr>
          </w:p>
        </w:tc>
      </w:tr>
      <w:tr>
        <w:trPr>
          <w:trHeight w:val="179"/>
        </w:trPr>
        <w:tc>
          <w:tcPr>
            <w:tcW w:w="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$0.31</w:t>
            </w:r>
          </w:p>
        </w:tc>
        <w:tc>
          <w:tcPr>
            <w:tcW w:w="44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0"/>
              </w:rPr>
              <w:t>taxes.................</w:t>
            </w:r>
          </w:p>
        </w:tc>
        <w:tc>
          <w:tcPr>
            <w:tcW w:w="2660" w:type="dxa"/>
            <w:vAlign w:val="bottom"/>
            <w:gridSpan w:val="3"/>
          </w:tcPr>
          <w:p>
            <w:pPr>
              <w:jc w:val="center"/>
              <w:ind w:right="682"/>
              <w:spacing w:after="0" w:line="179" w:lineRule="exact"/>
              <w:rPr>
                <w:sz w:val="20"/>
                <w:szCs w:val="20"/>
                <w:color w:val="auto"/>
              </w:rPr>
            </w:pPr>
            <w:r>
              <w:rPr>
                <w:rFonts w:ascii="Courier New" w:cs="Courier New" w:eastAsia="Courier New" w:hAnsi="Courier New"/>
                <w:sz w:val="16"/>
                <w:szCs w:val="16"/>
                <w:color w:val="auto"/>
                <w:w w:val="96"/>
              </w:rPr>
              <w:t>amortization, net of</w:t>
            </w:r>
          </w:p>
        </w:tc>
        <w:tc>
          <w:tcPr>
            <w:tcW w:w="0" w:type="dxa"/>
            <w:vAlign w:val="bottom"/>
          </w:tcPr>
          <w:p>
            <w:pPr>
              <w:spacing w:after="0"/>
              <w:rPr>
                <w:sz w:val="1"/>
                <w:szCs w:val="1"/>
                <w:color w:val="auto"/>
              </w:rPr>
            </w:pPr>
          </w:p>
        </w:tc>
      </w:tr>
      <w:tr>
        <w:trPr>
          <w:trHeight w:val="179"/>
        </w:trPr>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5"/>
              </w:rPr>
              <w:t>0.05 0.06 0.10</w:t>
            </w:r>
          </w:p>
        </w:tc>
        <w:tc>
          <w:tcPr>
            <w:tcW w:w="0" w:type="dxa"/>
            <w:vAlign w:val="bottom"/>
          </w:tcPr>
          <w:p>
            <w:pPr>
              <w:spacing w:after="0"/>
              <w:rPr>
                <w:sz w:val="1"/>
                <w:szCs w:val="1"/>
                <w:color w:val="auto"/>
              </w:rPr>
            </w:pPr>
          </w:p>
        </w:tc>
      </w:tr>
      <w:tr>
        <w:trPr>
          <w:trHeight w:val="179"/>
        </w:trPr>
        <w:tc>
          <w:tcPr>
            <w:tcW w:w="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0.12 -----</w:t>
            </w:r>
          </w:p>
        </w:tc>
        <w:tc>
          <w:tcPr>
            <w:tcW w:w="10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2"/>
              </w:rPr>
              <w:t>----- -----</w:t>
            </w:r>
          </w:p>
        </w:tc>
        <w:tc>
          <w:tcPr>
            <w:tcW w:w="166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5"/>
              </w:rPr>
              <w:t>----- Adjusted</w:t>
            </w:r>
          </w:p>
        </w:tc>
        <w:tc>
          <w:tcPr>
            <w:tcW w:w="0" w:type="dxa"/>
            <w:vAlign w:val="bottom"/>
          </w:tcPr>
          <w:p>
            <w:pPr>
              <w:spacing w:after="0"/>
              <w:rPr>
                <w:sz w:val="1"/>
                <w:szCs w:val="1"/>
                <w:color w:val="auto"/>
              </w:rPr>
            </w:pPr>
          </w:p>
        </w:tc>
      </w:tr>
      <w:tr>
        <w:trPr>
          <w:trHeight w:val="261"/>
        </w:trPr>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4"/>
                <w:szCs w:val="4"/>
                <w:color w:val="auto"/>
                <w:w w:val="89"/>
              </w:rPr>
              <w:t>income.................................</w:t>
            </w:r>
          </w:p>
        </w:tc>
        <w:tc>
          <w:tcPr>
            <w:tcW w:w="440" w:type="dxa"/>
            <w:vAlign w:val="bottom"/>
          </w:tcPr>
          <w:p>
            <w:pPr>
              <w:spacing w:after="0"/>
              <w:rPr>
                <w:sz w:val="22"/>
                <w:szCs w:val="22"/>
                <w:color w:val="auto"/>
              </w:rPr>
            </w:pPr>
          </w:p>
        </w:tc>
        <w:tc>
          <w:tcPr>
            <w:tcW w:w="2220" w:type="dxa"/>
            <w:vAlign w:val="bottom"/>
            <w:gridSpan w:val="2"/>
          </w:tcPr>
          <w:p>
            <w:pPr>
              <w:jc w:val="center"/>
              <w:ind w:right="1142"/>
              <w:spacing w:after="0"/>
              <w:rPr>
                <w:sz w:val="20"/>
                <w:szCs w:val="20"/>
                <w:color w:val="auto"/>
              </w:rPr>
            </w:pPr>
            <w:r>
              <w:rPr>
                <w:rFonts w:ascii="Courier New" w:cs="Courier New" w:eastAsia="Courier New" w:hAnsi="Courier New"/>
                <w:sz w:val="16"/>
                <w:szCs w:val="16"/>
                <w:color w:val="auto"/>
                <w:w w:val="97"/>
              </w:rPr>
              <w:t>net</w:t>
            </w:r>
          </w:p>
        </w:tc>
        <w:tc>
          <w:tcPr>
            <w:tcW w:w="0" w:type="dxa"/>
            <w:vAlign w:val="bottom"/>
          </w:tcPr>
          <w:p>
            <w:pPr>
              <w:spacing w:after="0"/>
              <w:rPr>
                <w:sz w:val="1"/>
                <w:szCs w:val="1"/>
                <w:color w:val="auto"/>
              </w:rPr>
            </w:pPr>
          </w:p>
        </w:tc>
      </w:tr>
      <w:tr>
        <w:trPr>
          <w:trHeight w:val="97"/>
        </w:trPr>
        <w:tc>
          <w:tcPr>
            <w:tcW w:w="740" w:type="dxa"/>
            <w:vAlign w:val="bottom"/>
            <w:vMerge w:val="continue"/>
          </w:tcPr>
          <w:p>
            <w:pPr>
              <w:spacing w:after="0"/>
              <w:rPr>
                <w:sz w:val="8"/>
                <w:szCs w:val="8"/>
                <w:color w:val="auto"/>
              </w:rPr>
            </w:pPr>
          </w:p>
        </w:tc>
        <w:tc>
          <w:tcPr>
            <w:tcW w:w="56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w w:val="91"/>
              </w:rPr>
              <w:t>$0.06</w:t>
            </w:r>
          </w:p>
        </w:tc>
        <w:tc>
          <w:tcPr>
            <w:tcW w:w="56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1"/>
              </w:rPr>
              <w:t>$0.60</w:t>
            </w:r>
          </w:p>
        </w:tc>
        <w:tc>
          <w:tcPr>
            <w:tcW w:w="166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w w:val="95"/>
              </w:rPr>
              <w:t>$0.21 ===== =====</w:t>
            </w:r>
          </w:p>
        </w:tc>
        <w:tc>
          <w:tcPr>
            <w:tcW w:w="0" w:type="dxa"/>
            <w:vAlign w:val="bottom"/>
          </w:tcPr>
          <w:p>
            <w:pPr>
              <w:spacing w:after="0"/>
              <w:rPr>
                <w:sz w:val="1"/>
                <w:szCs w:val="1"/>
                <w:color w:val="auto"/>
              </w:rPr>
            </w:pPr>
          </w:p>
        </w:tc>
      </w:tr>
      <w:tr>
        <w:trPr>
          <w:trHeight w:val="207"/>
        </w:trPr>
        <w:tc>
          <w:tcPr>
            <w:tcW w:w="740" w:type="dxa"/>
            <w:vAlign w:val="bottom"/>
          </w:tcPr>
          <w:p>
            <w:pPr>
              <w:jc w:val="right"/>
              <w:ind w:right="46"/>
              <w:spacing w:after="0"/>
              <w:rPr>
                <w:sz w:val="20"/>
                <w:szCs w:val="20"/>
                <w:color w:val="auto"/>
              </w:rPr>
            </w:pPr>
            <w:r>
              <w:rPr>
                <w:rFonts w:ascii="Courier New" w:cs="Courier New" w:eastAsia="Courier New" w:hAnsi="Courier New"/>
                <w:sz w:val="16"/>
                <w:szCs w:val="16"/>
                <w:color w:val="auto"/>
              </w:rPr>
              <w:t>$0.36</w:t>
            </w:r>
          </w:p>
        </w:tc>
        <w:tc>
          <w:tcPr>
            <w:tcW w:w="56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600" w:right="6919" w:hanging="280"/>
        <w:spacing w:after="0" w:line="270" w:lineRule="auto"/>
        <w:tabs>
          <w:tab w:leader="none" w:pos="879"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DILUTED EARNINGS PER COMMON SHARE: Reported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0" w:type="dxa"/>
            <w:vAlign w:val="bottom"/>
            <w:gridSpan w:val="2"/>
          </w:tcPr>
          <w:p>
            <w:pPr>
              <w:jc w:val="right"/>
              <w:spacing w:after="0"/>
              <w:rPr>
                <w:sz w:val="20"/>
                <w:szCs w:val="20"/>
                <w:color w:val="auto"/>
              </w:rPr>
            </w:pPr>
            <w:r>
              <w:rPr>
                <w:rFonts w:ascii="Courier New" w:cs="Courier New" w:eastAsia="Courier New" w:hAnsi="Courier New"/>
                <w:sz w:val="4"/>
                <w:szCs w:val="4"/>
                <w:color w:val="auto"/>
                <w:w w:val="89"/>
              </w:rPr>
              <w:t>income.................................</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w:t>
            </w:r>
          </w:p>
        </w:tc>
        <w:tc>
          <w:tcPr>
            <w:tcW w:w="222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$0.50 $0.09 Goodwill</w:t>
            </w:r>
          </w:p>
        </w:tc>
        <w:tc>
          <w:tcPr>
            <w:tcW w:w="0" w:type="dxa"/>
            <w:vAlign w:val="bottom"/>
          </w:tcPr>
          <w:p>
            <w:pPr>
              <w:spacing w:after="0"/>
              <w:rPr>
                <w:sz w:val="1"/>
                <w:szCs w:val="1"/>
                <w:color w:val="auto"/>
              </w:rPr>
            </w:pPr>
          </w:p>
        </w:tc>
      </w:tr>
      <w:tr>
        <w:trPr>
          <w:trHeight w:val="179"/>
        </w:trPr>
        <w:tc>
          <w:tcPr>
            <w:tcW w:w="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$0.30</w:t>
            </w:r>
          </w:p>
        </w:tc>
        <w:tc>
          <w:tcPr>
            <w:tcW w:w="440" w:type="dxa"/>
            <w:vAlign w:val="bottom"/>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0"/>
              </w:rPr>
              <w:t>taxes.................</w:t>
            </w:r>
          </w:p>
        </w:tc>
        <w:tc>
          <w:tcPr>
            <w:tcW w:w="2660" w:type="dxa"/>
            <w:vAlign w:val="bottom"/>
            <w:gridSpan w:val="2"/>
          </w:tcPr>
          <w:p>
            <w:pPr>
              <w:ind w:left="20"/>
              <w:spacing w:after="0" w:line="179" w:lineRule="exact"/>
              <w:rPr>
                <w:sz w:val="20"/>
                <w:szCs w:val="20"/>
                <w:color w:val="auto"/>
              </w:rPr>
            </w:pPr>
            <w:r>
              <w:rPr>
                <w:rFonts w:ascii="Courier New" w:cs="Courier New" w:eastAsia="Courier New" w:hAnsi="Courier New"/>
                <w:sz w:val="16"/>
                <w:szCs w:val="16"/>
                <w:color w:val="auto"/>
              </w:rPr>
              <w:t>amortization, net of</w:t>
            </w:r>
          </w:p>
        </w:tc>
        <w:tc>
          <w:tcPr>
            <w:tcW w:w="0" w:type="dxa"/>
            <w:vAlign w:val="bottom"/>
          </w:tcPr>
          <w:p>
            <w:pPr>
              <w:spacing w:after="0"/>
              <w:rPr>
                <w:sz w:val="1"/>
                <w:szCs w:val="1"/>
                <w:color w:val="auto"/>
              </w:rPr>
            </w:pPr>
          </w:p>
        </w:tc>
      </w:tr>
      <w:tr>
        <w:trPr>
          <w:trHeight w:val="179"/>
        </w:trPr>
        <w:tc>
          <w:tcPr>
            <w:tcW w:w="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2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w w:val="95"/>
              </w:rPr>
              <w:t>0.05 0.06 0.10</w:t>
            </w:r>
          </w:p>
        </w:tc>
        <w:tc>
          <w:tcPr>
            <w:tcW w:w="0" w:type="dxa"/>
            <w:vAlign w:val="bottom"/>
          </w:tcPr>
          <w:p>
            <w:pPr>
              <w:spacing w:after="0"/>
              <w:rPr>
                <w:sz w:val="1"/>
                <w:szCs w:val="1"/>
                <w:color w:val="auto"/>
              </w:rPr>
            </w:pPr>
          </w:p>
        </w:tc>
      </w:tr>
      <w:tr>
        <w:trPr>
          <w:trHeight w:val="179"/>
        </w:trPr>
        <w:tc>
          <w:tcPr>
            <w:tcW w:w="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87"/>
              </w:rPr>
              <w:t>0.12 -----</w:t>
            </w:r>
          </w:p>
        </w:tc>
        <w:tc>
          <w:tcPr>
            <w:tcW w:w="4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7"/>
              </w:rPr>
              <w:t>-----</w:t>
            </w:r>
          </w:p>
        </w:tc>
        <w:tc>
          <w:tcPr>
            <w:tcW w:w="2220" w:type="dxa"/>
            <w:vAlign w:val="bottom"/>
          </w:tcPr>
          <w:p>
            <w:pPr>
              <w:ind w:left="360"/>
              <w:spacing w:after="0" w:line="179" w:lineRule="exact"/>
              <w:rPr>
                <w:sz w:val="20"/>
                <w:szCs w:val="20"/>
                <w:color w:val="auto"/>
              </w:rPr>
            </w:pPr>
            <w:r>
              <w:rPr>
                <w:rFonts w:ascii="Courier New" w:cs="Courier New" w:eastAsia="Courier New" w:hAnsi="Courier New"/>
                <w:sz w:val="16"/>
                <w:szCs w:val="16"/>
                <w:color w:val="auto"/>
                <w:w w:val="95"/>
              </w:rPr>
              <w:t>----- ----- Adjusted</w:t>
            </w:r>
          </w:p>
        </w:tc>
        <w:tc>
          <w:tcPr>
            <w:tcW w:w="0" w:type="dxa"/>
            <w:vAlign w:val="bottom"/>
          </w:tcPr>
          <w:p>
            <w:pPr>
              <w:spacing w:after="0"/>
              <w:rPr>
                <w:sz w:val="1"/>
                <w:szCs w:val="1"/>
                <w:color w:val="auto"/>
              </w:rPr>
            </w:pPr>
          </w:p>
        </w:tc>
      </w:tr>
      <w:tr>
        <w:trPr>
          <w:trHeight w:val="261"/>
        </w:trPr>
        <w:tc>
          <w:tcPr>
            <w:tcW w:w="860" w:type="dxa"/>
            <w:vAlign w:val="bottom"/>
            <w:gridSpan w:val="2"/>
            <w:vMerge w:val="restart"/>
          </w:tcPr>
          <w:p>
            <w:pPr>
              <w:jc w:val="right"/>
              <w:spacing w:after="0"/>
              <w:rPr>
                <w:sz w:val="20"/>
                <w:szCs w:val="20"/>
                <w:color w:val="auto"/>
              </w:rPr>
            </w:pPr>
            <w:r>
              <w:rPr>
                <w:rFonts w:ascii="Courier New" w:cs="Courier New" w:eastAsia="Courier New" w:hAnsi="Courier New"/>
                <w:sz w:val="4"/>
                <w:szCs w:val="4"/>
                <w:color w:val="auto"/>
                <w:w w:val="89"/>
              </w:rPr>
              <w:t>income.................................</w:t>
            </w:r>
          </w:p>
        </w:tc>
        <w:tc>
          <w:tcPr>
            <w:tcW w:w="440" w:type="dxa"/>
            <w:vAlign w:val="bottom"/>
          </w:tcPr>
          <w:p>
            <w:pPr>
              <w:spacing w:after="0"/>
              <w:rPr>
                <w:sz w:val="22"/>
                <w:szCs w:val="22"/>
                <w:color w:val="auto"/>
              </w:rPr>
            </w:pPr>
          </w:p>
        </w:tc>
        <w:tc>
          <w:tcPr>
            <w:tcW w:w="2220" w:type="dxa"/>
            <w:vAlign w:val="bottom"/>
          </w:tcPr>
          <w:p>
            <w:pPr>
              <w:ind w:left="360"/>
              <w:spacing w:after="0"/>
              <w:rPr>
                <w:sz w:val="20"/>
                <w:szCs w:val="20"/>
                <w:color w:val="auto"/>
              </w:rPr>
            </w:pPr>
            <w:r>
              <w:rPr>
                <w:rFonts w:ascii="Courier New" w:cs="Courier New" w:eastAsia="Courier New" w:hAnsi="Courier New"/>
                <w:sz w:val="16"/>
                <w:szCs w:val="16"/>
                <w:color w:val="auto"/>
              </w:rPr>
              <w:t>net</w:t>
            </w:r>
          </w:p>
        </w:tc>
        <w:tc>
          <w:tcPr>
            <w:tcW w:w="0" w:type="dxa"/>
            <w:vAlign w:val="bottom"/>
          </w:tcPr>
          <w:p>
            <w:pPr>
              <w:spacing w:after="0"/>
              <w:rPr>
                <w:sz w:val="1"/>
                <w:szCs w:val="1"/>
                <w:color w:val="auto"/>
              </w:rPr>
            </w:pPr>
          </w:p>
        </w:tc>
      </w:tr>
      <w:tr>
        <w:trPr>
          <w:trHeight w:val="97"/>
        </w:trPr>
        <w:tc>
          <w:tcPr>
            <w:tcW w:w="740" w:type="dxa"/>
            <w:vAlign w:val="bottom"/>
            <w:vMerge w:val="continue"/>
          </w:tcPr>
          <w:p>
            <w:pPr>
              <w:spacing w:after="0"/>
              <w:rPr>
                <w:sz w:val="8"/>
                <w:szCs w:val="8"/>
                <w:color w:val="auto"/>
              </w:rPr>
            </w:pPr>
          </w:p>
        </w:tc>
        <w:tc>
          <w:tcPr>
            <w:tcW w:w="560" w:type="dxa"/>
            <w:vAlign w:val="bottom"/>
            <w:gridSpan w:val="2"/>
            <w:vMerge w:val="restart"/>
          </w:tcPr>
          <w:p>
            <w:pPr>
              <w:jc w:val="right"/>
              <w:ind w:right="22"/>
              <w:spacing w:after="0"/>
              <w:rPr>
                <w:sz w:val="20"/>
                <w:szCs w:val="20"/>
                <w:color w:val="auto"/>
              </w:rPr>
            </w:pPr>
            <w:r>
              <w:rPr>
                <w:rFonts w:ascii="Courier New" w:cs="Courier New" w:eastAsia="Courier New" w:hAnsi="Courier New"/>
                <w:sz w:val="16"/>
                <w:szCs w:val="16"/>
                <w:color w:val="auto"/>
                <w:w w:val="91"/>
              </w:rPr>
              <w:t>$0.06</w:t>
            </w:r>
          </w:p>
        </w:tc>
        <w:tc>
          <w:tcPr>
            <w:tcW w:w="222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$0.60 $0.21 ===== =====</w:t>
            </w:r>
          </w:p>
        </w:tc>
        <w:tc>
          <w:tcPr>
            <w:tcW w:w="0" w:type="dxa"/>
            <w:vAlign w:val="bottom"/>
          </w:tcPr>
          <w:p>
            <w:pPr>
              <w:spacing w:after="0"/>
              <w:rPr>
                <w:sz w:val="1"/>
                <w:szCs w:val="1"/>
                <w:color w:val="auto"/>
              </w:rPr>
            </w:pPr>
          </w:p>
        </w:tc>
      </w:tr>
      <w:tr>
        <w:trPr>
          <w:trHeight w:val="179"/>
        </w:trPr>
        <w:tc>
          <w:tcPr>
            <w:tcW w:w="740" w:type="dxa"/>
            <w:vAlign w:val="bottom"/>
          </w:tcPr>
          <w:p>
            <w:pPr>
              <w:jc w:val="right"/>
              <w:ind w:right="46"/>
              <w:spacing w:after="0" w:line="179" w:lineRule="exact"/>
              <w:rPr>
                <w:sz w:val="20"/>
                <w:szCs w:val="20"/>
                <w:color w:val="auto"/>
              </w:rPr>
            </w:pPr>
            <w:r>
              <w:rPr>
                <w:rFonts w:ascii="Courier New" w:cs="Courier New" w:eastAsia="Courier New" w:hAnsi="Courier New"/>
                <w:sz w:val="16"/>
                <w:szCs w:val="16"/>
                <w:color w:val="auto"/>
              </w:rPr>
              <w:t>$0.35</w:t>
            </w:r>
          </w:p>
        </w:tc>
        <w:tc>
          <w:tcPr>
            <w:tcW w:w="560" w:type="dxa"/>
            <w:vAlign w:val="bottom"/>
            <w:gridSpan w:val="2"/>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879" w:firstLine="465"/>
        <w:spacing w:after="0" w:line="251" w:lineRule="auto"/>
        <w:rPr>
          <w:sz w:val="20"/>
          <w:szCs w:val="20"/>
          <w:color w:val="auto"/>
        </w:rPr>
      </w:pPr>
      <w:r>
        <w:rPr>
          <w:rFonts w:ascii="Courier New" w:cs="Courier New" w:eastAsia="Courier New" w:hAnsi="Courier New"/>
          <w:sz w:val="16"/>
          <w:szCs w:val="16"/>
          <w:color w:val="auto"/>
        </w:rPr>
        <w:t>During the third quarter of 2001, the Financial Accounting Standards Board voted unanimously to issue SFAS No. 143, Accounting for Asset Retirement Obligations ("SFAS No. 143"). SFAS No. 143 covers all legally enforceable obligations associated with the retirement of tangible long-lived assets and provides the accounting and reporting requirements for such obligations. SFAS No. 143, is effective for the Company beginning January 1, 2003. Management has yet to determine the impact that the adoption of SFAS No. 143 will have on the Company's consolidated financial statements.</w:t>
      </w:r>
    </w:p>
    <w:p>
      <w:pPr>
        <w:spacing w:after="0" w:line="9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269"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37</w:t>
      </w:r>
    </w:p>
    <w:p>
      <w:pPr>
        <w:spacing w:after="0" w:line="17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PART II.</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7" w:lineRule="exact"/>
        <w:rPr>
          <w:sz w:val="20"/>
          <w:szCs w:val="20"/>
          <w:color w:val="auto"/>
        </w:rPr>
      </w:pPr>
    </w:p>
    <w:p>
      <w:pPr>
        <w:ind w:right="2879" w:firstLine="465"/>
        <w:spacing w:after="0" w:line="289" w:lineRule="auto"/>
        <w:rPr>
          <w:sz w:val="20"/>
          <w:szCs w:val="20"/>
          <w:color w:val="auto"/>
        </w:rPr>
      </w:pPr>
      <w:r>
        <w:rPr>
          <w:rFonts w:ascii="Courier New" w:cs="Courier New" w:eastAsia="Courier New" w:hAnsi="Courier New"/>
          <w:sz w:val="16"/>
          <w:szCs w:val="16"/>
          <w:color w:val="auto"/>
        </w:rPr>
        <w:t>Information regarding our legal proceedings can be found under the "Litigation" section of Note 6, Commitments and Contingencies, to the condensed consolidated financial statements.</w:t>
      </w:r>
    </w:p>
    <w:p>
      <w:pPr>
        <w:spacing w:after="0" w:line="6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7" w:lineRule="exact"/>
        <w:rPr>
          <w:sz w:val="20"/>
          <w:szCs w:val="20"/>
          <w:color w:val="auto"/>
        </w:rPr>
      </w:pPr>
    </w:p>
    <w:p>
      <w:pPr>
        <w:ind w:right="2779" w:firstLine="465"/>
        <w:spacing w:after="0" w:line="272" w:lineRule="auto"/>
        <w:rPr>
          <w:sz w:val="20"/>
          <w:szCs w:val="20"/>
          <w:color w:val="auto"/>
        </w:rPr>
      </w:pPr>
      <w:r>
        <w:rPr>
          <w:rFonts w:ascii="Courier New" w:cs="Courier New" w:eastAsia="Courier New" w:hAnsi="Courier New"/>
          <w:sz w:val="16"/>
          <w:szCs w:val="16"/>
          <w:color w:val="auto"/>
        </w:rPr>
        <w:t>At the Company's Annual Meeting of Stockholders held on May 18, 2001, a proposal to elect the nominees listed in the following table as directors of the Company was submitted to a vote of the Company's stockholders. The following table also shows the results of voting as to each nominee:</w:t>
      </w:r>
    </w:p>
    <w:p>
      <w:pPr>
        <w:spacing w:after="0" w:line="7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NOMINEE VOTES FOR VOTES WITHHELD - ------- ------</w:t>
      </w:r>
    </w:p>
    <w:p>
      <w:pPr>
        <w:spacing w:after="0" w:line="23" w:lineRule="exact"/>
        <w:rPr>
          <w:sz w:val="20"/>
          <w:szCs w:val="20"/>
          <w:color w:val="auto"/>
        </w:rPr>
      </w:pPr>
    </w:p>
    <w:p>
      <w:pPr>
        <w:ind w:left="980"/>
        <w:spacing w:after="0"/>
        <w:rPr>
          <w:sz w:val="20"/>
          <w:szCs w:val="20"/>
          <w:color w:val="auto"/>
        </w:rPr>
      </w:pPr>
      <w:r>
        <w:rPr>
          <w:rFonts w:ascii="Courier New" w:cs="Courier New" w:eastAsia="Courier New" w:hAnsi="Courier New"/>
          <w:sz w:val="16"/>
          <w:szCs w:val="16"/>
          <w:color w:val="auto"/>
        </w:rPr>
        <w:t>----- -------------- H. Jesse</w:t>
      </w:r>
    </w:p>
    <w:p>
      <w:pPr>
        <w:ind w:left="40"/>
        <w:spacing w:after="0" w:line="236" w:lineRule="auto"/>
        <w:rPr>
          <w:sz w:val="20"/>
          <w:szCs w:val="20"/>
          <w:color w:val="auto"/>
        </w:rPr>
      </w:pPr>
      <w:r>
        <w:rPr>
          <w:rFonts w:ascii="Courier New" w:cs="Courier New" w:eastAsia="Courier New" w:hAnsi="Courier New"/>
          <w:sz w:val="16"/>
          <w:szCs w:val="16"/>
          <w:color w:val="auto"/>
        </w:rPr>
        <w:t>Arnelle..........................................</w:t>
      </w:r>
    </w:p>
    <w:p>
      <w:pPr>
        <w:jc w:val="center"/>
        <w:ind w:right="5579"/>
        <w:spacing w:after="0" w:line="237" w:lineRule="auto"/>
        <w:rPr>
          <w:sz w:val="20"/>
          <w:szCs w:val="20"/>
          <w:color w:val="auto"/>
        </w:rPr>
      </w:pPr>
      <w:r>
        <w:rPr>
          <w:rFonts w:ascii="Courier New" w:cs="Courier New" w:eastAsia="Courier New" w:hAnsi="Courier New"/>
          <w:sz w:val="16"/>
          <w:szCs w:val="16"/>
          <w:color w:val="auto"/>
        </w:rPr>
        <w:t>554,704,763 3,316,753 John C.</w:t>
      </w:r>
    </w:p>
    <w:p>
      <w:pPr>
        <w:spacing w:after="0" w:line="237" w:lineRule="auto"/>
        <w:rPr>
          <w:sz w:val="20"/>
          <w:szCs w:val="20"/>
          <w:color w:val="auto"/>
        </w:rPr>
      </w:pPr>
      <w:r>
        <w:rPr>
          <w:rFonts w:ascii="Courier New" w:cs="Courier New" w:eastAsia="Courier New" w:hAnsi="Courier New"/>
          <w:sz w:val="16"/>
          <w:szCs w:val="16"/>
          <w:color w:val="auto"/>
        </w:rPr>
        <w:t>Pope..............................................</w:t>
      </w:r>
    </w:p>
    <w:p>
      <w:pPr>
        <w:jc w:val="center"/>
        <w:ind w:right="5579"/>
        <w:spacing w:after="0" w:line="237" w:lineRule="auto"/>
        <w:rPr>
          <w:sz w:val="20"/>
          <w:szCs w:val="20"/>
          <w:color w:val="auto"/>
        </w:rPr>
      </w:pPr>
      <w:r>
        <w:rPr>
          <w:rFonts w:ascii="Courier New" w:cs="Courier New" w:eastAsia="Courier New" w:hAnsi="Courier New"/>
          <w:sz w:val="16"/>
          <w:szCs w:val="16"/>
          <w:color w:val="auto"/>
        </w:rPr>
        <w:t>554,847,269 3,174,247 Ralph V.</w:t>
      </w:r>
    </w:p>
    <w:p>
      <w:pPr>
        <w:ind w:left="40"/>
        <w:spacing w:after="0" w:line="237" w:lineRule="auto"/>
        <w:rPr>
          <w:sz w:val="20"/>
          <w:szCs w:val="20"/>
          <w:color w:val="auto"/>
        </w:rPr>
      </w:pPr>
      <w:r>
        <w:rPr>
          <w:rFonts w:ascii="Courier New" w:cs="Courier New" w:eastAsia="Courier New" w:hAnsi="Courier New"/>
          <w:sz w:val="16"/>
          <w:szCs w:val="16"/>
          <w:color w:val="auto"/>
        </w:rPr>
        <w:t>Whitworth........................................</w:t>
      </w:r>
    </w:p>
    <w:p>
      <w:pPr>
        <w:ind w:left="1340"/>
        <w:spacing w:after="0"/>
        <w:rPr>
          <w:sz w:val="20"/>
          <w:szCs w:val="20"/>
          <w:color w:val="auto"/>
        </w:rPr>
      </w:pPr>
      <w:r>
        <w:rPr>
          <w:rFonts w:ascii="Courier New" w:cs="Courier New" w:eastAsia="Courier New" w:hAnsi="Courier New"/>
          <w:sz w:val="16"/>
          <w:szCs w:val="16"/>
          <w:color w:val="auto"/>
        </w:rPr>
        <w:t>554,481,094 3,540,422</w:t>
      </w:r>
    </w:p>
    <w:p>
      <w:pPr>
        <w:spacing w:after="0" w:line="32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 the same meeting, the following proposals were also adopted by the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Company's stockholders. The voting was as follows:</w:t>
      </w:r>
    </w:p>
    <w:p>
      <w:pPr>
        <w:spacing w:after="0" w:line="149"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VOTES FOR VOTES AGAINST</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ABSTENTIONS ----------- --------</w:t>
      </w:r>
    </w:p>
    <w:p>
      <w:pPr>
        <w:ind w:left="140"/>
        <w:spacing w:after="0" w:line="236" w:lineRule="auto"/>
        <w:rPr>
          <w:sz w:val="20"/>
          <w:szCs w:val="20"/>
          <w:color w:val="auto"/>
        </w:rPr>
      </w:pPr>
      <w:r>
        <w:rPr>
          <w:rFonts w:ascii="Courier New" w:cs="Courier New" w:eastAsia="Courier New" w:hAnsi="Courier New"/>
          <w:sz w:val="16"/>
          <w:szCs w:val="16"/>
          <w:color w:val="auto"/>
        </w:rPr>
        <w:t>----- ----------- Ratification</w:t>
      </w:r>
    </w:p>
    <w:p>
      <w:pPr>
        <w:jc w:val="center"/>
        <w:ind w:right="7159"/>
        <w:spacing w:after="0" w:line="237" w:lineRule="auto"/>
        <w:rPr>
          <w:sz w:val="20"/>
          <w:szCs w:val="20"/>
          <w:color w:val="auto"/>
        </w:rPr>
      </w:pPr>
      <w:r>
        <w:rPr>
          <w:rFonts w:ascii="Courier New" w:cs="Courier New" w:eastAsia="Courier New" w:hAnsi="Courier New"/>
          <w:sz w:val="16"/>
          <w:szCs w:val="16"/>
          <w:color w:val="auto"/>
        </w:rPr>
        <w:t>of appointment of Arthur</w:t>
      </w:r>
    </w:p>
    <w:p>
      <w:pPr>
        <w:jc w:val="center"/>
        <w:ind w:right="7159"/>
        <w:spacing w:after="0" w:line="237" w:lineRule="auto"/>
        <w:rPr>
          <w:sz w:val="20"/>
          <w:szCs w:val="20"/>
          <w:color w:val="auto"/>
        </w:rPr>
      </w:pPr>
      <w:r>
        <w:rPr>
          <w:rFonts w:ascii="Courier New" w:cs="Courier New" w:eastAsia="Courier New" w:hAnsi="Courier New"/>
          <w:sz w:val="16"/>
          <w:szCs w:val="16"/>
          <w:color w:val="auto"/>
        </w:rPr>
        <w:t>Andersen LLP as the Company's</w:t>
      </w:r>
    </w:p>
    <w:p>
      <w:pPr>
        <w:jc w:val="center"/>
        <w:ind w:right="7159"/>
        <w:spacing w:after="0" w:line="237" w:lineRule="auto"/>
        <w:rPr>
          <w:sz w:val="20"/>
          <w:szCs w:val="20"/>
          <w:color w:val="auto"/>
        </w:rPr>
      </w:pPr>
      <w:r>
        <w:rPr>
          <w:rFonts w:ascii="Courier New" w:cs="Courier New" w:eastAsia="Courier New" w:hAnsi="Courier New"/>
          <w:sz w:val="16"/>
          <w:szCs w:val="16"/>
          <w:color w:val="auto"/>
        </w:rPr>
        <w:t>independent auditors for the</w:t>
      </w:r>
    </w:p>
    <w:p>
      <w:pPr>
        <w:jc w:val="center"/>
        <w:ind w:right="7159"/>
        <w:spacing w:after="0" w:line="237" w:lineRule="auto"/>
        <w:rPr>
          <w:sz w:val="20"/>
          <w:szCs w:val="20"/>
          <w:color w:val="auto"/>
        </w:rPr>
      </w:pPr>
      <w:r>
        <w:rPr>
          <w:rFonts w:ascii="Courier New" w:cs="Courier New" w:eastAsia="Courier New" w:hAnsi="Courier New"/>
          <w:sz w:val="16"/>
          <w:szCs w:val="16"/>
          <w:color w:val="auto"/>
        </w:rPr>
        <w:t>fiscal year ending December 31,</w:t>
      </w:r>
    </w:p>
    <w:p>
      <w:pPr>
        <w:jc w:val="center"/>
        <w:ind w:right="7159"/>
        <w:spacing w:after="0"/>
        <w:rPr>
          <w:sz w:val="20"/>
          <w:szCs w:val="20"/>
          <w:color w:val="auto"/>
        </w:rPr>
      </w:pPr>
      <w:r>
        <w:rPr>
          <w:rFonts w:ascii="Courier New" w:cs="Courier New" w:eastAsia="Courier New" w:hAnsi="Courier New"/>
          <w:sz w:val="14"/>
          <w:szCs w:val="14"/>
          <w:color w:val="auto"/>
        </w:rPr>
        <w:t>2001...... 551,287,887 4,639,191</w:t>
      </w:r>
    </w:p>
    <w:p>
      <w:pPr>
        <w:spacing w:after="0" w:line="18" w:lineRule="exact"/>
        <w:rPr>
          <w:sz w:val="20"/>
          <w:szCs w:val="20"/>
          <w:color w:val="auto"/>
        </w:rPr>
      </w:pPr>
    </w:p>
    <w:p>
      <w:pPr>
        <w:jc w:val="center"/>
        <w:ind w:right="7159"/>
        <w:spacing w:after="0"/>
        <w:rPr>
          <w:sz w:val="20"/>
          <w:szCs w:val="20"/>
          <w:color w:val="auto"/>
        </w:rPr>
      </w:pPr>
      <w:r>
        <w:rPr>
          <w:rFonts w:ascii="Courier New" w:cs="Courier New" w:eastAsia="Courier New" w:hAnsi="Courier New"/>
          <w:sz w:val="16"/>
          <w:szCs w:val="16"/>
          <w:color w:val="auto"/>
        </w:rPr>
        <w:t>2,094,438 Approval of</w:t>
      </w:r>
    </w:p>
    <w:p>
      <w:pPr>
        <w:jc w:val="center"/>
        <w:ind w:right="7159"/>
        <w:spacing w:after="0" w:line="236" w:lineRule="auto"/>
        <w:rPr>
          <w:sz w:val="20"/>
          <w:szCs w:val="20"/>
          <w:color w:val="auto"/>
        </w:rPr>
      </w:pPr>
      <w:r>
        <w:rPr>
          <w:rFonts w:ascii="Courier New" w:cs="Courier New" w:eastAsia="Courier New" w:hAnsi="Courier New"/>
          <w:sz w:val="16"/>
          <w:szCs w:val="16"/>
          <w:color w:val="auto"/>
        </w:rPr>
        <w:t>Performance-Based Incentive</w:t>
      </w:r>
    </w:p>
    <w:p>
      <w:pPr>
        <w:jc w:val="center"/>
        <w:ind w:right="7159"/>
        <w:spacing w:after="0" w:line="237" w:lineRule="auto"/>
        <w:rPr>
          <w:sz w:val="20"/>
          <w:szCs w:val="20"/>
          <w:color w:val="auto"/>
        </w:rPr>
      </w:pPr>
      <w:r>
        <w:rPr>
          <w:rFonts w:ascii="Courier New" w:cs="Courier New" w:eastAsia="Courier New" w:hAnsi="Courier New"/>
          <w:sz w:val="16"/>
          <w:szCs w:val="16"/>
          <w:color w:val="auto"/>
        </w:rPr>
        <w:t>Compensation</w:t>
      </w:r>
    </w:p>
    <w:p>
      <w:pPr>
        <w:spacing w:after="0" w:line="237" w:lineRule="auto"/>
        <w:rPr>
          <w:sz w:val="20"/>
          <w:szCs w:val="20"/>
          <w:color w:val="auto"/>
        </w:rPr>
      </w:pPr>
      <w:r>
        <w:rPr>
          <w:rFonts w:ascii="Courier New" w:cs="Courier New" w:eastAsia="Courier New" w:hAnsi="Courier New"/>
          <w:sz w:val="16"/>
          <w:szCs w:val="16"/>
          <w:color w:val="auto"/>
        </w:rPr>
        <w:t>Plan.............................</w:t>
      </w:r>
    </w:p>
    <w:p>
      <w:pPr>
        <w:ind w:left="40"/>
        <w:spacing w:after="0"/>
        <w:rPr>
          <w:sz w:val="20"/>
          <w:szCs w:val="20"/>
          <w:color w:val="auto"/>
        </w:rPr>
      </w:pPr>
      <w:r>
        <w:rPr>
          <w:rFonts w:ascii="Courier New" w:cs="Courier New" w:eastAsia="Courier New" w:hAnsi="Courier New"/>
          <w:sz w:val="16"/>
          <w:szCs w:val="16"/>
          <w:color w:val="auto"/>
        </w:rPr>
        <w:t>542,096,246 12,903,134 3,022,136</w:t>
      </w:r>
    </w:p>
    <w:p>
      <w:pPr>
        <w:spacing w:after="0" w:line="327" w:lineRule="exact"/>
        <w:rPr>
          <w:sz w:val="20"/>
          <w:szCs w:val="20"/>
          <w:color w:val="auto"/>
        </w:rPr>
      </w:pPr>
    </w:p>
    <w:p>
      <w:pPr>
        <w:ind w:right="2959" w:firstLine="465"/>
        <w:spacing w:after="0" w:line="342" w:lineRule="auto"/>
        <w:rPr>
          <w:sz w:val="20"/>
          <w:szCs w:val="20"/>
          <w:color w:val="auto"/>
        </w:rPr>
      </w:pPr>
      <w:r>
        <w:rPr>
          <w:rFonts w:ascii="Courier New" w:cs="Courier New" w:eastAsia="Courier New" w:hAnsi="Courier New"/>
          <w:sz w:val="16"/>
          <w:szCs w:val="16"/>
          <w:color w:val="auto"/>
        </w:rPr>
        <w:t>The following proposal was submitted to the Company's stockholders at the meeting, but was not approved. The voting was as follows:</w:t>
      </w:r>
    </w:p>
    <w:p>
      <w:pPr>
        <w:spacing w:after="0" w:line="20"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VOTES FOR VOTES</w:t>
      </w:r>
    </w:p>
    <w:p>
      <w:pPr>
        <w:spacing w:after="0" w:line="23" w:lineRule="exact"/>
        <w:rPr>
          <w:sz w:val="20"/>
          <w:szCs w:val="20"/>
          <w:color w:val="auto"/>
        </w:rPr>
      </w:pPr>
    </w:p>
    <w:p>
      <w:pPr>
        <w:jc w:val="center"/>
        <w:ind w:right="8279"/>
        <w:spacing w:after="0"/>
        <w:rPr>
          <w:sz w:val="20"/>
          <w:szCs w:val="20"/>
          <w:color w:val="auto"/>
        </w:rPr>
      </w:pPr>
      <w:r>
        <w:rPr>
          <w:rFonts w:ascii="Courier New" w:cs="Courier New" w:eastAsia="Courier New" w:hAnsi="Courier New"/>
          <w:sz w:val="16"/>
          <w:szCs w:val="16"/>
          <w:color w:val="auto"/>
        </w:rPr>
        <w:t>AGAINST ABSTENTIONS</w:t>
      </w:r>
    </w:p>
    <w:p>
      <w:pPr>
        <w:ind w:left="40"/>
        <w:spacing w:after="0" w:line="236" w:lineRule="auto"/>
        <w:rPr>
          <w:sz w:val="20"/>
          <w:szCs w:val="20"/>
          <w:color w:val="auto"/>
        </w:rPr>
      </w:pPr>
      <w:r>
        <w:rPr>
          <w:rFonts w:ascii="Courier New" w:cs="Courier New" w:eastAsia="Courier New" w:hAnsi="Courier New"/>
          <w:sz w:val="16"/>
          <w:szCs w:val="16"/>
          <w:color w:val="auto"/>
        </w:rPr>
        <w:t>---------- ---------</w:t>
      </w:r>
    </w:p>
    <w:p>
      <w:pPr>
        <w:ind w:left="680" w:hanging="457"/>
        <w:spacing w:after="0" w:line="237" w:lineRule="auto"/>
        <w:tabs>
          <w:tab w:leader="none" w:pos="6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Separation of the</w:t>
      </w:r>
    </w:p>
    <w:p>
      <w:pPr>
        <w:jc w:val="center"/>
        <w:ind w:right="8279"/>
        <w:spacing w:after="0" w:line="237" w:lineRule="auto"/>
        <w:rPr>
          <w:sz w:val="20"/>
          <w:szCs w:val="20"/>
          <w:color w:val="auto"/>
        </w:rPr>
      </w:pPr>
      <w:r>
        <w:rPr>
          <w:rFonts w:ascii="Courier New" w:cs="Courier New" w:eastAsia="Courier New" w:hAnsi="Courier New"/>
          <w:sz w:val="16"/>
          <w:szCs w:val="16"/>
          <w:color w:val="auto"/>
        </w:rPr>
        <w:t>offices of Chairman</w:t>
      </w:r>
    </w:p>
    <w:p>
      <w:pPr>
        <w:jc w:val="center"/>
        <w:ind w:right="8279"/>
        <w:spacing w:after="0" w:line="237" w:lineRule="auto"/>
        <w:rPr>
          <w:sz w:val="20"/>
          <w:szCs w:val="20"/>
          <w:color w:val="auto"/>
        </w:rPr>
      </w:pPr>
      <w:r>
        <w:rPr>
          <w:rFonts w:ascii="Courier New" w:cs="Courier New" w:eastAsia="Courier New" w:hAnsi="Courier New"/>
          <w:sz w:val="16"/>
          <w:szCs w:val="16"/>
          <w:color w:val="auto"/>
        </w:rPr>
        <w:t>of the Board and</w:t>
      </w:r>
    </w:p>
    <w:p>
      <w:pPr>
        <w:jc w:val="center"/>
        <w:ind w:right="8279"/>
        <w:spacing w:after="0" w:line="237" w:lineRule="auto"/>
        <w:rPr>
          <w:sz w:val="20"/>
          <w:szCs w:val="20"/>
          <w:color w:val="auto"/>
        </w:rPr>
      </w:pPr>
      <w:r>
        <w:rPr>
          <w:rFonts w:ascii="Courier New" w:cs="Courier New" w:eastAsia="Courier New" w:hAnsi="Courier New"/>
          <w:sz w:val="16"/>
          <w:szCs w:val="16"/>
          <w:color w:val="auto"/>
        </w:rPr>
        <w:t>Chief Executive</w:t>
      </w:r>
    </w:p>
    <w:p>
      <w:pPr>
        <w:spacing w:after="0" w:line="237" w:lineRule="auto"/>
        <w:rPr>
          <w:sz w:val="20"/>
          <w:szCs w:val="20"/>
          <w:color w:val="auto"/>
        </w:rPr>
      </w:pPr>
      <w:r>
        <w:rPr>
          <w:rFonts w:ascii="Courier New" w:cs="Courier New" w:eastAsia="Courier New" w:hAnsi="Courier New"/>
          <w:sz w:val="16"/>
          <w:szCs w:val="16"/>
          <w:color w:val="auto"/>
        </w:rPr>
        <w:t>Officer..............</w:t>
      </w:r>
    </w:p>
    <w:p>
      <w:pPr>
        <w:jc w:val="center"/>
        <w:ind w:right="8279"/>
        <w:spacing w:after="0" w:line="237" w:lineRule="auto"/>
        <w:rPr>
          <w:sz w:val="20"/>
          <w:szCs w:val="20"/>
          <w:color w:val="auto"/>
        </w:rPr>
      </w:pPr>
      <w:r>
        <w:rPr>
          <w:rFonts w:ascii="Courier New" w:cs="Courier New" w:eastAsia="Courier New" w:hAnsi="Courier New"/>
          <w:sz w:val="16"/>
          <w:szCs w:val="16"/>
          <w:color w:val="auto"/>
        </w:rPr>
        <w:t>33,181,435</w:t>
      </w:r>
    </w:p>
    <w:p>
      <w:pPr>
        <w:jc w:val="center"/>
        <w:ind w:right="8279"/>
        <w:spacing w:after="0" w:line="237" w:lineRule="auto"/>
        <w:rPr>
          <w:sz w:val="20"/>
          <w:szCs w:val="20"/>
          <w:color w:val="auto"/>
        </w:rPr>
      </w:pPr>
      <w:r>
        <w:rPr>
          <w:rFonts w:ascii="Courier New" w:cs="Courier New" w:eastAsia="Courier New" w:hAnsi="Courier New"/>
          <w:sz w:val="16"/>
          <w:szCs w:val="16"/>
          <w:color w:val="auto"/>
        </w:rPr>
        <w:t>448,564,908</w:t>
      </w:r>
    </w:p>
    <w:p>
      <w:pPr>
        <w:jc w:val="center"/>
        <w:ind w:right="8279"/>
        <w:spacing w:after="0"/>
        <w:rPr>
          <w:sz w:val="20"/>
          <w:szCs w:val="20"/>
          <w:color w:val="auto"/>
        </w:rPr>
      </w:pPr>
      <w:r>
        <w:rPr>
          <w:rFonts w:ascii="Courier New" w:cs="Courier New" w:eastAsia="Courier New" w:hAnsi="Courier New"/>
          <w:sz w:val="16"/>
          <w:szCs w:val="16"/>
          <w:color w:val="auto"/>
        </w:rPr>
        <w:t>6,578,884</w:t>
      </w:r>
    </w:p>
    <w:p>
      <w:pPr>
        <w:spacing w:after="0" w:line="32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36</w:t>
      </w:r>
    </w:p>
    <w:p>
      <w:pPr>
        <w:sectPr>
          <w:pgSz w:w="11900" w:h="16838" w:orient="portrait"/>
          <w:cols w:equalWidth="0" w:num="1">
            <w:col w:w="10219"/>
          </w:cols>
          <w:pgMar w:left="240" w:top="269"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6"/>
          <w:szCs w:val="16"/>
          <w:color w:val="auto"/>
        </w:rPr>
        <w:t>38</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 Exhibits: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EXHIBIT NO.*</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 -</w:t>
      </w:r>
    </w:p>
    <w:p>
      <w:pPr>
        <w:ind w:left="80"/>
        <w:spacing w:after="0" w:line="236" w:lineRule="auto"/>
        <w:rPr>
          <w:sz w:val="20"/>
          <w:szCs w:val="20"/>
          <w:color w:val="auto"/>
        </w:rPr>
      </w:pPr>
      <w:r>
        <w:rPr>
          <w:rFonts w:ascii="Courier New" w:cs="Courier New" w:eastAsia="Courier New" w:hAnsi="Courier New"/>
          <w:sz w:val="16"/>
          <w:szCs w:val="16"/>
          <w:color w:val="auto"/>
        </w:rPr>
        <w:t>------------</w:t>
      </w:r>
    </w:p>
    <w:p>
      <w:pPr>
        <w:ind w:left="140"/>
        <w:spacing w:after="0" w:line="237" w:lineRule="auto"/>
        <w:rPr>
          <w:sz w:val="20"/>
          <w:szCs w:val="20"/>
          <w:color w:val="auto"/>
        </w:rPr>
      </w:pPr>
      <w:r>
        <w:rPr>
          <w:rFonts w:ascii="Courier New" w:cs="Courier New" w:eastAsia="Courier New" w:hAnsi="Courier New"/>
          <w:sz w:val="16"/>
          <w:szCs w:val="16"/>
          <w:color w:val="auto"/>
        </w:rPr>
        <w:t>-----------</w:t>
      </w:r>
    </w:p>
    <w:p>
      <w:pPr>
        <w:jc w:val="center"/>
        <w:ind w:right="8919"/>
        <w:spacing w:after="0" w:line="237" w:lineRule="auto"/>
        <w:rPr>
          <w:sz w:val="20"/>
          <w:szCs w:val="20"/>
          <w:color w:val="auto"/>
        </w:rPr>
      </w:pPr>
      <w:r>
        <w:rPr>
          <w:rFonts w:ascii="Courier New" w:cs="Courier New" w:eastAsia="Courier New" w:hAnsi="Courier New"/>
          <w:sz w:val="16"/>
          <w:szCs w:val="16"/>
          <w:color w:val="auto"/>
        </w:rPr>
        <w:t>10.1 --</w:t>
      </w:r>
    </w:p>
    <w:p>
      <w:pPr>
        <w:jc w:val="center"/>
        <w:ind w:right="8919"/>
        <w:spacing w:after="0" w:line="237" w:lineRule="auto"/>
        <w:rPr>
          <w:sz w:val="20"/>
          <w:szCs w:val="20"/>
          <w:color w:val="auto"/>
        </w:rPr>
      </w:pPr>
      <w:r>
        <w:rPr>
          <w:rFonts w:ascii="Courier New" w:cs="Courier New" w:eastAsia="Courier New" w:hAnsi="Courier New"/>
          <w:sz w:val="16"/>
          <w:szCs w:val="16"/>
          <w:color w:val="auto"/>
        </w:rPr>
        <w:t>Revolving</w:t>
      </w:r>
    </w:p>
    <w:p>
      <w:pPr>
        <w:jc w:val="center"/>
        <w:ind w:right="8919"/>
        <w:spacing w:after="0" w:line="237" w:lineRule="auto"/>
        <w:rPr>
          <w:sz w:val="20"/>
          <w:szCs w:val="20"/>
          <w:color w:val="auto"/>
        </w:rPr>
      </w:pPr>
      <w:r>
        <w:rPr>
          <w:rFonts w:ascii="Courier New" w:cs="Courier New" w:eastAsia="Courier New" w:hAnsi="Courier New"/>
          <w:sz w:val="16"/>
          <w:szCs w:val="16"/>
          <w:color w:val="auto"/>
        </w:rPr>
        <w:t>Credit</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dated June</w:t>
      </w:r>
    </w:p>
    <w:p>
      <w:pPr>
        <w:jc w:val="center"/>
        <w:ind w:right="8919"/>
        <w:spacing w:after="0" w:line="237" w:lineRule="auto"/>
        <w:rPr>
          <w:sz w:val="20"/>
          <w:szCs w:val="20"/>
          <w:color w:val="auto"/>
        </w:rPr>
      </w:pPr>
      <w:r>
        <w:rPr>
          <w:rFonts w:ascii="Courier New" w:cs="Courier New" w:eastAsia="Courier New" w:hAnsi="Courier New"/>
          <w:sz w:val="16"/>
          <w:szCs w:val="16"/>
          <w:color w:val="auto"/>
        </w:rPr>
        <w:t>29, 2001 by</w:t>
      </w:r>
    </w:p>
    <w:p>
      <w:pPr>
        <w:jc w:val="center"/>
        <w:ind w:right="8919"/>
        <w:spacing w:after="0" w:line="236" w:lineRule="auto"/>
        <w:rPr>
          <w:sz w:val="20"/>
          <w:szCs w:val="20"/>
          <w:color w:val="auto"/>
        </w:rPr>
      </w:pPr>
      <w:r>
        <w:rPr>
          <w:rFonts w:ascii="Courier New" w:cs="Courier New" w:eastAsia="Courier New" w:hAnsi="Courier New"/>
          <w:sz w:val="16"/>
          <w:szCs w:val="16"/>
          <w:color w:val="auto"/>
        </w:rPr>
        <w:t>and among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Company,</w:t>
      </w:r>
    </w:p>
    <w:p>
      <w:pPr>
        <w:jc w:val="center"/>
        <w:ind w:right="8919"/>
        <w:spacing w:after="0" w:line="237" w:lineRule="auto"/>
        <w:rPr>
          <w:sz w:val="20"/>
          <w:szCs w:val="20"/>
          <w:color w:val="auto"/>
        </w:rPr>
      </w:pPr>
      <w:r>
        <w:rPr>
          <w:rFonts w:ascii="Courier New" w:cs="Courier New" w:eastAsia="Courier New" w:hAnsi="Courier New"/>
          <w:sz w:val="16"/>
          <w:szCs w:val="16"/>
          <w:color w:val="auto"/>
        </w:rPr>
        <w:t>Waste</w:t>
      </w:r>
    </w:p>
    <w:p>
      <w:pPr>
        <w:jc w:val="center"/>
        <w:ind w:right="8919"/>
        <w:spacing w:after="0" w:line="237" w:lineRule="auto"/>
        <w:rPr>
          <w:sz w:val="20"/>
          <w:szCs w:val="20"/>
          <w:color w:val="auto"/>
        </w:rPr>
      </w:pPr>
      <w:r>
        <w:rPr>
          <w:rFonts w:ascii="Courier New" w:cs="Courier New" w:eastAsia="Courier New" w:hAnsi="Courier New"/>
          <w:sz w:val="16"/>
          <w:szCs w:val="16"/>
          <w:color w:val="auto"/>
        </w:rPr>
        <w:t>Management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Holdings,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Inc.,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banks</w:t>
      </w:r>
    </w:p>
    <w:p>
      <w:pPr>
        <w:jc w:val="center"/>
        <w:ind w:right="8919"/>
        <w:spacing w:after="0" w:line="237" w:lineRule="auto"/>
        <w:rPr>
          <w:sz w:val="20"/>
          <w:szCs w:val="20"/>
          <w:color w:val="auto"/>
        </w:rPr>
      </w:pPr>
      <w:r>
        <w:rPr>
          <w:rFonts w:ascii="Courier New" w:cs="Courier New" w:eastAsia="Courier New" w:hAnsi="Courier New"/>
          <w:sz w:val="16"/>
          <w:szCs w:val="16"/>
          <w:color w:val="auto"/>
        </w:rPr>
        <w:t>signatory</w:t>
      </w:r>
    </w:p>
    <w:p>
      <w:pPr>
        <w:jc w:val="center"/>
        <w:ind w:right="8919"/>
        <w:spacing w:after="0" w:line="236" w:lineRule="auto"/>
        <w:rPr>
          <w:sz w:val="20"/>
          <w:szCs w:val="20"/>
          <w:color w:val="auto"/>
        </w:rPr>
      </w:pPr>
      <w:r>
        <w:rPr>
          <w:rFonts w:ascii="Courier New" w:cs="Courier New" w:eastAsia="Courier New" w:hAnsi="Courier New"/>
          <w:sz w:val="16"/>
          <w:szCs w:val="16"/>
          <w:color w:val="auto"/>
        </w:rPr>
        <w:t>thereto,</w:t>
      </w:r>
    </w:p>
    <w:p>
      <w:pPr>
        <w:jc w:val="center"/>
        <w:ind w:right="8919"/>
        <w:spacing w:after="0" w:line="237" w:lineRule="auto"/>
        <w:rPr>
          <w:sz w:val="20"/>
          <w:szCs w:val="20"/>
          <w:color w:val="auto"/>
        </w:rPr>
      </w:pPr>
      <w:r>
        <w:rPr>
          <w:rFonts w:ascii="Courier New" w:cs="Courier New" w:eastAsia="Courier New" w:hAnsi="Courier New"/>
          <w:sz w:val="16"/>
          <w:szCs w:val="16"/>
          <w:color w:val="auto"/>
        </w:rPr>
        <w:t>Fleet</w:t>
      </w:r>
    </w:p>
    <w:p>
      <w:pPr>
        <w:jc w:val="center"/>
        <w:ind w:right="8919"/>
        <w:spacing w:after="0" w:line="237" w:lineRule="auto"/>
        <w:rPr>
          <w:sz w:val="20"/>
          <w:szCs w:val="20"/>
          <w:color w:val="auto"/>
        </w:rPr>
      </w:pPr>
      <w:r>
        <w:rPr>
          <w:rFonts w:ascii="Courier New" w:cs="Courier New" w:eastAsia="Courier New" w:hAnsi="Courier New"/>
          <w:sz w:val="16"/>
          <w:szCs w:val="16"/>
          <w:color w:val="auto"/>
        </w:rPr>
        <w:t>National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 as</w:t>
      </w:r>
    </w:p>
    <w:p>
      <w:pPr>
        <w:jc w:val="center"/>
        <w:ind w:right="8919"/>
        <w:spacing w:after="0"/>
        <w:rPr>
          <w:sz w:val="20"/>
          <w:szCs w:val="20"/>
          <w:color w:val="auto"/>
        </w:rPr>
      </w:pPr>
      <w:r>
        <w:rPr>
          <w:rFonts w:ascii="Courier New" w:cs="Courier New" w:eastAsia="Courier New" w:hAnsi="Courier New"/>
          <w:sz w:val="14"/>
          <w:szCs w:val="14"/>
          <w:color w:val="auto"/>
        </w:rPr>
        <w:t>administrative</w:t>
      </w:r>
    </w:p>
    <w:p>
      <w:pPr>
        <w:spacing w:after="0" w:line="18"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agent, Bank</w:t>
      </w:r>
    </w:p>
    <w:p>
      <w:pPr>
        <w:jc w:val="center"/>
        <w:ind w:right="8919"/>
        <w:spacing w:after="0" w:line="236" w:lineRule="auto"/>
        <w:rPr>
          <w:sz w:val="20"/>
          <w:szCs w:val="20"/>
          <w:color w:val="auto"/>
        </w:rPr>
      </w:pPr>
      <w:r>
        <w:rPr>
          <w:rFonts w:ascii="Courier New" w:cs="Courier New" w:eastAsia="Courier New" w:hAnsi="Courier New"/>
          <w:sz w:val="16"/>
          <w:szCs w:val="16"/>
          <w:color w:val="auto"/>
        </w:rPr>
        <w:t>of America,</w:t>
      </w:r>
    </w:p>
    <w:p>
      <w:pPr>
        <w:jc w:val="center"/>
        <w:ind w:right="8919"/>
        <w:spacing w:after="0" w:line="237" w:lineRule="auto"/>
        <w:rPr>
          <w:sz w:val="20"/>
          <w:szCs w:val="20"/>
          <w:color w:val="auto"/>
        </w:rPr>
      </w:pPr>
      <w:r>
        <w:rPr>
          <w:rFonts w:ascii="Courier New" w:cs="Courier New" w:eastAsia="Courier New" w:hAnsi="Courier New"/>
          <w:sz w:val="16"/>
          <w:szCs w:val="16"/>
          <w:color w:val="auto"/>
        </w:rPr>
        <w:t>N.A. and J.P.</w:t>
      </w:r>
    </w:p>
    <w:p>
      <w:pPr>
        <w:jc w:val="center"/>
        <w:ind w:right="8919"/>
        <w:spacing w:after="0" w:line="237" w:lineRule="auto"/>
        <w:rPr>
          <w:sz w:val="20"/>
          <w:szCs w:val="20"/>
          <w:color w:val="auto"/>
        </w:rPr>
      </w:pPr>
      <w:r>
        <w:rPr>
          <w:rFonts w:ascii="Courier New" w:cs="Courier New" w:eastAsia="Courier New" w:hAnsi="Courier New"/>
          <w:sz w:val="16"/>
          <w:szCs w:val="16"/>
          <w:color w:val="auto"/>
        </w:rPr>
        <w:t>Morgan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Inc., as co-</w:t>
      </w:r>
    </w:p>
    <w:p>
      <w:pPr>
        <w:jc w:val="center"/>
        <w:ind w:right="8919"/>
        <w:spacing w:after="0" w:line="237" w:lineRule="auto"/>
        <w:rPr>
          <w:sz w:val="20"/>
          <w:szCs w:val="20"/>
          <w:color w:val="auto"/>
        </w:rPr>
      </w:pPr>
      <w:r>
        <w:rPr>
          <w:rFonts w:ascii="Courier New" w:cs="Courier New" w:eastAsia="Courier New" w:hAnsi="Courier New"/>
          <w:sz w:val="16"/>
          <w:szCs w:val="16"/>
          <w:color w:val="auto"/>
        </w:rPr>
        <w:t>syndication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agents,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J.P. Morgan</w:t>
      </w:r>
    </w:p>
    <w:p>
      <w:pPr>
        <w:jc w:val="center"/>
        <w:ind w:right="8919"/>
        <w:spacing w:after="0" w:line="236" w:lineRule="auto"/>
        <w:rPr>
          <w:sz w:val="20"/>
          <w:szCs w:val="20"/>
          <w:color w:val="auto"/>
        </w:rPr>
      </w:pPr>
      <w:r>
        <w:rPr>
          <w:rFonts w:ascii="Courier New" w:cs="Courier New" w:eastAsia="Courier New" w:hAnsi="Courier New"/>
          <w:sz w:val="16"/>
          <w:szCs w:val="16"/>
          <w:color w:val="auto"/>
        </w:rPr>
        <w:t>and Banc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America</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LLC, as joint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lead</w:t>
      </w:r>
    </w:p>
    <w:p>
      <w:pPr>
        <w:jc w:val="center"/>
        <w:ind w:right="8919"/>
        <w:spacing w:after="0" w:line="237" w:lineRule="auto"/>
        <w:rPr>
          <w:sz w:val="20"/>
          <w:szCs w:val="20"/>
          <w:color w:val="auto"/>
        </w:rPr>
      </w:pPr>
      <w:r>
        <w:rPr>
          <w:rFonts w:ascii="Courier New" w:cs="Courier New" w:eastAsia="Courier New" w:hAnsi="Courier New"/>
          <w:sz w:val="16"/>
          <w:szCs w:val="16"/>
          <w:color w:val="auto"/>
        </w:rPr>
        <w:t>arrangers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joint book</w:t>
      </w:r>
    </w:p>
    <w:p>
      <w:pPr>
        <w:jc w:val="center"/>
        <w:ind w:right="8919"/>
        <w:spacing w:after="0" w:line="237" w:lineRule="auto"/>
        <w:rPr>
          <w:sz w:val="20"/>
          <w:szCs w:val="20"/>
          <w:color w:val="auto"/>
        </w:rPr>
      </w:pPr>
      <w:r>
        <w:rPr>
          <w:rFonts w:ascii="Courier New" w:cs="Courier New" w:eastAsia="Courier New" w:hAnsi="Courier New"/>
          <w:sz w:val="16"/>
          <w:szCs w:val="16"/>
          <w:color w:val="auto"/>
        </w:rPr>
        <w:t>managers.</w:t>
      </w:r>
    </w:p>
    <w:p>
      <w:pPr>
        <w:jc w:val="center"/>
        <w:ind w:right="8919"/>
        <w:spacing w:after="0" w:line="236" w:lineRule="auto"/>
        <w:rPr>
          <w:sz w:val="20"/>
          <w:szCs w:val="20"/>
          <w:color w:val="auto"/>
        </w:rPr>
      </w:pPr>
      <w:r>
        <w:rPr>
          <w:rFonts w:ascii="Courier New" w:cs="Courier New" w:eastAsia="Courier New" w:hAnsi="Courier New"/>
          <w:sz w:val="16"/>
          <w:szCs w:val="16"/>
          <w:color w:val="auto"/>
        </w:rPr>
        <w:t>10.2 -- 364-</w:t>
      </w:r>
    </w:p>
    <w:p>
      <w:pPr>
        <w:jc w:val="center"/>
        <w:ind w:right="8919"/>
        <w:spacing w:after="0" w:line="237" w:lineRule="auto"/>
        <w:rPr>
          <w:sz w:val="20"/>
          <w:szCs w:val="20"/>
          <w:color w:val="auto"/>
        </w:rPr>
      </w:pPr>
      <w:r>
        <w:rPr>
          <w:rFonts w:ascii="Courier New" w:cs="Courier New" w:eastAsia="Courier New" w:hAnsi="Courier New"/>
          <w:sz w:val="16"/>
          <w:szCs w:val="16"/>
          <w:color w:val="auto"/>
        </w:rPr>
        <w:t>Day Loan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dated June</w:t>
      </w:r>
    </w:p>
    <w:p>
      <w:pPr>
        <w:jc w:val="center"/>
        <w:ind w:right="8919"/>
        <w:spacing w:after="0" w:line="237" w:lineRule="auto"/>
        <w:rPr>
          <w:sz w:val="20"/>
          <w:szCs w:val="20"/>
          <w:color w:val="auto"/>
        </w:rPr>
      </w:pPr>
      <w:r>
        <w:rPr>
          <w:rFonts w:ascii="Courier New" w:cs="Courier New" w:eastAsia="Courier New" w:hAnsi="Courier New"/>
          <w:sz w:val="16"/>
          <w:szCs w:val="16"/>
          <w:color w:val="auto"/>
        </w:rPr>
        <w:t>29, 2001 by</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among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Company,</w:t>
      </w:r>
    </w:p>
    <w:p>
      <w:pPr>
        <w:jc w:val="center"/>
        <w:ind w:right="8919"/>
        <w:spacing w:after="0" w:line="237" w:lineRule="auto"/>
        <w:rPr>
          <w:sz w:val="20"/>
          <w:szCs w:val="20"/>
          <w:color w:val="auto"/>
        </w:rPr>
      </w:pPr>
      <w:r>
        <w:rPr>
          <w:rFonts w:ascii="Courier New" w:cs="Courier New" w:eastAsia="Courier New" w:hAnsi="Courier New"/>
          <w:sz w:val="16"/>
          <w:szCs w:val="16"/>
          <w:color w:val="auto"/>
        </w:rPr>
        <w:t>Waste</w:t>
      </w:r>
    </w:p>
    <w:p>
      <w:pPr>
        <w:jc w:val="center"/>
        <w:ind w:right="8919"/>
        <w:spacing w:after="0" w:line="236" w:lineRule="auto"/>
        <w:rPr>
          <w:sz w:val="20"/>
          <w:szCs w:val="20"/>
          <w:color w:val="auto"/>
        </w:rPr>
      </w:pPr>
      <w:r>
        <w:rPr>
          <w:rFonts w:ascii="Courier New" w:cs="Courier New" w:eastAsia="Courier New" w:hAnsi="Courier New"/>
          <w:sz w:val="16"/>
          <w:szCs w:val="16"/>
          <w:color w:val="auto"/>
        </w:rPr>
        <w:t>Management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Holdings,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Inc.,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banks</w:t>
      </w:r>
    </w:p>
    <w:p>
      <w:pPr>
        <w:jc w:val="center"/>
        <w:ind w:right="8919"/>
        <w:spacing w:after="0" w:line="237" w:lineRule="auto"/>
        <w:rPr>
          <w:sz w:val="20"/>
          <w:szCs w:val="20"/>
          <w:color w:val="auto"/>
        </w:rPr>
      </w:pPr>
      <w:r>
        <w:rPr>
          <w:rFonts w:ascii="Courier New" w:cs="Courier New" w:eastAsia="Courier New" w:hAnsi="Courier New"/>
          <w:sz w:val="16"/>
          <w:szCs w:val="16"/>
          <w:color w:val="auto"/>
        </w:rPr>
        <w:t>signatory</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thereto,</w:t>
      </w:r>
    </w:p>
    <w:p>
      <w:pPr>
        <w:jc w:val="center"/>
        <w:ind w:right="8919"/>
        <w:spacing w:after="0" w:line="237" w:lineRule="auto"/>
        <w:rPr>
          <w:sz w:val="20"/>
          <w:szCs w:val="20"/>
          <w:color w:val="auto"/>
        </w:rPr>
      </w:pPr>
      <w:r>
        <w:rPr>
          <w:rFonts w:ascii="Courier New" w:cs="Courier New" w:eastAsia="Courier New" w:hAnsi="Courier New"/>
          <w:sz w:val="16"/>
          <w:szCs w:val="16"/>
          <w:color w:val="auto"/>
        </w:rPr>
        <w:t>Fleet</w:t>
      </w:r>
    </w:p>
    <w:p>
      <w:pPr>
        <w:jc w:val="center"/>
        <w:ind w:right="8919"/>
        <w:spacing w:after="0" w:line="237" w:lineRule="auto"/>
        <w:rPr>
          <w:sz w:val="20"/>
          <w:szCs w:val="20"/>
          <w:color w:val="auto"/>
        </w:rPr>
      </w:pPr>
      <w:r>
        <w:rPr>
          <w:rFonts w:ascii="Courier New" w:cs="Courier New" w:eastAsia="Courier New" w:hAnsi="Courier New"/>
          <w:sz w:val="16"/>
          <w:szCs w:val="16"/>
          <w:color w:val="auto"/>
        </w:rPr>
        <w:t>National</w:t>
      </w:r>
    </w:p>
    <w:p>
      <w:pPr>
        <w:jc w:val="center"/>
        <w:ind w:right="8919"/>
        <w:spacing w:after="0" w:line="236" w:lineRule="auto"/>
        <w:rPr>
          <w:sz w:val="20"/>
          <w:szCs w:val="20"/>
          <w:color w:val="auto"/>
        </w:rPr>
      </w:pPr>
      <w:r>
        <w:rPr>
          <w:rFonts w:ascii="Courier New" w:cs="Courier New" w:eastAsia="Courier New" w:hAnsi="Courier New"/>
          <w:sz w:val="16"/>
          <w:szCs w:val="16"/>
          <w:color w:val="auto"/>
        </w:rPr>
        <w:t>Bank, as</w:t>
      </w:r>
    </w:p>
    <w:p>
      <w:pPr>
        <w:spacing w:after="0" w:line="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administrative</w:t>
      </w:r>
    </w:p>
    <w:p>
      <w:pPr>
        <w:spacing w:after="0" w:line="18"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agent,</w:t>
      </w:r>
    </w:p>
    <w:p>
      <w:pPr>
        <w:jc w:val="center"/>
        <w:ind w:right="8919"/>
        <w:spacing w:after="0" w:line="236" w:lineRule="auto"/>
        <w:rPr>
          <w:sz w:val="20"/>
          <w:szCs w:val="20"/>
          <w:color w:val="auto"/>
        </w:rPr>
      </w:pPr>
      <w:r>
        <w:rPr>
          <w:rFonts w:ascii="Courier New" w:cs="Courier New" w:eastAsia="Courier New" w:hAnsi="Courier New"/>
          <w:sz w:val="16"/>
          <w:szCs w:val="16"/>
          <w:color w:val="auto"/>
        </w:rPr>
        <w:t>Deutsche Bank</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 New York</w:t>
      </w:r>
    </w:p>
    <w:p>
      <w:pPr>
        <w:jc w:val="center"/>
        <w:ind w:right="8919"/>
        <w:spacing w:after="0" w:line="237" w:lineRule="auto"/>
        <w:rPr>
          <w:sz w:val="20"/>
          <w:szCs w:val="20"/>
          <w:color w:val="auto"/>
        </w:rPr>
      </w:pPr>
      <w:r>
        <w:rPr>
          <w:rFonts w:ascii="Courier New" w:cs="Courier New" w:eastAsia="Courier New" w:hAnsi="Courier New"/>
          <w:sz w:val="16"/>
          <w:szCs w:val="16"/>
          <w:color w:val="auto"/>
        </w:rPr>
        <w:t>Branch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Citibank,</w:t>
      </w:r>
    </w:p>
    <w:p>
      <w:pPr>
        <w:jc w:val="center"/>
        <w:ind w:right="8919"/>
        <w:spacing w:after="0" w:line="237" w:lineRule="auto"/>
        <w:rPr>
          <w:sz w:val="20"/>
          <w:szCs w:val="20"/>
          <w:color w:val="auto"/>
        </w:rPr>
      </w:pPr>
      <w:r>
        <w:rPr>
          <w:rFonts w:ascii="Courier New" w:cs="Courier New" w:eastAsia="Courier New" w:hAnsi="Courier New"/>
          <w:sz w:val="16"/>
          <w:szCs w:val="16"/>
          <w:color w:val="auto"/>
        </w:rPr>
        <w:t>N.A., as co-</w:t>
      </w:r>
    </w:p>
    <w:p>
      <w:pPr>
        <w:jc w:val="center"/>
        <w:ind w:right="8919"/>
        <w:spacing w:after="0" w:line="237" w:lineRule="auto"/>
        <w:rPr>
          <w:sz w:val="20"/>
          <w:szCs w:val="20"/>
          <w:color w:val="auto"/>
        </w:rPr>
      </w:pPr>
      <w:r>
        <w:rPr>
          <w:rFonts w:ascii="Courier New" w:cs="Courier New" w:eastAsia="Courier New" w:hAnsi="Courier New"/>
          <w:sz w:val="16"/>
          <w:szCs w:val="16"/>
          <w:color w:val="auto"/>
        </w:rPr>
        <w:t>documentation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agent, Bank</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America,</w:t>
      </w:r>
    </w:p>
    <w:p>
      <w:pPr>
        <w:jc w:val="center"/>
        <w:ind w:right="8919"/>
        <w:spacing w:after="0" w:line="236" w:lineRule="auto"/>
        <w:rPr>
          <w:sz w:val="20"/>
          <w:szCs w:val="20"/>
          <w:color w:val="auto"/>
        </w:rPr>
      </w:pPr>
      <w:r>
        <w:rPr>
          <w:rFonts w:ascii="Courier New" w:cs="Courier New" w:eastAsia="Courier New" w:hAnsi="Courier New"/>
          <w:sz w:val="16"/>
          <w:szCs w:val="16"/>
          <w:color w:val="auto"/>
        </w:rPr>
        <w:t>N.A. and J.P.</w:t>
      </w:r>
    </w:p>
    <w:p>
      <w:pPr>
        <w:jc w:val="center"/>
        <w:ind w:right="8919"/>
        <w:spacing w:after="0" w:line="237" w:lineRule="auto"/>
        <w:rPr>
          <w:sz w:val="20"/>
          <w:szCs w:val="20"/>
          <w:color w:val="auto"/>
        </w:rPr>
      </w:pPr>
      <w:r>
        <w:rPr>
          <w:rFonts w:ascii="Courier New" w:cs="Courier New" w:eastAsia="Courier New" w:hAnsi="Courier New"/>
          <w:sz w:val="16"/>
          <w:szCs w:val="16"/>
          <w:color w:val="auto"/>
        </w:rPr>
        <w:t>Morgan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Inc., as co-</w:t>
      </w:r>
    </w:p>
    <w:p>
      <w:pPr>
        <w:jc w:val="center"/>
        <w:ind w:right="8919"/>
        <w:spacing w:after="0" w:line="237" w:lineRule="auto"/>
        <w:rPr>
          <w:sz w:val="20"/>
          <w:szCs w:val="20"/>
          <w:color w:val="auto"/>
        </w:rPr>
      </w:pPr>
      <w:r>
        <w:rPr>
          <w:rFonts w:ascii="Courier New" w:cs="Courier New" w:eastAsia="Courier New" w:hAnsi="Courier New"/>
          <w:sz w:val="16"/>
          <w:szCs w:val="16"/>
          <w:color w:val="auto"/>
        </w:rPr>
        <w:t>syndication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agents,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J.P. Morgan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Banc of</w:t>
      </w:r>
    </w:p>
    <w:p>
      <w:pPr>
        <w:jc w:val="center"/>
        <w:ind w:right="8919"/>
        <w:spacing w:after="0" w:line="236" w:lineRule="auto"/>
        <w:rPr>
          <w:sz w:val="20"/>
          <w:szCs w:val="20"/>
          <w:color w:val="auto"/>
        </w:rPr>
      </w:pPr>
      <w:r>
        <w:rPr>
          <w:rFonts w:ascii="Courier New" w:cs="Courier New" w:eastAsia="Courier New" w:hAnsi="Courier New"/>
          <w:sz w:val="16"/>
          <w:szCs w:val="16"/>
          <w:color w:val="auto"/>
        </w:rPr>
        <w:t>America</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LLC, as joint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lead</w:t>
      </w:r>
    </w:p>
    <w:p>
      <w:pPr>
        <w:jc w:val="center"/>
        <w:ind w:right="8919"/>
        <w:spacing w:after="0" w:line="237" w:lineRule="auto"/>
        <w:rPr>
          <w:sz w:val="20"/>
          <w:szCs w:val="20"/>
          <w:color w:val="auto"/>
        </w:rPr>
      </w:pPr>
      <w:r>
        <w:rPr>
          <w:rFonts w:ascii="Courier New" w:cs="Courier New" w:eastAsia="Courier New" w:hAnsi="Courier New"/>
          <w:sz w:val="16"/>
          <w:szCs w:val="16"/>
          <w:color w:val="auto"/>
        </w:rPr>
        <w:t>arrangers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joint book</w:t>
      </w:r>
    </w:p>
    <w:p>
      <w:pPr>
        <w:jc w:val="center"/>
        <w:ind w:right="8919"/>
        <w:spacing w:after="0" w:line="237" w:lineRule="auto"/>
        <w:rPr>
          <w:sz w:val="20"/>
          <w:szCs w:val="20"/>
          <w:color w:val="auto"/>
        </w:rPr>
      </w:pPr>
      <w:r>
        <w:rPr>
          <w:rFonts w:ascii="Courier New" w:cs="Courier New" w:eastAsia="Courier New" w:hAnsi="Courier New"/>
          <w:sz w:val="16"/>
          <w:szCs w:val="16"/>
          <w:color w:val="auto"/>
        </w:rPr>
        <w:t>managers.</w:t>
      </w:r>
    </w:p>
    <w:p>
      <w:pPr>
        <w:jc w:val="center"/>
        <w:ind w:right="8919"/>
        <w:spacing w:after="0" w:line="237" w:lineRule="auto"/>
        <w:rPr>
          <w:sz w:val="20"/>
          <w:szCs w:val="20"/>
          <w:color w:val="auto"/>
        </w:rPr>
      </w:pPr>
      <w:r>
        <w:rPr>
          <w:rFonts w:ascii="Courier New" w:cs="Courier New" w:eastAsia="Courier New" w:hAnsi="Courier New"/>
          <w:sz w:val="16"/>
          <w:szCs w:val="16"/>
          <w:color w:val="auto"/>
        </w:rPr>
        <w:t>10.3 --</w:t>
      </w:r>
    </w:p>
    <w:p>
      <w:pPr>
        <w:jc w:val="center"/>
        <w:ind w:right="8919"/>
        <w:spacing w:after="0" w:line="236" w:lineRule="auto"/>
        <w:rPr>
          <w:sz w:val="20"/>
          <w:szCs w:val="20"/>
          <w:color w:val="auto"/>
        </w:rPr>
      </w:pPr>
      <w:r>
        <w:rPr>
          <w:rFonts w:ascii="Courier New" w:cs="Courier New" w:eastAsia="Courier New" w:hAnsi="Courier New"/>
          <w:sz w:val="16"/>
          <w:szCs w:val="16"/>
          <w:color w:val="auto"/>
        </w:rPr>
        <w:t>Performance</w:t>
      </w:r>
    </w:p>
    <w:p>
      <w:pPr>
        <w:spacing w:after="0" w:line="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Based</w:t>
      </w:r>
    </w:p>
    <w:p>
      <w:pPr>
        <w:sectPr>
          <w:pgSz w:w="11900" w:h="16838" w:orient="portrait"/>
          <w:cols w:equalWidth="0" w:num="1">
            <w:col w:w="10219"/>
          </w:cols>
          <w:pgMar w:left="240" w:top="269" w:right="1440" w:bottom="0" w:gutter="0" w:footer="0" w:header="0"/>
        </w:sectPr>
      </w:pPr>
    </w:p>
    <w:bookmarkStart w:id="40" w:name="page41"/>
    <w:bookmarkEnd w:id="40"/>
    <w:p>
      <w:pPr>
        <w:jc w:val="center"/>
        <w:ind w:right="8915"/>
        <w:spacing w:after="0"/>
        <w:rPr>
          <w:sz w:val="20"/>
          <w:szCs w:val="20"/>
          <w:color w:val="auto"/>
        </w:rPr>
      </w:pPr>
      <w:r>
        <w:rPr>
          <w:rFonts w:ascii="Courier New" w:cs="Courier New" w:eastAsia="Courier New" w:hAnsi="Courier New"/>
          <w:sz w:val="16"/>
          <w:szCs w:val="16"/>
          <w:color w:val="auto"/>
        </w:rPr>
        <w:t>Compensation</w:t>
      </w:r>
    </w:p>
    <w:p>
      <w:pPr>
        <w:spacing w:after="0" w:line="23" w:lineRule="exact"/>
        <w:rPr>
          <w:sz w:val="20"/>
          <w:szCs w:val="20"/>
          <w:color w:val="auto"/>
        </w:rPr>
      </w:pPr>
    </w:p>
    <w:p>
      <w:pPr>
        <w:jc w:val="center"/>
        <w:ind w:right="8915"/>
        <w:spacing w:after="0"/>
        <w:rPr>
          <w:sz w:val="20"/>
          <w:szCs w:val="20"/>
          <w:color w:val="auto"/>
        </w:rPr>
      </w:pPr>
      <w:r>
        <w:rPr>
          <w:rFonts w:ascii="Courier New" w:cs="Courier New" w:eastAsia="Courier New" w:hAnsi="Courier New"/>
          <w:sz w:val="16"/>
          <w:szCs w:val="16"/>
          <w:color w:val="auto"/>
        </w:rPr>
        <w:t>Plan. 10.4 --</w:t>
      </w:r>
    </w:p>
    <w:p>
      <w:pPr>
        <w:jc w:val="center"/>
        <w:ind w:right="8915"/>
        <w:spacing w:after="0" w:line="236" w:lineRule="auto"/>
        <w:rPr>
          <w:sz w:val="20"/>
          <w:szCs w:val="20"/>
          <w:color w:val="auto"/>
        </w:rPr>
      </w:pPr>
      <w:r>
        <w:rPr>
          <w:rFonts w:ascii="Courier New" w:cs="Courier New" w:eastAsia="Courier New" w:hAnsi="Courier New"/>
          <w:sz w:val="16"/>
          <w:szCs w:val="16"/>
          <w:color w:val="auto"/>
        </w:rPr>
        <w:t>Employment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dated April</w:t>
      </w:r>
    </w:p>
    <w:p>
      <w:pPr>
        <w:jc w:val="center"/>
        <w:ind w:right="8915"/>
        <w:spacing w:after="0" w:line="237" w:lineRule="auto"/>
        <w:rPr>
          <w:sz w:val="20"/>
          <w:szCs w:val="20"/>
          <w:color w:val="auto"/>
        </w:rPr>
      </w:pPr>
      <w:r>
        <w:rPr>
          <w:rFonts w:ascii="Courier New" w:cs="Courier New" w:eastAsia="Courier New" w:hAnsi="Courier New"/>
          <w:sz w:val="16"/>
          <w:szCs w:val="16"/>
          <w:color w:val="auto"/>
        </w:rPr>
        <w:t>1, 2001</w:t>
      </w:r>
    </w:p>
    <w:p>
      <w:pPr>
        <w:jc w:val="center"/>
        <w:ind w:right="8915"/>
        <w:spacing w:after="0" w:line="237" w:lineRule="auto"/>
        <w:rPr>
          <w:sz w:val="20"/>
          <w:szCs w:val="20"/>
          <w:color w:val="auto"/>
        </w:rPr>
      </w:pPr>
      <w:r>
        <w:rPr>
          <w:rFonts w:ascii="Courier New" w:cs="Courier New" w:eastAsia="Courier New" w:hAnsi="Courier New"/>
          <w:sz w:val="16"/>
          <w:szCs w:val="16"/>
          <w:color w:val="auto"/>
        </w:rPr>
        <w:t>between Waste</w:t>
      </w:r>
    </w:p>
    <w:p>
      <w:pPr>
        <w:jc w:val="center"/>
        <w:ind w:right="8915"/>
        <w:spacing w:after="0" w:line="237" w:lineRule="auto"/>
        <w:rPr>
          <w:sz w:val="20"/>
          <w:szCs w:val="20"/>
          <w:color w:val="auto"/>
        </w:rPr>
      </w:pPr>
      <w:r>
        <w:rPr>
          <w:rFonts w:ascii="Courier New" w:cs="Courier New" w:eastAsia="Courier New" w:hAnsi="Courier New"/>
          <w:sz w:val="16"/>
          <w:szCs w:val="16"/>
          <w:color w:val="auto"/>
        </w:rPr>
        <w:t>Management,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Inc. and</w:t>
      </w:r>
    </w:p>
    <w:p>
      <w:pPr>
        <w:jc w:val="center"/>
        <w:ind w:right="8915"/>
        <w:spacing w:after="0" w:line="237" w:lineRule="auto"/>
        <w:rPr>
          <w:sz w:val="20"/>
          <w:szCs w:val="20"/>
          <w:color w:val="auto"/>
        </w:rPr>
      </w:pPr>
      <w:r>
        <w:rPr>
          <w:rFonts w:ascii="Courier New" w:cs="Courier New" w:eastAsia="Courier New" w:hAnsi="Courier New"/>
          <w:sz w:val="16"/>
          <w:szCs w:val="16"/>
          <w:color w:val="auto"/>
        </w:rPr>
        <w:t>Domenic Pio.</w:t>
      </w:r>
    </w:p>
    <w:p>
      <w:pPr>
        <w:jc w:val="center"/>
        <w:ind w:right="8915"/>
        <w:spacing w:after="0" w:line="236" w:lineRule="auto"/>
        <w:rPr>
          <w:sz w:val="20"/>
          <w:szCs w:val="20"/>
          <w:color w:val="auto"/>
        </w:rPr>
      </w:pPr>
      <w:r>
        <w:rPr>
          <w:rFonts w:ascii="Courier New" w:cs="Courier New" w:eastAsia="Courier New" w:hAnsi="Courier New"/>
          <w:sz w:val="16"/>
          <w:szCs w:val="16"/>
          <w:color w:val="auto"/>
        </w:rPr>
        <w:t>10.5 --</w:t>
      </w:r>
    </w:p>
    <w:p>
      <w:pPr>
        <w:jc w:val="center"/>
        <w:ind w:right="8915"/>
        <w:spacing w:after="0" w:line="237" w:lineRule="auto"/>
        <w:rPr>
          <w:sz w:val="20"/>
          <w:szCs w:val="20"/>
          <w:color w:val="auto"/>
        </w:rPr>
      </w:pPr>
      <w:r>
        <w:rPr>
          <w:rFonts w:ascii="Courier New" w:cs="Courier New" w:eastAsia="Courier New" w:hAnsi="Courier New"/>
          <w:sz w:val="16"/>
          <w:szCs w:val="16"/>
          <w:color w:val="auto"/>
        </w:rPr>
        <w:t>Employment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dated May 14,</w:t>
      </w:r>
    </w:p>
    <w:p>
      <w:pPr>
        <w:jc w:val="center"/>
        <w:ind w:right="8915"/>
        <w:spacing w:after="0" w:line="237" w:lineRule="auto"/>
        <w:rPr>
          <w:sz w:val="20"/>
          <w:szCs w:val="20"/>
          <w:color w:val="auto"/>
        </w:rPr>
      </w:pPr>
      <w:r>
        <w:rPr>
          <w:rFonts w:ascii="Courier New" w:cs="Courier New" w:eastAsia="Courier New" w:hAnsi="Courier New"/>
          <w:sz w:val="16"/>
          <w:szCs w:val="16"/>
          <w:color w:val="auto"/>
        </w:rPr>
        <w:t>2001 between</w:t>
      </w:r>
    </w:p>
    <w:p>
      <w:pPr>
        <w:jc w:val="center"/>
        <w:ind w:right="8915"/>
        <w:spacing w:after="0" w:line="237" w:lineRule="auto"/>
        <w:rPr>
          <w:sz w:val="20"/>
          <w:szCs w:val="20"/>
          <w:color w:val="auto"/>
        </w:rPr>
      </w:pPr>
      <w:r>
        <w:rPr>
          <w:rFonts w:ascii="Courier New" w:cs="Courier New" w:eastAsia="Courier New" w:hAnsi="Courier New"/>
          <w:sz w:val="16"/>
          <w:szCs w:val="16"/>
          <w:color w:val="auto"/>
        </w:rPr>
        <w:t>Waste</w:t>
      </w:r>
    </w:p>
    <w:p>
      <w:pPr>
        <w:jc w:val="center"/>
        <w:ind w:right="8915"/>
        <w:spacing w:after="0" w:line="237" w:lineRule="auto"/>
        <w:rPr>
          <w:sz w:val="20"/>
          <w:szCs w:val="20"/>
          <w:color w:val="auto"/>
        </w:rPr>
      </w:pPr>
      <w:r>
        <w:rPr>
          <w:rFonts w:ascii="Courier New" w:cs="Courier New" w:eastAsia="Courier New" w:hAnsi="Courier New"/>
          <w:sz w:val="16"/>
          <w:szCs w:val="16"/>
          <w:color w:val="auto"/>
        </w:rPr>
        <w:t>Management,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Inc. and</w:t>
      </w:r>
    </w:p>
    <w:p>
      <w:pPr>
        <w:jc w:val="center"/>
        <w:ind w:right="8915"/>
        <w:spacing w:after="0" w:line="236" w:lineRule="auto"/>
        <w:rPr>
          <w:sz w:val="20"/>
          <w:szCs w:val="20"/>
          <w:color w:val="auto"/>
        </w:rPr>
      </w:pPr>
      <w:r>
        <w:rPr>
          <w:rFonts w:ascii="Courier New" w:cs="Courier New" w:eastAsia="Courier New" w:hAnsi="Courier New"/>
          <w:sz w:val="16"/>
          <w:szCs w:val="16"/>
          <w:color w:val="auto"/>
        </w:rPr>
        <w:t>Richard</w:t>
      </w:r>
    </w:p>
    <w:p>
      <w:pPr>
        <w:jc w:val="center"/>
        <w:ind w:right="8915"/>
        <w:spacing w:after="0" w:line="237" w:lineRule="auto"/>
        <w:rPr>
          <w:sz w:val="20"/>
          <w:szCs w:val="20"/>
          <w:color w:val="auto"/>
        </w:rPr>
      </w:pPr>
      <w:r>
        <w:rPr>
          <w:rFonts w:ascii="Courier New" w:cs="Courier New" w:eastAsia="Courier New" w:hAnsi="Courier New"/>
          <w:sz w:val="16"/>
          <w:szCs w:val="16"/>
          <w:color w:val="auto"/>
        </w:rPr>
        <w:t>Felago. 12 --</w:t>
      </w:r>
    </w:p>
    <w:p>
      <w:pPr>
        <w:jc w:val="center"/>
        <w:ind w:right="8915"/>
        <w:spacing w:after="0" w:line="237" w:lineRule="auto"/>
        <w:rPr>
          <w:sz w:val="20"/>
          <w:szCs w:val="20"/>
          <w:color w:val="auto"/>
        </w:rPr>
      </w:pPr>
      <w:r>
        <w:rPr>
          <w:rFonts w:ascii="Courier New" w:cs="Courier New" w:eastAsia="Courier New" w:hAnsi="Courier New"/>
          <w:sz w:val="16"/>
          <w:szCs w:val="16"/>
          <w:color w:val="auto"/>
        </w:rPr>
        <w:t>Computation</w:t>
      </w:r>
    </w:p>
    <w:p>
      <w:pPr>
        <w:jc w:val="center"/>
        <w:ind w:right="8915"/>
        <w:spacing w:after="0" w:line="237" w:lineRule="auto"/>
        <w:rPr>
          <w:sz w:val="20"/>
          <w:szCs w:val="20"/>
          <w:color w:val="auto"/>
        </w:rPr>
      </w:pPr>
      <w:r>
        <w:rPr>
          <w:rFonts w:ascii="Courier New" w:cs="Courier New" w:eastAsia="Courier New" w:hAnsi="Courier New"/>
          <w:sz w:val="16"/>
          <w:szCs w:val="16"/>
          <w:color w:val="auto"/>
        </w:rPr>
        <w:t>of Ratio of</w:t>
      </w:r>
    </w:p>
    <w:p>
      <w:pPr>
        <w:jc w:val="center"/>
        <w:ind w:right="8915"/>
        <w:spacing w:after="0" w:line="237" w:lineRule="auto"/>
        <w:rPr>
          <w:sz w:val="20"/>
          <w:szCs w:val="20"/>
          <w:color w:val="auto"/>
        </w:rPr>
      </w:pPr>
      <w:r>
        <w:rPr>
          <w:rFonts w:ascii="Courier New" w:cs="Courier New" w:eastAsia="Courier New" w:hAnsi="Courier New"/>
          <w:sz w:val="16"/>
          <w:szCs w:val="16"/>
          <w:color w:val="auto"/>
        </w:rPr>
        <w:t>Earnings to</w:t>
      </w:r>
    </w:p>
    <w:p>
      <w:pPr>
        <w:jc w:val="center"/>
        <w:ind w:right="8915"/>
        <w:spacing w:after="0" w:line="237" w:lineRule="auto"/>
        <w:rPr>
          <w:sz w:val="20"/>
          <w:szCs w:val="20"/>
          <w:color w:val="auto"/>
        </w:rPr>
      </w:pPr>
      <w:r>
        <w:rPr>
          <w:rFonts w:ascii="Courier New" w:cs="Courier New" w:eastAsia="Courier New" w:hAnsi="Courier New"/>
          <w:sz w:val="16"/>
          <w:szCs w:val="16"/>
          <w:color w:val="auto"/>
        </w:rPr>
        <w:t>Fixed</w:t>
      </w:r>
    </w:p>
    <w:p>
      <w:pPr>
        <w:jc w:val="center"/>
        <w:ind w:right="8915"/>
        <w:spacing w:after="0"/>
        <w:rPr>
          <w:sz w:val="20"/>
          <w:szCs w:val="20"/>
          <w:color w:val="auto"/>
        </w:rPr>
      </w:pPr>
      <w:r>
        <w:rPr>
          <w:rFonts w:ascii="Courier New" w:cs="Courier New" w:eastAsia="Courier New" w:hAnsi="Courier New"/>
          <w:sz w:val="16"/>
          <w:szCs w:val="16"/>
          <w:color w:val="auto"/>
        </w:rPr>
        <w:t>Charges.</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185" w:right="2959" w:hanging="185"/>
        <w:spacing w:after="0" w:line="271" w:lineRule="auto"/>
        <w:tabs>
          <w:tab w:leader="none" w:pos="185"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incorporation by reference to documents filed under the Securities and Exchange Act of 1934, the Registrant's file number under that Act is 1-12154.</w:t>
      </w:r>
    </w:p>
    <w:p>
      <w:pPr>
        <w:spacing w:after="0" w:line="73" w:lineRule="exact"/>
        <w:rPr>
          <w:rFonts w:ascii="Courier New" w:cs="Courier New" w:eastAsia="Courier New" w:hAnsi="Courier New"/>
          <w:sz w:val="16"/>
          <w:szCs w:val="16"/>
          <w:color w:val="auto"/>
        </w:rPr>
      </w:pPr>
    </w:p>
    <w:p>
      <w:pPr>
        <w:ind w:left="565" w:hanging="379"/>
        <w:spacing w:after="0"/>
        <w:tabs>
          <w:tab w:leader="none" w:pos="565"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77" w:lineRule="exact"/>
        <w:rPr>
          <w:sz w:val="20"/>
          <w:szCs w:val="20"/>
          <w:color w:val="auto"/>
        </w:rPr>
      </w:pPr>
    </w:p>
    <w:p>
      <w:pPr>
        <w:ind w:left="5" w:right="2779" w:firstLine="465"/>
        <w:spacing w:after="0" w:line="296" w:lineRule="auto"/>
        <w:rPr>
          <w:sz w:val="20"/>
          <w:szCs w:val="20"/>
          <w:color w:val="auto"/>
        </w:rPr>
      </w:pPr>
      <w:r>
        <w:rPr>
          <w:rFonts w:ascii="Courier New" w:cs="Courier New" w:eastAsia="Courier New" w:hAnsi="Courier New"/>
          <w:sz w:val="14"/>
          <w:szCs w:val="14"/>
          <w:color w:val="auto"/>
        </w:rPr>
        <w:t>During the second quarter of 2001, the Company filed a Current Report on Form 8-K, dated June 19, 2001, to comment on the announcement that its outside auditor, Arthur Andersen LLP, had reached a settlement with the SEC regarding audits done for Waste Management Holdings, Inc. (a wholly-owned subsidiary of the Company that was known as Waste Management, Inc. before its acquisition by the Company in July 1998) for the calendar years in the period from 1993 through 1996 and the 1998 restatement of such subsidiary's financial statements.</w:t>
      </w:r>
    </w:p>
    <w:p>
      <w:pPr>
        <w:spacing w:after="0" w:line="62"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37</w:t>
      </w:r>
    </w:p>
    <w:p>
      <w:pPr>
        <w:sectPr>
          <w:pgSz w:w="11900" w:h="16838" w:orient="portrait"/>
          <w:cols w:equalWidth="0" w:num="1">
            <w:col w:w="10224"/>
          </w:cols>
          <w:pgMar w:left="235" w:top="114"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39</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SIGNATURES</w:t>
      </w:r>
    </w:p>
    <w:p>
      <w:pPr>
        <w:spacing w:after="0" w:line="177" w:lineRule="exact"/>
        <w:rPr>
          <w:sz w:val="20"/>
          <w:szCs w:val="20"/>
          <w:color w:val="auto"/>
        </w:rPr>
      </w:pPr>
    </w:p>
    <w:p>
      <w:pPr>
        <w:ind w:right="3059" w:firstLine="465"/>
        <w:spacing w:after="0" w:line="289"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6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By: /s/ WILLIAM L. TRUBECK</w:t>
      </w:r>
    </w:p>
    <w:p>
      <w:pPr>
        <w:spacing w:after="0" w:line="26"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William L. Trubeck</w:t>
      </w:r>
    </w:p>
    <w:p>
      <w:pPr>
        <w:ind w:left="4080"/>
        <w:spacing w:after="0" w:line="236" w:lineRule="auto"/>
        <w:rPr>
          <w:sz w:val="20"/>
          <w:szCs w:val="20"/>
          <w:color w:val="auto"/>
        </w:rPr>
      </w:pPr>
      <w:r>
        <w:rPr>
          <w:rFonts w:ascii="Courier New" w:cs="Courier New" w:eastAsia="Courier New" w:hAnsi="Courier New"/>
          <w:sz w:val="16"/>
          <w:szCs w:val="16"/>
          <w:color w:val="auto"/>
        </w:rPr>
        <w:t>Executive Vice President and</w:t>
      </w:r>
    </w:p>
    <w:p>
      <w:pPr>
        <w:ind w:left="4080"/>
        <w:spacing w:after="0" w:line="237" w:lineRule="auto"/>
        <w:rPr>
          <w:sz w:val="20"/>
          <w:szCs w:val="20"/>
          <w:color w:val="auto"/>
        </w:rPr>
      </w:pPr>
      <w:r>
        <w:rPr>
          <w:rFonts w:ascii="Courier New" w:cs="Courier New" w:eastAsia="Courier New" w:hAnsi="Courier New"/>
          <w:sz w:val="16"/>
          <w:szCs w:val="16"/>
          <w:color w:val="auto"/>
        </w:rPr>
        <w:t>Chief Financial Officer</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(Principal Financial Officer)</w:t>
      </w:r>
    </w:p>
    <w:p>
      <w:pPr>
        <w:spacing w:after="0" w:line="14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By: /s/ BRUCE E. SNYDER</w:t>
      </w:r>
    </w:p>
    <w:p>
      <w:pPr>
        <w:spacing w:after="0" w:line="26"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Bruce E. Snyder</w:t>
      </w:r>
    </w:p>
    <w:p>
      <w:pPr>
        <w:ind w:left="4080"/>
        <w:spacing w:after="0" w:line="236" w:lineRule="auto"/>
        <w:rPr>
          <w:sz w:val="20"/>
          <w:szCs w:val="20"/>
          <w:color w:val="auto"/>
        </w:rPr>
      </w:pPr>
      <w:r>
        <w:rPr>
          <w:rFonts w:ascii="Courier New" w:cs="Courier New" w:eastAsia="Courier New" w:hAnsi="Courier New"/>
          <w:sz w:val="16"/>
          <w:szCs w:val="16"/>
          <w:color w:val="auto"/>
        </w:rPr>
        <w:t>Vice President and</w:t>
      </w:r>
    </w:p>
    <w:p>
      <w:pPr>
        <w:ind w:left="4080"/>
        <w:spacing w:after="0" w:line="237" w:lineRule="auto"/>
        <w:rPr>
          <w:sz w:val="20"/>
          <w:szCs w:val="20"/>
          <w:color w:val="auto"/>
        </w:rPr>
      </w:pPr>
      <w:r>
        <w:rPr>
          <w:rFonts w:ascii="Courier New" w:cs="Courier New" w:eastAsia="Courier New" w:hAnsi="Courier New"/>
          <w:sz w:val="16"/>
          <w:szCs w:val="16"/>
          <w:color w:val="auto"/>
        </w:rPr>
        <w:t>Chief Accounting Officer</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(Principal Accounting Officer)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August 9, 2001</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38</w:t>
      </w:r>
    </w:p>
    <w:p>
      <w:pPr>
        <w:sectPr>
          <w:pgSz w:w="11900" w:h="16838" w:orient="portrait"/>
          <w:cols w:equalWidth="0" w:num="1">
            <w:col w:w="10219"/>
          </w:cols>
          <w:pgMar w:left="240" w:top="269"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40</w:t>
      </w:r>
    </w:p>
    <w:p>
      <w:pPr>
        <w:spacing w:after="0" w:line="177"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6"/>
          <w:szCs w:val="16"/>
          <w:color w:val="auto"/>
        </w:rPr>
        <w:t>INDEX TO EXHIBITS</w:t>
      </w:r>
    </w:p>
    <w:p>
      <w:pPr>
        <w:spacing w:after="0" w:line="177"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EXHIBIT NO.*</w:t>
      </w:r>
    </w:p>
    <w:p>
      <w:pPr>
        <w:spacing w:after="0" w:line="23"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DESCRIPTION -</w:t>
      </w:r>
    </w:p>
    <w:p>
      <w:pPr>
        <w:ind w:left="80"/>
        <w:spacing w:after="0" w:line="236" w:lineRule="auto"/>
        <w:rPr>
          <w:sz w:val="20"/>
          <w:szCs w:val="20"/>
          <w:color w:val="auto"/>
        </w:rPr>
      </w:pPr>
      <w:r>
        <w:rPr>
          <w:rFonts w:ascii="Courier New" w:cs="Courier New" w:eastAsia="Courier New" w:hAnsi="Courier New"/>
          <w:sz w:val="16"/>
          <w:szCs w:val="16"/>
          <w:color w:val="auto"/>
        </w:rPr>
        <w:t>------------</w:t>
      </w:r>
    </w:p>
    <w:p>
      <w:pPr>
        <w:ind w:left="140"/>
        <w:spacing w:after="0" w:line="237" w:lineRule="auto"/>
        <w:rPr>
          <w:sz w:val="20"/>
          <w:szCs w:val="20"/>
          <w:color w:val="auto"/>
        </w:rPr>
      </w:pPr>
      <w:r>
        <w:rPr>
          <w:rFonts w:ascii="Courier New" w:cs="Courier New" w:eastAsia="Courier New" w:hAnsi="Courier New"/>
          <w:sz w:val="16"/>
          <w:szCs w:val="16"/>
          <w:color w:val="auto"/>
        </w:rPr>
        <w:t>-----------</w:t>
      </w:r>
    </w:p>
    <w:p>
      <w:pPr>
        <w:jc w:val="center"/>
        <w:ind w:right="8919"/>
        <w:spacing w:after="0" w:line="237" w:lineRule="auto"/>
        <w:rPr>
          <w:sz w:val="20"/>
          <w:szCs w:val="20"/>
          <w:color w:val="auto"/>
        </w:rPr>
      </w:pPr>
      <w:r>
        <w:rPr>
          <w:rFonts w:ascii="Courier New" w:cs="Courier New" w:eastAsia="Courier New" w:hAnsi="Courier New"/>
          <w:sz w:val="16"/>
          <w:szCs w:val="16"/>
          <w:color w:val="auto"/>
        </w:rPr>
        <w:t>10.1 --</w:t>
      </w:r>
    </w:p>
    <w:p>
      <w:pPr>
        <w:jc w:val="center"/>
        <w:ind w:right="8919"/>
        <w:spacing w:after="0" w:line="237" w:lineRule="auto"/>
        <w:rPr>
          <w:sz w:val="20"/>
          <w:szCs w:val="20"/>
          <w:color w:val="auto"/>
        </w:rPr>
      </w:pPr>
      <w:r>
        <w:rPr>
          <w:rFonts w:ascii="Courier New" w:cs="Courier New" w:eastAsia="Courier New" w:hAnsi="Courier New"/>
          <w:sz w:val="16"/>
          <w:szCs w:val="16"/>
          <w:color w:val="auto"/>
        </w:rPr>
        <w:t>Revolving</w:t>
      </w:r>
    </w:p>
    <w:p>
      <w:pPr>
        <w:jc w:val="center"/>
        <w:ind w:right="8919"/>
        <w:spacing w:after="0" w:line="237" w:lineRule="auto"/>
        <w:rPr>
          <w:sz w:val="20"/>
          <w:szCs w:val="20"/>
          <w:color w:val="auto"/>
        </w:rPr>
      </w:pPr>
      <w:r>
        <w:rPr>
          <w:rFonts w:ascii="Courier New" w:cs="Courier New" w:eastAsia="Courier New" w:hAnsi="Courier New"/>
          <w:sz w:val="16"/>
          <w:szCs w:val="16"/>
          <w:color w:val="auto"/>
        </w:rPr>
        <w:t>Credit</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dated June</w:t>
      </w:r>
    </w:p>
    <w:p>
      <w:pPr>
        <w:jc w:val="center"/>
        <w:ind w:right="8919"/>
        <w:spacing w:after="0" w:line="237" w:lineRule="auto"/>
        <w:rPr>
          <w:sz w:val="20"/>
          <w:szCs w:val="20"/>
          <w:color w:val="auto"/>
        </w:rPr>
      </w:pPr>
      <w:r>
        <w:rPr>
          <w:rFonts w:ascii="Courier New" w:cs="Courier New" w:eastAsia="Courier New" w:hAnsi="Courier New"/>
          <w:sz w:val="16"/>
          <w:szCs w:val="16"/>
          <w:color w:val="auto"/>
        </w:rPr>
        <w:t>29, 2001 by</w:t>
      </w:r>
    </w:p>
    <w:p>
      <w:pPr>
        <w:jc w:val="center"/>
        <w:ind w:right="8919"/>
        <w:spacing w:after="0" w:line="236" w:lineRule="auto"/>
        <w:rPr>
          <w:sz w:val="20"/>
          <w:szCs w:val="20"/>
          <w:color w:val="auto"/>
        </w:rPr>
      </w:pPr>
      <w:r>
        <w:rPr>
          <w:rFonts w:ascii="Courier New" w:cs="Courier New" w:eastAsia="Courier New" w:hAnsi="Courier New"/>
          <w:sz w:val="16"/>
          <w:szCs w:val="16"/>
          <w:color w:val="auto"/>
        </w:rPr>
        <w:t>and among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Company,</w:t>
      </w:r>
    </w:p>
    <w:p>
      <w:pPr>
        <w:jc w:val="center"/>
        <w:ind w:right="8919"/>
        <w:spacing w:after="0" w:line="237" w:lineRule="auto"/>
        <w:rPr>
          <w:sz w:val="20"/>
          <w:szCs w:val="20"/>
          <w:color w:val="auto"/>
        </w:rPr>
      </w:pPr>
      <w:r>
        <w:rPr>
          <w:rFonts w:ascii="Courier New" w:cs="Courier New" w:eastAsia="Courier New" w:hAnsi="Courier New"/>
          <w:sz w:val="16"/>
          <w:szCs w:val="16"/>
          <w:color w:val="auto"/>
        </w:rPr>
        <w:t>Waste</w:t>
      </w:r>
    </w:p>
    <w:p>
      <w:pPr>
        <w:jc w:val="center"/>
        <w:ind w:right="8919"/>
        <w:spacing w:after="0" w:line="237" w:lineRule="auto"/>
        <w:rPr>
          <w:sz w:val="20"/>
          <w:szCs w:val="20"/>
          <w:color w:val="auto"/>
        </w:rPr>
      </w:pPr>
      <w:r>
        <w:rPr>
          <w:rFonts w:ascii="Courier New" w:cs="Courier New" w:eastAsia="Courier New" w:hAnsi="Courier New"/>
          <w:sz w:val="16"/>
          <w:szCs w:val="16"/>
          <w:color w:val="auto"/>
        </w:rPr>
        <w:t>Management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Holdings,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Inc.,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banks</w:t>
      </w:r>
    </w:p>
    <w:p>
      <w:pPr>
        <w:jc w:val="center"/>
        <w:ind w:right="8919"/>
        <w:spacing w:after="0" w:line="237" w:lineRule="auto"/>
        <w:rPr>
          <w:sz w:val="20"/>
          <w:szCs w:val="20"/>
          <w:color w:val="auto"/>
        </w:rPr>
      </w:pPr>
      <w:r>
        <w:rPr>
          <w:rFonts w:ascii="Courier New" w:cs="Courier New" w:eastAsia="Courier New" w:hAnsi="Courier New"/>
          <w:sz w:val="16"/>
          <w:szCs w:val="16"/>
          <w:color w:val="auto"/>
        </w:rPr>
        <w:t>signatory</w:t>
      </w:r>
    </w:p>
    <w:p>
      <w:pPr>
        <w:jc w:val="center"/>
        <w:ind w:right="8919"/>
        <w:spacing w:after="0" w:line="236" w:lineRule="auto"/>
        <w:rPr>
          <w:sz w:val="20"/>
          <w:szCs w:val="20"/>
          <w:color w:val="auto"/>
        </w:rPr>
      </w:pPr>
      <w:r>
        <w:rPr>
          <w:rFonts w:ascii="Courier New" w:cs="Courier New" w:eastAsia="Courier New" w:hAnsi="Courier New"/>
          <w:sz w:val="16"/>
          <w:szCs w:val="16"/>
          <w:color w:val="auto"/>
        </w:rPr>
        <w:t>thereto,</w:t>
      </w:r>
    </w:p>
    <w:p>
      <w:pPr>
        <w:jc w:val="center"/>
        <w:ind w:right="8919"/>
        <w:spacing w:after="0" w:line="237" w:lineRule="auto"/>
        <w:rPr>
          <w:sz w:val="20"/>
          <w:szCs w:val="20"/>
          <w:color w:val="auto"/>
        </w:rPr>
      </w:pPr>
      <w:r>
        <w:rPr>
          <w:rFonts w:ascii="Courier New" w:cs="Courier New" w:eastAsia="Courier New" w:hAnsi="Courier New"/>
          <w:sz w:val="16"/>
          <w:szCs w:val="16"/>
          <w:color w:val="auto"/>
        </w:rPr>
        <w:t>Fleet</w:t>
      </w:r>
    </w:p>
    <w:p>
      <w:pPr>
        <w:jc w:val="center"/>
        <w:ind w:right="8919"/>
        <w:spacing w:after="0" w:line="237" w:lineRule="auto"/>
        <w:rPr>
          <w:sz w:val="20"/>
          <w:szCs w:val="20"/>
          <w:color w:val="auto"/>
        </w:rPr>
      </w:pPr>
      <w:r>
        <w:rPr>
          <w:rFonts w:ascii="Courier New" w:cs="Courier New" w:eastAsia="Courier New" w:hAnsi="Courier New"/>
          <w:sz w:val="16"/>
          <w:szCs w:val="16"/>
          <w:color w:val="auto"/>
        </w:rPr>
        <w:t>National</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 as</w:t>
      </w:r>
    </w:p>
    <w:p>
      <w:pPr>
        <w:jc w:val="center"/>
        <w:ind w:right="8919"/>
        <w:spacing w:after="0"/>
        <w:rPr>
          <w:sz w:val="20"/>
          <w:szCs w:val="20"/>
          <w:color w:val="auto"/>
        </w:rPr>
      </w:pPr>
      <w:r>
        <w:rPr>
          <w:rFonts w:ascii="Courier New" w:cs="Courier New" w:eastAsia="Courier New" w:hAnsi="Courier New"/>
          <w:sz w:val="14"/>
          <w:szCs w:val="14"/>
          <w:color w:val="auto"/>
        </w:rPr>
        <w:t>administrative</w:t>
      </w:r>
    </w:p>
    <w:p>
      <w:pPr>
        <w:spacing w:after="0" w:line="18"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agent, Bank</w:t>
      </w:r>
    </w:p>
    <w:p>
      <w:pPr>
        <w:jc w:val="center"/>
        <w:ind w:right="8919"/>
        <w:spacing w:after="0" w:line="236" w:lineRule="auto"/>
        <w:rPr>
          <w:sz w:val="20"/>
          <w:szCs w:val="20"/>
          <w:color w:val="auto"/>
        </w:rPr>
      </w:pPr>
      <w:r>
        <w:rPr>
          <w:rFonts w:ascii="Courier New" w:cs="Courier New" w:eastAsia="Courier New" w:hAnsi="Courier New"/>
          <w:sz w:val="16"/>
          <w:szCs w:val="16"/>
          <w:color w:val="auto"/>
        </w:rPr>
        <w:t>of America,</w:t>
      </w:r>
    </w:p>
    <w:p>
      <w:pPr>
        <w:jc w:val="center"/>
        <w:ind w:right="8919"/>
        <w:spacing w:after="0" w:line="237" w:lineRule="auto"/>
        <w:rPr>
          <w:sz w:val="20"/>
          <w:szCs w:val="20"/>
          <w:color w:val="auto"/>
        </w:rPr>
      </w:pPr>
      <w:r>
        <w:rPr>
          <w:rFonts w:ascii="Courier New" w:cs="Courier New" w:eastAsia="Courier New" w:hAnsi="Courier New"/>
          <w:sz w:val="16"/>
          <w:szCs w:val="16"/>
          <w:color w:val="auto"/>
        </w:rPr>
        <w:t>N.A. and J.P.</w:t>
      </w:r>
    </w:p>
    <w:p>
      <w:pPr>
        <w:jc w:val="center"/>
        <w:ind w:right="8919"/>
        <w:spacing w:after="0" w:line="237" w:lineRule="auto"/>
        <w:rPr>
          <w:sz w:val="20"/>
          <w:szCs w:val="20"/>
          <w:color w:val="auto"/>
        </w:rPr>
      </w:pPr>
      <w:r>
        <w:rPr>
          <w:rFonts w:ascii="Courier New" w:cs="Courier New" w:eastAsia="Courier New" w:hAnsi="Courier New"/>
          <w:sz w:val="16"/>
          <w:szCs w:val="16"/>
          <w:color w:val="auto"/>
        </w:rPr>
        <w:t>Morgan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Inc., as co-</w:t>
      </w:r>
    </w:p>
    <w:p>
      <w:pPr>
        <w:jc w:val="center"/>
        <w:ind w:right="8919"/>
        <w:spacing w:after="0" w:line="237" w:lineRule="auto"/>
        <w:rPr>
          <w:sz w:val="20"/>
          <w:szCs w:val="20"/>
          <w:color w:val="auto"/>
        </w:rPr>
      </w:pPr>
      <w:r>
        <w:rPr>
          <w:rFonts w:ascii="Courier New" w:cs="Courier New" w:eastAsia="Courier New" w:hAnsi="Courier New"/>
          <w:sz w:val="16"/>
          <w:szCs w:val="16"/>
          <w:color w:val="auto"/>
        </w:rPr>
        <w:t>syndication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agents,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J.P. Morgan</w:t>
      </w:r>
    </w:p>
    <w:p>
      <w:pPr>
        <w:jc w:val="center"/>
        <w:ind w:right="8919"/>
        <w:spacing w:after="0" w:line="236" w:lineRule="auto"/>
        <w:rPr>
          <w:sz w:val="20"/>
          <w:szCs w:val="20"/>
          <w:color w:val="auto"/>
        </w:rPr>
      </w:pPr>
      <w:r>
        <w:rPr>
          <w:rFonts w:ascii="Courier New" w:cs="Courier New" w:eastAsia="Courier New" w:hAnsi="Courier New"/>
          <w:sz w:val="16"/>
          <w:szCs w:val="16"/>
          <w:color w:val="auto"/>
        </w:rPr>
        <w:t>and Banc of</w:t>
      </w:r>
    </w:p>
    <w:p>
      <w:pPr>
        <w:jc w:val="center"/>
        <w:ind w:right="8919"/>
        <w:spacing w:after="0" w:line="237" w:lineRule="auto"/>
        <w:rPr>
          <w:sz w:val="20"/>
          <w:szCs w:val="20"/>
          <w:color w:val="auto"/>
        </w:rPr>
      </w:pPr>
      <w:r>
        <w:rPr>
          <w:rFonts w:ascii="Courier New" w:cs="Courier New" w:eastAsia="Courier New" w:hAnsi="Courier New"/>
          <w:sz w:val="16"/>
          <w:szCs w:val="16"/>
          <w:color w:val="auto"/>
        </w:rPr>
        <w:t>America</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LLC, as joint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lead</w:t>
      </w:r>
    </w:p>
    <w:p>
      <w:pPr>
        <w:jc w:val="center"/>
        <w:ind w:right="8919"/>
        <w:spacing w:after="0" w:line="237" w:lineRule="auto"/>
        <w:rPr>
          <w:sz w:val="20"/>
          <w:szCs w:val="20"/>
          <w:color w:val="auto"/>
        </w:rPr>
      </w:pPr>
      <w:r>
        <w:rPr>
          <w:rFonts w:ascii="Courier New" w:cs="Courier New" w:eastAsia="Courier New" w:hAnsi="Courier New"/>
          <w:sz w:val="16"/>
          <w:szCs w:val="16"/>
          <w:color w:val="auto"/>
        </w:rPr>
        <w:t>arrangers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joint book</w:t>
      </w:r>
    </w:p>
    <w:p>
      <w:pPr>
        <w:jc w:val="center"/>
        <w:ind w:right="8919"/>
        <w:spacing w:after="0" w:line="237" w:lineRule="auto"/>
        <w:rPr>
          <w:sz w:val="20"/>
          <w:szCs w:val="20"/>
          <w:color w:val="auto"/>
        </w:rPr>
      </w:pPr>
      <w:r>
        <w:rPr>
          <w:rFonts w:ascii="Courier New" w:cs="Courier New" w:eastAsia="Courier New" w:hAnsi="Courier New"/>
          <w:sz w:val="16"/>
          <w:szCs w:val="16"/>
          <w:color w:val="auto"/>
        </w:rPr>
        <w:t>managers.</w:t>
      </w:r>
    </w:p>
    <w:p>
      <w:pPr>
        <w:jc w:val="center"/>
        <w:ind w:right="8919"/>
        <w:spacing w:after="0" w:line="236" w:lineRule="auto"/>
        <w:rPr>
          <w:sz w:val="20"/>
          <w:szCs w:val="20"/>
          <w:color w:val="auto"/>
        </w:rPr>
      </w:pPr>
      <w:r>
        <w:rPr>
          <w:rFonts w:ascii="Courier New" w:cs="Courier New" w:eastAsia="Courier New" w:hAnsi="Courier New"/>
          <w:sz w:val="16"/>
          <w:szCs w:val="16"/>
          <w:color w:val="auto"/>
        </w:rPr>
        <w:t>10.2 -- 364-</w:t>
      </w:r>
    </w:p>
    <w:p>
      <w:pPr>
        <w:jc w:val="center"/>
        <w:ind w:right="8919"/>
        <w:spacing w:after="0" w:line="237" w:lineRule="auto"/>
        <w:rPr>
          <w:sz w:val="20"/>
          <w:szCs w:val="20"/>
          <w:color w:val="auto"/>
        </w:rPr>
      </w:pPr>
      <w:r>
        <w:rPr>
          <w:rFonts w:ascii="Courier New" w:cs="Courier New" w:eastAsia="Courier New" w:hAnsi="Courier New"/>
          <w:sz w:val="16"/>
          <w:szCs w:val="16"/>
          <w:color w:val="auto"/>
        </w:rPr>
        <w:t>Day Loan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Agreement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dated June</w:t>
      </w:r>
    </w:p>
    <w:p>
      <w:pPr>
        <w:jc w:val="center"/>
        <w:ind w:right="8919"/>
        <w:spacing w:after="0" w:line="237" w:lineRule="auto"/>
        <w:rPr>
          <w:sz w:val="20"/>
          <w:szCs w:val="20"/>
          <w:color w:val="auto"/>
        </w:rPr>
      </w:pPr>
      <w:r>
        <w:rPr>
          <w:rFonts w:ascii="Courier New" w:cs="Courier New" w:eastAsia="Courier New" w:hAnsi="Courier New"/>
          <w:sz w:val="16"/>
          <w:szCs w:val="16"/>
          <w:color w:val="auto"/>
        </w:rPr>
        <w:t>29, 2001 by</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among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Company,</w:t>
      </w:r>
    </w:p>
    <w:p>
      <w:pPr>
        <w:jc w:val="center"/>
        <w:ind w:right="8919"/>
        <w:spacing w:after="0" w:line="237" w:lineRule="auto"/>
        <w:rPr>
          <w:sz w:val="20"/>
          <w:szCs w:val="20"/>
          <w:color w:val="auto"/>
        </w:rPr>
      </w:pPr>
      <w:r>
        <w:rPr>
          <w:rFonts w:ascii="Courier New" w:cs="Courier New" w:eastAsia="Courier New" w:hAnsi="Courier New"/>
          <w:sz w:val="16"/>
          <w:szCs w:val="16"/>
          <w:color w:val="auto"/>
        </w:rPr>
        <w:t>Waste</w:t>
      </w:r>
    </w:p>
    <w:p>
      <w:pPr>
        <w:jc w:val="center"/>
        <w:ind w:right="8919"/>
        <w:spacing w:after="0" w:line="236" w:lineRule="auto"/>
        <w:rPr>
          <w:sz w:val="20"/>
          <w:szCs w:val="20"/>
          <w:color w:val="auto"/>
        </w:rPr>
      </w:pPr>
      <w:r>
        <w:rPr>
          <w:rFonts w:ascii="Courier New" w:cs="Courier New" w:eastAsia="Courier New" w:hAnsi="Courier New"/>
          <w:sz w:val="16"/>
          <w:szCs w:val="16"/>
          <w:color w:val="auto"/>
        </w:rPr>
        <w:t>Management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Holdings,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Inc., the</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banks</w:t>
      </w:r>
    </w:p>
    <w:p>
      <w:pPr>
        <w:jc w:val="center"/>
        <w:ind w:right="8919"/>
        <w:spacing w:after="0" w:line="237" w:lineRule="auto"/>
        <w:rPr>
          <w:sz w:val="20"/>
          <w:szCs w:val="20"/>
          <w:color w:val="auto"/>
        </w:rPr>
      </w:pPr>
      <w:r>
        <w:rPr>
          <w:rFonts w:ascii="Courier New" w:cs="Courier New" w:eastAsia="Courier New" w:hAnsi="Courier New"/>
          <w:sz w:val="16"/>
          <w:szCs w:val="16"/>
          <w:color w:val="auto"/>
        </w:rPr>
        <w:t>signatory</w:t>
      </w:r>
    </w:p>
    <w:p>
      <w:pPr>
        <w:jc w:val="center"/>
        <w:ind w:right="8919"/>
        <w:spacing w:after="0" w:line="237" w:lineRule="auto"/>
        <w:rPr>
          <w:sz w:val="20"/>
          <w:szCs w:val="20"/>
          <w:color w:val="auto"/>
        </w:rPr>
      </w:pPr>
      <w:r>
        <w:rPr>
          <w:rFonts w:ascii="Courier New" w:cs="Courier New" w:eastAsia="Courier New" w:hAnsi="Courier New"/>
          <w:sz w:val="16"/>
          <w:szCs w:val="16"/>
          <w:color w:val="auto"/>
        </w:rPr>
        <w:t>thereto,</w:t>
      </w:r>
    </w:p>
    <w:p>
      <w:pPr>
        <w:jc w:val="center"/>
        <w:ind w:right="8919"/>
        <w:spacing w:after="0" w:line="237" w:lineRule="auto"/>
        <w:rPr>
          <w:sz w:val="20"/>
          <w:szCs w:val="20"/>
          <w:color w:val="auto"/>
        </w:rPr>
      </w:pPr>
      <w:r>
        <w:rPr>
          <w:rFonts w:ascii="Courier New" w:cs="Courier New" w:eastAsia="Courier New" w:hAnsi="Courier New"/>
          <w:sz w:val="16"/>
          <w:szCs w:val="16"/>
          <w:color w:val="auto"/>
        </w:rPr>
        <w:t>Fleet</w:t>
      </w:r>
    </w:p>
    <w:p>
      <w:pPr>
        <w:jc w:val="center"/>
        <w:ind w:right="8919"/>
        <w:spacing w:after="0" w:line="237" w:lineRule="auto"/>
        <w:rPr>
          <w:sz w:val="20"/>
          <w:szCs w:val="20"/>
          <w:color w:val="auto"/>
        </w:rPr>
      </w:pPr>
      <w:r>
        <w:rPr>
          <w:rFonts w:ascii="Courier New" w:cs="Courier New" w:eastAsia="Courier New" w:hAnsi="Courier New"/>
          <w:sz w:val="16"/>
          <w:szCs w:val="16"/>
          <w:color w:val="auto"/>
        </w:rPr>
        <w:t>National</w:t>
      </w:r>
    </w:p>
    <w:p>
      <w:pPr>
        <w:jc w:val="center"/>
        <w:ind w:right="8919"/>
        <w:spacing w:after="0" w:line="236" w:lineRule="auto"/>
        <w:rPr>
          <w:sz w:val="20"/>
          <w:szCs w:val="20"/>
          <w:color w:val="auto"/>
        </w:rPr>
      </w:pPr>
      <w:r>
        <w:rPr>
          <w:rFonts w:ascii="Courier New" w:cs="Courier New" w:eastAsia="Courier New" w:hAnsi="Courier New"/>
          <w:sz w:val="16"/>
          <w:szCs w:val="16"/>
          <w:color w:val="auto"/>
        </w:rPr>
        <w:t>Bank, as</w:t>
      </w:r>
    </w:p>
    <w:p>
      <w:pPr>
        <w:spacing w:after="0" w:line="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4"/>
          <w:szCs w:val="14"/>
          <w:color w:val="auto"/>
        </w:rPr>
        <w:t>administrative</w:t>
      </w:r>
    </w:p>
    <w:p>
      <w:pPr>
        <w:spacing w:after="0" w:line="18"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agent,</w:t>
      </w:r>
    </w:p>
    <w:p>
      <w:pPr>
        <w:jc w:val="center"/>
        <w:ind w:right="8919"/>
        <w:spacing w:after="0" w:line="236" w:lineRule="auto"/>
        <w:rPr>
          <w:sz w:val="20"/>
          <w:szCs w:val="20"/>
          <w:color w:val="auto"/>
        </w:rPr>
      </w:pPr>
      <w:r>
        <w:rPr>
          <w:rFonts w:ascii="Courier New" w:cs="Courier New" w:eastAsia="Courier New" w:hAnsi="Courier New"/>
          <w:sz w:val="16"/>
          <w:szCs w:val="16"/>
          <w:color w:val="auto"/>
        </w:rPr>
        <w:t>Deutsche Bank</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 New York</w:t>
      </w:r>
    </w:p>
    <w:p>
      <w:pPr>
        <w:jc w:val="center"/>
        <w:ind w:right="8919"/>
        <w:spacing w:after="0" w:line="237" w:lineRule="auto"/>
        <w:rPr>
          <w:sz w:val="20"/>
          <w:szCs w:val="20"/>
          <w:color w:val="auto"/>
        </w:rPr>
      </w:pPr>
      <w:r>
        <w:rPr>
          <w:rFonts w:ascii="Courier New" w:cs="Courier New" w:eastAsia="Courier New" w:hAnsi="Courier New"/>
          <w:sz w:val="16"/>
          <w:szCs w:val="16"/>
          <w:color w:val="auto"/>
        </w:rPr>
        <w:t>Branch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Citibank,</w:t>
      </w:r>
    </w:p>
    <w:p>
      <w:pPr>
        <w:jc w:val="center"/>
        <w:ind w:right="8919"/>
        <w:spacing w:after="0" w:line="237" w:lineRule="auto"/>
        <w:rPr>
          <w:sz w:val="20"/>
          <w:szCs w:val="20"/>
          <w:color w:val="auto"/>
        </w:rPr>
      </w:pPr>
      <w:r>
        <w:rPr>
          <w:rFonts w:ascii="Courier New" w:cs="Courier New" w:eastAsia="Courier New" w:hAnsi="Courier New"/>
          <w:sz w:val="16"/>
          <w:szCs w:val="16"/>
          <w:color w:val="auto"/>
        </w:rPr>
        <w:t>N.A., as co-</w:t>
      </w:r>
    </w:p>
    <w:p>
      <w:pPr>
        <w:jc w:val="center"/>
        <w:ind w:right="8919"/>
        <w:spacing w:after="0" w:line="237" w:lineRule="auto"/>
        <w:rPr>
          <w:sz w:val="20"/>
          <w:szCs w:val="20"/>
          <w:color w:val="auto"/>
        </w:rPr>
      </w:pPr>
      <w:r>
        <w:rPr>
          <w:rFonts w:ascii="Courier New" w:cs="Courier New" w:eastAsia="Courier New" w:hAnsi="Courier New"/>
          <w:sz w:val="16"/>
          <w:szCs w:val="16"/>
          <w:color w:val="auto"/>
        </w:rPr>
        <w:t>documentation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agent, Bank</w:t>
      </w:r>
    </w:p>
    <w:p>
      <w:pPr>
        <w:jc w:val="center"/>
        <w:ind w:right="8919"/>
        <w:spacing w:after="0" w:line="237" w:lineRule="auto"/>
        <w:rPr>
          <w:sz w:val="20"/>
          <w:szCs w:val="20"/>
          <w:color w:val="auto"/>
        </w:rPr>
      </w:pPr>
      <w:r>
        <w:rPr>
          <w:rFonts w:ascii="Courier New" w:cs="Courier New" w:eastAsia="Courier New" w:hAnsi="Courier New"/>
          <w:sz w:val="16"/>
          <w:szCs w:val="16"/>
          <w:color w:val="auto"/>
        </w:rPr>
        <w:t>of America,</w:t>
      </w:r>
    </w:p>
    <w:p>
      <w:pPr>
        <w:jc w:val="center"/>
        <w:ind w:right="8919"/>
        <w:spacing w:after="0" w:line="236" w:lineRule="auto"/>
        <w:rPr>
          <w:sz w:val="20"/>
          <w:szCs w:val="20"/>
          <w:color w:val="auto"/>
        </w:rPr>
      </w:pPr>
      <w:r>
        <w:rPr>
          <w:rFonts w:ascii="Courier New" w:cs="Courier New" w:eastAsia="Courier New" w:hAnsi="Courier New"/>
          <w:sz w:val="16"/>
          <w:szCs w:val="16"/>
          <w:color w:val="auto"/>
        </w:rPr>
        <w:t>N.A. and J.P.</w:t>
      </w:r>
    </w:p>
    <w:p>
      <w:pPr>
        <w:jc w:val="center"/>
        <w:ind w:right="8919"/>
        <w:spacing w:after="0" w:line="237" w:lineRule="auto"/>
        <w:rPr>
          <w:sz w:val="20"/>
          <w:szCs w:val="20"/>
          <w:color w:val="auto"/>
        </w:rPr>
      </w:pPr>
      <w:r>
        <w:rPr>
          <w:rFonts w:ascii="Courier New" w:cs="Courier New" w:eastAsia="Courier New" w:hAnsi="Courier New"/>
          <w:sz w:val="16"/>
          <w:szCs w:val="16"/>
          <w:color w:val="auto"/>
        </w:rPr>
        <w:t>Morgan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Inc., as co-</w:t>
      </w:r>
    </w:p>
    <w:p>
      <w:pPr>
        <w:jc w:val="center"/>
        <w:ind w:right="8919"/>
        <w:spacing w:after="0" w:line="237" w:lineRule="auto"/>
        <w:rPr>
          <w:sz w:val="20"/>
          <w:szCs w:val="20"/>
          <w:color w:val="auto"/>
        </w:rPr>
      </w:pPr>
      <w:r>
        <w:rPr>
          <w:rFonts w:ascii="Courier New" w:cs="Courier New" w:eastAsia="Courier New" w:hAnsi="Courier New"/>
          <w:sz w:val="16"/>
          <w:szCs w:val="16"/>
          <w:color w:val="auto"/>
        </w:rPr>
        <w:t>syndication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agents,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J.P. Morgan</w:t>
      </w:r>
    </w:p>
    <w:p>
      <w:pPr>
        <w:jc w:val="center"/>
        <w:ind w:right="8919"/>
        <w:spacing w:after="0" w:line="237" w:lineRule="auto"/>
        <w:rPr>
          <w:sz w:val="20"/>
          <w:szCs w:val="20"/>
          <w:color w:val="auto"/>
        </w:rPr>
      </w:pPr>
      <w:r>
        <w:rPr>
          <w:rFonts w:ascii="Courier New" w:cs="Courier New" w:eastAsia="Courier New" w:hAnsi="Courier New"/>
          <w:sz w:val="16"/>
          <w:szCs w:val="16"/>
          <w:color w:val="auto"/>
        </w:rPr>
        <w:t>and Banc of</w:t>
      </w:r>
    </w:p>
    <w:p>
      <w:pPr>
        <w:jc w:val="center"/>
        <w:ind w:right="8919"/>
        <w:spacing w:after="0" w:line="236" w:lineRule="auto"/>
        <w:rPr>
          <w:sz w:val="20"/>
          <w:szCs w:val="20"/>
          <w:color w:val="auto"/>
        </w:rPr>
      </w:pPr>
      <w:r>
        <w:rPr>
          <w:rFonts w:ascii="Courier New" w:cs="Courier New" w:eastAsia="Courier New" w:hAnsi="Courier New"/>
          <w:sz w:val="16"/>
          <w:szCs w:val="16"/>
          <w:color w:val="auto"/>
        </w:rPr>
        <w:t>America</w:t>
      </w:r>
    </w:p>
    <w:p>
      <w:pPr>
        <w:jc w:val="center"/>
        <w:ind w:right="8919"/>
        <w:spacing w:after="0" w:line="237" w:lineRule="auto"/>
        <w:rPr>
          <w:sz w:val="20"/>
          <w:szCs w:val="20"/>
          <w:color w:val="auto"/>
        </w:rPr>
      </w:pPr>
      <w:r>
        <w:rPr>
          <w:rFonts w:ascii="Courier New" w:cs="Courier New" w:eastAsia="Courier New" w:hAnsi="Courier New"/>
          <w:sz w:val="16"/>
          <w:szCs w:val="16"/>
          <w:color w:val="auto"/>
        </w:rPr>
        <w:t>Securities</w:t>
      </w:r>
    </w:p>
    <w:p>
      <w:pPr>
        <w:jc w:val="center"/>
        <w:ind w:right="8919"/>
        <w:spacing w:after="0" w:line="237" w:lineRule="auto"/>
        <w:rPr>
          <w:sz w:val="20"/>
          <w:szCs w:val="20"/>
          <w:color w:val="auto"/>
        </w:rPr>
      </w:pPr>
      <w:r>
        <w:rPr>
          <w:rFonts w:ascii="Courier New" w:cs="Courier New" w:eastAsia="Courier New" w:hAnsi="Courier New"/>
          <w:sz w:val="16"/>
          <w:szCs w:val="16"/>
          <w:color w:val="auto"/>
        </w:rPr>
        <w:t>LLC, as joint</w:t>
      </w:r>
    </w:p>
    <w:p>
      <w:pPr>
        <w:jc w:val="center"/>
        <w:ind w:right="8919"/>
        <w:spacing w:after="0" w:line="237" w:lineRule="auto"/>
        <w:rPr>
          <w:sz w:val="20"/>
          <w:szCs w:val="20"/>
          <w:color w:val="auto"/>
        </w:rPr>
      </w:pPr>
      <w:r>
        <w:rPr>
          <w:rFonts w:ascii="Courier New" w:cs="Courier New" w:eastAsia="Courier New" w:hAnsi="Courier New"/>
          <w:sz w:val="16"/>
          <w:szCs w:val="16"/>
          <w:color w:val="auto"/>
        </w:rPr>
        <w:t>lead</w:t>
      </w:r>
    </w:p>
    <w:p>
      <w:pPr>
        <w:jc w:val="center"/>
        <w:ind w:right="8919"/>
        <w:spacing w:after="0" w:line="237" w:lineRule="auto"/>
        <w:rPr>
          <w:sz w:val="20"/>
          <w:szCs w:val="20"/>
          <w:color w:val="auto"/>
        </w:rPr>
      </w:pPr>
      <w:r>
        <w:rPr>
          <w:rFonts w:ascii="Courier New" w:cs="Courier New" w:eastAsia="Courier New" w:hAnsi="Courier New"/>
          <w:sz w:val="16"/>
          <w:szCs w:val="16"/>
          <w:color w:val="auto"/>
        </w:rPr>
        <w:t>arrangers and</w:t>
      </w:r>
    </w:p>
    <w:p>
      <w:pPr>
        <w:jc w:val="center"/>
        <w:ind w:right="8919"/>
        <w:spacing w:after="0" w:line="237" w:lineRule="auto"/>
        <w:rPr>
          <w:sz w:val="20"/>
          <w:szCs w:val="20"/>
          <w:color w:val="auto"/>
        </w:rPr>
      </w:pPr>
      <w:r>
        <w:rPr>
          <w:rFonts w:ascii="Courier New" w:cs="Courier New" w:eastAsia="Courier New" w:hAnsi="Courier New"/>
          <w:sz w:val="16"/>
          <w:szCs w:val="16"/>
          <w:color w:val="auto"/>
        </w:rPr>
        <w:t>joint book</w:t>
      </w:r>
    </w:p>
    <w:p>
      <w:pPr>
        <w:jc w:val="center"/>
        <w:ind w:right="8919"/>
        <w:spacing w:after="0" w:line="237" w:lineRule="auto"/>
        <w:rPr>
          <w:sz w:val="20"/>
          <w:szCs w:val="20"/>
          <w:color w:val="auto"/>
        </w:rPr>
      </w:pPr>
      <w:r>
        <w:rPr>
          <w:rFonts w:ascii="Courier New" w:cs="Courier New" w:eastAsia="Courier New" w:hAnsi="Courier New"/>
          <w:sz w:val="16"/>
          <w:szCs w:val="16"/>
          <w:color w:val="auto"/>
        </w:rPr>
        <w:t>managers.</w:t>
      </w:r>
    </w:p>
    <w:p>
      <w:pPr>
        <w:jc w:val="center"/>
        <w:ind w:right="8919"/>
        <w:spacing w:after="0" w:line="237" w:lineRule="auto"/>
        <w:rPr>
          <w:sz w:val="20"/>
          <w:szCs w:val="20"/>
          <w:color w:val="auto"/>
        </w:rPr>
      </w:pPr>
      <w:r>
        <w:rPr>
          <w:rFonts w:ascii="Courier New" w:cs="Courier New" w:eastAsia="Courier New" w:hAnsi="Courier New"/>
          <w:sz w:val="16"/>
          <w:szCs w:val="16"/>
          <w:color w:val="auto"/>
        </w:rPr>
        <w:t>10.3 --</w:t>
      </w:r>
    </w:p>
    <w:p>
      <w:pPr>
        <w:jc w:val="center"/>
        <w:ind w:right="8919"/>
        <w:spacing w:after="0" w:line="236" w:lineRule="auto"/>
        <w:rPr>
          <w:sz w:val="20"/>
          <w:szCs w:val="20"/>
          <w:color w:val="auto"/>
        </w:rPr>
      </w:pPr>
      <w:r>
        <w:rPr>
          <w:rFonts w:ascii="Courier New" w:cs="Courier New" w:eastAsia="Courier New" w:hAnsi="Courier New"/>
          <w:sz w:val="16"/>
          <w:szCs w:val="16"/>
          <w:color w:val="auto"/>
        </w:rPr>
        <w:t>Performance</w:t>
      </w:r>
    </w:p>
    <w:p>
      <w:pPr>
        <w:jc w:val="center"/>
        <w:ind w:right="8919"/>
        <w:spacing w:after="0" w:line="237" w:lineRule="auto"/>
        <w:rPr>
          <w:sz w:val="20"/>
          <w:szCs w:val="20"/>
          <w:color w:val="auto"/>
        </w:rPr>
      </w:pPr>
      <w:r>
        <w:rPr>
          <w:rFonts w:ascii="Courier New" w:cs="Courier New" w:eastAsia="Courier New" w:hAnsi="Courier New"/>
          <w:sz w:val="16"/>
          <w:szCs w:val="16"/>
          <w:color w:val="auto"/>
        </w:rPr>
        <w:t>Based</w:t>
      </w:r>
    </w:p>
    <w:p>
      <w:pPr>
        <w:jc w:val="center"/>
        <w:ind w:right="8919"/>
        <w:spacing w:after="0" w:line="237" w:lineRule="auto"/>
        <w:rPr>
          <w:sz w:val="20"/>
          <w:szCs w:val="20"/>
          <w:color w:val="auto"/>
        </w:rPr>
      </w:pPr>
      <w:r>
        <w:rPr>
          <w:rFonts w:ascii="Courier New" w:cs="Courier New" w:eastAsia="Courier New" w:hAnsi="Courier New"/>
          <w:sz w:val="16"/>
          <w:szCs w:val="16"/>
          <w:color w:val="auto"/>
        </w:rPr>
        <w:t>Compensation</w:t>
      </w:r>
    </w:p>
    <w:p>
      <w:pPr>
        <w:spacing w:after="0" w:line="1" w:lineRule="exact"/>
        <w:rPr>
          <w:sz w:val="20"/>
          <w:szCs w:val="20"/>
          <w:color w:val="auto"/>
        </w:rPr>
      </w:pPr>
    </w:p>
    <w:p>
      <w:pPr>
        <w:jc w:val="center"/>
        <w:ind w:right="8919"/>
        <w:spacing w:after="0"/>
        <w:rPr>
          <w:sz w:val="20"/>
          <w:szCs w:val="20"/>
          <w:color w:val="auto"/>
        </w:rPr>
      </w:pPr>
      <w:r>
        <w:rPr>
          <w:rFonts w:ascii="Courier New" w:cs="Courier New" w:eastAsia="Courier New" w:hAnsi="Courier New"/>
          <w:sz w:val="16"/>
          <w:szCs w:val="16"/>
          <w:color w:val="auto"/>
        </w:rPr>
        <w:t>Plan. 10.4 --</w:t>
      </w:r>
    </w:p>
    <w:p>
      <w:pPr>
        <w:sectPr>
          <w:pgSz w:w="11900" w:h="16838" w:orient="portrait"/>
          <w:cols w:equalWidth="0" w:num="1">
            <w:col w:w="10219"/>
          </w:cols>
          <w:pgMar w:left="240" w:top="269" w:right="1440" w:bottom="0" w:gutter="0" w:footer="0" w:header="0"/>
        </w:sectPr>
      </w:pPr>
    </w:p>
    <w:bookmarkStart w:id="43" w:name="page44"/>
    <w:bookmarkEnd w:id="43"/>
    <w:p>
      <w:pPr>
        <w:jc w:val="center"/>
        <w:ind w:right="8915"/>
        <w:spacing w:after="0"/>
        <w:rPr>
          <w:sz w:val="20"/>
          <w:szCs w:val="20"/>
          <w:color w:val="auto"/>
        </w:rPr>
      </w:pPr>
      <w:r>
        <w:rPr>
          <w:rFonts w:ascii="Courier New" w:cs="Courier New" w:eastAsia="Courier New" w:hAnsi="Courier New"/>
          <w:sz w:val="16"/>
          <w:szCs w:val="16"/>
          <w:color w:val="auto"/>
        </w:rPr>
        <w:t>Employment</w:t>
      </w:r>
    </w:p>
    <w:p>
      <w:pPr>
        <w:spacing w:after="0" w:line="23" w:lineRule="exact"/>
        <w:rPr>
          <w:sz w:val="20"/>
          <w:szCs w:val="20"/>
          <w:color w:val="auto"/>
        </w:rPr>
      </w:pPr>
    </w:p>
    <w:p>
      <w:pPr>
        <w:jc w:val="center"/>
        <w:ind w:right="8915"/>
        <w:spacing w:after="0"/>
        <w:rPr>
          <w:sz w:val="20"/>
          <w:szCs w:val="20"/>
          <w:color w:val="auto"/>
        </w:rPr>
      </w:pPr>
      <w:r>
        <w:rPr>
          <w:rFonts w:ascii="Courier New" w:cs="Courier New" w:eastAsia="Courier New" w:hAnsi="Courier New"/>
          <w:sz w:val="16"/>
          <w:szCs w:val="16"/>
          <w:color w:val="auto"/>
        </w:rPr>
        <w:t>agreement</w:t>
      </w:r>
    </w:p>
    <w:p>
      <w:pPr>
        <w:jc w:val="center"/>
        <w:ind w:right="8915"/>
        <w:spacing w:after="0" w:line="236" w:lineRule="auto"/>
        <w:rPr>
          <w:sz w:val="20"/>
          <w:szCs w:val="20"/>
          <w:color w:val="auto"/>
        </w:rPr>
      </w:pPr>
      <w:r>
        <w:rPr>
          <w:rFonts w:ascii="Courier New" w:cs="Courier New" w:eastAsia="Courier New" w:hAnsi="Courier New"/>
          <w:sz w:val="16"/>
          <w:szCs w:val="16"/>
          <w:color w:val="auto"/>
        </w:rPr>
        <w:t>dated April</w:t>
      </w:r>
    </w:p>
    <w:p>
      <w:pPr>
        <w:jc w:val="center"/>
        <w:ind w:right="8915"/>
        <w:spacing w:after="0" w:line="237" w:lineRule="auto"/>
        <w:rPr>
          <w:sz w:val="20"/>
          <w:szCs w:val="20"/>
          <w:color w:val="auto"/>
        </w:rPr>
      </w:pPr>
      <w:r>
        <w:rPr>
          <w:rFonts w:ascii="Courier New" w:cs="Courier New" w:eastAsia="Courier New" w:hAnsi="Courier New"/>
          <w:sz w:val="16"/>
          <w:szCs w:val="16"/>
          <w:color w:val="auto"/>
        </w:rPr>
        <w:t>1, 2001</w:t>
      </w:r>
    </w:p>
    <w:p>
      <w:pPr>
        <w:jc w:val="center"/>
        <w:ind w:right="8915"/>
        <w:spacing w:after="0" w:line="237" w:lineRule="auto"/>
        <w:rPr>
          <w:sz w:val="20"/>
          <w:szCs w:val="20"/>
          <w:color w:val="auto"/>
        </w:rPr>
      </w:pPr>
      <w:r>
        <w:rPr>
          <w:rFonts w:ascii="Courier New" w:cs="Courier New" w:eastAsia="Courier New" w:hAnsi="Courier New"/>
          <w:sz w:val="16"/>
          <w:szCs w:val="16"/>
          <w:color w:val="auto"/>
        </w:rPr>
        <w:t>between Waste</w:t>
      </w:r>
    </w:p>
    <w:p>
      <w:pPr>
        <w:jc w:val="center"/>
        <w:ind w:right="8915"/>
        <w:spacing w:after="0" w:line="237" w:lineRule="auto"/>
        <w:rPr>
          <w:sz w:val="20"/>
          <w:szCs w:val="20"/>
          <w:color w:val="auto"/>
        </w:rPr>
      </w:pPr>
      <w:r>
        <w:rPr>
          <w:rFonts w:ascii="Courier New" w:cs="Courier New" w:eastAsia="Courier New" w:hAnsi="Courier New"/>
          <w:sz w:val="16"/>
          <w:szCs w:val="16"/>
          <w:color w:val="auto"/>
        </w:rPr>
        <w:t>Management,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Inc. and</w:t>
      </w:r>
    </w:p>
    <w:p>
      <w:pPr>
        <w:jc w:val="center"/>
        <w:ind w:right="8915"/>
        <w:spacing w:after="0" w:line="237" w:lineRule="auto"/>
        <w:rPr>
          <w:sz w:val="20"/>
          <w:szCs w:val="20"/>
          <w:color w:val="auto"/>
        </w:rPr>
      </w:pPr>
      <w:r>
        <w:rPr>
          <w:rFonts w:ascii="Courier New" w:cs="Courier New" w:eastAsia="Courier New" w:hAnsi="Courier New"/>
          <w:sz w:val="16"/>
          <w:szCs w:val="16"/>
          <w:color w:val="auto"/>
        </w:rPr>
        <w:t>Domenic Pio.</w:t>
      </w:r>
    </w:p>
    <w:p>
      <w:pPr>
        <w:jc w:val="center"/>
        <w:ind w:right="8915"/>
        <w:spacing w:after="0" w:line="237" w:lineRule="auto"/>
        <w:rPr>
          <w:sz w:val="20"/>
          <w:szCs w:val="20"/>
          <w:color w:val="auto"/>
        </w:rPr>
      </w:pPr>
      <w:r>
        <w:rPr>
          <w:rFonts w:ascii="Courier New" w:cs="Courier New" w:eastAsia="Courier New" w:hAnsi="Courier New"/>
          <w:sz w:val="16"/>
          <w:szCs w:val="16"/>
          <w:color w:val="auto"/>
        </w:rPr>
        <w:t>10.5 --</w:t>
      </w:r>
    </w:p>
    <w:p>
      <w:pPr>
        <w:jc w:val="center"/>
        <w:ind w:right="8915"/>
        <w:spacing w:after="0" w:line="237" w:lineRule="auto"/>
        <w:rPr>
          <w:sz w:val="20"/>
          <w:szCs w:val="20"/>
          <w:color w:val="auto"/>
        </w:rPr>
      </w:pPr>
      <w:r>
        <w:rPr>
          <w:rFonts w:ascii="Courier New" w:cs="Courier New" w:eastAsia="Courier New" w:hAnsi="Courier New"/>
          <w:sz w:val="16"/>
          <w:szCs w:val="16"/>
          <w:color w:val="auto"/>
        </w:rPr>
        <w:t>Employment</w:t>
      </w:r>
    </w:p>
    <w:p>
      <w:pPr>
        <w:jc w:val="center"/>
        <w:ind w:right="8915"/>
        <w:spacing w:after="0" w:line="236" w:lineRule="auto"/>
        <w:rPr>
          <w:sz w:val="20"/>
          <w:szCs w:val="20"/>
          <w:color w:val="auto"/>
        </w:rPr>
      </w:pPr>
      <w:r>
        <w:rPr>
          <w:rFonts w:ascii="Courier New" w:cs="Courier New" w:eastAsia="Courier New" w:hAnsi="Courier New"/>
          <w:sz w:val="16"/>
          <w:szCs w:val="16"/>
          <w:color w:val="auto"/>
        </w:rPr>
        <w:t>agreement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dated May 14,</w:t>
      </w:r>
    </w:p>
    <w:p>
      <w:pPr>
        <w:jc w:val="center"/>
        <w:ind w:right="8915"/>
        <w:spacing w:after="0" w:line="237" w:lineRule="auto"/>
        <w:rPr>
          <w:sz w:val="20"/>
          <w:szCs w:val="20"/>
          <w:color w:val="auto"/>
        </w:rPr>
      </w:pPr>
      <w:r>
        <w:rPr>
          <w:rFonts w:ascii="Courier New" w:cs="Courier New" w:eastAsia="Courier New" w:hAnsi="Courier New"/>
          <w:sz w:val="16"/>
          <w:szCs w:val="16"/>
          <w:color w:val="auto"/>
        </w:rPr>
        <w:t>2001 between</w:t>
      </w:r>
    </w:p>
    <w:p>
      <w:pPr>
        <w:jc w:val="center"/>
        <w:ind w:right="8915"/>
        <w:spacing w:after="0" w:line="237" w:lineRule="auto"/>
        <w:rPr>
          <w:sz w:val="20"/>
          <w:szCs w:val="20"/>
          <w:color w:val="auto"/>
        </w:rPr>
      </w:pPr>
      <w:r>
        <w:rPr>
          <w:rFonts w:ascii="Courier New" w:cs="Courier New" w:eastAsia="Courier New" w:hAnsi="Courier New"/>
          <w:sz w:val="16"/>
          <w:szCs w:val="16"/>
          <w:color w:val="auto"/>
        </w:rPr>
        <w:t>Waste</w:t>
      </w:r>
    </w:p>
    <w:p>
      <w:pPr>
        <w:jc w:val="center"/>
        <w:ind w:right="8915"/>
        <w:spacing w:after="0" w:line="237" w:lineRule="auto"/>
        <w:rPr>
          <w:sz w:val="20"/>
          <w:szCs w:val="20"/>
          <w:color w:val="auto"/>
        </w:rPr>
      </w:pPr>
      <w:r>
        <w:rPr>
          <w:rFonts w:ascii="Courier New" w:cs="Courier New" w:eastAsia="Courier New" w:hAnsi="Courier New"/>
          <w:sz w:val="16"/>
          <w:szCs w:val="16"/>
          <w:color w:val="auto"/>
        </w:rPr>
        <w:t>Management,</w:t>
      </w:r>
    </w:p>
    <w:p>
      <w:pPr>
        <w:jc w:val="center"/>
        <w:ind w:right="8915"/>
        <w:spacing w:after="0" w:line="237" w:lineRule="auto"/>
        <w:rPr>
          <w:sz w:val="20"/>
          <w:szCs w:val="20"/>
          <w:color w:val="auto"/>
        </w:rPr>
      </w:pPr>
      <w:r>
        <w:rPr>
          <w:rFonts w:ascii="Courier New" w:cs="Courier New" w:eastAsia="Courier New" w:hAnsi="Courier New"/>
          <w:sz w:val="16"/>
          <w:szCs w:val="16"/>
          <w:color w:val="auto"/>
        </w:rPr>
        <w:t>Inc. and</w:t>
      </w:r>
    </w:p>
    <w:p>
      <w:pPr>
        <w:jc w:val="center"/>
        <w:ind w:right="8915"/>
        <w:spacing w:after="0" w:line="237" w:lineRule="auto"/>
        <w:rPr>
          <w:sz w:val="20"/>
          <w:szCs w:val="20"/>
          <w:color w:val="auto"/>
        </w:rPr>
      </w:pPr>
      <w:r>
        <w:rPr>
          <w:rFonts w:ascii="Courier New" w:cs="Courier New" w:eastAsia="Courier New" w:hAnsi="Courier New"/>
          <w:sz w:val="16"/>
          <w:szCs w:val="16"/>
          <w:color w:val="auto"/>
        </w:rPr>
        <w:t>Richard</w:t>
      </w:r>
    </w:p>
    <w:p>
      <w:pPr>
        <w:jc w:val="center"/>
        <w:ind w:right="8915"/>
        <w:spacing w:after="0" w:line="237" w:lineRule="auto"/>
        <w:rPr>
          <w:sz w:val="20"/>
          <w:szCs w:val="20"/>
          <w:color w:val="auto"/>
        </w:rPr>
      </w:pPr>
      <w:r>
        <w:rPr>
          <w:rFonts w:ascii="Courier New" w:cs="Courier New" w:eastAsia="Courier New" w:hAnsi="Courier New"/>
          <w:sz w:val="16"/>
          <w:szCs w:val="16"/>
          <w:color w:val="auto"/>
        </w:rPr>
        <w:t>Felago. 12 --</w:t>
      </w:r>
    </w:p>
    <w:p>
      <w:pPr>
        <w:jc w:val="center"/>
        <w:ind w:right="8915"/>
        <w:spacing w:after="0" w:line="236" w:lineRule="auto"/>
        <w:rPr>
          <w:sz w:val="20"/>
          <w:szCs w:val="20"/>
          <w:color w:val="auto"/>
        </w:rPr>
      </w:pPr>
      <w:r>
        <w:rPr>
          <w:rFonts w:ascii="Courier New" w:cs="Courier New" w:eastAsia="Courier New" w:hAnsi="Courier New"/>
          <w:sz w:val="16"/>
          <w:szCs w:val="16"/>
          <w:color w:val="auto"/>
        </w:rPr>
        <w:t>Computation</w:t>
      </w:r>
    </w:p>
    <w:p>
      <w:pPr>
        <w:jc w:val="center"/>
        <w:ind w:right="8915"/>
        <w:spacing w:after="0" w:line="237" w:lineRule="auto"/>
        <w:rPr>
          <w:sz w:val="20"/>
          <w:szCs w:val="20"/>
          <w:color w:val="auto"/>
        </w:rPr>
      </w:pPr>
      <w:r>
        <w:rPr>
          <w:rFonts w:ascii="Courier New" w:cs="Courier New" w:eastAsia="Courier New" w:hAnsi="Courier New"/>
          <w:sz w:val="16"/>
          <w:szCs w:val="16"/>
          <w:color w:val="auto"/>
        </w:rPr>
        <w:t>of Ratio of</w:t>
      </w:r>
    </w:p>
    <w:p>
      <w:pPr>
        <w:jc w:val="center"/>
        <w:ind w:right="8915"/>
        <w:spacing w:after="0" w:line="237" w:lineRule="auto"/>
        <w:rPr>
          <w:sz w:val="20"/>
          <w:szCs w:val="20"/>
          <w:color w:val="auto"/>
        </w:rPr>
      </w:pPr>
      <w:r>
        <w:rPr>
          <w:rFonts w:ascii="Courier New" w:cs="Courier New" w:eastAsia="Courier New" w:hAnsi="Courier New"/>
          <w:sz w:val="16"/>
          <w:szCs w:val="16"/>
          <w:color w:val="auto"/>
        </w:rPr>
        <w:t>Earnings to</w:t>
      </w:r>
    </w:p>
    <w:p>
      <w:pPr>
        <w:jc w:val="center"/>
        <w:ind w:right="8915"/>
        <w:spacing w:after="0" w:line="237" w:lineRule="auto"/>
        <w:rPr>
          <w:sz w:val="20"/>
          <w:szCs w:val="20"/>
          <w:color w:val="auto"/>
        </w:rPr>
      </w:pPr>
      <w:r>
        <w:rPr>
          <w:rFonts w:ascii="Courier New" w:cs="Courier New" w:eastAsia="Courier New" w:hAnsi="Courier New"/>
          <w:sz w:val="16"/>
          <w:szCs w:val="16"/>
          <w:color w:val="auto"/>
        </w:rPr>
        <w:t>Fixed</w:t>
      </w:r>
    </w:p>
    <w:p>
      <w:pPr>
        <w:jc w:val="center"/>
        <w:ind w:right="8915"/>
        <w:spacing w:after="0"/>
        <w:rPr>
          <w:sz w:val="20"/>
          <w:szCs w:val="20"/>
          <w:color w:val="auto"/>
        </w:rPr>
      </w:pPr>
      <w:r>
        <w:rPr>
          <w:rFonts w:ascii="Courier New" w:cs="Courier New" w:eastAsia="Courier New" w:hAnsi="Courier New"/>
          <w:sz w:val="16"/>
          <w:szCs w:val="16"/>
          <w:color w:val="auto"/>
        </w:rPr>
        <w:t>Charges.</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185" w:right="2959" w:hanging="185"/>
        <w:spacing w:after="0" w:line="271" w:lineRule="auto"/>
        <w:tabs>
          <w:tab w:leader="none" w:pos="18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incorporation by reference to documents filed under the Securities and Exchange Act of 1934, the Registrant's file number under that Act is 1-12154.</w:t>
      </w:r>
    </w:p>
    <w:p>
      <w:pPr>
        <w:sectPr>
          <w:pgSz w:w="11900" w:h="16838" w:orient="portrait"/>
          <w:cols w:equalWidth="0" w:num="1">
            <w:col w:w="10224"/>
          </w:cols>
          <w:pgMar w:left="235" w:top="114"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REVOLVING CREDIT AGREEMENT</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DATED AS OF JUNE 29, 2001</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by and among</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(the "Borrower")</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WASTE MANAGEMENT HOLDINGS, INC.</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"Guarantor")</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FLEET NATIONAL BANK ("Fleet")</w:t>
      </w:r>
    </w:p>
    <w:p>
      <w:pPr>
        <w:spacing w:after="0" w:line="23"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BANK OF AMERICA, N.A. ("BOA")</w:t>
      </w:r>
    </w:p>
    <w:p>
      <w:pPr>
        <w:ind w:left="1860"/>
        <w:spacing w:after="0" w:line="236" w:lineRule="auto"/>
        <w:rPr>
          <w:sz w:val="20"/>
          <w:szCs w:val="20"/>
          <w:color w:val="auto"/>
        </w:rPr>
      </w:pPr>
      <w:r>
        <w:rPr>
          <w:rFonts w:ascii="Courier New" w:cs="Courier New" w:eastAsia="Courier New" w:hAnsi="Courier New"/>
          <w:sz w:val="16"/>
          <w:szCs w:val="16"/>
          <w:color w:val="auto"/>
        </w:rPr>
        <w:t>THE CHASE MANHATTAN BANK ("Chase")</w:t>
      </w:r>
    </w:p>
    <w:p>
      <w:pPr>
        <w:spacing w:after="0" w:line="1"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DEUTSCHE BANK AG, NEW YORK BRANCH ("Deutsche")</w:t>
      </w:r>
    </w:p>
    <w:p>
      <w:pPr>
        <w:spacing w:after="0" w:line="1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 THE OTHER FINANCIAL INSTITUTIONS WHICH BECOME</w:t>
      </w:r>
    </w:p>
    <w:p>
      <w:pPr>
        <w:spacing w:after="0" w:line="2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 PARTY TO THIS AGREEMENT</w:t>
      </w:r>
    </w:p>
    <w:p>
      <w:pPr>
        <w:spacing w:after="0" w:line="1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(Collectively, the "Banks")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FLEET AS ADMINISTRATIVE AGENT (the "Administrative Agent")</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DEUTSCHE AND CITIBANK, N.A., AS CO-DOCUMENTATION AGENTS</w:t>
      </w:r>
    </w:p>
    <w:p>
      <w:pPr>
        <w:spacing w:after="0" w:line="2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"Co-Documentation Agents")</w:t>
      </w:r>
    </w:p>
    <w:p>
      <w:pPr>
        <w:spacing w:after="0" w:line="1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4"/>
          <w:szCs w:val="14"/>
          <w:color w:val="auto"/>
        </w:rPr>
        <w:t>BOA AND J.P. MORGAN SECURITIES INC. ("JPMORGAN") AS CO-SYNDICATION AGENTS</w:t>
      </w:r>
    </w:p>
    <w:p>
      <w:pPr>
        <w:spacing w:after="0" w:line="4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"Co-Syndication Agents")</w:t>
      </w:r>
    </w:p>
    <w:p>
      <w:pPr>
        <w:spacing w:after="0" w:line="1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JPMORGAN AND BANC OF AMERICA SECURITIES LLC</w:t>
      </w:r>
    </w:p>
    <w:p>
      <w:pPr>
        <w:spacing w:after="0" w:line="23"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AS JOINT LEAD ARRANGERS AND JOINT BOOK MANAGERS</w:t>
      </w:r>
    </w:p>
    <w:p>
      <w:pPr>
        <w:ind w:left="1020"/>
        <w:spacing w:after="0"/>
        <w:rPr>
          <w:sz w:val="20"/>
          <w:szCs w:val="20"/>
          <w:color w:val="auto"/>
        </w:rPr>
      </w:pPr>
      <w:r>
        <w:rPr>
          <w:rFonts w:ascii="Courier New" w:cs="Courier New" w:eastAsia="Courier New" w:hAnsi="Courier New"/>
          <w:sz w:val="16"/>
          <w:szCs w:val="16"/>
          <w:color w:val="auto"/>
        </w:rPr>
        <w:t>(the "Joint Lead Arrangers and Joint Book Managers")</w:t>
      </w:r>
    </w:p>
    <w:p>
      <w:pPr>
        <w:sectPr>
          <w:pgSz w:w="11900" w:h="16838" w:orient="portrait"/>
          <w:cols w:equalWidth="0" w:num="1">
            <w:col w:w="9939"/>
          </w:cols>
          <w:pgMar w:left="520" w:top="114" w:right="1440"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61"/>
        </w:trPr>
        <w:tc>
          <w:tcPr>
            <w:tcW w:w="1020" w:type="dxa"/>
            <w:vAlign w:val="bottom"/>
          </w:tcPr>
          <w:p>
            <w:pPr>
              <w:ind w:left="280"/>
              <w:spacing w:after="0"/>
              <w:rPr>
                <w:sz w:val="20"/>
                <w:szCs w:val="20"/>
                <w:color w:val="auto"/>
              </w:rPr>
            </w:pPr>
            <w:r>
              <w:rPr>
                <w:rFonts w:ascii="Courier New" w:cs="Courier New" w:eastAsia="Courier New" w:hAnsi="Courier New"/>
                <w:sz w:val="16"/>
                <w:szCs w:val="16"/>
                <w:color w:val="auto"/>
              </w:rPr>
              <w:t>2</w:t>
            </w:r>
          </w:p>
        </w:tc>
        <w:tc>
          <w:tcPr>
            <w:tcW w:w="112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37"/>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60" w:type="dxa"/>
            <w:vAlign w:val="bottom"/>
          </w:tcPr>
          <w:p>
            <w:pPr>
              <w:jc w:val="right"/>
              <w:ind w:right="5422"/>
              <w:spacing w:after="0"/>
              <w:rPr>
                <w:sz w:val="20"/>
                <w:szCs w:val="20"/>
                <w:color w:val="auto"/>
              </w:rPr>
            </w:pPr>
            <w:r>
              <w:rPr>
                <w:rFonts w:ascii="Courier New" w:cs="Courier New" w:eastAsia="Courier New" w:hAnsi="Courier New"/>
                <w:sz w:val="16"/>
                <w:szCs w:val="16"/>
                <w:color w:val="auto"/>
              </w:rPr>
              <w:t>-ii-</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60" w:type="dxa"/>
            <w:vAlign w:val="bottom"/>
          </w:tcPr>
          <w:p>
            <w:pPr>
              <w:jc w:val="right"/>
              <w:ind w:right="4762"/>
              <w:spacing w:after="0"/>
              <w:rPr>
                <w:sz w:val="20"/>
                <w:szCs w:val="20"/>
                <w:color w:val="auto"/>
              </w:rPr>
            </w:pPr>
            <w:r>
              <w:rPr>
                <w:rFonts w:ascii="Courier New" w:cs="Courier New" w:eastAsia="Courier New" w:hAnsi="Courier New"/>
                <w:sz w:val="16"/>
                <w:szCs w:val="16"/>
                <w:color w:val="auto"/>
              </w:rPr>
              <w:t>TABLE OF CONTENTS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020" w:type="dxa"/>
            <w:vAlign w:val="bottom"/>
          </w:tcPr>
          <w:p>
            <w:pPr>
              <w:spacing w:after="0"/>
              <w:rPr>
                <w:sz w:val="20"/>
                <w:szCs w:val="20"/>
                <w:color w:val="auto"/>
              </w:rPr>
            </w:pPr>
            <w:r>
              <w:rPr>
                <w:rFonts w:ascii="Courier New" w:cs="Courier New" w:eastAsia="Courier New" w:hAnsi="Courier New"/>
                <w:sz w:val="16"/>
                <w:szCs w:val="16"/>
                <w:color w:val="auto"/>
              </w:rPr>
              <w:t>SECTION 1.</w:t>
            </w:r>
          </w:p>
        </w:tc>
        <w:tc>
          <w:tcPr>
            <w:tcW w:w="83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DEFINITIONS AND RULES OF INTERPRETATION..................................................</w:t>
            </w:r>
          </w:p>
        </w:tc>
        <w:tc>
          <w:tcPr>
            <w:tcW w:w="180" w:type="dxa"/>
            <w:vAlign w:val="bottom"/>
          </w:tcPr>
          <w:p>
            <w:pPr>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1.1.</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Definitions...................................................................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1.2.</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Rules of Interpretation.......................................................</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16</w:t>
            </w:r>
          </w:p>
        </w:tc>
        <w:tc>
          <w:tcPr>
            <w:tcW w:w="0" w:type="dxa"/>
            <w:vAlign w:val="bottom"/>
          </w:tcPr>
          <w:p>
            <w:pPr>
              <w:spacing w:after="0"/>
              <w:rPr>
                <w:sz w:val="1"/>
                <w:szCs w:val="1"/>
                <w:color w:val="auto"/>
              </w:rPr>
            </w:pP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w:t>
            </w:r>
          </w:p>
        </w:tc>
        <w:tc>
          <w:tcPr>
            <w:tcW w:w="8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THE LOAN FACILITIES......................................................................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17</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2.1.</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Commitment to Lend............................................................</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17</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2.2.</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Facility Fee..................................................................</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17</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2.3.</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Reduction of Total Commitment.................................................</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18</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2.4.</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The Syndicated Notes..........................................................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18</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2.5.</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Interest on Loans.............................................................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19</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2.6.</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Requests for Syndicated Loans.................................................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19</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2.7.</w:t>
            </w:r>
          </w:p>
        </w:tc>
        <w:tc>
          <w:tcPr>
            <w:tcW w:w="726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w w:val="96"/>
              </w:rPr>
              <w:t>Election of Eurodollar Rate; Notice of Election; Interest Periods; Minimum</w:t>
            </w:r>
          </w:p>
        </w:tc>
        <w:tc>
          <w:tcPr>
            <w:tcW w:w="180" w:type="dxa"/>
            <w:vAlign w:val="bottom"/>
            <w:vMerge w:val="restart"/>
          </w:tcPr>
          <w:p>
            <w:pPr>
              <w:spacing w:after="0"/>
              <w:rPr>
                <w:sz w:val="20"/>
                <w:szCs w:val="20"/>
                <w:color w:val="auto"/>
              </w:rPr>
            </w:pPr>
            <w:r>
              <w:rPr>
                <w:rFonts w:ascii="Courier New" w:cs="Courier New" w:eastAsia="Courier New" w:hAnsi="Courier New"/>
                <w:sz w:val="16"/>
                <w:szCs w:val="16"/>
                <w:color w:val="auto"/>
                <w:w w:val="83"/>
              </w:rPr>
              <w:t>20</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rPr>
                <w:sz w:val="20"/>
                <w:szCs w:val="20"/>
                <w:color w:val="auto"/>
              </w:rPr>
            </w:pPr>
            <w:r>
              <w:rPr>
                <w:rFonts w:ascii="Courier New" w:cs="Courier New" w:eastAsia="Courier New" w:hAnsi="Courier New"/>
                <w:sz w:val="3"/>
                <w:szCs w:val="3"/>
                <w:color w:val="auto"/>
                <w:w w:val="77"/>
              </w:rPr>
              <w:t>Amounts.....................................................................................</w:t>
            </w:r>
          </w:p>
        </w:tc>
        <w:tc>
          <w:tcPr>
            <w:tcW w:w="7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Funds for Syndicated Loans....................................................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w:t>
            </w:r>
          </w:p>
        </w:tc>
        <w:tc>
          <w:tcPr>
            <w:tcW w:w="7260" w:type="dxa"/>
            <w:vAlign w:val="bottom"/>
            <w:vMerge w:val="continue"/>
          </w:tcPr>
          <w:p>
            <w:pPr>
              <w:spacing w:after="0"/>
              <w:rPr>
                <w:sz w:val="15"/>
                <w:szCs w:val="15"/>
                <w:color w:val="auto"/>
              </w:rPr>
            </w:pP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21</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2.9.</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Maturity of the Loans and Reimbursement Obligations...........................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21</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2.10.</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Optional Prepayments or Repayments of Loans..................................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22</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2.11.</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Swing Line Loans; Settlements................................................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22</w:t>
            </w:r>
          </w:p>
        </w:tc>
        <w:tc>
          <w:tcPr>
            <w:tcW w:w="0" w:type="dxa"/>
            <w:vAlign w:val="bottom"/>
          </w:tcPr>
          <w:p>
            <w:pPr>
              <w:spacing w:after="0"/>
              <w:rPr>
                <w:sz w:val="1"/>
                <w:szCs w:val="1"/>
                <w:color w:val="auto"/>
              </w:rPr>
            </w:pP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3.</w:t>
            </w:r>
          </w:p>
        </w:tc>
        <w:tc>
          <w:tcPr>
            <w:tcW w:w="1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LETTERS OF</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CREDIT........................................................................</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24</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3.1.</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Letter of Credit Commitments..................................................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24</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3.2.</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Reimbursement Obligation of the Borrower......................................</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25</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3.3.</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Obligations Absolute..........................................................</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25</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3.4.</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Reliance by the Issuing Banks.................................................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26</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3.5.</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Notice Regarding Letters of Credit............................................</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26</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3.6.</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Letter of Credit Fee..........................................................</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26</w:t>
            </w:r>
          </w:p>
        </w:tc>
        <w:tc>
          <w:tcPr>
            <w:tcW w:w="0" w:type="dxa"/>
            <w:vAlign w:val="bottom"/>
          </w:tcPr>
          <w:p>
            <w:pPr>
              <w:spacing w:after="0"/>
              <w:rPr>
                <w:sz w:val="1"/>
                <w:szCs w:val="1"/>
                <w:color w:val="auto"/>
              </w:rPr>
            </w:pP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4.</w:t>
            </w:r>
          </w:p>
        </w:tc>
        <w:tc>
          <w:tcPr>
            <w:tcW w:w="83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COMPETITIVE BID LOANS....................................................................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26</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4.1.</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The Competitive Bid Option....................................................</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26</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4.2.</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Competitive Bid Loan Accounts; Competitive Bid Notes..........................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26</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4.3.</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Competitive Bid Quote Request; Invitation for Competitive Bid Quotes..........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27</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4.4.</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Alternative Manner of Procedure...............................................</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28</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4.5.</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Submission and Contents of Competitive Bid Quotes.............................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29</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4.6.</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Notice to Borrower............................................................</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30</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4.7.</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Acceptance and Notice by Borrower and Administrative Agent....................</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30</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4.8.</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Allocation by Administrative Agent............................................</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31</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4.9.</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Funding of Competitive Bid Loans..............................................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31</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4.10.</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Funding Losses...............................................................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31</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4.11.</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Repayment of Competitive Bid Loans; Interest.................................</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31</w:t>
            </w:r>
          </w:p>
        </w:tc>
        <w:tc>
          <w:tcPr>
            <w:tcW w:w="0" w:type="dxa"/>
            <w:vAlign w:val="bottom"/>
          </w:tcPr>
          <w:p>
            <w:pPr>
              <w:spacing w:after="0"/>
              <w:rPr>
                <w:sz w:val="1"/>
                <w:szCs w:val="1"/>
                <w:color w:val="auto"/>
              </w:rPr>
            </w:pP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5.</w:t>
            </w:r>
          </w:p>
        </w:tc>
        <w:tc>
          <w:tcPr>
            <w:tcW w:w="11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PROVISIONS</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RELATING TO ALL LOANS AND LETTERS OF CREDIT...................................</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32</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5.1.</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Payments......................................................................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32</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5.2.</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Mandatory Repayments of the Loans.............................................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34</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5.3.</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Computations..................................................................</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34</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5.4.</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Illegality; Inability to Determine Eurodollar Rate............................</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35</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5.5.</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Additional Costs, Etc.........................................................</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35</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5.6.</w:t>
            </w:r>
          </w:p>
        </w:tc>
        <w:tc>
          <w:tcPr>
            <w:tcW w:w="7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Capital Adequacy..............................................................</w:t>
            </w:r>
          </w:p>
        </w:tc>
        <w:tc>
          <w:tcPr>
            <w:tcW w:w="180" w:type="dxa"/>
            <w:vAlign w:val="bottom"/>
          </w:tcPr>
          <w:p>
            <w:pPr>
              <w:spacing w:after="0" w:line="179" w:lineRule="exact"/>
              <w:rPr>
                <w:sz w:val="20"/>
                <w:szCs w:val="20"/>
                <w:color w:val="auto"/>
              </w:rPr>
            </w:pPr>
            <w:r>
              <w:rPr>
                <w:rFonts w:ascii="Courier New" w:cs="Courier New" w:eastAsia="Courier New" w:hAnsi="Courier New"/>
                <w:sz w:val="16"/>
                <w:szCs w:val="16"/>
                <w:color w:val="auto"/>
                <w:w w:val="83"/>
              </w:rPr>
              <w:t>36</w:t>
            </w:r>
          </w:p>
        </w:tc>
        <w:tc>
          <w:tcPr>
            <w:tcW w:w="0" w:type="dxa"/>
            <w:vAlign w:val="bottom"/>
          </w:tcPr>
          <w:p>
            <w:pPr>
              <w:spacing w:after="0"/>
              <w:rPr>
                <w:sz w:val="1"/>
                <w:szCs w:val="1"/>
                <w:color w:val="auto"/>
              </w:rPr>
            </w:pPr>
          </w:p>
        </w:tc>
      </w:tr>
      <w:tr>
        <w:trPr>
          <w:trHeight w:val="261"/>
        </w:trPr>
        <w:tc>
          <w:tcPr>
            <w:tcW w:w="214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Section 5.7.</w:t>
            </w:r>
          </w:p>
        </w:tc>
        <w:tc>
          <w:tcPr>
            <w:tcW w:w="7260" w:type="dxa"/>
            <w:vAlign w:val="bottom"/>
          </w:tcPr>
          <w:p>
            <w:pPr>
              <w:jc w:val="right"/>
              <w:spacing w:after="0"/>
              <w:rPr>
                <w:sz w:val="20"/>
                <w:szCs w:val="20"/>
                <w:color w:val="auto"/>
              </w:rPr>
            </w:pPr>
            <w:r>
              <w:rPr>
                <w:rFonts w:ascii="Courier New" w:cs="Courier New" w:eastAsia="Courier New" w:hAnsi="Courier New"/>
                <w:sz w:val="16"/>
                <w:szCs w:val="16"/>
                <w:color w:val="auto"/>
                <w:w w:val="96"/>
              </w:rPr>
              <w:t>Certificate...................................................................</w:t>
            </w:r>
          </w:p>
        </w:tc>
        <w:tc>
          <w:tcPr>
            <w:tcW w:w="180" w:type="dxa"/>
            <w:vAlign w:val="bottom"/>
          </w:tcPr>
          <w:p>
            <w:pPr>
              <w:spacing w:after="0"/>
              <w:rPr>
                <w:sz w:val="20"/>
                <w:szCs w:val="20"/>
                <w:color w:val="auto"/>
              </w:rPr>
            </w:pPr>
            <w:r>
              <w:rPr>
                <w:rFonts w:ascii="Courier New" w:cs="Courier New" w:eastAsia="Courier New" w:hAnsi="Courier New"/>
                <w:sz w:val="16"/>
                <w:szCs w:val="16"/>
                <w:color w:val="auto"/>
                <w:w w:val="83"/>
              </w:rPr>
              <w:t>37</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140" w:type="dxa"/>
            <w:vAlign w:val="bottom"/>
          </w:tcPr>
          <w:p>
            <w:pPr>
              <w:jc w:val="right"/>
              <w:ind w:right="5422"/>
              <w:spacing w:after="0"/>
              <w:rPr>
                <w:sz w:val="20"/>
                <w:szCs w:val="20"/>
                <w:color w:val="auto"/>
              </w:rPr>
            </w:pPr>
            <w:r>
              <w:rPr>
                <w:rFonts w:ascii="Courier New" w:cs="Courier New" w:eastAsia="Courier New" w:hAnsi="Courier New"/>
                <w:sz w:val="16"/>
                <w:szCs w:val="16"/>
                <w:color w:val="auto"/>
              </w:rPr>
              <w:t>-iii-</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33"/>
        </w:trPr>
        <w:tc>
          <w:tcPr>
            <w:tcW w:w="208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Section 5.8.</w:t>
            </w:r>
          </w:p>
        </w:tc>
        <w:tc>
          <w:tcPr>
            <w:tcW w:w="7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Eurodollar and Competitive Bid Indemnity......................................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37</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5.9.</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Interest on Overdue Amounts...................................................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38</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5.10.</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Interest Limitation..........................................................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38</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5.11.</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Reasonable Efforts to Mitigate...............................................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38</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5.12.</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Replacement of Banks.........................................................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38</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5.13.</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Advances by Administrative Agent.............................................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39</w:t>
            </w:r>
          </w:p>
        </w:tc>
        <w:tc>
          <w:tcPr>
            <w:tcW w:w="0" w:type="dxa"/>
            <w:vAlign w:val="bottom"/>
          </w:tcPr>
          <w:p>
            <w:pPr>
              <w:spacing w:after="0"/>
              <w:rPr>
                <w:sz w:val="1"/>
                <w:szCs w:val="1"/>
                <w:color w:val="auto"/>
              </w:rPr>
            </w:pP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6.</w:t>
            </w:r>
          </w:p>
        </w:tc>
        <w:tc>
          <w:tcPr>
            <w:tcW w:w="83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REPRESENTATIONS AND WARRANTIES...........................................................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40</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6.1.</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Corporate Authority...........................................................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40</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6.2.</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Governmental and Other Approvals..............................................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41</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6.3.</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Title to Properties; Leases...................................................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41</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6.4.</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Financial Statements; Solvency................................................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41</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6.5.</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No Material Changes, Etc......................................................</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6.6.</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Franchises, Patents, Copyrights, Etc..........................................</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6.7.</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Litigation....................................................................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6.8.</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No Materially Adverse Contracts, Etc..........................................</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6.9.</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Compliance With Other Instruments, Laws, Etc..................................</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6.10.</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Tax Status...................................................................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6.11.</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No Event of Default..........................................................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6.12.</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Holding Company and Investment Company Acts..................................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6.13.</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Absence of Financing Statements, Etc.........................................</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6.14.</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Employee Benefit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22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6.14.1.</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 General........................................................</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22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6.14.2.</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Terminability of Welfare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22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6.14.3.</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Guaranteed Pension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44</w:t>
            </w: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22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6.14.4.</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Multiemployer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44</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6.15.</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Environmental Compliance.....................................................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44</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6.16.</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Disclosure...................................................................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6.17.</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Permits and Governmental Authority...........................................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c>
          <w:tcPr>
            <w:tcW w:w="0" w:type="dxa"/>
            <w:vAlign w:val="bottom"/>
          </w:tcPr>
          <w:p>
            <w:pPr>
              <w:spacing w:after="0"/>
              <w:rPr>
                <w:sz w:val="1"/>
                <w:szCs w:val="1"/>
                <w:color w:val="auto"/>
              </w:rPr>
            </w:pP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7.</w:t>
            </w:r>
          </w:p>
        </w:tc>
        <w:tc>
          <w:tcPr>
            <w:tcW w:w="838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AFFIRMATIVE COVENANTS OF THE BORROWER....................................................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7.1.</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Punctual Payment..............................................................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7.2.</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Maintenance of U.S. Office....................................................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7.3.</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Records and Accounts..........................................................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7.4.</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Financial Statements, Certificates and Information............................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47</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7.5.</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Existence and Conduct of Business.............................................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48</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7.6.</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Maintenance of Properties.....................................................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48</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7.7.</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Insurance.....................................................................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49</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7.8.</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Taxes.........................................................................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49</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7.9.</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Inspection of Properties, Books and Contracts.................................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49</w:t>
            </w:r>
          </w:p>
        </w:tc>
        <w:tc>
          <w:tcPr>
            <w:tcW w:w="0" w:type="dxa"/>
            <w:vAlign w:val="bottom"/>
          </w:tcPr>
          <w:p>
            <w:pPr>
              <w:spacing w:after="0"/>
              <w:rPr>
                <w:sz w:val="1"/>
                <w:szCs w:val="1"/>
                <w:color w:val="auto"/>
              </w:rPr>
            </w:pPr>
          </w:p>
        </w:tc>
      </w:tr>
      <w:tr>
        <w:trPr>
          <w:trHeight w:val="179"/>
        </w:trPr>
        <w:tc>
          <w:tcPr>
            <w:tcW w:w="9400" w:type="dxa"/>
            <w:vAlign w:val="bottom"/>
            <w:gridSpan w:val="4"/>
          </w:tcPr>
          <w:p>
            <w:pPr>
              <w:ind w:left="840"/>
              <w:spacing w:after="0" w:line="179" w:lineRule="exact"/>
              <w:rPr>
                <w:sz w:val="20"/>
                <w:szCs w:val="20"/>
                <w:color w:val="auto"/>
              </w:rPr>
            </w:pPr>
            <w:r>
              <w:rPr>
                <w:rFonts w:ascii="Courier New" w:cs="Courier New" w:eastAsia="Courier New" w:hAnsi="Courier New"/>
                <w:sz w:val="16"/>
                <w:szCs w:val="16"/>
                <w:color w:val="auto"/>
              </w:rPr>
              <w:t>Section 7.10.  Compliance with Laws, Contracts, Licenses and Permits; Maintenance of</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3"/>
              </w:rPr>
              <w:t>50</w:t>
            </w:r>
          </w:p>
        </w:tc>
        <w:tc>
          <w:tcPr>
            <w:tcW w:w="0" w:type="dxa"/>
            <w:vAlign w:val="bottom"/>
          </w:tcPr>
          <w:p>
            <w:pPr>
              <w:spacing w:after="0"/>
              <w:rPr>
                <w:sz w:val="1"/>
                <w:szCs w:val="1"/>
                <w:color w:val="auto"/>
              </w:rPr>
            </w:pPr>
          </w:p>
        </w:tc>
      </w:tr>
      <w:tr>
        <w:trPr>
          <w:trHeight w:val="179"/>
        </w:trPr>
        <w:tc>
          <w:tcPr>
            <w:tcW w:w="9400" w:type="dxa"/>
            <w:vAlign w:val="bottom"/>
            <w:gridSpan w:val="4"/>
          </w:tcPr>
          <w:p>
            <w:pPr>
              <w:ind w:left="840"/>
              <w:spacing w:after="0" w:line="179" w:lineRule="exact"/>
              <w:rPr>
                <w:sz w:val="20"/>
                <w:szCs w:val="20"/>
                <w:color w:val="auto"/>
              </w:rPr>
            </w:pPr>
            <w:r>
              <w:rPr>
                <w:rFonts w:ascii="Courier New" w:cs="Courier New" w:eastAsia="Courier New" w:hAnsi="Courier New"/>
                <w:sz w:val="16"/>
                <w:szCs w:val="16"/>
                <w:color w:val="auto"/>
                <w:w w:val="96"/>
              </w:rPr>
              <w:t>Material Licenses and Permits...............................................................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7.11.</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Environmental Indemnification................................................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50</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7.12.</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Further Assurances...........................................................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50</w:t>
            </w:r>
          </w:p>
        </w:tc>
        <w:tc>
          <w:tcPr>
            <w:tcW w:w="0" w:type="dxa"/>
            <w:vAlign w:val="bottom"/>
          </w:tcPr>
          <w:p>
            <w:pPr>
              <w:spacing w:after="0"/>
              <w:rPr>
                <w:sz w:val="1"/>
                <w:szCs w:val="1"/>
                <w:color w:val="auto"/>
              </w:rPr>
            </w:pPr>
          </w:p>
        </w:tc>
      </w:tr>
      <w:tr>
        <w:trPr>
          <w:trHeight w:val="179"/>
        </w:trPr>
        <w:tc>
          <w:tcPr>
            <w:tcW w:w="208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w w:val="97"/>
              </w:rPr>
              <w:t>Section 7.13.</w:t>
            </w:r>
          </w:p>
        </w:tc>
        <w:tc>
          <w:tcPr>
            <w:tcW w:w="73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8"/>
              </w:rPr>
              <w:t>Notice of Potential Claims or Litigation.....................................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50</w:t>
            </w:r>
          </w:p>
        </w:tc>
        <w:tc>
          <w:tcPr>
            <w:tcW w:w="0" w:type="dxa"/>
            <w:vAlign w:val="bottom"/>
          </w:tcPr>
          <w:p>
            <w:pPr>
              <w:spacing w:after="0"/>
              <w:rPr>
                <w:sz w:val="1"/>
                <w:szCs w:val="1"/>
                <w:color w:val="auto"/>
              </w:rPr>
            </w:pPr>
          </w:p>
        </w:tc>
      </w:tr>
      <w:tr>
        <w:trPr>
          <w:trHeight w:val="261"/>
        </w:trPr>
        <w:tc>
          <w:tcPr>
            <w:tcW w:w="2080" w:type="dxa"/>
            <w:vAlign w:val="bottom"/>
            <w:gridSpan w:val="2"/>
          </w:tcPr>
          <w:p>
            <w:pPr>
              <w:ind w:left="840"/>
              <w:spacing w:after="0"/>
              <w:rPr>
                <w:sz w:val="20"/>
                <w:szCs w:val="20"/>
                <w:color w:val="auto"/>
              </w:rPr>
            </w:pPr>
            <w:r>
              <w:rPr>
                <w:rFonts w:ascii="Courier New" w:cs="Courier New" w:eastAsia="Courier New" w:hAnsi="Courier New"/>
                <w:sz w:val="16"/>
                <w:szCs w:val="16"/>
                <w:color w:val="auto"/>
                <w:w w:val="97"/>
              </w:rPr>
              <w:t>Section 7.14.</w:t>
            </w:r>
          </w:p>
        </w:tc>
        <w:tc>
          <w:tcPr>
            <w:tcW w:w="73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Notice of Certain Events Concerning Insurance and Environmental Claims.......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140" w:type="dxa"/>
            <w:vAlign w:val="bottom"/>
          </w:tcPr>
          <w:p>
            <w:pPr>
              <w:jc w:val="right"/>
              <w:ind w:right="5422"/>
              <w:spacing w:after="0"/>
              <w:rPr>
                <w:sz w:val="20"/>
                <w:szCs w:val="20"/>
                <w:color w:val="auto"/>
              </w:rPr>
            </w:pPr>
            <w:r>
              <w:rPr>
                <w:rFonts w:ascii="Courier New" w:cs="Courier New" w:eastAsia="Courier New" w:hAnsi="Courier New"/>
                <w:sz w:val="16"/>
                <w:szCs w:val="16"/>
                <w:color w:val="auto"/>
              </w:rPr>
              <w:t>-iv-</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2"/>
        </w:trPr>
        <w:tc>
          <w:tcPr>
            <w:tcW w:w="214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Section 7.15.</w:t>
            </w:r>
          </w:p>
        </w:tc>
        <w:tc>
          <w:tcPr>
            <w:tcW w:w="7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Notice of Default............................................................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52</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7.16.</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Use of Proceeds..............................................................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52</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7.17.</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Certain Transactions.........................................................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52</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8.</w:t>
            </w:r>
          </w:p>
        </w:tc>
        <w:tc>
          <w:tcPr>
            <w:tcW w:w="83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CERTAIN NEGATIVE COVENANTS OF THE BORROWER...............................................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52</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8.1.</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Restrictions on Indebtedness..................................................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52</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8.2.</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Restrictions on Liens.........................................................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53</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8.3.</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Restrictions on Investments...................................................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54</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8.4.</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Mergers, Consolidations, Sales................................................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54</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8.5.</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Restricted Distributions and Redemptions......................................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55</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8.6.</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Employee Benefit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55</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9.</w:t>
            </w:r>
          </w:p>
        </w:tc>
        <w:tc>
          <w:tcPr>
            <w:tcW w:w="83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FINANCIAL COVENANTS OF THE BORROWER......................................................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9.1.</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Interest Coverage Ratio.......................................................</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9.2.</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Total Debt to EBITDA..........................................................</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9.3.</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Minimum Net Worth.............................................................</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SECTION 10.</w:t>
            </w:r>
          </w:p>
        </w:tc>
        <w:tc>
          <w:tcPr>
            <w:tcW w:w="10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CONDITIONS</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PRECEDENT....................................................................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10.1.</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Conditions To Effectiveness..................................................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10.1.1.</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Corporate Action..................................................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10.1.2.</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Loan Documents, Etc...............................................</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10.1.3.</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Certificate of No Change..........................................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10.1.4.</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Incumbency Certificate............................................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10.1.5.</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Certificates of Insurance.........................................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10.1.6.</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Opinion of Counsel................................................</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10.1.7.</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Satisfactory Financial Condition..................................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10.1.8.</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Payment of Closing Fees...........................................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10.1.9.</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Payoff of Existing Debt...........................................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200" w:type="dxa"/>
            <w:vAlign w:val="bottom"/>
            <w:gridSpan w:val="2"/>
          </w:tcPr>
          <w:p>
            <w:pPr>
              <w:ind w:left="600"/>
              <w:spacing w:after="0" w:line="179" w:lineRule="exact"/>
              <w:rPr>
                <w:sz w:val="20"/>
                <w:szCs w:val="20"/>
                <w:color w:val="auto"/>
              </w:rPr>
            </w:pPr>
            <w:r>
              <w:rPr>
                <w:rFonts w:ascii="Courier New" w:cs="Courier New" w:eastAsia="Courier New" w:hAnsi="Courier New"/>
                <w:sz w:val="16"/>
                <w:szCs w:val="16"/>
                <w:color w:val="auto"/>
              </w:rPr>
              <w:t>Section 10.1.10.</w:t>
            </w:r>
          </w:p>
        </w:tc>
        <w:tc>
          <w:tcPr>
            <w:tcW w:w="61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8"/>
              </w:rPr>
              <w:t>Closing Certificate..............................................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9400" w:type="dxa"/>
            <w:vAlign w:val="bottom"/>
            <w:gridSpan w:val="4"/>
          </w:tcPr>
          <w:p>
            <w:pPr>
              <w:spacing w:after="0" w:line="179" w:lineRule="exact"/>
              <w:rPr>
                <w:sz w:val="20"/>
                <w:szCs w:val="20"/>
                <w:color w:val="auto"/>
              </w:rPr>
            </w:pPr>
            <w:r>
              <w:rPr>
                <w:rFonts w:ascii="Courier New" w:cs="Courier New" w:eastAsia="Courier New" w:hAnsi="Courier New"/>
                <w:sz w:val="16"/>
                <w:szCs w:val="16"/>
                <w:color w:val="auto"/>
                <w:w w:val="96"/>
              </w:rPr>
              <w:t>SECTION 11.  CONDITIONS TO ALL LOANS.................................................................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11.1.</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Representations True.........................................................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11.2.</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Performance; No Event of Default.............................................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11.3.</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No Legal Impediment..........................................................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59</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11.4.</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Governmental Regulation......................................................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59</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11.5.</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Proceedings and Documents....................................................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59</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SECTION 12.</w:t>
            </w:r>
          </w:p>
        </w:tc>
        <w:tc>
          <w:tcPr>
            <w:tcW w:w="10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EVENTS OF</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DEFAULT; ACCELERATION; TERMINATION OF COMMITMENT..............................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59</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12.1.</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Events of Default and Acceleration...........................................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59</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12.2.</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Termination of Commitments...................................................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61</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12.3.</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Remedies.....................................................................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62</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SECTION 13.</w:t>
            </w:r>
          </w:p>
        </w:tc>
        <w:tc>
          <w:tcPr>
            <w:tcW w:w="2200" w:type="dxa"/>
            <w:vAlign w:val="bottom"/>
            <w:gridSpan w:val="2"/>
          </w:tcPr>
          <w:p>
            <w:pPr>
              <w:ind w:left="140"/>
              <w:spacing w:after="0"/>
              <w:rPr>
                <w:sz w:val="20"/>
                <w:szCs w:val="20"/>
                <w:color w:val="auto"/>
              </w:rPr>
            </w:pPr>
            <w:r>
              <w:rPr>
                <w:rFonts w:ascii="Courier New" w:cs="Courier New" w:eastAsia="Courier New" w:hAnsi="Courier New"/>
                <w:sz w:val="4"/>
                <w:szCs w:val="4"/>
                <w:color w:val="auto"/>
                <w:w w:val="96"/>
              </w:rPr>
              <w:t>SETOFF..................................................................................</w:t>
            </w:r>
          </w:p>
        </w:tc>
        <w:tc>
          <w:tcPr>
            <w:tcW w:w="614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62</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SECTION 14.</w:t>
            </w:r>
          </w:p>
        </w:tc>
        <w:tc>
          <w:tcPr>
            <w:tcW w:w="2200" w:type="dxa"/>
            <w:vAlign w:val="bottom"/>
            <w:gridSpan w:val="2"/>
          </w:tcPr>
          <w:p>
            <w:pPr>
              <w:ind w:left="140"/>
              <w:spacing w:after="0"/>
              <w:rPr>
                <w:sz w:val="20"/>
                <w:szCs w:val="20"/>
                <w:color w:val="auto"/>
              </w:rPr>
            </w:pPr>
            <w:r>
              <w:rPr>
                <w:rFonts w:ascii="Courier New" w:cs="Courier New" w:eastAsia="Courier New" w:hAnsi="Courier New"/>
                <w:sz w:val="4"/>
                <w:szCs w:val="4"/>
                <w:color w:val="auto"/>
                <w:w w:val="96"/>
              </w:rPr>
              <w:t>EXPENSES................................................................................</w:t>
            </w:r>
          </w:p>
        </w:tc>
        <w:tc>
          <w:tcPr>
            <w:tcW w:w="614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62</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SECTION 15.</w:t>
            </w:r>
          </w:p>
        </w:tc>
        <w:tc>
          <w:tcPr>
            <w:tcW w:w="10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THE AGENTS</w:t>
            </w:r>
          </w:p>
        </w:tc>
        <w:tc>
          <w:tcPr>
            <w:tcW w:w="726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72"/>
              </w:rPr>
              <w:t>..............................................................................</w:t>
            </w:r>
            <w:r>
              <w:rPr>
                <w:rFonts w:ascii="Courier New" w:cs="Courier New" w:eastAsia="Courier New" w:hAnsi="Courier New"/>
                <w:sz w:val="28"/>
                <w:szCs w:val="28"/>
                <w:color w:val="auto"/>
                <w:w w:val="72"/>
                <w:vertAlign w:val="subscript"/>
              </w:rPr>
              <w:t>Appointment,PowersandImmunities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63</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15.1.</w:t>
            </w:r>
          </w:p>
        </w:tc>
        <w:tc>
          <w:tcPr>
            <w:tcW w:w="7260" w:type="dxa"/>
            <w:vAlign w:val="bottom"/>
            <w:gridSpan w:val="2"/>
            <w:vMerge w:val="continue"/>
          </w:tcPr>
          <w:p>
            <w:pPr>
              <w:jc w:val="right"/>
              <w:spacing w:after="0" w:line="158" w:lineRule="exact"/>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63</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15.2.</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Actions By Administrative Agent..............................................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63</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15.3.</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Indemnification..............................................................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64</w:t>
            </w:r>
          </w:p>
        </w:tc>
        <w:tc>
          <w:tcPr>
            <w:tcW w:w="0" w:type="dxa"/>
            <w:vAlign w:val="bottom"/>
          </w:tcPr>
          <w:p>
            <w:pPr>
              <w:spacing w:after="0"/>
              <w:rPr>
                <w:sz w:val="1"/>
                <w:szCs w:val="1"/>
                <w:color w:val="auto"/>
              </w:rPr>
            </w:pPr>
          </w:p>
        </w:tc>
      </w:tr>
      <w:tr>
        <w:trPr>
          <w:trHeight w:val="179"/>
        </w:trPr>
        <w:tc>
          <w:tcPr>
            <w:tcW w:w="214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15.4.</w:t>
            </w:r>
          </w:p>
        </w:tc>
        <w:tc>
          <w:tcPr>
            <w:tcW w:w="72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Reimbursement................................................................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64</w:t>
            </w:r>
          </w:p>
        </w:tc>
        <w:tc>
          <w:tcPr>
            <w:tcW w:w="0" w:type="dxa"/>
            <w:vAlign w:val="bottom"/>
          </w:tcPr>
          <w:p>
            <w:pPr>
              <w:spacing w:after="0"/>
              <w:rPr>
                <w:sz w:val="1"/>
                <w:szCs w:val="1"/>
                <w:color w:val="auto"/>
              </w:rPr>
            </w:pPr>
          </w:p>
        </w:tc>
      </w:tr>
      <w:tr>
        <w:trPr>
          <w:trHeight w:val="261"/>
        </w:trPr>
        <w:tc>
          <w:tcPr>
            <w:tcW w:w="214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Section 15.5.</w:t>
            </w:r>
          </w:p>
        </w:tc>
        <w:tc>
          <w:tcPr>
            <w:tcW w:w="7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Documents....................................................................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65</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180" w:type="dxa"/>
            <w:vAlign w:val="bottom"/>
          </w:tcPr>
          <w:p>
            <w:pPr>
              <w:jc w:val="right"/>
              <w:ind w:right="5522"/>
              <w:spacing w:after="0"/>
              <w:rPr>
                <w:sz w:val="20"/>
                <w:szCs w:val="20"/>
                <w:color w:val="auto"/>
              </w:rPr>
            </w:pPr>
            <w:r>
              <w:rPr>
                <w:rFonts w:ascii="Courier New" w:cs="Courier New" w:eastAsia="Courier New" w:hAnsi="Courier New"/>
                <w:sz w:val="16"/>
                <w:szCs w:val="16"/>
                <w:color w:val="auto"/>
              </w:rPr>
              <w:t>-v-</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12"/>
        </w:trPr>
        <w:tc>
          <w:tcPr>
            <w:tcW w:w="222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Section 15.6.</w:t>
            </w:r>
          </w:p>
        </w:tc>
        <w:tc>
          <w:tcPr>
            <w:tcW w:w="7180" w:type="dxa"/>
            <w:vAlign w:val="bottom"/>
          </w:tcPr>
          <w:p>
            <w:pPr>
              <w:jc w:val="right"/>
              <w:spacing w:after="0"/>
              <w:rPr>
                <w:sz w:val="20"/>
                <w:szCs w:val="20"/>
                <w:color w:val="auto"/>
              </w:rPr>
            </w:pPr>
            <w:r>
              <w:rPr>
                <w:rFonts w:ascii="Courier New" w:cs="Courier New" w:eastAsia="Courier New" w:hAnsi="Courier New"/>
                <w:sz w:val="16"/>
                <w:szCs w:val="16"/>
                <w:color w:val="auto"/>
                <w:w w:val="96"/>
              </w:rPr>
              <w:t>Non-Reliance on Administrative Agent and Other Banks.........................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65</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15.7.</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Resignation of Administrative Agent..........................................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65</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15.8.</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Action by the Banks, Consents, Amendments, Waivers,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66</w:t>
            </w:r>
          </w:p>
        </w:tc>
        <w:tc>
          <w:tcPr>
            <w:tcW w:w="0" w:type="dxa"/>
            <w:vAlign w:val="bottom"/>
          </w:tcPr>
          <w:p>
            <w:pPr>
              <w:spacing w:after="0"/>
              <w:rPr>
                <w:sz w:val="1"/>
                <w:szCs w:val="1"/>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16.</w:t>
            </w:r>
          </w:p>
        </w:tc>
        <w:tc>
          <w:tcPr>
            <w:tcW w:w="8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INDEMNIFICATION.........................................................................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67</w:t>
            </w:r>
          </w:p>
        </w:tc>
        <w:tc>
          <w:tcPr>
            <w:tcW w:w="0" w:type="dxa"/>
            <w:vAlign w:val="bottom"/>
          </w:tcPr>
          <w:p>
            <w:pPr>
              <w:spacing w:after="0"/>
              <w:rPr>
                <w:sz w:val="1"/>
                <w:szCs w:val="1"/>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17.</w:t>
            </w:r>
          </w:p>
        </w:tc>
        <w:tc>
          <w:tcPr>
            <w:tcW w:w="8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WITHHOLDING TAXES.......................................................................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67</w:t>
            </w:r>
          </w:p>
        </w:tc>
        <w:tc>
          <w:tcPr>
            <w:tcW w:w="0" w:type="dxa"/>
            <w:vAlign w:val="bottom"/>
          </w:tcPr>
          <w:p>
            <w:pPr>
              <w:spacing w:after="0"/>
              <w:rPr>
                <w:sz w:val="1"/>
                <w:szCs w:val="1"/>
                <w:color w:val="auto"/>
              </w:rPr>
            </w:pPr>
          </w:p>
        </w:tc>
      </w:tr>
      <w:tr>
        <w:trPr>
          <w:trHeight w:val="179"/>
        </w:trPr>
        <w:tc>
          <w:tcPr>
            <w:tcW w:w="94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SECTION 18.  TREATMENT OF CERTAIN CONFIDENTIAL INFORMATION...........................................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69</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18.1.</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Confidentiality..............................................................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69</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18.2.</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Prior Notification...........................................................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69</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18.3.</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Other........................................................................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70</w:t>
            </w:r>
          </w:p>
        </w:tc>
        <w:tc>
          <w:tcPr>
            <w:tcW w:w="0" w:type="dxa"/>
            <w:vAlign w:val="bottom"/>
          </w:tcPr>
          <w:p>
            <w:pPr>
              <w:spacing w:after="0"/>
              <w:rPr>
                <w:sz w:val="1"/>
                <w:szCs w:val="1"/>
                <w:color w:val="auto"/>
              </w:rPr>
            </w:pPr>
          </w:p>
        </w:tc>
      </w:tr>
      <w:tr>
        <w:trPr>
          <w:trHeight w:val="179"/>
        </w:trPr>
        <w:tc>
          <w:tcPr>
            <w:tcW w:w="94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Section 19.  SURVIVAL OF COVENANTS,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70</w:t>
            </w:r>
          </w:p>
        </w:tc>
        <w:tc>
          <w:tcPr>
            <w:tcW w:w="0" w:type="dxa"/>
            <w:vAlign w:val="bottom"/>
          </w:tcPr>
          <w:p>
            <w:pPr>
              <w:spacing w:after="0"/>
              <w:rPr>
                <w:sz w:val="1"/>
                <w:szCs w:val="1"/>
                <w:color w:val="auto"/>
              </w:rPr>
            </w:pPr>
          </w:p>
        </w:tc>
      </w:tr>
      <w:tr>
        <w:trPr>
          <w:trHeight w:val="179"/>
        </w:trPr>
        <w:tc>
          <w:tcPr>
            <w:tcW w:w="94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SECTION 20.  ASSIGNMENT AND PARTICIPATION............................................................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70</w:t>
            </w:r>
          </w:p>
        </w:tc>
        <w:tc>
          <w:tcPr>
            <w:tcW w:w="0" w:type="dxa"/>
            <w:vAlign w:val="bottom"/>
          </w:tcPr>
          <w:p>
            <w:pPr>
              <w:spacing w:after="0"/>
              <w:rPr>
                <w:sz w:val="1"/>
                <w:szCs w:val="1"/>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21.</w:t>
            </w:r>
          </w:p>
        </w:tc>
        <w:tc>
          <w:tcPr>
            <w:tcW w:w="8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PARTIES IN INTEREST.....................................................................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71</w:t>
            </w:r>
          </w:p>
        </w:tc>
        <w:tc>
          <w:tcPr>
            <w:tcW w:w="0" w:type="dxa"/>
            <w:vAlign w:val="bottom"/>
          </w:tcPr>
          <w:p>
            <w:pPr>
              <w:spacing w:after="0"/>
              <w:rPr>
                <w:sz w:val="1"/>
                <w:szCs w:val="1"/>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22.</w:t>
            </w:r>
          </w:p>
        </w:tc>
        <w:tc>
          <w:tcPr>
            <w:tcW w:w="8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NOTICES,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72</w:t>
            </w:r>
          </w:p>
        </w:tc>
        <w:tc>
          <w:tcPr>
            <w:tcW w:w="0" w:type="dxa"/>
            <w:vAlign w:val="bottom"/>
          </w:tcPr>
          <w:p>
            <w:pPr>
              <w:spacing w:after="0"/>
              <w:rPr>
                <w:sz w:val="1"/>
                <w:szCs w:val="1"/>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23.</w:t>
            </w:r>
          </w:p>
        </w:tc>
        <w:tc>
          <w:tcPr>
            <w:tcW w:w="8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MISCELLANEOUS...........................................................................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72</w:t>
            </w:r>
          </w:p>
        </w:tc>
        <w:tc>
          <w:tcPr>
            <w:tcW w:w="0" w:type="dxa"/>
            <w:vAlign w:val="bottom"/>
          </w:tcPr>
          <w:p>
            <w:pPr>
              <w:spacing w:after="0"/>
              <w:rPr>
                <w:sz w:val="1"/>
                <w:szCs w:val="1"/>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24.</w:t>
            </w:r>
          </w:p>
        </w:tc>
        <w:tc>
          <w:tcPr>
            <w:tcW w:w="8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CONSENTS,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72</w:t>
            </w:r>
          </w:p>
        </w:tc>
        <w:tc>
          <w:tcPr>
            <w:tcW w:w="0" w:type="dxa"/>
            <w:vAlign w:val="bottom"/>
          </w:tcPr>
          <w:p>
            <w:pPr>
              <w:spacing w:after="0"/>
              <w:rPr>
                <w:sz w:val="1"/>
                <w:szCs w:val="1"/>
                <w:color w:val="auto"/>
              </w:rPr>
            </w:pPr>
          </w:p>
        </w:tc>
      </w:tr>
      <w:tr>
        <w:trPr>
          <w:trHeight w:val="179"/>
        </w:trPr>
        <w:tc>
          <w:tcPr>
            <w:tcW w:w="94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SECTION 25.  WAIVER OF JURY TRIAL....................................................................</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73</w:t>
            </w:r>
          </w:p>
        </w:tc>
        <w:tc>
          <w:tcPr>
            <w:tcW w:w="0" w:type="dxa"/>
            <w:vAlign w:val="bottom"/>
          </w:tcPr>
          <w:p>
            <w:pPr>
              <w:spacing w:after="0"/>
              <w:rPr>
                <w:sz w:val="1"/>
                <w:szCs w:val="1"/>
                <w:color w:val="auto"/>
              </w:rPr>
            </w:pPr>
          </w:p>
        </w:tc>
      </w:tr>
      <w:tr>
        <w:trPr>
          <w:trHeight w:val="179"/>
        </w:trPr>
        <w:tc>
          <w:tcPr>
            <w:tcW w:w="94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SECTION 26.  GOVERNING LAW; SUBMISSION TO JURISDICTION...............................................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73</w:t>
            </w:r>
          </w:p>
        </w:tc>
        <w:tc>
          <w:tcPr>
            <w:tcW w:w="0" w:type="dxa"/>
            <w:vAlign w:val="bottom"/>
          </w:tcPr>
          <w:p>
            <w:pPr>
              <w:spacing w:after="0"/>
              <w:rPr>
                <w:sz w:val="1"/>
                <w:szCs w:val="1"/>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27.</w:t>
            </w:r>
          </w:p>
        </w:tc>
        <w:tc>
          <w:tcPr>
            <w:tcW w:w="82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SEVERABILITY............................................................................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74</w:t>
            </w:r>
          </w:p>
        </w:tc>
        <w:tc>
          <w:tcPr>
            <w:tcW w:w="0" w:type="dxa"/>
            <w:vAlign w:val="bottom"/>
          </w:tcPr>
          <w:p>
            <w:pPr>
              <w:spacing w:after="0"/>
              <w:rPr>
                <w:sz w:val="1"/>
                <w:szCs w:val="1"/>
                <w:color w:val="auto"/>
              </w:rPr>
            </w:pP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28.</w:t>
            </w:r>
          </w:p>
        </w:tc>
        <w:tc>
          <w:tcPr>
            <w:tcW w:w="1100" w:type="dxa"/>
            <w:vAlign w:val="bottom"/>
          </w:tcPr>
          <w:p>
            <w:pPr>
              <w:ind w:left="80"/>
              <w:spacing w:after="0"/>
              <w:rPr>
                <w:sz w:val="20"/>
                <w:szCs w:val="20"/>
                <w:color w:val="auto"/>
              </w:rPr>
            </w:pPr>
            <w:r>
              <w:rPr>
                <w:rFonts w:ascii="Courier New" w:cs="Courier New" w:eastAsia="Courier New" w:hAnsi="Courier New"/>
                <w:sz w:val="2"/>
                <w:szCs w:val="2"/>
                <w:color w:val="auto"/>
                <w:w w:val="94"/>
              </w:rPr>
              <w:t>GUARANTY................................................................................</w:t>
            </w:r>
          </w:p>
        </w:tc>
        <w:tc>
          <w:tcPr>
            <w:tcW w:w="7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Guaranty.....................................................................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74</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28.1.</w:t>
            </w:r>
          </w:p>
        </w:tc>
        <w:tc>
          <w:tcPr>
            <w:tcW w:w="7180" w:type="dxa"/>
            <w:vAlign w:val="bottom"/>
            <w:vMerge w:val="continue"/>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74</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28.2.</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Guaranty Absolute............................................................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74</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28.3.</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Effectiveness; Enforcement...................................................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75</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28.4.</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Waiver.......................................................................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75</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28.5.</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Expenses.....................................................................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76</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28.6.</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Concerning Joint and Several Liability of the Guarantor......................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76</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28.7.</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Waiver.......................................................................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78</w:t>
            </w:r>
          </w:p>
        </w:tc>
        <w:tc>
          <w:tcPr>
            <w:tcW w:w="0" w:type="dxa"/>
            <w:vAlign w:val="bottom"/>
          </w:tcPr>
          <w:p>
            <w:pPr>
              <w:spacing w:after="0"/>
              <w:rPr>
                <w:sz w:val="1"/>
                <w:szCs w:val="1"/>
                <w:color w:val="auto"/>
              </w:rPr>
            </w:pPr>
          </w:p>
        </w:tc>
      </w:tr>
      <w:tr>
        <w:trPr>
          <w:trHeight w:val="179"/>
        </w:trPr>
        <w:tc>
          <w:tcPr>
            <w:tcW w:w="2220" w:type="dxa"/>
            <w:vAlign w:val="bottom"/>
            <w:gridSpan w:val="2"/>
          </w:tcPr>
          <w:p>
            <w:pPr>
              <w:ind w:left="840"/>
              <w:spacing w:after="0" w:line="179" w:lineRule="exact"/>
              <w:rPr>
                <w:sz w:val="20"/>
                <w:szCs w:val="20"/>
                <w:color w:val="auto"/>
              </w:rPr>
            </w:pPr>
            <w:r>
              <w:rPr>
                <w:rFonts w:ascii="Courier New" w:cs="Courier New" w:eastAsia="Courier New" w:hAnsi="Courier New"/>
                <w:sz w:val="16"/>
                <w:szCs w:val="16"/>
                <w:color w:val="auto"/>
              </w:rPr>
              <w:t>Section 28.8.</w:t>
            </w:r>
          </w:p>
        </w:tc>
        <w:tc>
          <w:tcPr>
            <w:tcW w:w="7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Subrogation; Subordination...................................................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78</w:t>
            </w:r>
          </w:p>
        </w:tc>
        <w:tc>
          <w:tcPr>
            <w:tcW w:w="0" w:type="dxa"/>
            <w:vAlign w:val="bottom"/>
          </w:tcPr>
          <w:p>
            <w:pPr>
              <w:spacing w:after="0"/>
              <w:rPr>
                <w:sz w:val="1"/>
                <w:szCs w:val="1"/>
                <w:color w:val="auto"/>
              </w:rPr>
            </w:pPr>
          </w:p>
        </w:tc>
      </w:tr>
      <w:tr>
        <w:trPr>
          <w:trHeight w:val="179"/>
        </w:trPr>
        <w:tc>
          <w:tcPr>
            <w:tcW w:w="9400" w:type="dxa"/>
            <w:vAlign w:val="bottom"/>
            <w:gridSpan w:val="3"/>
          </w:tcPr>
          <w:p>
            <w:pPr>
              <w:spacing w:after="0" w:line="179" w:lineRule="exact"/>
              <w:rPr>
                <w:sz w:val="20"/>
                <w:szCs w:val="20"/>
                <w:color w:val="auto"/>
              </w:rPr>
            </w:pPr>
            <w:r>
              <w:rPr>
                <w:rFonts w:ascii="Courier New" w:cs="Courier New" w:eastAsia="Courier New" w:hAnsi="Courier New"/>
                <w:sz w:val="16"/>
                <w:szCs w:val="16"/>
                <w:color w:val="auto"/>
                <w:w w:val="96"/>
              </w:rPr>
              <w:t>SECTION 29.  PARI PASSU TREATMENT....................................................................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78</w:t>
            </w: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SECTION 30.</w:t>
            </w:r>
          </w:p>
        </w:tc>
        <w:tc>
          <w:tcPr>
            <w:tcW w:w="82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FINAL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79</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1720" w:type="dxa"/>
            <w:vAlign w:val="bottom"/>
          </w:tcPr>
          <w:p>
            <w:pPr>
              <w:spacing w:after="0"/>
              <w:rPr>
                <w:sz w:val="22"/>
                <w:szCs w:val="22"/>
                <w:color w:val="auto"/>
              </w:rPr>
            </w:pPr>
          </w:p>
        </w:tc>
        <w:tc>
          <w:tcPr>
            <w:tcW w:w="4520" w:type="dxa"/>
            <w:vAlign w:val="bottom"/>
          </w:tcPr>
          <w:p>
            <w:pPr>
              <w:ind w:left="1080"/>
              <w:spacing w:after="0"/>
              <w:rPr>
                <w:sz w:val="20"/>
                <w:szCs w:val="20"/>
                <w:color w:val="auto"/>
              </w:rPr>
            </w:pPr>
            <w:r>
              <w:rPr>
                <w:rFonts w:ascii="Courier New" w:cs="Courier New" w:eastAsia="Courier New" w:hAnsi="Courier New"/>
                <w:sz w:val="16"/>
                <w:szCs w:val="16"/>
                <w:color w:val="auto"/>
              </w:rPr>
              <w:t>-vi-</w:t>
            </w:r>
          </w:p>
        </w:tc>
        <w:tc>
          <w:tcPr>
            <w:tcW w:w="0" w:type="dxa"/>
            <w:vAlign w:val="bottom"/>
          </w:tcPr>
          <w:p>
            <w:pPr>
              <w:spacing w:after="0"/>
              <w:rPr>
                <w:sz w:val="1"/>
                <w:szCs w:val="1"/>
                <w:color w:val="auto"/>
              </w:rPr>
            </w:pPr>
          </w:p>
        </w:tc>
      </w:tr>
      <w:tr>
        <w:trPr>
          <w:trHeight w:val="537"/>
        </w:trPr>
        <w:tc>
          <w:tcPr>
            <w:tcW w:w="1720" w:type="dxa"/>
            <w:vAlign w:val="bottom"/>
          </w:tcPr>
          <w:p>
            <w:pPr>
              <w:spacing w:after="0"/>
              <w:rPr>
                <w:sz w:val="24"/>
                <w:szCs w:val="24"/>
                <w:color w:val="auto"/>
              </w:rPr>
            </w:pPr>
          </w:p>
        </w:tc>
        <w:tc>
          <w:tcPr>
            <w:tcW w:w="4520" w:type="dxa"/>
            <w:vAlign w:val="bottom"/>
          </w:tcPr>
          <w:p>
            <w:pPr>
              <w:ind w:left="1440"/>
              <w:spacing w:after="0"/>
              <w:rPr>
                <w:sz w:val="20"/>
                <w:szCs w:val="20"/>
                <w:color w:val="auto"/>
              </w:rPr>
            </w:pPr>
            <w:r>
              <w:rPr>
                <w:rFonts w:ascii="Courier New" w:cs="Courier New" w:eastAsia="Courier New" w:hAnsi="Courier New"/>
                <w:sz w:val="16"/>
                <w:szCs w:val="16"/>
                <w:color w:val="auto"/>
              </w:rPr>
              <w:t>Exhibits</w:t>
            </w:r>
          </w:p>
        </w:tc>
        <w:tc>
          <w:tcPr>
            <w:tcW w:w="0" w:type="dxa"/>
            <w:vAlign w:val="bottom"/>
          </w:tcPr>
          <w:p>
            <w:pPr>
              <w:spacing w:after="0"/>
              <w:rPr>
                <w:sz w:val="1"/>
                <w:szCs w:val="1"/>
                <w:color w:val="auto"/>
              </w:rPr>
            </w:pPr>
          </w:p>
        </w:tc>
      </w:tr>
      <w:tr>
        <w:trPr>
          <w:trHeight w:val="454"/>
        </w:trPr>
        <w:tc>
          <w:tcPr>
            <w:tcW w:w="172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4520" w:type="dxa"/>
            <w:vAlign w:val="bottom"/>
          </w:tcPr>
          <w:p>
            <w:pPr>
              <w:ind w:left="320"/>
              <w:spacing w:after="0"/>
              <w:rPr>
                <w:sz w:val="20"/>
                <w:szCs w:val="20"/>
                <w:color w:val="auto"/>
              </w:rPr>
            </w:pPr>
            <w:r>
              <w:rPr>
                <w:rFonts w:ascii="Courier New" w:cs="Courier New" w:eastAsia="Courier New" w:hAnsi="Courier New"/>
                <w:sz w:val="16"/>
                <w:szCs w:val="16"/>
                <w:color w:val="auto"/>
              </w:rPr>
              <w:t>Form of Syndicated Note</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B</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Swing Line Note</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C</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Competitive Bid Note</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D</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Syndicated Loan Request</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E</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Letter of Credit Request</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F</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Compliance Certificate</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G</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Assignment and Acceptance</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H</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Competitive Bid Quote Request</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I</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w w:val="96"/>
              </w:rPr>
              <w:t>Form of Invitation for Competitive Bid Quotes</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J</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Competitive Bid Quote</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K</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Form of Notice of Acceptance/Rejection of</w:t>
            </w:r>
          </w:p>
        </w:tc>
        <w:tc>
          <w:tcPr>
            <w:tcW w:w="0" w:type="dxa"/>
            <w:vAlign w:val="bottom"/>
          </w:tcPr>
          <w:p>
            <w:pPr>
              <w:spacing w:after="0"/>
              <w:rPr>
                <w:sz w:val="1"/>
                <w:szCs w:val="1"/>
                <w:color w:val="auto"/>
              </w:rPr>
            </w:pPr>
          </w:p>
        </w:tc>
      </w:tr>
      <w:tr>
        <w:trPr>
          <w:trHeight w:val="179"/>
        </w:trPr>
        <w:tc>
          <w:tcPr>
            <w:tcW w:w="1720" w:type="dxa"/>
            <w:vAlign w:val="bottom"/>
            <w:vMerge w:val="restart"/>
          </w:tcPr>
          <w:p>
            <w:pPr>
              <w:spacing w:after="0"/>
              <w:rPr>
                <w:sz w:val="20"/>
                <w:szCs w:val="20"/>
                <w:color w:val="auto"/>
              </w:rPr>
            </w:pPr>
            <w:r>
              <w:rPr>
                <w:rFonts w:ascii="Courier New" w:cs="Courier New" w:eastAsia="Courier New" w:hAnsi="Courier New"/>
                <w:sz w:val="16"/>
                <w:szCs w:val="16"/>
                <w:color w:val="auto"/>
              </w:rPr>
              <w:t>Exhibit L</w:t>
            </w:r>
          </w:p>
        </w:tc>
        <w:tc>
          <w:tcPr>
            <w:tcW w:w="452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Competitive Bid Quote(s)</w:t>
            </w:r>
          </w:p>
        </w:tc>
        <w:tc>
          <w:tcPr>
            <w:tcW w:w="0" w:type="dxa"/>
            <w:vAlign w:val="bottom"/>
          </w:tcPr>
          <w:p>
            <w:pPr>
              <w:spacing w:after="0"/>
              <w:rPr>
                <w:sz w:val="1"/>
                <w:szCs w:val="1"/>
                <w:color w:val="auto"/>
              </w:rPr>
            </w:pPr>
          </w:p>
        </w:tc>
      </w:tr>
      <w:tr>
        <w:trPr>
          <w:trHeight w:val="261"/>
        </w:trPr>
        <w:tc>
          <w:tcPr>
            <w:tcW w:w="1720" w:type="dxa"/>
            <w:vAlign w:val="bottom"/>
            <w:vMerge w:val="continue"/>
          </w:tcPr>
          <w:p>
            <w:pPr>
              <w:spacing w:after="0"/>
              <w:rPr>
                <w:sz w:val="22"/>
                <w:szCs w:val="22"/>
                <w:color w:val="auto"/>
              </w:rPr>
            </w:pPr>
          </w:p>
        </w:tc>
        <w:tc>
          <w:tcPr>
            <w:tcW w:w="4520" w:type="dxa"/>
            <w:vAlign w:val="bottom"/>
          </w:tcPr>
          <w:p>
            <w:pPr>
              <w:ind w:left="320"/>
              <w:spacing w:after="0"/>
              <w:rPr>
                <w:sz w:val="20"/>
                <w:szCs w:val="20"/>
                <w:color w:val="auto"/>
              </w:rPr>
            </w:pPr>
            <w:r>
              <w:rPr>
                <w:rFonts w:ascii="Courier New" w:cs="Courier New" w:eastAsia="Courier New" w:hAnsi="Courier New"/>
                <w:sz w:val="16"/>
                <w:szCs w:val="16"/>
                <w:color w:val="auto"/>
              </w:rPr>
              <w:t>Form of Letter of Credit Application</w:t>
            </w:r>
          </w:p>
        </w:tc>
        <w:tc>
          <w:tcPr>
            <w:tcW w:w="0" w:type="dxa"/>
            <w:vAlign w:val="bottom"/>
          </w:tcPr>
          <w:p>
            <w:pPr>
              <w:spacing w:after="0"/>
              <w:rPr>
                <w:sz w:val="1"/>
                <w:szCs w:val="1"/>
                <w:color w:val="auto"/>
              </w:rPr>
            </w:pPr>
          </w:p>
        </w:tc>
      </w:tr>
      <w:tr>
        <w:trPr>
          <w:trHeight w:val="358"/>
        </w:trPr>
        <w:tc>
          <w:tcPr>
            <w:tcW w:w="1720" w:type="dxa"/>
            <w:vAlign w:val="bottom"/>
          </w:tcPr>
          <w:p>
            <w:pPr>
              <w:spacing w:after="0"/>
              <w:rPr>
                <w:sz w:val="24"/>
                <w:szCs w:val="24"/>
                <w:color w:val="auto"/>
              </w:rPr>
            </w:pPr>
          </w:p>
        </w:tc>
        <w:tc>
          <w:tcPr>
            <w:tcW w:w="4520" w:type="dxa"/>
            <w:vAlign w:val="bottom"/>
          </w:tcPr>
          <w:p>
            <w:pPr>
              <w:ind w:left="1440"/>
              <w:spacing w:after="0"/>
              <w:rPr>
                <w:sz w:val="20"/>
                <w:szCs w:val="20"/>
                <w:color w:val="auto"/>
              </w:rPr>
            </w:pPr>
            <w:r>
              <w:rPr>
                <w:rFonts w:ascii="Courier New" w:cs="Courier New" w:eastAsia="Courier New" w:hAnsi="Courier New"/>
                <w:sz w:val="16"/>
                <w:szCs w:val="16"/>
                <w:color w:val="auto"/>
              </w:rPr>
              <w:t>Schedules</w:t>
            </w:r>
          </w:p>
        </w:tc>
        <w:tc>
          <w:tcPr>
            <w:tcW w:w="0" w:type="dxa"/>
            <w:vAlign w:val="bottom"/>
          </w:tcPr>
          <w:p>
            <w:pPr>
              <w:spacing w:after="0"/>
              <w:rPr>
                <w:sz w:val="1"/>
                <w:szCs w:val="1"/>
                <w:color w:val="auto"/>
              </w:rPr>
            </w:pPr>
          </w:p>
        </w:tc>
      </w:tr>
      <w:tr>
        <w:trPr>
          <w:trHeight w:val="276"/>
        </w:trPr>
        <w:tc>
          <w:tcPr>
            <w:tcW w:w="1720" w:type="dxa"/>
            <w:vAlign w:val="bottom"/>
          </w:tcPr>
          <w:p>
            <w:pPr>
              <w:spacing w:after="0"/>
              <w:rPr>
                <w:sz w:val="20"/>
                <w:szCs w:val="20"/>
                <w:color w:val="auto"/>
              </w:rPr>
            </w:pPr>
            <w:r>
              <w:rPr>
                <w:rFonts w:ascii="Courier New" w:cs="Courier New" w:eastAsia="Courier New" w:hAnsi="Courier New"/>
                <w:sz w:val="16"/>
                <w:szCs w:val="16"/>
                <w:color w:val="auto"/>
              </w:rPr>
              <w:t>Schedule 1</w:t>
            </w:r>
          </w:p>
        </w:tc>
        <w:tc>
          <w:tcPr>
            <w:tcW w:w="4520" w:type="dxa"/>
            <w:vAlign w:val="bottom"/>
          </w:tcPr>
          <w:p>
            <w:pPr>
              <w:ind w:left="320"/>
              <w:spacing w:after="0"/>
              <w:rPr>
                <w:sz w:val="20"/>
                <w:szCs w:val="20"/>
                <w:color w:val="auto"/>
              </w:rPr>
            </w:pPr>
            <w:r>
              <w:rPr>
                <w:rFonts w:ascii="Courier New" w:cs="Courier New" w:eastAsia="Courier New" w:hAnsi="Courier New"/>
                <w:sz w:val="16"/>
                <w:szCs w:val="16"/>
                <w:color w:val="auto"/>
              </w:rPr>
              <w:t>Banks; Commitment Percentages</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Schedule 1.1</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Existing Liens</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Schedule 3.1(a)</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Existing Letters of Credit</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Schedule 6.7</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Litigation</w:t>
            </w:r>
          </w:p>
        </w:tc>
        <w:tc>
          <w:tcPr>
            <w:tcW w:w="0" w:type="dxa"/>
            <w:vAlign w:val="bottom"/>
          </w:tcPr>
          <w:p>
            <w:pPr>
              <w:spacing w:after="0"/>
              <w:rPr>
                <w:sz w:val="1"/>
                <w:szCs w:val="1"/>
                <w:color w:val="auto"/>
              </w:rPr>
            </w:pPr>
          </w:p>
        </w:tc>
      </w:tr>
      <w:tr>
        <w:trPr>
          <w:trHeight w:val="179"/>
        </w:trPr>
        <w:tc>
          <w:tcPr>
            <w:tcW w:w="1720" w:type="dxa"/>
            <w:vAlign w:val="bottom"/>
          </w:tcPr>
          <w:p>
            <w:pPr>
              <w:spacing w:after="0" w:line="179" w:lineRule="exact"/>
              <w:rPr>
                <w:sz w:val="20"/>
                <w:szCs w:val="20"/>
                <w:color w:val="auto"/>
              </w:rPr>
            </w:pPr>
            <w:r>
              <w:rPr>
                <w:rFonts w:ascii="Courier New" w:cs="Courier New" w:eastAsia="Courier New" w:hAnsi="Courier New"/>
                <w:sz w:val="16"/>
                <w:szCs w:val="16"/>
                <w:color w:val="auto"/>
              </w:rPr>
              <w:t>Schedule 6.15</w:t>
            </w:r>
          </w:p>
        </w:tc>
        <w:tc>
          <w:tcPr>
            <w:tcW w:w="452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Environmental Compliance</w:t>
            </w:r>
          </w:p>
        </w:tc>
        <w:tc>
          <w:tcPr>
            <w:tcW w:w="0" w:type="dxa"/>
            <w:vAlign w:val="bottom"/>
          </w:tcPr>
          <w:p>
            <w:pPr>
              <w:spacing w:after="0"/>
              <w:rPr>
                <w:sz w:val="1"/>
                <w:szCs w:val="1"/>
                <w:color w:val="auto"/>
              </w:rPr>
            </w:pPr>
          </w:p>
        </w:tc>
      </w:tr>
      <w:tr>
        <w:trPr>
          <w:trHeight w:val="261"/>
        </w:trPr>
        <w:tc>
          <w:tcPr>
            <w:tcW w:w="1720" w:type="dxa"/>
            <w:vAlign w:val="bottom"/>
          </w:tcPr>
          <w:p>
            <w:pPr>
              <w:spacing w:after="0"/>
              <w:rPr>
                <w:sz w:val="20"/>
                <w:szCs w:val="20"/>
                <w:color w:val="auto"/>
              </w:rPr>
            </w:pPr>
            <w:r>
              <w:rPr>
                <w:rFonts w:ascii="Courier New" w:cs="Courier New" w:eastAsia="Courier New" w:hAnsi="Courier New"/>
                <w:sz w:val="16"/>
                <w:szCs w:val="16"/>
                <w:color w:val="auto"/>
              </w:rPr>
              <w:t>Schedule 8.1(e)</w:t>
            </w:r>
          </w:p>
        </w:tc>
        <w:tc>
          <w:tcPr>
            <w:tcW w:w="4520" w:type="dxa"/>
            <w:vAlign w:val="bottom"/>
          </w:tcPr>
          <w:p>
            <w:pPr>
              <w:ind w:left="320"/>
              <w:spacing w:after="0"/>
              <w:rPr>
                <w:sz w:val="20"/>
                <w:szCs w:val="20"/>
                <w:color w:val="auto"/>
              </w:rPr>
            </w:pPr>
            <w:r>
              <w:rPr>
                <w:rFonts w:ascii="Courier New" w:cs="Courier New" w:eastAsia="Courier New" w:hAnsi="Courier New"/>
                <w:sz w:val="16"/>
                <w:szCs w:val="16"/>
                <w:color w:val="auto"/>
              </w:rPr>
              <w:t>Existing Indebtedness</w:t>
            </w:r>
          </w:p>
        </w:tc>
        <w:tc>
          <w:tcPr>
            <w:tcW w:w="0" w:type="dxa"/>
            <w:vAlign w:val="bottom"/>
          </w:tcPr>
          <w:p>
            <w:pPr>
              <w:spacing w:after="0"/>
              <w:rPr>
                <w:sz w:val="1"/>
                <w:szCs w:val="1"/>
                <w:color w:val="auto"/>
              </w:rPr>
            </w:pPr>
          </w:p>
        </w:tc>
      </w:tr>
    </w:tbl>
    <w:p>
      <w:pPr>
        <w:sectPr>
          <w:pgSz w:w="11900" w:h="16838" w:orient="portrait"/>
          <w:cols w:equalWidth="0" w:num="1">
            <w:col w:w="9939"/>
          </w:cols>
          <w:pgMar w:left="520" w:top="269"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REVOLVING CREDIT AGREEMENT</w:t>
      </w:r>
    </w:p>
    <w:p>
      <w:pPr>
        <w:spacing w:after="0" w:line="177"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This REVOLVING CREDIT AGREEMENT is made as of the 29th day of June, 2001, by and among WASTE MANAGEMENT, INC., a Delaware corporation having its chief executive office at 1001 Fannin Street, Suite 4000, Houston, Texas 77002 (the "Borrower"), WASTE MANAGEMENT HOLDINGS, INC., a wholly-owned Subsidiary of the Borrower (the "Guarantor"), FLEET NATIONAL BANK, a national banking association having a place of business at 100 Federal Street, Boston, MA 02110 ("Fleet"), BANK OF AMERICA, N.A., a national banking association having a place of business at 231 South LaSalle Street Chicago, IL 60697 ("BOA"), THE CHASE MANHATTAN BANK, a national banking association having a place of business at 707 Travis Street, Houston, TX 77002 ("Chase"), DEUTSCHE BANK AG, NEW YORK BRANCH, the duly licensed New York branch of a German corporation having its principal place of business at 31 West 52nd Street, New York, NY 10019 ("Deutsche"), and each of the other financial institutions party hereto (collectively, the "Banks"), and Fleet as administrative agent (the "Administrative Agent"), J.P. Morgan Securities Inc. ("JPMorgan") and Banc of America Securities LLC as joint lead arrangers and joint book managers (the "Joint Lead Arrangers and Joint Book Managers"), JPMorgan and BOA as co-syndication agents (the "Co-Syndication Agents", and together with the Administrative Agent and the Joint Lead Arrangers and Joint Book Managers, the "Agents"), and Deutsche and Citibank, N.A., as co-documentation agent (the "Co-Documentation Agents").</w:t>
      </w:r>
    </w:p>
    <w:p>
      <w:pPr>
        <w:spacing w:after="0" w:line="200" w:lineRule="exact"/>
        <w:rPr>
          <w:sz w:val="20"/>
          <w:szCs w:val="20"/>
          <w:color w:val="auto"/>
        </w:rPr>
      </w:pPr>
    </w:p>
    <w:p>
      <w:pPr>
        <w:spacing w:after="0" w:line="238"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WHEREAS, the Borrower has requested certain financing arrangements and the Banks have agreed to provide such financing arrangements on the terms set forth herein;</w:t>
      </w:r>
    </w:p>
    <w:p>
      <w:pPr>
        <w:spacing w:after="0" w:line="61"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NOW, THEREFORE, in consideration of the foregoing, the mutual covenants and agreements set forth herein below, and other good and valuable consideration, the receipt and sufficiency of which are hereby acknowledged by the parties, this Agreement will take effect on the Effective Date, on the following terms:</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 DEFINITIONS AND RULES OF INTERPRETATION.</w:t>
      </w:r>
    </w:p>
    <w:p>
      <w:pPr>
        <w:spacing w:after="0" w:line="200" w:lineRule="exact"/>
        <w:rPr>
          <w:sz w:val="20"/>
          <w:szCs w:val="20"/>
          <w:color w:val="auto"/>
        </w:rPr>
      </w:pPr>
    </w:p>
    <w:p>
      <w:pPr>
        <w:spacing w:after="0" w:line="334"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SECTION 1.1. DEFINITIONS. The following terms shall have the meanings set forth in this Section 1 or elsewhere in the provisions of this Agreement referred to below:</w:t>
      </w:r>
    </w:p>
    <w:p>
      <w:pPr>
        <w:spacing w:after="0" w:line="61" w:lineRule="exact"/>
        <w:rPr>
          <w:sz w:val="20"/>
          <w:szCs w:val="20"/>
          <w:color w:val="auto"/>
        </w:rPr>
      </w:pPr>
    </w:p>
    <w:p>
      <w:pPr>
        <w:ind w:left="840"/>
        <w:spacing w:after="0"/>
        <w:tabs>
          <w:tab w:leader="none" w:pos="4060" w:val="left"/>
        </w:tabs>
        <w:rPr>
          <w:sz w:val="20"/>
          <w:szCs w:val="20"/>
          <w:color w:val="auto"/>
        </w:rPr>
      </w:pPr>
      <w:r>
        <w:rPr>
          <w:rFonts w:ascii="Courier New" w:cs="Courier New" w:eastAsia="Courier New" w:hAnsi="Courier New"/>
          <w:sz w:val="16"/>
          <w:szCs w:val="16"/>
          <w:color w:val="auto"/>
        </w:rPr>
        <w:t>Absolute Competitive Bid Loan(s).</w:t>
      </w:r>
      <w:r>
        <w:rPr>
          <w:sz w:val="20"/>
          <w:szCs w:val="20"/>
          <w:color w:val="auto"/>
        </w:rPr>
        <w:tab/>
      </w:r>
      <w:r>
        <w:rPr>
          <w:rFonts w:ascii="Courier New" w:cs="Courier New" w:eastAsia="Courier New" w:hAnsi="Courier New"/>
          <w:sz w:val="14"/>
          <w:szCs w:val="14"/>
          <w:color w:val="auto"/>
        </w:rPr>
        <w:t>See Section 4.3(a).</w:t>
      </w:r>
    </w:p>
    <w:p>
      <w:pPr>
        <w:spacing w:after="0" w:line="177" w:lineRule="exact"/>
        <w:rPr>
          <w:sz w:val="20"/>
          <w:szCs w:val="20"/>
          <w:color w:val="auto"/>
        </w:rPr>
      </w:pPr>
    </w:p>
    <w:p>
      <w:pPr>
        <w:ind w:left="840"/>
        <w:spacing w:after="0"/>
        <w:tabs>
          <w:tab w:leader="none" w:pos="2120" w:val="left"/>
        </w:tabs>
        <w:rPr>
          <w:sz w:val="20"/>
          <w:szCs w:val="20"/>
          <w:color w:val="auto"/>
        </w:rPr>
      </w:pPr>
      <w:r>
        <w:rPr>
          <w:rFonts w:ascii="Courier New" w:cs="Courier New" w:eastAsia="Courier New" w:hAnsi="Courier New"/>
          <w:sz w:val="16"/>
          <w:szCs w:val="16"/>
          <w:color w:val="auto"/>
        </w:rPr>
        <w:t>Accountants.</w:t>
      </w:r>
      <w:r>
        <w:rPr>
          <w:sz w:val="20"/>
          <w:szCs w:val="20"/>
          <w:color w:val="auto"/>
        </w:rPr>
        <w:tab/>
      </w:r>
      <w:r>
        <w:rPr>
          <w:rFonts w:ascii="Courier New" w:cs="Courier New" w:eastAsia="Courier New" w:hAnsi="Courier New"/>
          <w:sz w:val="14"/>
          <w:szCs w:val="14"/>
          <w:color w:val="auto"/>
        </w:rPr>
        <w:t>See Section 7.4(a).</w:t>
      </w:r>
    </w:p>
    <w:p>
      <w:pPr>
        <w:spacing w:after="0" w:line="177" w:lineRule="exact"/>
        <w:rPr>
          <w:sz w:val="20"/>
          <w:szCs w:val="20"/>
          <w:color w:val="auto"/>
        </w:rPr>
      </w:pPr>
    </w:p>
    <w:p>
      <w:pPr>
        <w:ind w:left="840"/>
        <w:spacing w:after="0"/>
        <w:tabs>
          <w:tab w:leader="none" w:pos="2960" w:val="left"/>
        </w:tabs>
        <w:rPr>
          <w:sz w:val="20"/>
          <w:szCs w:val="20"/>
          <w:color w:val="auto"/>
        </w:rPr>
      </w:pPr>
      <w:r>
        <w:rPr>
          <w:rFonts w:ascii="Courier New" w:cs="Courier New" w:eastAsia="Courier New" w:hAnsi="Courier New"/>
          <w:sz w:val="16"/>
          <w:szCs w:val="16"/>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77" w:lineRule="exact"/>
        <w:rPr>
          <w:sz w:val="20"/>
          <w:szCs w:val="20"/>
          <w:color w:val="auto"/>
        </w:rPr>
      </w:pPr>
    </w:p>
    <w:p>
      <w:pPr>
        <w:ind w:left="840"/>
        <w:spacing w:after="0"/>
        <w:tabs>
          <w:tab w:leader="none" w:pos="2300" w:val="left"/>
        </w:tabs>
        <w:rPr>
          <w:sz w:val="20"/>
          <w:szCs w:val="20"/>
          <w:color w:val="auto"/>
        </w:rPr>
      </w:pPr>
      <w:r>
        <w:rPr>
          <w:rFonts w:ascii="Courier New" w:cs="Courier New" w:eastAsia="Courier New" w:hAnsi="Courier New"/>
          <w:sz w:val="16"/>
          <w:szCs w:val="16"/>
          <w:color w:val="auto"/>
        </w:rPr>
        <w:t>Affected Bank.</w:t>
      </w:r>
      <w:r>
        <w:rPr>
          <w:sz w:val="20"/>
          <w:szCs w:val="20"/>
          <w:color w:val="auto"/>
        </w:rPr>
        <w:tab/>
      </w:r>
      <w:r>
        <w:rPr>
          <w:rFonts w:ascii="Courier New" w:cs="Courier New" w:eastAsia="Courier New" w:hAnsi="Courier New"/>
          <w:sz w:val="14"/>
          <w:szCs w:val="14"/>
          <w:color w:val="auto"/>
        </w:rPr>
        <w:t>See Section 5.12.</w:t>
      </w:r>
    </w:p>
    <w:p>
      <w:pPr>
        <w:sectPr>
          <w:pgSz w:w="11900" w:h="16838" w:orient="portrait"/>
          <w:cols w:equalWidth="0" w:num="1">
            <w:col w:w="10219"/>
          </w:cols>
          <w:pgMar w:left="240" w:top="269"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Agents. See Preamble.</w:t>
      </w:r>
    </w:p>
    <w:p>
      <w:pPr>
        <w:spacing w:after="0" w:line="177"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Agreement. This Revolving Credit Agreement, including the Schedules and Exhibits hereto, as from time to time amended and supplemented in accordance with the terms hereof.</w:t>
      </w:r>
    </w:p>
    <w:p>
      <w:pPr>
        <w:spacing w:after="0" w:line="61"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Applicable Base Rate. The applicable rate per annum of interest on the Base Rate Loans as set forth in the Pricing Table.</w:t>
      </w:r>
    </w:p>
    <w:p>
      <w:pPr>
        <w:spacing w:after="0" w:line="20" w:lineRule="exact"/>
        <w:rPr>
          <w:sz w:val="20"/>
          <w:szCs w:val="20"/>
          <w:color w:val="auto"/>
        </w:rPr>
      </w:pPr>
    </w:p>
    <w:p>
      <w:pPr>
        <w:ind w:right="2959" w:firstLine="837"/>
        <w:spacing w:after="0" w:line="406" w:lineRule="auto"/>
        <w:rPr>
          <w:sz w:val="20"/>
          <w:szCs w:val="20"/>
          <w:color w:val="auto"/>
        </w:rPr>
      </w:pPr>
      <w:r>
        <w:rPr>
          <w:rFonts w:ascii="Courier New" w:cs="Courier New" w:eastAsia="Courier New" w:hAnsi="Courier New"/>
          <w:sz w:val="14"/>
          <w:szCs w:val="14"/>
          <w:color w:val="auto"/>
        </w:rPr>
        <w:t>Applicable Eurodollar Rate. The applicable rate per annum of interest on the Eurodollar Loans shall be as set forth in the Pricing Table.</w:t>
      </w:r>
    </w:p>
    <w:p>
      <w:pPr>
        <w:ind w:right="2779" w:firstLine="837"/>
        <w:spacing w:after="0" w:line="342" w:lineRule="auto"/>
        <w:rPr>
          <w:sz w:val="20"/>
          <w:szCs w:val="20"/>
          <w:color w:val="auto"/>
        </w:rPr>
      </w:pPr>
      <w:r>
        <w:rPr>
          <w:rFonts w:ascii="Courier New" w:cs="Courier New" w:eastAsia="Courier New" w:hAnsi="Courier New"/>
          <w:sz w:val="16"/>
          <w:szCs w:val="16"/>
          <w:color w:val="auto"/>
        </w:rPr>
        <w:t>Applicable Facility Rate. The applicable rate per annum with respect to the Facility Fee shall be as set forth in the Pricing Table.</w:t>
      </w:r>
    </w:p>
    <w:p>
      <w:pPr>
        <w:spacing w:after="0" w:line="20" w:lineRule="exact"/>
        <w:rPr>
          <w:sz w:val="20"/>
          <w:szCs w:val="20"/>
          <w:color w:val="auto"/>
        </w:rPr>
      </w:pPr>
    </w:p>
    <w:p>
      <w:pPr>
        <w:ind w:right="3339" w:firstLine="837"/>
        <w:spacing w:after="0" w:line="342" w:lineRule="auto"/>
        <w:rPr>
          <w:sz w:val="20"/>
          <w:szCs w:val="20"/>
          <w:color w:val="auto"/>
        </w:rPr>
      </w:pPr>
      <w:r>
        <w:rPr>
          <w:rFonts w:ascii="Courier New" w:cs="Courier New" w:eastAsia="Courier New" w:hAnsi="Courier New"/>
          <w:sz w:val="16"/>
          <w:szCs w:val="16"/>
          <w:color w:val="auto"/>
        </w:rPr>
        <w:t>Applicable L/C Rate. The applicable rate per annum on the Maximum Drawing Amount shall be as set forth in the Pricing Table.</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Applicable Requirements. See Section 7.10.</w:t>
      </w:r>
    </w:p>
    <w:p>
      <w:pPr>
        <w:spacing w:after="0" w:line="177"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Applicable Swing Line Rate. The annual rate of interest agreed upon from time to time by the Administrative Agent and the Borrower with respect to Swing Line Loans.</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Assignment and Acceptance. See Section 20.</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Balance Sheet Date. December 31, 2000.</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Banks. See Preamble.</w:t>
      </w:r>
    </w:p>
    <w:p>
      <w:pPr>
        <w:spacing w:after="0" w:line="177"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Base Rate. The higher of (a) the variable annual rate of interest so designated from time to time by the Administrative Agent at its Loan Office as its "prime rate," such rate being a reference rate and not necessarily representing the lowest or best rate being charged to any customer by the Administrative Agent, or (b) one-half of one percent (1/2%) above the Overnight Federal Funds Effective Rate, as published by the Board of Governors of the Federal Reserve System, as in effect from time to time. Changes in the Base Rate resulting from any changes in the Administrative Agent's "prime rate" shall take place immediately without notice or demand of any kind on the effective day of such change.</w:t>
      </w:r>
    </w:p>
    <w:p>
      <w:pPr>
        <w:spacing w:after="0" w:line="95" w:lineRule="exact"/>
        <w:rPr>
          <w:sz w:val="20"/>
          <w:szCs w:val="20"/>
          <w:color w:val="auto"/>
        </w:rPr>
      </w:pPr>
    </w:p>
    <w:p>
      <w:pPr>
        <w:ind w:right="3439" w:firstLine="837"/>
        <w:spacing w:after="0" w:line="342" w:lineRule="auto"/>
        <w:rPr>
          <w:sz w:val="20"/>
          <w:szCs w:val="20"/>
          <w:color w:val="auto"/>
        </w:rPr>
      </w:pPr>
      <w:r>
        <w:rPr>
          <w:rFonts w:ascii="Courier New" w:cs="Courier New" w:eastAsia="Courier New" w:hAnsi="Courier New"/>
          <w:sz w:val="16"/>
          <w:szCs w:val="16"/>
          <w:color w:val="auto"/>
        </w:rPr>
        <w:t>Base Rate Loans. Syndicated Loans bearing interest calculated by reference to the Base Rate.</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BOA. See Preamble.</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Borrower. See Preamble.</w:t>
      </w:r>
    </w:p>
    <w:p>
      <w:pPr>
        <w:spacing w:after="0" w:line="177"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Business Day. Any day, other than a Saturday, Sunday or any day on which banking institutions in Boston, Massachusetts or New York, New York are authorized by law to close, and, when used in connection with a Eurodollar Loan, a Eurodollar Business Day.</w:t>
      </w:r>
    </w:p>
    <w:p>
      <w:pPr>
        <w:sectPr>
          <w:pgSz w:w="11900" w:h="16838" w:orient="portrait"/>
          <w:cols w:equalWidth="0" w:num="1">
            <w:col w:w="10219"/>
          </w:cols>
          <w:pgMar w:left="240" w:top="269"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327" w:lineRule="exact"/>
        <w:rPr>
          <w:sz w:val="20"/>
          <w:szCs w:val="20"/>
          <w:color w:val="auto"/>
        </w:rPr>
      </w:pPr>
    </w:p>
    <w:p>
      <w:pPr>
        <w:ind w:right="2959" w:firstLine="837"/>
        <w:spacing w:after="0" w:line="322" w:lineRule="auto"/>
        <w:rPr>
          <w:sz w:val="20"/>
          <w:szCs w:val="20"/>
          <w:color w:val="auto"/>
        </w:rPr>
      </w:pPr>
      <w:r>
        <w:rPr>
          <w:rFonts w:ascii="Courier New" w:cs="Courier New" w:eastAsia="Courier New" w:hAnsi="Courier New"/>
          <w:sz w:val="14"/>
          <w:szCs w:val="14"/>
          <w:color w:val="auto"/>
        </w:rPr>
        <w:t>Capitalized Leases or Capital Leases. Leases under which the Borrower or any of its Subsidiaries is the lessee or obligor, the discounted future rental payment obligations under which are required to be capitalized on the balance sheet of the lessee or obligor in accordance with GAAP.</w:t>
      </w:r>
    </w:p>
    <w:p>
      <w:pPr>
        <w:spacing w:after="0" w:line="43" w:lineRule="exact"/>
        <w:rPr>
          <w:sz w:val="20"/>
          <w:szCs w:val="20"/>
          <w:color w:val="auto"/>
        </w:rPr>
      </w:pPr>
    </w:p>
    <w:p>
      <w:pPr>
        <w:ind w:left="840"/>
        <w:spacing w:after="0"/>
        <w:tabs>
          <w:tab w:leader="none" w:pos="1640" w:val="left"/>
        </w:tabs>
        <w:rPr>
          <w:sz w:val="20"/>
          <w:szCs w:val="20"/>
          <w:color w:val="auto"/>
        </w:rPr>
      </w:pPr>
      <w:r>
        <w:rPr>
          <w:rFonts w:ascii="Courier New" w:cs="Courier New" w:eastAsia="Courier New" w:hAnsi="Courier New"/>
          <w:sz w:val="16"/>
          <w:szCs w:val="16"/>
          <w:color w:val="auto"/>
        </w:rPr>
        <w:t>CERCLA.</w:t>
      </w:r>
      <w:r>
        <w:rPr>
          <w:sz w:val="20"/>
          <w:szCs w:val="20"/>
          <w:color w:val="auto"/>
        </w:rPr>
        <w:tab/>
      </w:r>
      <w:r>
        <w:rPr>
          <w:rFonts w:ascii="Courier New" w:cs="Courier New" w:eastAsia="Courier New" w:hAnsi="Courier New"/>
          <w:sz w:val="14"/>
          <w:szCs w:val="14"/>
          <w:color w:val="auto"/>
        </w:rPr>
        <w:t>See Section 6.15(a).</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Certified or certified.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CFO or the CAO. See Section 7.4(b).</w:t>
      </w:r>
    </w:p>
    <w:p>
      <w:pPr>
        <w:spacing w:after="0" w:line="177" w:lineRule="exact"/>
        <w:rPr>
          <w:sz w:val="20"/>
          <w:szCs w:val="20"/>
          <w:color w:val="auto"/>
        </w:rPr>
      </w:pPr>
    </w:p>
    <w:p>
      <w:pPr>
        <w:ind w:left="840"/>
        <w:spacing w:after="0"/>
        <w:tabs>
          <w:tab w:leader="none" w:pos="1560" w:val="left"/>
        </w:tabs>
        <w:rPr>
          <w:sz w:val="20"/>
          <w:szCs w:val="20"/>
          <w:color w:val="auto"/>
        </w:rPr>
      </w:pPr>
      <w:r>
        <w:rPr>
          <w:rFonts w:ascii="Courier New" w:cs="Courier New" w:eastAsia="Courier New" w:hAnsi="Courier New"/>
          <w:sz w:val="16"/>
          <w:szCs w:val="16"/>
          <w:color w:val="auto"/>
        </w:rPr>
        <w:t>Chase.</w:t>
      </w:r>
      <w:r>
        <w:rPr>
          <w:sz w:val="20"/>
          <w:szCs w:val="20"/>
          <w:color w:val="auto"/>
        </w:rPr>
        <w:tab/>
      </w:r>
      <w:r>
        <w:rPr>
          <w:rFonts w:ascii="Courier New" w:cs="Courier New" w:eastAsia="Courier New" w:hAnsi="Courier New"/>
          <w:sz w:val="14"/>
          <w:szCs w:val="14"/>
          <w:color w:val="auto"/>
        </w:rPr>
        <w:t>See Preamble.</w:t>
      </w:r>
    </w:p>
    <w:p>
      <w:pPr>
        <w:spacing w:after="0" w:line="17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Code. The Internal Revenue Code of 1986, as amended and in effect from time to time.</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Co-Documentation Agent(s). See Preamble.</w:t>
      </w:r>
    </w:p>
    <w:p>
      <w:pPr>
        <w:spacing w:after="0" w:line="177"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73"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Commitment Percentage. With respect to each Bank, the percentage initially set forth next to such Bank's name on Schedule 1 hereto, as the same may be adjusted in accordance with Section 20.</w:t>
      </w:r>
    </w:p>
    <w:p>
      <w:pPr>
        <w:spacing w:after="0" w:line="61"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Loan Accounts. See Section 4.2(a).</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Margin. See Section 4.5(b)(iv).</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Notes. See Section 4.2(b).</w:t>
      </w:r>
    </w:p>
    <w:p>
      <w:pPr>
        <w:spacing w:after="0" w:line="177" w:lineRule="exact"/>
        <w:rPr>
          <w:sz w:val="20"/>
          <w:szCs w:val="20"/>
          <w:color w:val="auto"/>
        </w:rPr>
      </w:pPr>
    </w:p>
    <w:p>
      <w:pPr>
        <w:ind w:right="3159" w:firstLine="837"/>
        <w:spacing w:after="0" w:line="342" w:lineRule="auto"/>
        <w:rPr>
          <w:sz w:val="20"/>
          <w:szCs w:val="20"/>
          <w:color w:val="auto"/>
        </w:rPr>
      </w:pPr>
      <w:r>
        <w:rPr>
          <w:rFonts w:ascii="Courier New" w:cs="Courier New" w:eastAsia="Courier New" w:hAnsi="Courier New"/>
          <w:sz w:val="16"/>
          <w:szCs w:val="16"/>
          <w:color w:val="auto"/>
        </w:rPr>
        <w:t>Competitive Bid Quote. An offer by a Bank to make a Competitive Bid Loan in accordance with Section 4.5 hereof.</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Quote Request. See Section 4.3.</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Rate. See Section 4.5(b)(v).</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Compliance Certificate. See Section 7.4(c).</w:t>
      </w:r>
    </w:p>
    <w:p>
      <w:pPr>
        <w:sectPr>
          <w:pgSz w:w="11900" w:h="16838" w:orient="portrait"/>
          <w:cols w:equalWidth="0" w:num="1">
            <w:col w:w="10219"/>
          </w:cols>
          <w:pgMar w:left="240" w:top="269" w:right="1440" w:bottom="1440" w:gutter="0" w:footer="0" w:header="0"/>
        </w:sectPr>
      </w:pPr>
    </w:p>
    <w:bookmarkStart w:id="53" w:name="page54"/>
    <w:bookmarkEnd w:id="53"/>
    <w:p>
      <w:pPr>
        <w:ind w:left="285"/>
        <w:spacing w:after="0"/>
        <w:rPr>
          <w:sz w:val="20"/>
          <w:szCs w:val="20"/>
          <w:color w:val="auto"/>
        </w:rPr>
      </w:pPr>
      <w:r>
        <w:rPr>
          <w:rFonts w:ascii="Courier New" w:cs="Courier New" w:eastAsia="Courier New" w:hAnsi="Courier New"/>
          <w:sz w:val="16"/>
          <w:szCs w:val="16"/>
          <w:color w:val="auto"/>
        </w:rPr>
        <w:t>10</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-4-</w:t>
      </w:r>
    </w:p>
    <w:p>
      <w:pPr>
        <w:spacing w:after="0" w:line="327" w:lineRule="exact"/>
        <w:rPr>
          <w:sz w:val="20"/>
          <w:szCs w:val="20"/>
          <w:color w:val="auto"/>
        </w:rPr>
      </w:pPr>
    </w:p>
    <w:p>
      <w:pPr>
        <w:ind w:left="5" w:right="2879" w:firstLine="837"/>
        <w:spacing w:after="0" w:line="289" w:lineRule="auto"/>
        <w:rPr>
          <w:sz w:val="20"/>
          <w:szCs w:val="20"/>
          <w:color w:val="auto"/>
        </w:rPr>
      </w:pPr>
      <w:r>
        <w:rPr>
          <w:rFonts w:ascii="Courier New" w:cs="Courier New" w:eastAsia="Courier New" w:hAnsi="Courier New"/>
          <w:sz w:val="16"/>
          <w:szCs w:val="16"/>
          <w:color w:val="auto"/>
        </w:rPr>
        <w:t>Consolidated or consolidated. With reference to any term defined herein, shall mean that term as applied to the accounts of the Borrower and its Subsidiaries consolidated in accordance with GAAP.</w:t>
      </w:r>
    </w:p>
    <w:p>
      <w:pPr>
        <w:spacing w:after="0" w:line="61" w:lineRule="exact"/>
        <w:rPr>
          <w:sz w:val="20"/>
          <w:szCs w:val="20"/>
          <w:color w:val="auto"/>
        </w:rPr>
      </w:pPr>
    </w:p>
    <w:p>
      <w:pPr>
        <w:ind w:left="5" w:right="2779" w:firstLine="837"/>
        <w:spacing w:after="0" w:line="275" w:lineRule="auto"/>
        <w:rPr>
          <w:sz w:val="20"/>
          <w:szCs w:val="20"/>
          <w:color w:val="auto"/>
        </w:rPr>
      </w:pPr>
      <w:r>
        <w:rPr>
          <w:rFonts w:ascii="Courier New" w:cs="Courier New" w:eastAsia="Courier New" w:hAnsi="Courier New"/>
          <w:sz w:val="14"/>
          <w:szCs w:val="14"/>
          <w:color w:val="auto"/>
        </w:rPr>
        <w:t>Consolidated Earnings Before Interest and Taxes, or EBIT. For any period, the Consolidated Net Income (or Deficit) of the Borrower and its Subsidiaries on a consolidated basis plus, without duplication, the sum of (1) interest expense, (2) income taxes, (3) one-time charges related to expenses in connection with Terminated Plans not to exceed $80,231,000 for the fiscal quarter ending September 30, 2000, and not to exceed $28,102,000 for the fiscal quarter ending December 31, 2000, (4) non-cash extraordinary non-recurring writedowns or write-offs of assets, including non-cash losses on the sale of assets outside the ordinary course of business, (5) non-recurring extraordinary charges for settlement or judgment costs with respect to the shareholder lawsuits and actions brought against the Borrower or the Guarantor related to, arising or resulting from, the restatements of financial statements or results, lowered expected earnings announcements occurring in 1998 and 1999, alleged misrepresentations, misstatements or omissions contained in, or the adequacy of, any disclosure documents filed with the Securities and Exchange Commission in 1998 and 1999, as further described in the Borrower's 2000 Annual Report on Form 10-K (collectively, the "Shareholder Suits"), and (6) EBIT of the businesses acquired by the Borrower or any of its Subsidiaries (through asset purchases or otherwise) (each an "Acquired Business") or the Subsidiaries acquired or formed since the beginning of such period (each a "New Subsidiary") provided that (i) the financial statements of such Acquired Businesses or New Subsidiaries have been audited for the most recent fiscal year ended of such Acquired Businesses or New Subsidiaries, or (ii) the Administrative Agent consents to such inclusion after being furnished with other acceptable financial statements, and, in each case, a Compliance Certificate and other reasonably appropriate documentation, in form and substance reasonably satisfactory to the Administrative Agent, with respect to the historical operating results and balance sheet of such Acquired Businesses or New Subsidiaries (which information to the knowledge of the officer executing such certificate is correct in all material respects) are provided to the Administrative Agent, to the extent that each of items (1) through (5) was deducted in determining Consolidated Net Income (or Deficit) in the relevant period, minus non-cash extraordinary gains on the sale of assets outside the ordinary course of business to the extent included in Consolidated Net Income (or Deficit).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 w:right="2879" w:firstLine="837"/>
        <w:spacing w:after="0" w:line="291" w:lineRule="auto"/>
        <w:rPr>
          <w:sz w:val="20"/>
          <w:szCs w:val="20"/>
          <w:color w:val="auto"/>
        </w:rPr>
      </w:pPr>
      <w:r>
        <w:rPr>
          <w:rFonts w:ascii="Courier New" w:cs="Courier New" w:eastAsia="Courier New" w:hAnsi="Courier New"/>
          <w:sz w:val="14"/>
          <w:szCs w:val="14"/>
          <w:color w:val="auto"/>
        </w:rPr>
        <w:t>Consolidated Earnings Before Interest, Taxes, Depreciation and Amortization or EBITDA. For any period, EBIT plus (a) depreciation expense, and</w:t>
      </w:r>
    </w:p>
    <w:p>
      <w:pPr>
        <w:spacing w:after="0" w:line="1" w:lineRule="exact"/>
        <w:rPr>
          <w:sz w:val="20"/>
          <w:szCs w:val="20"/>
          <w:color w:val="auto"/>
        </w:rPr>
      </w:pPr>
    </w:p>
    <w:p>
      <w:pPr>
        <w:ind w:left="5" w:right="2879" w:hanging="5"/>
        <w:spacing w:after="0" w:line="271" w:lineRule="auto"/>
        <w:tabs>
          <w:tab w:leader="none" w:pos="37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 expense to the extent the same would be included in the calculation of Consolidated Net Income (or Deficit) for such period, determined in accordance with GAAP.</w:t>
      </w:r>
    </w:p>
    <w:p>
      <w:pPr>
        <w:spacing w:after="0" w:line="74" w:lineRule="exact"/>
        <w:rPr>
          <w:sz w:val="20"/>
          <w:szCs w:val="20"/>
          <w:color w:val="auto"/>
        </w:rPr>
      </w:pPr>
    </w:p>
    <w:p>
      <w:pPr>
        <w:ind w:left="5" w:right="2959" w:firstLine="837"/>
        <w:spacing w:after="0" w:line="272" w:lineRule="auto"/>
        <w:rPr>
          <w:sz w:val="20"/>
          <w:szCs w:val="20"/>
          <w:color w:val="auto"/>
        </w:rPr>
      </w:pPr>
      <w:r>
        <w:rPr>
          <w:rFonts w:ascii="Courier New" w:cs="Courier New" w:eastAsia="Courier New" w:hAnsi="Courier New"/>
          <w:sz w:val="16"/>
          <w:szCs w:val="16"/>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73" w:lineRule="exact"/>
        <w:rPr>
          <w:sz w:val="20"/>
          <w:szCs w:val="20"/>
          <w:color w:val="auto"/>
        </w:rPr>
      </w:pPr>
    </w:p>
    <w:p>
      <w:pPr>
        <w:ind w:left="5" w:right="2879" w:firstLine="837"/>
        <w:spacing w:after="0" w:line="309" w:lineRule="auto"/>
        <w:rPr>
          <w:sz w:val="20"/>
          <w:szCs w:val="20"/>
          <w:color w:val="auto"/>
        </w:rPr>
      </w:pPr>
      <w:r>
        <w:rPr>
          <w:rFonts w:ascii="Courier New" w:cs="Courier New" w:eastAsia="Courier New" w:hAnsi="Courier New"/>
          <w:sz w:val="14"/>
          <w:szCs w:val="14"/>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w:t>
      </w:r>
    </w:p>
    <w:p>
      <w:pPr>
        <w:sectPr>
          <w:pgSz w:w="11900" w:h="16838" w:orient="portrait"/>
          <w:cols w:equalWidth="0" w:num="1">
            <w:col w:w="10224"/>
          </w:cols>
          <w:pgMar w:left="235" w:top="269"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11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pacing w:after="0" w:line="327" w:lineRule="exact"/>
        <w:rPr>
          <w:sz w:val="20"/>
          <w:szCs w:val="20"/>
          <w:color w:val="auto"/>
        </w:rPr>
      </w:pPr>
    </w:p>
    <w:p>
      <w:pPr>
        <w:ind w:right="2959"/>
        <w:spacing w:after="0" w:line="272" w:lineRule="auto"/>
        <w:rPr>
          <w:sz w:val="20"/>
          <w:szCs w:val="20"/>
          <w:color w:val="auto"/>
        </w:rPr>
      </w:pPr>
      <w:r>
        <w:rPr>
          <w:rFonts w:ascii="Courier New" w:cs="Courier New" w:eastAsia="Courier New" w:hAnsi="Courier New"/>
          <w:sz w:val="16"/>
          <w:szCs w:val="16"/>
          <w:color w:val="auto"/>
        </w:rPr>
        <w:t>basis, excluding the effect of any foreign currency transactions computed pursuant to Financial Accounting Standards Board Statement No. 52, as amended, supplemented or modified from time to time, or otherwise in accordance with GAAP.</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Consolidated Tangible Assets. Consolidated Total Assets less the sum</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149" w:lineRule="exact"/>
        <w:rPr>
          <w:sz w:val="20"/>
          <w:szCs w:val="20"/>
          <w:color w:val="auto"/>
        </w:rPr>
      </w:pPr>
    </w:p>
    <w:p>
      <w:pPr>
        <w:ind w:left="840" w:right="2779" w:firstLine="830"/>
        <w:spacing w:after="0" w:line="254" w:lineRule="auto"/>
        <w:tabs>
          <w:tab w:leader="none" w:pos="20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88" w:lineRule="exact"/>
        <w:rPr>
          <w:rFonts w:ascii="Courier New" w:cs="Courier New" w:eastAsia="Courier New" w:hAnsi="Courier New"/>
          <w:sz w:val="16"/>
          <w:szCs w:val="16"/>
          <w:color w:val="auto"/>
        </w:rPr>
      </w:pPr>
    </w:p>
    <w:p>
      <w:pPr>
        <w:ind w:left="840" w:right="2779" w:firstLine="830"/>
        <w:spacing w:after="0" w:line="289" w:lineRule="auto"/>
        <w:tabs>
          <w:tab w:leader="none" w:pos="204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representing any write-up in the book value of any assets of the Borrower or its Subsidiaries resulting from a revaluation thereof subsequent to the Balance Sheet Date.</w:t>
      </w:r>
    </w:p>
    <w:p>
      <w:pPr>
        <w:spacing w:after="0" w:line="61" w:lineRule="exact"/>
        <w:rPr>
          <w:sz w:val="20"/>
          <w:szCs w:val="20"/>
          <w:color w:val="auto"/>
        </w:rPr>
      </w:pPr>
    </w:p>
    <w:p>
      <w:pPr>
        <w:ind w:right="3519" w:firstLine="837"/>
        <w:spacing w:after="0" w:line="406" w:lineRule="auto"/>
        <w:rPr>
          <w:sz w:val="20"/>
          <w:szCs w:val="20"/>
          <w:color w:val="auto"/>
        </w:rPr>
      </w:pPr>
      <w:r>
        <w:rPr>
          <w:rFonts w:ascii="Courier New" w:cs="Courier New" w:eastAsia="Courier New" w:hAnsi="Courier New"/>
          <w:sz w:val="14"/>
          <w:szCs w:val="14"/>
          <w:color w:val="auto"/>
        </w:rPr>
        <w:t>Consolidated Total Assets. All assets of the Borrower and its Subsidiaries determined on a consolidated basis in accordance with GAAP.</w:t>
      </w:r>
    </w:p>
    <w:p>
      <w:pPr>
        <w:ind w:right="3059" w:firstLine="837"/>
        <w:spacing w:after="0" w:line="263" w:lineRule="auto"/>
        <w:rPr>
          <w:sz w:val="20"/>
          <w:szCs w:val="20"/>
          <w:color w:val="auto"/>
        </w:rPr>
      </w:pPr>
      <w:r>
        <w:rPr>
          <w:rFonts w:ascii="Courier New" w:cs="Courier New" w:eastAsia="Courier New" w:hAnsi="Courier New"/>
          <w:sz w:val="16"/>
          <w:szCs w:val="16"/>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Co-Syndication Agent(s). See Preamble.</w:t>
      </w:r>
    </w:p>
    <w:p>
      <w:pPr>
        <w:spacing w:after="0" w:line="177"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364 Day Facility. That certain 364 Day Loan Agreement dated as of June 29, 2001 by and among the Borrower, the Guarantor, Fleet, BOA, Chase, Deutsche and the other banks party thereto, and Fleet as administrative agent thereunder, Banc of America Securities LLC and JPMorgan as joint lead arrangers and joint book managers thereunder, BOA and JPMorgan as co-syndication agents thereunder and Deutsche and Citibank, N.A., as co-documentation agents thereunder, as amended from time to time.</w:t>
      </w:r>
    </w:p>
    <w:p>
      <w:pPr>
        <w:spacing w:after="0" w:line="8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Defaulting Bank. See Section 5.12.</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Defaults. See Section 12.1.</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Deutsche. See Preamble.</w:t>
      </w:r>
    </w:p>
    <w:p>
      <w:pPr>
        <w:spacing w:after="0" w:line="177"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Disclosure Documents. The Borrower's financial statements referred to in Section 6.4 and filings made by the Borrower or the Guarantor with the Securities and Exchange Commission that were publicly available prior to the Effective Date which were provided to the Banks.</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Disposal. See "Release".</w:t>
      </w:r>
    </w:p>
    <w:p>
      <w:pPr>
        <w:spacing w:after="0" w:line="177"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Distribution. The declaration or payment of any dividend or other return on equity on or in respect of any shares of any class of capital stock, any partnership interests or any membership</w:t>
      </w:r>
    </w:p>
    <w:p>
      <w:pPr>
        <w:sectPr>
          <w:pgSz w:w="11900" w:h="16838" w:orient="portrait"/>
          <w:cols w:equalWidth="0" w:num="1">
            <w:col w:w="10219"/>
          </w:cols>
          <w:pgMar w:left="240" w:top="269"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12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pacing w:after="0" w:line="327" w:lineRule="exact"/>
        <w:rPr>
          <w:sz w:val="20"/>
          <w:szCs w:val="20"/>
          <w:color w:val="auto"/>
        </w:rPr>
      </w:pPr>
    </w:p>
    <w:p>
      <w:pPr>
        <w:ind w:right="2779"/>
        <w:spacing w:after="0" w:line="292" w:lineRule="auto"/>
        <w:rPr>
          <w:sz w:val="20"/>
          <w:szCs w:val="20"/>
          <w:color w:val="auto"/>
        </w:rPr>
      </w:pPr>
      <w:r>
        <w:rPr>
          <w:rFonts w:ascii="Courier New" w:cs="Courier New" w:eastAsia="Courier New" w:hAnsi="Courier New"/>
          <w:sz w:val="14"/>
          <w:szCs w:val="14"/>
          <w:color w:val="auto"/>
        </w:rPr>
        <w:t>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66"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Dollars or US$ or $ or U.S. Dollars. Dollars in lawful currency of the United States of America.</w:t>
      </w:r>
    </w:p>
    <w:p>
      <w:pPr>
        <w:spacing w:after="0" w:line="20"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Drawdown Date. The date on which any Loan is made or is to be made, or any amount is paid by an Issuing Bank under a Letter of Credit.</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EBIT. See definition of Consolidated Earnings Before Interest and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149" w:lineRule="exact"/>
        <w:rPr>
          <w:sz w:val="20"/>
          <w:szCs w:val="20"/>
          <w:color w:val="auto"/>
        </w:rPr>
      </w:pPr>
    </w:p>
    <w:p>
      <w:pPr>
        <w:ind w:right="2779" w:firstLine="837"/>
        <w:spacing w:after="0" w:line="342" w:lineRule="auto"/>
        <w:rPr>
          <w:sz w:val="20"/>
          <w:szCs w:val="20"/>
          <w:color w:val="auto"/>
        </w:rPr>
      </w:pPr>
      <w:r>
        <w:rPr>
          <w:rFonts w:ascii="Courier New" w:cs="Courier New" w:eastAsia="Courier New" w:hAnsi="Courier New"/>
          <w:sz w:val="16"/>
          <w:szCs w:val="16"/>
          <w:color w:val="auto"/>
        </w:rPr>
        <w:t>EBITDA. See definition of Consolidated Earnings Before Interest, Taxes, Depreciation and Amortization.</w:t>
      </w:r>
    </w:p>
    <w:p>
      <w:pPr>
        <w:spacing w:after="0" w:line="20" w:lineRule="exact"/>
        <w:rPr>
          <w:sz w:val="20"/>
          <w:szCs w:val="20"/>
          <w:color w:val="auto"/>
        </w:rPr>
      </w:pPr>
    </w:p>
    <w:p>
      <w:pPr>
        <w:ind w:right="2779" w:firstLine="837"/>
        <w:spacing w:after="0" w:line="342" w:lineRule="auto"/>
        <w:rPr>
          <w:sz w:val="20"/>
          <w:szCs w:val="20"/>
          <w:color w:val="auto"/>
        </w:rPr>
      </w:pPr>
      <w:r>
        <w:rPr>
          <w:rFonts w:ascii="Courier New" w:cs="Courier New" w:eastAsia="Courier New" w:hAnsi="Courier New"/>
          <w:sz w:val="16"/>
          <w:szCs w:val="16"/>
          <w:color w:val="auto"/>
        </w:rPr>
        <w:t>Effective Date. The date on which the conditions precedent set forth in Section 10.1 hereof are satisfied.</w:t>
      </w:r>
    </w:p>
    <w:p>
      <w:pPr>
        <w:spacing w:after="0" w:line="20" w:lineRule="exact"/>
        <w:rPr>
          <w:sz w:val="20"/>
          <w:szCs w:val="20"/>
          <w:color w:val="auto"/>
        </w:rPr>
      </w:pPr>
    </w:p>
    <w:p>
      <w:pPr>
        <w:ind w:right="2879" w:firstLine="837"/>
        <w:spacing w:after="0" w:line="348" w:lineRule="auto"/>
        <w:rPr>
          <w:sz w:val="20"/>
          <w:szCs w:val="20"/>
          <w:color w:val="auto"/>
        </w:rPr>
      </w:pPr>
      <w:r>
        <w:rPr>
          <w:rFonts w:ascii="Courier New" w:cs="Courier New" w:eastAsia="Courier New" w:hAnsi="Courier New"/>
          <w:sz w:val="14"/>
          <w:szCs w:val="14"/>
          <w:color w:val="auto"/>
        </w:rPr>
        <w:t>Employee Benefit Plan. Any employee benefit plan within the meaning of Section 3(3) of ERISA maintained or contributed to by the Borrower, any of its Subsidiaries, or any ERISA Affiliate, other than a Multiemployer Plan.</w:t>
      </w:r>
    </w:p>
    <w:p>
      <w:pPr>
        <w:spacing w:after="0" w:line="2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Environmental Laws. See Section 6.15(a).</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EPA. See Section 6.15(b).</w:t>
      </w:r>
    </w:p>
    <w:p>
      <w:pPr>
        <w:spacing w:after="0" w:line="17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ERISA. The Employee Retirement Income Security Act of 1974, as amended and in effect from time to time.</w:t>
      </w:r>
    </w:p>
    <w:p>
      <w:pPr>
        <w:spacing w:after="0" w:line="20"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ERISA Affiliate. Any Person which is treated as a single employer with the Borrower or any of its Subsidiaries under Section 414 of the Code.</w:t>
      </w:r>
    </w:p>
    <w:p>
      <w:pPr>
        <w:spacing w:after="0" w:line="20"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73"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Eurocurrency Reserve Rate. For any day with respect to a Eurodollar Loan, the maximum rate (expressed as a decimal) at which the Administrative Agent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ectPr>
          <w:pgSz w:w="11900" w:h="16838" w:orient="portrait"/>
          <w:cols w:equalWidth="0" w:num="1">
            <w:col w:w="10219"/>
          </w:cols>
          <w:pgMar w:left="240" w:top="269" w:right="1440" w:bottom="1440" w:gutter="0" w:footer="0" w:header="0"/>
        </w:sectPr>
      </w:pPr>
    </w:p>
    <w:bookmarkStart w:id="56" w:name="page57"/>
    <w:bookmarkEnd w:id="56"/>
    <w:p>
      <w:pPr>
        <w:ind w:left="285"/>
        <w:spacing w:after="0"/>
        <w:rPr>
          <w:sz w:val="20"/>
          <w:szCs w:val="20"/>
          <w:color w:val="auto"/>
        </w:rPr>
      </w:pPr>
      <w:r>
        <w:rPr>
          <w:rFonts w:ascii="Courier New" w:cs="Courier New" w:eastAsia="Courier New" w:hAnsi="Courier New"/>
          <w:sz w:val="16"/>
          <w:szCs w:val="16"/>
          <w:color w:val="auto"/>
        </w:rPr>
        <w:t>13</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w:t>
      </w:r>
    </w:p>
    <w:p>
      <w:pPr>
        <w:spacing w:after="0" w:line="327" w:lineRule="exact"/>
        <w:rPr>
          <w:sz w:val="20"/>
          <w:szCs w:val="20"/>
          <w:color w:val="auto"/>
        </w:rPr>
      </w:pPr>
    </w:p>
    <w:p>
      <w:pPr>
        <w:jc w:val="both"/>
        <w:ind w:left="5" w:right="2779" w:firstLine="837"/>
        <w:spacing w:after="0" w:line="272" w:lineRule="auto"/>
        <w:rPr>
          <w:sz w:val="20"/>
          <w:szCs w:val="20"/>
          <w:color w:val="auto"/>
        </w:rPr>
      </w:pPr>
      <w:r>
        <w:rPr>
          <w:rFonts w:ascii="Courier New" w:cs="Courier New" w:eastAsia="Courier New" w:hAnsi="Courier New"/>
          <w:sz w:val="16"/>
          <w:szCs w:val="16"/>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73"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Eurodollar Competitive Bid Loan(s). See Section 4.3(a).</w:t>
      </w:r>
    </w:p>
    <w:p>
      <w:pPr>
        <w:spacing w:after="0" w:line="177"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6"/>
          <w:szCs w:val="16"/>
          <w:color w:val="auto"/>
        </w:rPr>
        <w:t>Eurodollar Lending Office. Initially, the office of each Bank set forth in the administrative materials provided to the Administrative Agent; thereafter, upon notice to the Administrative Agent, such other office of such Bank that shall be making or maintaining Eurodollar Loans.</w:t>
      </w:r>
    </w:p>
    <w:p>
      <w:pPr>
        <w:spacing w:after="0" w:line="73" w:lineRule="exact"/>
        <w:rPr>
          <w:sz w:val="20"/>
          <w:szCs w:val="20"/>
          <w:color w:val="auto"/>
        </w:rPr>
      </w:pPr>
    </w:p>
    <w:p>
      <w:pPr>
        <w:ind w:left="5" w:right="3339" w:firstLine="837"/>
        <w:spacing w:after="0" w:line="342" w:lineRule="auto"/>
        <w:rPr>
          <w:sz w:val="20"/>
          <w:szCs w:val="20"/>
          <w:color w:val="auto"/>
        </w:rPr>
      </w:pPr>
      <w:r>
        <w:rPr>
          <w:rFonts w:ascii="Courier New" w:cs="Courier New" w:eastAsia="Courier New" w:hAnsi="Courier New"/>
          <w:sz w:val="16"/>
          <w:szCs w:val="16"/>
          <w:color w:val="auto"/>
        </w:rPr>
        <w:t>Eurodollar Loans. Syndicated Loans bearing interest calculated by reference to the Eurodollar Rate.</w:t>
      </w:r>
    </w:p>
    <w:p>
      <w:pPr>
        <w:spacing w:after="0" w:line="20" w:lineRule="exact"/>
        <w:rPr>
          <w:sz w:val="20"/>
          <w:szCs w:val="20"/>
          <w:color w:val="auto"/>
        </w:rPr>
      </w:pPr>
    </w:p>
    <w:p>
      <w:pPr>
        <w:ind w:left="5" w:right="2779" w:firstLine="837"/>
        <w:spacing w:after="0" w:line="243" w:lineRule="auto"/>
        <w:rPr>
          <w:sz w:val="20"/>
          <w:szCs w:val="20"/>
          <w:color w:val="auto"/>
        </w:rPr>
      </w:pPr>
      <w:r>
        <w:rPr>
          <w:rFonts w:ascii="Courier New" w:cs="Courier New" w:eastAsia="Courier New" w:hAnsi="Courier New"/>
          <w:sz w:val="16"/>
          <w:szCs w:val="16"/>
          <w:color w:val="auto"/>
        </w:rPr>
        <w:t>Eurodollar Rate. For any Interest Period with respect to a Eurodollar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rate per annum at which the Administrative Agent's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the Administrative Agent to which such Interest Period applies, divided by (ii) a number equal to 1.00 minus the Eurocurrency Reserve Rate, if applicable.</w:t>
      </w:r>
    </w:p>
    <w:p>
      <w:pPr>
        <w:spacing w:after="0" w:line="105"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Events of Default. See Section 12.1.</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Facility Fee. See Section 2.2.</w:t>
      </w:r>
    </w:p>
    <w:p>
      <w:pPr>
        <w:spacing w:after="0" w:line="177" w:lineRule="exact"/>
        <w:rPr>
          <w:sz w:val="20"/>
          <w:szCs w:val="20"/>
          <w:color w:val="auto"/>
        </w:rPr>
      </w:pPr>
    </w:p>
    <w:p>
      <w:pPr>
        <w:ind w:left="5" w:right="3159" w:firstLine="837"/>
        <w:spacing w:after="0" w:line="272" w:lineRule="auto"/>
        <w:rPr>
          <w:sz w:val="20"/>
          <w:szCs w:val="20"/>
          <w:color w:val="auto"/>
        </w:rPr>
      </w:pPr>
      <w:r>
        <w:rPr>
          <w:rFonts w:ascii="Courier New" w:cs="Courier New" w:eastAsia="Courier New" w:hAnsi="Courier New"/>
          <w:sz w:val="16"/>
          <w:szCs w:val="16"/>
          <w:color w:val="auto"/>
        </w:rPr>
        <w:t>Financial Affiliate. A subsidiary of the bank holding company controlling any Bank, which subsidiary is engaging in any of the activities permitted by Section 4(e) of the Bank Holding Company Act of 1956 (12 U.S.C. Section 1843).</w:t>
      </w:r>
    </w:p>
    <w:p>
      <w:pPr>
        <w:spacing w:after="0" w:line="73"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Fleet. See Preamble.</w:t>
      </w:r>
    </w:p>
    <w:p>
      <w:pPr>
        <w:spacing w:after="0" w:line="177" w:lineRule="exact"/>
        <w:rPr>
          <w:sz w:val="20"/>
          <w:szCs w:val="20"/>
          <w:color w:val="auto"/>
        </w:rPr>
      </w:pPr>
    </w:p>
    <w:p>
      <w:pPr>
        <w:ind w:left="5" w:right="2779" w:firstLine="837"/>
        <w:spacing w:after="0" w:line="279" w:lineRule="auto"/>
        <w:rPr>
          <w:sz w:val="20"/>
          <w:szCs w:val="20"/>
          <w:color w:val="auto"/>
        </w:rPr>
      </w:pPr>
      <w:r>
        <w:rPr>
          <w:rFonts w:ascii="Courier New" w:cs="Courier New" w:eastAsia="Courier New" w:hAnsi="Courier New"/>
          <w:sz w:val="14"/>
          <w:szCs w:val="14"/>
          <w:color w:val="auto"/>
        </w:rPr>
        <w:t>generally accepted accounting principles or GAAP. (i) When used in Section 9,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w:t>
      </w:r>
    </w:p>
    <w:p>
      <w:pPr>
        <w:spacing w:after="0" w:line="1" w:lineRule="exact"/>
        <w:rPr>
          <w:sz w:val="20"/>
          <w:szCs w:val="20"/>
          <w:color w:val="auto"/>
        </w:rPr>
      </w:pPr>
    </w:p>
    <w:p>
      <w:pPr>
        <w:ind w:left="5" w:right="2779" w:hanging="5"/>
        <w:spacing w:after="0" w:line="248" w:lineRule="auto"/>
        <w:tabs>
          <w:tab w:leader="none" w:pos="37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consistent with such principles, the accounting practice of the Borrower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w:t>
      </w:r>
    </w:p>
    <w:p>
      <w:pPr>
        <w:sectPr>
          <w:pgSz w:w="11900" w:h="16838" w:orient="portrait"/>
          <w:cols w:equalWidth="0" w:num="1">
            <w:col w:w="10224"/>
          </w:cols>
          <w:pgMar w:left="235" w:top="269" w:right="1440" w:bottom="1440" w:gutter="0" w:footer="0" w:header="0"/>
        </w:sectPr>
      </w:pPr>
    </w:p>
    <w:bookmarkStart w:id="57" w:name="page58"/>
    <w:bookmarkEnd w:id="57"/>
    <w:p>
      <w:pPr>
        <w:ind w:left="285"/>
        <w:spacing w:after="0"/>
        <w:rPr>
          <w:sz w:val="20"/>
          <w:szCs w:val="20"/>
          <w:color w:val="auto"/>
        </w:rPr>
      </w:pPr>
      <w:r>
        <w:rPr>
          <w:rFonts w:ascii="Courier New" w:cs="Courier New" w:eastAsia="Courier New" w:hAnsi="Courier New"/>
          <w:sz w:val="16"/>
          <w:szCs w:val="16"/>
          <w:color w:val="auto"/>
        </w:rPr>
        <w:t>14</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-8-</w:t>
      </w:r>
    </w:p>
    <w:p>
      <w:pPr>
        <w:spacing w:after="0" w:line="327" w:lineRule="exact"/>
        <w:rPr>
          <w:sz w:val="20"/>
          <w:szCs w:val="20"/>
          <w:color w:val="auto"/>
        </w:rPr>
      </w:pPr>
    </w:p>
    <w:p>
      <w:pPr>
        <w:ind w:left="5" w:right="2779"/>
        <w:spacing w:after="0" w:line="301" w:lineRule="auto"/>
        <w:rPr>
          <w:sz w:val="20"/>
          <w:szCs w:val="20"/>
          <w:color w:val="auto"/>
        </w:rPr>
      </w:pPr>
      <w:r>
        <w:rPr>
          <w:rFonts w:ascii="Courier New" w:cs="Courier New" w:eastAsia="Courier New" w:hAnsi="Courier New"/>
          <w:sz w:val="14"/>
          <w:szCs w:val="14"/>
          <w:color w:val="auto"/>
        </w:rPr>
        <w:t>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59"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Guaranteed Obligations. See Section 28.1.</w:t>
      </w:r>
    </w:p>
    <w:p>
      <w:pPr>
        <w:spacing w:after="0" w:line="177" w:lineRule="exact"/>
        <w:rPr>
          <w:sz w:val="20"/>
          <w:szCs w:val="20"/>
          <w:color w:val="auto"/>
        </w:rPr>
      </w:pPr>
    </w:p>
    <w:p>
      <w:pPr>
        <w:ind w:left="5" w:right="2879" w:firstLine="837"/>
        <w:spacing w:after="0" w:line="263" w:lineRule="auto"/>
        <w:rPr>
          <w:sz w:val="20"/>
          <w:szCs w:val="20"/>
          <w:color w:val="auto"/>
        </w:rPr>
      </w:pPr>
      <w:r>
        <w:rPr>
          <w:rFonts w:ascii="Courier New" w:cs="Courier New" w:eastAsia="Courier New" w:hAnsi="Courier New"/>
          <w:sz w:val="16"/>
          <w:szCs w:val="16"/>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80"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Guarantor. See Preamble.</w:t>
      </w:r>
    </w:p>
    <w:p>
      <w:pPr>
        <w:spacing w:after="0" w:line="177" w:lineRule="exact"/>
        <w:rPr>
          <w:sz w:val="20"/>
          <w:szCs w:val="20"/>
          <w:color w:val="auto"/>
        </w:rPr>
      </w:pPr>
    </w:p>
    <w:p>
      <w:pPr>
        <w:ind w:left="5" w:right="2779" w:firstLine="837"/>
        <w:spacing w:after="0" w:line="281" w:lineRule="auto"/>
        <w:rPr>
          <w:sz w:val="20"/>
          <w:szCs w:val="20"/>
          <w:color w:val="auto"/>
        </w:rPr>
      </w:pPr>
      <w:r>
        <w:rPr>
          <w:rFonts w:ascii="Courier New" w:cs="Courier New" w:eastAsia="Courier New" w:hAnsi="Courier New"/>
          <w:sz w:val="14"/>
          <w:szCs w:val="14"/>
          <w:color w:val="auto"/>
        </w:rPr>
        <w:t>Guaranty. Any obligation, contingent or otherwise, of a Person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Guaranty shall not include endorsements for collection or deposit in the ordinary course of business.</w:t>
      </w:r>
    </w:p>
    <w:p>
      <w:pPr>
        <w:spacing w:after="0" w:line="200" w:lineRule="exact"/>
        <w:rPr>
          <w:sz w:val="20"/>
          <w:szCs w:val="20"/>
          <w:color w:val="auto"/>
        </w:rPr>
      </w:pPr>
    </w:p>
    <w:p>
      <w:pPr>
        <w:spacing w:after="0" w:line="241"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Hazardous Substances. See Section 6.15(b).</w:t>
      </w:r>
    </w:p>
    <w:p>
      <w:pPr>
        <w:spacing w:after="0" w:line="177" w:lineRule="exact"/>
        <w:rPr>
          <w:sz w:val="20"/>
          <w:szCs w:val="20"/>
          <w:color w:val="auto"/>
        </w:rPr>
      </w:pPr>
    </w:p>
    <w:p>
      <w:pPr>
        <w:ind w:left="5" w:right="2779" w:firstLine="837"/>
        <w:spacing w:after="0" w:line="279"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w:t>
      </w:r>
    </w:p>
    <w:p>
      <w:pPr>
        <w:spacing w:after="0" w:line="1" w:lineRule="exact"/>
        <w:rPr>
          <w:sz w:val="20"/>
          <w:szCs w:val="20"/>
          <w:color w:val="auto"/>
        </w:rPr>
      </w:pPr>
    </w:p>
    <w:p>
      <w:pPr>
        <w:ind w:left="5" w:right="2779" w:hanging="5"/>
        <w:spacing w:after="0" w:line="274" w:lineRule="auto"/>
        <w:tabs>
          <w:tab w:leader="none" w:pos="47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 (g) Guaranties with respect to all Indebtedness of others referred to in clauses (a) through (f) above, and</w:t>
      </w:r>
    </w:p>
    <w:p>
      <w:pPr>
        <w:spacing w:after="0" w:line="157" w:lineRule="exact"/>
        <w:rPr>
          <w:rFonts w:ascii="Courier New" w:cs="Courier New" w:eastAsia="Courier New" w:hAnsi="Courier New"/>
          <w:sz w:val="14"/>
          <w:szCs w:val="14"/>
          <w:color w:val="auto"/>
        </w:rPr>
      </w:pPr>
    </w:p>
    <w:p>
      <w:pPr>
        <w:ind w:left="5" w:right="3159"/>
        <w:spacing w:after="0" w:line="327"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 all Indebtedness of others referred to in clauses (a) through (f) above secured or supported by (or for which the holder of such Indebtedness has an existing right, contingent or otherwise, to be secured or</w:t>
      </w:r>
    </w:p>
    <w:p>
      <w:pPr>
        <w:sectPr>
          <w:pgSz w:w="11900" w:h="16838" w:orient="portrait"/>
          <w:cols w:equalWidth="0" w:num="1">
            <w:col w:w="10224"/>
          </w:cols>
          <w:pgMar w:left="235" w:top="269"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15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-9-</w:t>
      </w:r>
    </w:p>
    <w:p>
      <w:pPr>
        <w:spacing w:after="0" w:line="327"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6"/>
          <w:szCs w:val="16"/>
          <w:color w:val="auto"/>
        </w:rPr>
        <w:t>supported by) any Lien on the property or assets of the Borrower or any Subsidiary, even though the owner of the property has not assumed or become liable, contractually or otherwise, for the payment of such Indebtedness; provided that if a Permitted Receivables Transaction is outstanding and is accounted for as a sale of accounts receivable under generally accepted accounting principles, Indebtedness shall also include the additional Indebtedness, determined on a consolidated basis, which would have been outstanding had such Permitted Receivables Transaction been accounted for as a borrowing.</w:t>
      </w:r>
    </w:p>
    <w:p>
      <w:pPr>
        <w:spacing w:after="0" w:line="90"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Eurodollar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Eurodollar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26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Interim Balance Sheet Date. March 31, 2001.</w:t>
      </w:r>
    </w:p>
    <w:p>
      <w:pPr>
        <w:spacing w:after="0" w:line="177" w:lineRule="exact"/>
        <w:rPr>
          <w:sz w:val="20"/>
          <w:szCs w:val="20"/>
          <w:color w:val="auto"/>
        </w:rPr>
      </w:pPr>
    </w:p>
    <w:p>
      <w:pPr>
        <w:ind w:right="2779" w:firstLine="837"/>
        <w:spacing w:after="0" w:line="241" w:lineRule="auto"/>
        <w:rPr>
          <w:sz w:val="20"/>
          <w:szCs w:val="20"/>
          <w:color w:val="auto"/>
        </w:rPr>
      </w:pPr>
      <w:r>
        <w:rPr>
          <w:rFonts w:ascii="Courier New" w:cs="Courier New" w:eastAsia="Courier New" w:hAnsi="Courier New"/>
          <w:sz w:val="16"/>
          <w:szCs w:val="16"/>
          <w:color w:val="auto"/>
        </w:rPr>
        <w:t>Investments. All expenditures made by a Person and all liabilities incurred (contingently or otherwise) by a Person for the acquisition of stock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Guaranties with respect to Indebtedness of any Subsidiary, limited to such Person's pro rata equity interest in such Subsidiary).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ectPr>
          <w:pgSz w:w="11900" w:h="16838" w:orient="portrait"/>
          <w:cols w:equalWidth="0" w:num="1">
            <w:col w:w="10219"/>
          </w:cols>
          <w:pgMar w:left="240" w:top="269" w:right="1440" w:bottom="1440" w:gutter="0" w:footer="0" w:header="0"/>
        </w:sectPr>
      </w:pPr>
    </w:p>
    <w:bookmarkStart w:id="59" w:name="page60"/>
    <w:bookmarkEnd w:id="59"/>
    <w:p>
      <w:pPr>
        <w:ind w:left="285"/>
        <w:spacing w:after="0"/>
        <w:rPr>
          <w:sz w:val="20"/>
          <w:szCs w:val="20"/>
          <w:color w:val="auto"/>
        </w:rPr>
      </w:pPr>
      <w:r>
        <w:rPr>
          <w:rFonts w:ascii="Courier New" w:cs="Courier New" w:eastAsia="Courier New" w:hAnsi="Courier New"/>
          <w:sz w:val="16"/>
          <w:szCs w:val="16"/>
          <w:color w:val="auto"/>
        </w:rPr>
        <w:t>16</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-10-</w:t>
      </w:r>
    </w:p>
    <w:p>
      <w:pPr>
        <w:spacing w:after="0" w:line="32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Issuance Fee. See Section 3.6.</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Issuing Banks. The Bank(s) issuing Letters of Credit, which shall be</w:t>
      </w:r>
    </w:p>
    <w:p>
      <w:pPr>
        <w:spacing w:after="0" w:line="26" w:lineRule="exact"/>
        <w:rPr>
          <w:sz w:val="20"/>
          <w:szCs w:val="20"/>
          <w:color w:val="auto"/>
        </w:rPr>
      </w:pPr>
    </w:p>
    <w:p>
      <w:pPr>
        <w:ind w:left="5" w:right="2879" w:hanging="5"/>
        <w:spacing w:after="0" w:line="259" w:lineRule="auto"/>
        <w:tabs>
          <w:tab w:leader="none" w:pos="377"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Guaranty Trust Company, Chase, BOA, Fleet, Bank One, N.A., BNP Paribas, Wachovia Bank, N.A. and Westdeutsche Landesbank Girozentrale, New York Branch and (b) such other Banks as agreed to by the Borrower and the Administrative Agent.</w:t>
      </w:r>
    </w:p>
    <w:p>
      <w:pPr>
        <w:spacing w:after="0" w:line="84"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Joint Lead Arrangers and Joint Book Managers. See Preamble.</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JPMorgan. See Preamble.</w:t>
      </w:r>
    </w:p>
    <w:p>
      <w:pPr>
        <w:spacing w:after="0" w:line="177" w:lineRule="exact"/>
        <w:rPr>
          <w:sz w:val="20"/>
          <w:szCs w:val="20"/>
          <w:color w:val="auto"/>
        </w:rPr>
      </w:pPr>
    </w:p>
    <w:p>
      <w:pPr>
        <w:ind w:left="5" w:right="2879" w:firstLine="837"/>
        <w:spacing w:after="0" w:line="296" w:lineRule="auto"/>
        <w:rPr>
          <w:sz w:val="20"/>
          <w:szCs w:val="20"/>
          <w:color w:val="auto"/>
        </w:rPr>
      </w:pPr>
      <w:r>
        <w:rPr>
          <w:rFonts w:ascii="Courier New" w:cs="Courier New" w:eastAsia="Courier New" w:hAnsi="Courier New"/>
          <w:sz w:val="14"/>
          <w:szCs w:val="14"/>
          <w:color w:val="auto"/>
        </w:rPr>
        <w:t>Letter of Credit Applications. Letter of credit applications in the form attached hereto as Exhibit L, unless otherwise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62"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Letter of Credit Fee. See Section 3.6.</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Letter of Credit Participation. See Section 3.1(b).</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Letter of Credit Request. See Section 11.5.</w:t>
      </w:r>
    </w:p>
    <w:p>
      <w:pPr>
        <w:spacing w:after="0" w:line="177" w:lineRule="exact"/>
        <w:rPr>
          <w:sz w:val="20"/>
          <w:szCs w:val="20"/>
          <w:color w:val="auto"/>
        </w:rPr>
      </w:pPr>
    </w:p>
    <w:p>
      <w:pPr>
        <w:ind w:left="5" w:right="3239" w:firstLine="837"/>
        <w:spacing w:after="0" w:line="406" w:lineRule="auto"/>
        <w:rPr>
          <w:sz w:val="20"/>
          <w:szCs w:val="20"/>
          <w:color w:val="auto"/>
        </w:rPr>
      </w:pPr>
      <w:r>
        <w:rPr>
          <w:rFonts w:ascii="Courier New" w:cs="Courier New" w:eastAsia="Courier New" w:hAnsi="Courier New"/>
          <w:sz w:val="14"/>
          <w:szCs w:val="14"/>
          <w:color w:val="auto"/>
        </w:rPr>
        <w:t>Letters of Credit. Letters of credit issued or to be issued by the Issuing Banks under Section 3 hereof for the account of the Borrower.</w:t>
      </w:r>
    </w:p>
    <w:p>
      <w:pPr>
        <w:ind w:left="5" w:right="2779" w:firstLine="837"/>
        <w:spacing w:after="0" w:line="292" w:lineRule="auto"/>
        <w:rPr>
          <w:sz w:val="20"/>
          <w:szCs w:val="20"/>
          <w:color w:val="auto"/>
        </w:rPr>
      </w:pPr>
      <w:r>
        <w:rPr>
          <w:rFonts w:ascii="Courier New" w:cs="Courier New" w:eastAsia="Courier New" w:hAnsi="Courier New"/>
          <w:sz w:val="14"/>
          <w:szCs w:val="14"/>
          <w:color w:val="auto"/>
        </w:rPr>
        <w:t>Lien.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66"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6"/>
          <w:szCs w:val="16"/>
          <w:color w:val="auto"/>
        </w:rPr>
        <w:t>Loan Documents. This Agreement, the Notes, the Letter of Credit Applications, the Letters of Credit and any documents, instruments or agreements executed in connection with any of the foregoing, each as amended, modified, supplemented, or replaced from time to time.</w:t>
      </w:r>
    </w:p>
    <w:p>
      <w:pPr>
        <w:spacing w:after="0" w:line="73" w:lineRule="exact"/>
        <w:rPr>
          <w:sz w:val="20"/>
          <w:szCs w:val="20"/>
          <w:color w:val="auto"/>
        </w:rPr>
      </w:pPr>
    </w:p>
    <w:p>
      <w:pPr>
        <w:ind w:left="5" w:right="3339" w:firstLine="837"/>
        <w:spacing w:after="0" w:line="289" w:lineRule="auto"/>
        <w:rPr>
          <w:sz w:val="20"/>
          <w:szCs w:val="20"/>
          <w:color w:val="auto"/>
        </w:rPr>
      </w:pPr>
      <w:r>
        <w:rPr>
          <w:rFonts w:ascii="Courier New" w:cs="Courier New" w:eastAsia="Courier New" w:hAnsi="Courier New"/>
          <w:sz w:val="16"/>
          <w:szCs w:val="16"/>
          <w:color w:val="auto"/>
        </w:rPr>
        <w:t>Loan Office. The Administrative Agent's office located in Boston, Massachusetts, or at such other location as the Administrative Agent may designate from time to time.</w:t>
      </w:r>
    </w:p>
    <w:p>
      <w:pPr>
        <w:spacing w:after="0" w:line="61" w:lineRule="exact"/>
        <w:rPr>
          <w:sz w:val="20"/>
          <w:szCs w:val="20"/>
          <w:color w:val="auto"/>
        </w:rPr>
      </w:pPr>
    </w:p>
    <w:p>
      <w:pPr>
        <w:ind w:left="5" w:right="2779" w:firstLine="837"/>
        <w:spacing w:after="0" w:line="342" w:lineRule="auto"/>
        <w:rPr>
          <w:sz w:val="20"/>
          <w:szCs w:val="20"/>
          <w:color w:val="auto"/>
        </w:rPr>
      </w:pPr>
      <w:r>
        <w:rPr>
          <w:rFonts w:ascii="Courier New" w:cs="Courier New" w:eastAsia="Courier New" w:hAnsi="Courier New"/>
          <w:sz w:val="16"/>
          <w:szCs w:val="16"/>
          <w:color w:val="auto"/>
        </w:rPr>
        <w:t>Loans. Collectively, the Syndicated Loans, the Swing Line Loans and the Competitive Bid Loans.</w:t>
      </w:r>
    </w:p>
    <w:p>
      <w:pPr>
        <w:spacing w:after="0" w:line="20" w:lineRule="exact"/>
        <w:rPr>
          <w:sz w:val="20"/>
          <w:szCs w:val="20"/>
          <w:color w:val="auto"/>
        </w:rPr>
      </w:pPr>
    </w:p>
    <w:p>
      <w:pPr>
        <w:jc w:val="both"/>
        <w:ind w:left="5" w:right="2879" w:firstLine="837"/>
        <w:spacing w:after="0" w:line="289" w:lineRule="auto"/>
        <w:rPr>
          <w:sz w:val="20"/>
          <w:szCs w:val="20"/>
          <w:color w:val="auto"/>
        </w:rPr>
      </w:pPr>
      <w:r>
        <w:rPr>
          <w:rFonts w:ascii="Courier New" w:cs="Courier New" w:eastAsia="Courier New" w:hAnsi="Courier New"/>
          <w:sz w:val="16"/>
          <w:szCs w:val="16"/>
          <w:color w:val="auto"/>
        </w:rPr>
        <w:t>Majority Banks. The Banks with greater than fifty percent (50%) of the Total Commitment; provided that in the event that the Total Commitment has been terminated, the</w:t>
      </w:r>
    </w:p>
    <w:p>
      <w:pPr>
        <w:sectPr>
          <w:pgSz w:w="11900" w:h="16838" w:orient="portrait"/>
          <w:cols w:equalWidth="0" w:num="1">
            <w:col w:w="10224"/>
          </w:cols>
          <w:pgMar w:left="235" w:top="269"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17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pacing w:after="0" w:line="327" w:lineRule="exact"/>
        <w:rPr>
          <w:sz w:val="20"/>
          <w:szCs w:val="20"/>
          <w:color w:val="auto"/>
        </w:rPr>
      </w:pPr>
    </w:p>
    <w:p>
      <w:pPr>
        <w:ind w:right="3059"/>
        <w:spacing w:after="0" w:line="406" w:lineRule="auto"/>
        <w:rPr>
          <w:sz w:val="20"/>
          <w:szCs w:val="20"/>
          <w:color w:val="auto"/>
        </w:rPr>
      </w:pPr>
      <w:r>
        <w:rPr>
          <w:rFonts w:ascii="Courier New" w:cs="Courier New" w:eastAsia="Courier New" w:hAnsi="Courier New"/>
          <w:sz w:val="14"/>
          <w:szCs w:val="14"/>
          <w:color w:val="auto"/>
        </w:rPr>
        <w:t>Majority Banks shall be the Banks holding greater than fifty percent (50%) of the aggregate outstanding principal amount of the Obligations on such date.</w:t>
      </w:r>
    </w:p>
    <w:p>
      <w:pPr>
        <w:ind w:right="2779" w:firstLine="837"/>
        <w:spacing w:after="0" w:line="258" w:lineRule="auto"/>
        <w:rPr>
          <w:sz w:val="20"/>
          <w:szCs w:val="20"/>
          <w:color w:val="auto"/>
        </w:rPr>
      </w:pPr>
      <w:r>
        <w:rPr>
          <w:rFonts w:ascii="Courier New" w:cs="Courier New" w:eastAsia="Courier New" w:hAnsi="Courier New"/>
          <w:sz w:val="16"/>
          <w:szCs w:val="16"/>
          <w:color w:val="auto"/>
        </w:rPr>
        <w:t>Material Adverse Effect. A material adverse effect on (a) the business, assets, operations, or financial condition of the Borrower and the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83" w:lineRule="exact"/>
        <w:rPr>
          <w:sz w:val="20"/>
          <w:szCs w:val="20"/>
          <w:color w:val="auto"/>
        </w:rPr>
      </w:pPr>
    </w:p>
    <w:p>
      <w:pPr>
        <w:ind w:right="3619" w:firstLine="837"/>
        <w:spacing w:after="0" w:line="289" w:lineRule="auto"/>
        <w:rPr>
          <w:sz w:val="20"/>
          <w:szCs w:val="20"/>
          <w:color w:val="auto"/>
        </w:rPr>
      </w:pPr>
      <w:r>
        <w:rPr>
          <w:rFonts w:ascii="Courier New" w:cs="Courier New" w:eastAsia="Courier New" w:hAnsi="Courier New"/>
          <w:sz w:val="16"/>
          <w:szCs w:val="16"/>
          <w:color w:val="auto"/>
        </w:rPr>
        <w:t>Material Subsidiary. Any Subsidiary which, at the time such determination is made, has assets, revenues, or liabilities of at least $20,000,000 or more.</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Maturity Date. June 29, 2006.</w:t>
      </w:r>
    </w:p>
    <w:p>
      <w:pPr>
        <w:spacing w:after="0" w:line="17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Maximum Drawing Amount. The maximum aggregate amount from time to time that the beneficiaries may draw under outstanding Letters of Credit.</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Moody's. Moody's Investors Service, Inc.</w:t>
      </w:r>
    </w:p>
    <w:p>
      <w:pPr>
        <w:spacing w:after="0" w:line="177"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Multiemployer Plan. Any multiemployer plan within the meaning of Section 3(37) of ERISA maintained or contributed to by the Borrower, any of its Subsidiaries, or any ERISA Affiliate.</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New Lending Office. See Section 5.1(d).</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Non-U.S. Bank. See Section 5.1(c).</w:t>
      </w:r>
    </w:p>
    <w:p>
      <w:pPr>
        <w:spacing w:after="0" w:line="177"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Notes. Collectively, the Competitive Bid Notes, the Syndicated Notes, and the Swing Line Note.</w:t>
      </w:r>
    </w:p>
    <w:p>
      <w:pPr>
        <w:spacing w:after="0" w:line="20" w:lineRule="exact"/>
        <w:rPr>
          <w:sz w:val="20"/>
          <w:szCs w:val="20"/>
          <w:color w:val="auto"/>
        </w:rPr>
      </w:pPr>
    </w:p>
    <w:p>
      <w:pPr>
        <w:ind w:right="2879" w:firstLine="837"/>
        <w:spacing w:after="0" w:line="290" w:lineRule="auto"/>
        <w:rPr>
          <w:sz w:val="20"/>
          <w:szCs w:val="20"/>
          <w:color w:val="auto"/>
        </w:rPr>
      </w:pPr>
      <w:r>
        <w:rPr>
          <w:rFonts w:ascii="Courier New" w:cs="Courier New" w:eastAsia="Courier New" w:hAnsi="Courier New"/>
          <w:sz w:val="14"/>
          <w:szCs w:val="14"/>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256" w:lineRule="exact"/>
        <w:rPr>
          <w:sz w:val="20"/>
          <w:szCs w:val="20"/>
          <w:color w:val="auto"/>
        </w:rPr>
      </w:pPr>
    </w:p>
    <w:p>
      <w:pPr>
        <w:ind w:right="2879" w:firstLine="837"/>
        <w:spacing w:after="0" w:line="301" w:lineRule="auto"/>
        <w:rPr>
          <w:sz w:val="20"/>
          <w:szCs w:val="20"/>
          <w:color w:val="auto"/>
        </w:rPr>
      </w:pPr>
      <w:r>
        <w:rPr>
          <w:rFonts w:ascii="Courier New" w:cs="Courier New" w:eastAsia="Courier New" w:hAnsi="Courier New"/>
          <w:sz w:val="14"/>
          <w:szCs w:val="14"/>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pacing w:after="0" w:line="59" w:lineRule="exact"/>
        <w:rPr>
          <w:sz w:val="20"/>
          <w:szCs w:val="20"/>
          <w:color w:val="auto"/>
        </w:rPr>
      </w:pPr>
    </w:p>
    <w:p>
      <w:pPr>
        <w:ind w:right="2879" w:firstLine="837"/>
        <w:spacing w:after="0" w:line="406" w:lineRule="auto"/>
        <w:rPr>
          <w:sz w:val="20"/>
          <w:szCs w:val="20"/>
          <w:color w:val="auto"/>
        </w:rPr>
      </w:pPr>
      <w:r>
        <w:rPr>
          <w:rFonts w:ascii="Courier New" w:cs="Courier New" w:eastAsia="Courier New" w:hAnsi="Courier New"/>
          <w:sz w:val="14"/>
          <w:szCs w:val="14"/>
          <w:color w:val="auto"/>
        </w:rPr>
        <w:t>PBGC. The Pension Benefit Guaranty Corporation created by Section 4002 of ERISA and any successor entity or entities having similar responsibilities.</w:t>
      </w:r>
    </w:p>
    <w:p>
      <w:pPr>
        <w:ind w:left="840"/>
        <w:spacing w:after="0"/>
        <w:rPr>
          <w:sz w:val="20"/>
          <w:szCs w:val="20"/>
          <w:color w:val="auto"/>
        </w:rPr>
      </w:pPr>
      <w:r>
        <w:rPr>
          <w:rFonts w:ascii="Courier New" w:cs="Courier New" w:eastAsia="Courier New" w:hAnsi="Courier New"/>
          <w:sz w:val="16"/>
          <w:szCs w:val="16"/>
          <w:color w:val="auto"/>
        </w:rPr>
        <w:t>Permitted Liens. Any of the following Liens:</w:t>
      </w:r>
    </w:p>
    <w:p>
      <w:pPr>
        <w:sectPr>
          <w:pgSz w:w="11900" w:h="16838" w:orient="portrait"/>
          <w:cols w:equalWidth="0" w:num="1">
            <w:col w:w="10219"/>
          </w:cols>
          <w:pgMar w:left="240" w:top="26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6"/>
          <w:szCs w:val="16"/>
          <w:color w:val="auto"/>
        </w:rPr>
        <w:t>18</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-12-</w:t>
      </w:r>
    </w:p>
    <w:p>
      <w:pPr>
        <w:spacing w:after="0" w:line="327" w:lineRule="exact"/>
        <w:rPr>
          <w:sz w:val="20"/>
          <w:szCs w:val="20"/>
          <w:color w:val="auto"/>
        </w:rPr>
      </w:pPr>
    </w:p>
    <w:p>
      <w:pPr>
        <w:ind w:left="-280" w:right="3619" w:firstLine="833"/>
        <w:spacing w:after="0" w:line="342" w:lineRule="auto"/>
        <w:tabs>
          <w:tab w:leader="none" w:pos="9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yet due or that are being contested in compliance with Section 7.8;</w:t>
      </w:r>
    </w:p>
    <w:p>
      <w:pPr>
        <w:spacing w:after="0" w:line="20" w:lineRule="exact"/>
        <w:rPr>
          <w:rFonts w:ascii="Courier New" w:cs="Courier New" w:eastAsia="Courier New" w:hAnsi="Courier New"/>
          <w:sz w:val="16"/>
          <w:szCs w:val="16"/>
          <w:color w:val="auto"/>
        </w:rPr>
      </w:pPr>
    </w:p>
    <w:p>
      <w:pPr>
        <w:ind w:left="-280" w:right="2879" w:firstLine="833"/>
        <w:spacing w:after="0" w:line="322" w:lineRule="auto"/>
        <w:tabs>
          <w:tab w:leader="none" w:pos="92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43" w:lineRule="exact"/>
        <w:rPr>
          <w:rFonts w:ascii="Courier New" w:cs="Courier New" w:eastAsia="Courier New" w:hAnsi="Courier New"/>
          <w:sz w:val="14"/>
          <w:szCs w:val="14"/>
          <w:color w:val="auto"/>
        </w:rPr>
      </w:pPr>
    </w:p>
    <w:p>
      <w:pPr>
        <w:ind w:left="-280" w:right="2879" w:firstLine="833"/>
        <w:spacing w:after="0" w:line="289" w:lineRule="auto"/>
        <w:tabs>
          <w:tab w:leader="none" w:pos="9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pledges and deposits made in the ordinary course of business in compliance with workmen's compensation, unemployment insurance and other social security laws or regulations;</w:t>
      </w:r>
    </w:p>
    <w:p>
      <w:pPr>
        <w:spacing w:after="0" w:line="60" w:lineRule="exact"/>
        <w:rPr>
          <w:rFonts w:ascii="Courier New" w:cs="Courier New" w:eastAsia="Courier New" w:hAnsi="Courier New"/>
          <w:sz w:val="16"/>
          <w:szCs w:val="16"/>
          <w:color w:val="auto"/>
        </w:rPr>
      </w:pPr>
    </w:p>
    <w:p>
      <w:pPr>
        <w:ind w:left="-280" w:right="3059" w:firstLine="833"/>
        <w:spacing w:after="0" w:line="263" w:lineRule="auto"/>
        <w:tabs>
          <w:tab w:leader="none" w:pos="9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80" w:lineRule="exact"/>
        <w:rPr>
          <w:rFonts w:ascii="Courier New" w:cs="Courier New" w:eastAsia="Courier New" w:hAnsi="Courier New"/>
          <w:sz w:val="16"/>
          <w:szCs w:val="16"/>
          <w:color w:val="auto"/>
        </w:rPr>
      </w:pPr>
    </w:p>
    <w:p>
      <w:pPr>
        <w:ind w:left="-280" w:right="2879" w:firstLine="833"/>
        <w:spacing w:after="0" w:line="258" w:lineRule="auto"/>
        <w:tabs>
          <w:tab w:leader="none" w:pos="9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83" w:lineRule="exact"/>
        <w:rPr>
          <w:rFonts w:ascii="Courier New" w:cs="Courier New" w:eastAsia="Courier New" w:hAnsi="Courier New"/>
          <w:sz w:val="16"/>
          <w:szCs w:val="16"/>
          <w:color w:val="auto"/>
        </w:rPr>
      </w:pPr>
    </w:p>
    <w:p>
      <w:pPr>
        <w:ind w:left="-280" w:right="2779" w:firstLine="833"/>
        <w:spacing w:after="0" w:line="292" w:lineRule="auto"/>
        <w:tabs>
          <w:tab w:leader="none" w:pos="929"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Liens on Schedule 1.1 hereto securing the obligations listed on such Schedule and any replacement Lien securing any renewal, extension or refunding of such obligations if the amount secured by such renewal, extension or refunding Lien shall not exceed the amount of the outstanding obligations secured by the Lien being replaced at the time of such renewal, extension or refunding (plus transaction costs, including premiums and fees, related to such renewal, extension or refunding) and if such replacement Lien shall be limited to the substantially the same property that secured the Lien so replaced;</w:t>
      </w:r>
    </w:p>
    <w:p>
      <w:pPr>
        <w:spacing w:after="0" w:line="66" w:lineRule="exact"/>
        <w:rPr>
          <w:rFonts w:ascii="Courier New" w:cs="Courier New" w:eastAsia="Courier New" w:hAnsi="Courier New"/>
          <w:sz w:val="14"/>
          <w:szCs w:val="14"/>
          <w:color w:val="auto"/>
        </w:rPr>
      </w:pPr>
    </w:p>
    <w:p>
      <w:pPr>
        <w:ind w:left="-280" w:right="3059" w:firstLine="833"/>
        <w:spacing w:after="0" w:line="258" w:lineRule="auto"/>
        <w:tabs>
          <w:tab w:leader="none" w:pos="9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83" w:lineRule="exact"/>
        <w:rPr>
          <w:rFonts w:ascii="Courier New" w:cs="Courier New" w:eastAsia="Courier New" w:hAnsi="Courier New"/>
          <w:sz w:val="16"/>
          <w:szCs w:val="16"/>
          <w:color w:val="auto"/>
        </w:rPr>
      </w:pPr>
    </w:p>
    <w:p>
      <w:pPr>
        <w:ind w:left="-280" w:right="2779" w:firstLine="833"/>
        <w:spacing w:after="0" w:line="263" w:lineRule="auto"/>
        <w:tabs>
          <w:tab w:leader="none" w:pos="9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80" w:lineRule="exact"/>
        <w:rPr>
          <w:rFonts w:ascii="Courier New" w:cs="Courier New" w:eastAsia="Courier New" w:hAnsi="Courier New"/>
          <w:sz w:val="16"/>
          <w:szCs w:val="16"/>
          <w:color w:val="auto"/>
        </w:rPr>
      </w:pPr>
    </w:p>
    <w:p>
      <w:pPr>
        <w:ind w:left="-280" w:right="2779" w:firstLine="833"/>
        <w:spacing w:after="0" w:line="289" w:lineRule="auto"/>
        <w:tabs>
          <w:tab w:leader="none" w:pos="9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obligations or duties affecting the property of the Borrower or any of its Subsidiaries to any municipality, governmental, statutory or public authority with respect to any franchise, grant, license or permit;</w:t>
      </w:r>
    </w:p>
    <w:p>
      <w:pPr>
        <w:spacing w:after="0" w:line="60" w:lineRule="exact"/>
        <w:rPr>
          <w:rFonts w:ascii="Courier New" w:cs="Courier New" w:eastAsia="Courier New" w:hAnsi="Courier New"/>
          <w:sz w:val="16"/>
          <w:szCs w:val="16"/>
          <w:color w:val="auto"/>
        </w:rPr>
      </w:pPr>
    </w:p>
    <w:p>
      <w:pPr>
        <w:ind w:left="-280" w:right="2959" w:firstLine="833"/>
        <w:spacing w:after="0" w:line="263" w:lineRule="auto"/>
        <w:tabs>
          <w:tab w:leader="none" w:pos="92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filed in connection with sales of receivables by any of the Subsidiaries (other than the Guarantor) to a wholly-owned special purpose financing Subsidiary for purposes of perfecting such sales, provided that no third party has any rights with respect to such Liens or any assets subject thereto;</w:t>
      </w:r>
    </w:p>
    <w:p>
      <w:pPr>
        <w:sectPr>
          <w:pgSz w:w="11900" w:h="16838" w:orient="portrait"/>
          <w:cols w:equalWidth="0" w:num="1">
            <w:col w:w="9939"/>
          </w:cols>
          <w:pgMar w:left="520" w:top="269"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19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pacing w:after="0" w:line="327" w:lineRule="exact"/>
        <w:rPr>
          <w:sz w:val="20"/>
          <w:szCs w:val="20"/>
          <w:color w:val="auto"/>
        </w:rPr>
      </w:pPr>
    </w:p>
    <w:p>
      <w:pPr>
        <w:ind w:right="2879" w:firstLine="833"/>
        <w:spacing w:after="0" w:line="272" w:lineRule="auto"/>
        <w:tabs>
          <w:tab w:leader="none" w:pos="120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or title of a lessor under any sale lease-back transaction entered into by the Borrower or any Subsidiary conveying only the assets so leased back to the extent the related Indebtedness is permitted under Section 8.1 hereof;</w:t>
      </w:r>
    </w:p>
    <w:p>
      <w:pPr>
        <w:spacing w:after="0" w:line="72" w:lineRule="exact"/>
        <w:rPr>
          <w:rFonts w:ascii="Courier New" w:cs="Courier New" w:eastAsia="Courier New" w:hAnsi="Courier New"/>
          <w:sz w:val="16"/>
          <w:szCs w:val="16"/>
          <w:color w:val="auto"/>
        </w:rPr>
      </w:pPr>
    </w:p>
    <w:p>
      <w:pPr>
        <w:ind w:right="2779" w:firstLine="833"/>
        <w:spacing w:after="0" w:line="246" w:lineRule="auto"/>
        <w:tabs>
          <w:tab w:leader="none" w:pos="1209"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signed by such obligors describing the collateral securing such trade receivables) pursuant to such Permitted Receivables Transactions; and</w:t>
      </w:r>
    </w:p>
    <w:p>
      <w:pPr>
        <w:spacing w:after="0" w:line="96" w:lineRule="exact"/>
        <w:rPr>
          <w:rFonts w:ascii="Courier New" w:cs="Courier New" w:eastAsia="Courier New" w:hAnsi="Courier New"/>
          <w:sz w:val="16"/>
          <w:szCs w:val="16"/>
          <w:color w:val="auto"/>
        </w:rPr>
      </w:pPr>
    </w:p>
    <w:p>
      <w:pPr>
        <w:ind w:left="1200" w:hanging="367"/>
        <w:spacing w:after="0"/>
        <w:tabs>
          <w:tab w:leader="none" w:pos="120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other Indebtedness permitted under Sections 8.1(d)</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and (e);</w:t>
      </w:r>
    </w:p>
    <w:p>
      <w:pPr>
        <w:spacing w:after="0" w:line="149" w:lineRule="exact"/>
        <w:rPr>
          <w:sz w:val="20"/>
          <w:szCs w:val="20"/>
          <w:color w:val="auto"/>
        </w:rPr>
      </w:pPr>
    </w:p>
    <w:p>
      <w:pPr>
        <w:jc w:val="both"/>
        <w:ind w:right="2879" w:firstLine="837"/>
        <w:spacing w:after="0" w:line="289" w:lineRule="auto"/>
        <w:rPr>
          <w:sz w:val="20"/>
          <w:szCs w:val="20"/>
          <w:color w:val="auto"/>
        </w:rPr>
      </w:pPr>
      <w:r>
        <w:rPr>
          <w:rFonts w:ascii="Courier New" w:cs="Courier New" w:eastAsia="Courier New" w:hAnsi="Courier New"/>
          <w:sz w:val="16"/>
          <w:szCs w:val="16"/>
          <w:color w:val="auto"/>
        </w:rPr>
        <w:t>provided that the aggregate amount of all Indebtedness and liabilities secured by all Liens permitted in subsections (k), (l) and (m) shall not exceed 15% of Consolidated Tangible Assets at any time.</w:t>
      </w:r>
    </w:p>
    <w:p>
      <w:pPr>
        <w:spacing w:after="0" w:line="61"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90"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Person. Any individual, corporation, partnership, joint venture, limited liability company, trust, unincorporated association, business, or other legal entity, and any government or any governmental agency or political subdivision thereof.</w:t>
      </w:r>
    </w:p>
    <w:p>
      <w:pPr>
        <w:sectPr>
          <w:pgSz w:w="11900" w:h="16838" w:orient="portrait"/>
          <w:cols w:equalWidth="0" w:num="1">
            <w:col w:w="10219"/>
          </w:cols>
          <w:pgMar w:left="240" w:top="269" w:right="1440" w:bottom="1440" w:gutter="0" w:footer="0" w:header="0"/>
        </w:sectPr>
      </w:pPr>
    </w:p>
    <w:bookmarkStart w:id="63" w:name="page64"/>
    <w:bookmarkEnd w:id="63"/>
    <w:p>
      <w:pPr>
        <w:spacing w:after="0" w:line="19" w:lineRule="exact"/>
        <w:rPr>
          <w:sz w:val="20"/>
          <w:szCs w:val="20"/>
          <w:color w:val="auto"/>
        </w:rPr>
      </w:pPr>
    </w:p>
    <w:p>
      <w:pPr>
        <w:ind w:left="285"/>
        <w:spacing w:after="0"/>
        <w:rPr>
          <w:sz w:val="20"/>
          <w:szCs w:val="20"/>
          <w:color w:val="auto"/>
        </w:rPr>
      </w:pPr>
      <w:r>
        <w:rPr>
          <w:rFonts w:ascii="Courier New" w:cs="Courier New" w:eastAsia="Courier New" w:hAnsi="Courier New"/>
          <w:sz w:val="16"/>
          <w:szCs w:val="16"/>
          <w:color w:val="auto"/>
        </w:rPr>
        <w:t>20</w:t>
      </w:r>
    </w:p>
    <w:p>
      <w:pPr>
        <w:spacing w:after="0" w:line="26"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-14-</w:t>
      </w:r>
    </w:p>
    <w:p>
      <w:pPr>
        <w:spacing w:after="0" w:line="32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Pricing Table:</w:t>
      </w:r>
    </w:p>
    <w:p>
      <w:pPr>
        <w:spacing w:after="0" w:line="177"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APPLICABLE</w:t>
      </w:r>
    </w:p>
    <w:p>
      <w:pPr>
        <w:spacing w:after="0" w:line="46"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SENIOR</w:t>
      </w:r>
    </w:p>
    <w:p>
      <w:pPr>
        <w:jc w:val="center"/>
        <w:ind w:right="9295"/>
        <w:spacing w:after="0" w:line="236" w:lineRule="auto"/>
        <w:rPr>
          <w:sz w:val="20"/>
          <w:szCs w:val="20"/>
          <w:color w:val="auto"/>
        </w:rPr>
      </w:pPr>
      <w:r>
        <w:rPr>
          <w:rFonts w:ascii="Courier New" w:cs="Courier New" w:eastAsia="Courier New" w:hAnsi="Courier New"/>
          <w:sz w:val="16"/>
          <w:szCs w:val="16"/>
          <w:color w:val="auto"/>
        </w:rPr>
        <w:t>PUBLIC</w:t>
      </w:r>
    </w:p>
    <w:p>
      <w:pPr>
        <w:spacing w:after="0" w:line="1"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APPLICABLE</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APPLICABLE</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APPLICABLE</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EURODOLLAR</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LEVEL DEBT</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RATING</w:t>
      </w:r>
    </w:p>
    <w:p>
      <w:pPr>
        <w:jc w:val="center"/>
        <w:ind w:right="9295"/>
        <w:spacing w:after="0" w:line="236" w:lineRule="auto"/>
        <w:rPr>
          <w:sz w:val="20"/>
          <w:szCs w:val="20"/>
          <w:color w:val="auto"/>
        </w:rPr>
      </w:pPr>
      <w:r>
        <w:rPr>
          <w:rFonts w:ascii="Courier New" w:cs="Courier New" w:eastAsia="Courier New" w:hAnsi="Courier New"/>
          <w:sz w:val="16"/>
          <w:szCs w:val="16"/>
          <w:color w:val="auto"/>
        </w:rPr>
        <w:t>FACILITY</w:t>
      </w:r>
    </w:p>
    <w:p>
      <w:pPr>
        <w:jc w:val="center"/>
        <w:ind w:right="9295"/>
        <w:spacing w:after="0" w:line="237" w:lineRule="auto"/>
        <w:rPr>
          <w:sz w:val="20"/>
          <w:szCs w:val="20"/>
          <w:color w:val="auto"/>
        </w:rPr>
      </w:pPr>
      <w:r>
        <w:rPr>
          <w:rFonts w:ascii="Courier New" w:cs="Courier New" w:eastAsia="Courier New" w:hAnsi="Courier New"/>
          <w:sz w:val="16"/>
          <w:szCs w:val="16"/>
          <w:color w:val="auto"/>
        </w:rPr>
        <w:t>RATE L/C</w:t>
      </w:r>
    </w:p>
    <w:p>
      <w:pPr>
        <w:jc w:val="center"/>
        <w:ind w:right="9295"/>
        <w:spacing w:after="0" w:line="237" w:lineRule="auto"/>
        <w:rPr>
          <w:sz w:val="20"/>
          <w:szCs w:val="20"/>
          <w:color w:val="auto"/>
        </w:rPr>
      </w:pPr>
      <w:r>
        <w:rPr>
          <w:rFonts w:ascii="Courier New" w:cs="Courier New" w:eastAsia="Courier New" w:hAnsi="Courier New"/>
          <w:sz w:val="16"/>
          <w:szCs w:val="16"/>
          <w:color w:val="auto"/>
        </w:rPr>
        <w:t>RATE BASE</w:t>
      </w:r>
    </w:p>
    <w:p>
      <w:pPr>
        <w:jc w:val="center"/>
        <w:ind w:right="9295"/>
        <w:spacing w:after="0" w:line="237" w:lineRule="auto"/>
        <w:rPr>
          <w:sz w:val="20"/>
          <w:szCs w:val="20"/>
          <w:color w:val="auto"/>
        </w:rPr>
      </w:pPr>
      <w:r>
        <w:rPr>
          <w:rFonts w:ascii="Courier New" w:cs="Courier New" w:eastAsia="Courier New" w:hAnsi="Courier New"/>
          <w:sz w:val="16"/>
          <w:szCs w:val="16"/>
          <w:color w:val="auto"/>
        </w:rPr>
        <w:t>RATE RATE</w:t>
      </w:r>
    </w:p>
    <w:p>
      <w:pPr>
        <w:ind w:left="565" w:hanging="565"/>
        <w:spacing w:after="0" w:line="237" w:lineRule="auto"/>
        <w:tabs>
          <w:tab w:leader="none" w:pos="56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Greater</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or</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equal to</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0.1250%</w:t>
      </w: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0.6250%</w:t>
      </w:r>
    </w:p>
    <w:p>
      <w:pPr>
        <w:jc w:val="center"/>
        <w:ind w:left="5"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Base Rate Eurodollar Rate plus BBB+ by Standard &amp; Poor's or per annum per annum 0.6250% greater than or equal to per annum Baa1 by Moody's 2 BBB by Standard &amp; Poor's or 0.1500%</w:t>
      </w:r>
    </w:p>
    <w:p>
      <w:pPr>
        <w:spacing w:after="0" w:line="8" w:lineRule="exact"/>
        <w:rPr>
          <w:rFonts w:ascii="Courier New" w:cs="Courier New" w:eastAsia="Courier New" w:hAnsi="Courier New"/>
          <w:sz w:val="16"/>
          <w:szCs w:val="16"/>
          <w:color w:val="auto"/>
        </w:rPr>
      </w:pP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0.8500%</w:t>
      </w:r>
    </w:p>
    <w:p>
      <w:pPr>
        <w:jc w:val="center"/>
        <w:ind w:left="5"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Base Rate Eurodollar Rate plus Baa2 by Moody's per annum per annum 0.8500% per annum 3 BBB- by Standard &amp; Poor's or 0.2250%</w:t>
      </w:r>
    </w:p>
    <w:p>
      <w:pPr>
        <w:spacing w:after="0" w:line="6" w:lineRule="exact"/>
        <w:rPr>
          <w:rFonts w:ascii="Courier New" w:cs="Courier New" w:eastAsia="Courier New" w:hAnsi="Courier New"/>
          <w:sz w:val="16"/>
          <w:szCs w:val="16"/>
          <w:color w:val="auto"/>
        </w:rPr>
      </w:pP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0.9000%</w:t>
      </w:r>
    </w:p>
    <w:p>
      <w:pPr>
        <w:jc w:val="center"/>
        <w:ind w:left="5"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Base Rate Eurodollar Rate plus Baa3 by Moody's per annum per annum 0.9000% per annum 4 BB+ by Standard &amp; Poor's or 0.3000%</w:t>
      </w:r>
    </w:p>
    <w:p>
      <w:pPr>
        <w:spacing w:after="0" w:line="6" w:lineRule="exact"/>
        <w:rPr>
          <w:rFonts w:ascii="Courier New" w:cs="Courier New" w:eastAsia="Courier New" w:hAnsi="Courier New"/>
          <w:sz w:val="16"/>
          <w:szCs w:val="16"/>
          <w:color w:val="auto"/>
        </w:rPr>
      </w:pPr>
    </w:p>
    <w:p>
      <w:pPr>
        <w:ind w:left="1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1.2000%</w:t>
      </w:r>
    </w:p>
    <w:p>
      <w:pPr>
        <w:jc w:val="center"/>
        <w:ind w:left="5" w:right="9299" w:firstLine="46"/>
        <w:spacing w:after="0" w:line="2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Base Rate Eurodollar Rate plus Ba1 by Moody's per annum per annum 1.2000% per annum 5 Less</w:t>
      </w:r>
    </w:p>
    <w:p>
      <w:pPr>
        <w:sectPr>
          <w:pgSz w:w="11900" w:h="16858" w:orient="portrait"/>
          <w:cols w:equalWidth="0" w:num="1">
            <w:col w:w="10224"/>
          </w:cols>
          <w:pgMar w:left="235" w:top="269" w:right="1440" w:bottom="0" w:gutter="0" w:footer="0" w:header="0"/>
        </w:sectPr>
      </w:pPr>
    </w:p>
    <w:bookmarkStart w:id="64" w:name="page65"/>
    <w:bookmarkEnd w:id="64"/>
    <w:p>
      <w:pPr>
        <w:ind w:left="140"/>
        <w:spacing w:after="0"/>
        <w:rPr>
          <w:sz w:val="20"/>
          <w:szCs w:val="20"/>
          <w:color w:val="auto"/>
        </w:rPr>
      </w:pPr>
      <w:r>
        <w:rPr>
          <w:rFonts w:ascii="Courier New" w:cs="Courier New" w:eastAsia="Courier New" w:hAnsi="Courier New"/>
          <w:sz w:val="16"/>
          <w:szCs w:val="16"/>
          <w:color w:val="auto"/>
        </w:rPr>
        <w:t>than or</w:t>
      </w:r>
    </w:p>
    <w:p>
      <w:pPr>
        <w:spacing w:after="0" w:line="2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equal to</w:t>
      </w:r>
    </w:p>
    <w:p>
      <w:pPr>
        <w:ind w:left="500" w:hanging="272"/>
        <w:spacing w:after="0" w:line="236" w:lineRule="auto"/>
        <w:tabs>
          <w:tab w:leader="none" w:pos="50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0.3500%</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1.4000%</w:t>
      </w:r>
    </w:p>
    <w:p>
      <w:pPr>
        <w:ind w:left="40"/>
        <w:spacing w:after="0" w:line="237" w:lineRule="auto"/>
        <w:rPr>
          <w:sz w:val="20"/>
          <w:szCs w:val="20"/>
          <w:color w:val="auto"/>
        </w:rPr>
      </w:pPr>
      <w:r>
        <w:rPr>
          <w:rFonts w:ascii="Courier New" w:cs="Courier New" w:eastAsia="Courier New" w:hAnsi="Courier New"/>
          <w:sz w:val="16"/>
          <w:szCs w:val="16"/>
          <w:color w:val="auto"/>
        </w:rPr>
        <w:t>Base Rate</w:t>
      </w:r>
    </w:p>
    <w:p>
      <w:pPr>
        <w:spacing w:after="0" w:line="237" w:lineRule="auto"/>
        <w:rPr>
          <w:sz w:val="20"/>
          <w:szCs w:val="20"/>
          <w:color w:val="auto"/>
        </w:rPr>
      </w:pPr>
      <w:r>
        <w:rPr>
          <w:rFonts w:ascii="Courier New" w:cs="Courier New" w:eastAsia="Courier New" w:hAnsi="Courier New"/>
          <w:sz w:val="16"/>
          <w:szCs w:val="16"/>
          <w:color w:val="auto"/>
        </w:rPr>
        <w:t>Eurodollar</w:t>
      </w:r>
    </w:p>
    <w:p>
      <w:pPr>
        <w:ind w:left="40"/>
        <w:spacing w:after="0" w:line="237" w:lineRule="auto"/>
        <w:rPr>
          <w:sz w:val="20"/>
          <w:szCs w:val="20"/>
          <w:color w:val="auto"/>
        </w:rPr>
      </w:pPr>
      <w:r>
        <w:rPr>
          <w:rFonts w:ascii="Courier New" w:cs="Courier New" w:eastAsia="Courier New" w:hAnsi="Courier New"/>
          <w:sz w:val="16"/>
          <w:szCs w:val="16"/>
          <w:color w:val="auto"/>
        </w:rPr>
        <w:t>Rate plus</w:t>
      </w:r>
    </w:p>
    <w:p>
      <w:pPr>
        <w:spacing w:after="0" w:line="237" w:lineRule="auto"/>
        <w:rPr>
          <w:sz w:val="20"/>
          <w:szCs w:val="20"/>
          <w:color w:val="auto"/>
        </w:rPr>
      </w:pPr>
      <w:r>
        <w:rPr>
          <w:rFonts w:ascii="Courier New" w:cs="Courier New" w:eastAsia="Courier New" w:hAnsi="Courier New"/>
          <w:sz w:val="16"/>
          <w:szCs w:val="16"/>
          <w:color w:val="auto"/>
        </w:rPr>
        <w:t>Standard &amp;</w:t>
      </w:r>
    </w:p>
    <w:p>
      <w:pPr>
        <w:ind w:left="40"/>
        <w:spacing w:after="0" w:line="237" w:lineRule="auto"/>
        <w:rPr>
          <w:sz w:val="20"/>
          <w:szCs w:val="20"/>
          <w:color w:val="auto"/>
        </w:rPr>
      </w:pPr>
      <w:r>
        <w:rPr>
          <w:rFonts w:ascii="Courier New" w:cs="Courier New" w:eastAsia="Courier New" w:hAnsi="Courier New"/>
          <w:sz w:val="16"/>
          <w:szCs w:val="16"/>
          <w:color w:val="auto"/>
        </w:rPr>
        <w:t>Poor's or</w:t>
      </w:r>
    </w:p>
    <w:p>
      <w:pPr>
        <w:ind w:left="80"/>
        <w:spacing w:after="0" w:line="237" w:lineRule="auto"/>
        <w:rPr>
          <w:sz w:val="20"/>
          <w:szCs w:val="20"/>
          <w:color w:val="auto"/>
        </w:rPr>
      </w:pPr>
      <w:r>
        <w:rPr>
          <w:rFonts w:ascii="Courier New" w:cs="Courier New" w:eastAsia="Courier New" w:hAnsi="Courier New"/>
          <w:sz w:val="16"/>
          <w:szCs w:val="16"/>
          <w:color w:val="auto"/>
        </w:rPr>
        <w:t>less per</w:t>
      </w:r>
    </w:p>
    <w:p>
      <w:pPr>
        <w:ind w:left="40"/>
        <w:spacing w:after="0" w:line="237" w:lineRule="auto"/>
        <w:rPr>
          <w:sz w:val="20"/>
          <w:szCs w:val="20"/>
          <w:color w:val="auto"/>
        </w:rPr>
      </w:pPr>
      <w:r>
        <w:rPr>
          <w:rFonts w:ascii="Courier New" w:cs="Courier New" w:eastAsia="Courier New" w:hAnsi="Courier New"/>
          <w:sz w:val="16"/>
          <w:szCs w:val="16"/>
          <w:color w:val="auto"/>
        </w:rPr>
        <w:t>annum per</w:t>
      </w:r>
    </w:p>
    <w:p>
      <w:pPr>
        <w:spacing w:after="0" w:line="236" w:lineRule="auto"/>
        <w:rPr>
          <w:sz w:val="20"/>
          <w:szCs w:val="20"/>
          <w:color w:val="auto"/>
        </w:rPr>
      </w:pPr>
      <w:r>
        <w:rPr>
          <w:rFonts w:ascii="Courier New" w:cs="Courier New" w:eastAsia="Courier New" w:hAnsi="Courier New"/>
          <w:sz w:val="16"/>
          <w:szCs w:val="16"/>
          <w:color w:val="auto"/>
        </w:rPr>
        <w:t>annum plus</w:t>
      </w:r>
    </w:p>
    <w:p>
      <w:pPr>
        <w:ind w:left="140"/>
        <w:spacing w:after="0" w:line="237" w:lineRule="auto"/>
        <w:rPr>
          <w:sz w:val="20"/>
          <w:szCs w:val="20"/>
          <w:color w:val="auto"/>
        </w:rPr>
      </w:pPr>
      <w:r>
        <w:rPr>
          <w:rFonts w:ascii="Courier New" w:cs="Courier New" w:eastAsia="Courier New" w:hAnsi="Courier New"/>
          <w:sz w:val="16"/>
          <w:szCs w:val="16"/>
          <w:color w:val="auto"/>
        </w:rPr>
        <w:t>0.1500%</w:t>
      </w:r>
    </w:p>
    <w:p>
      <w:pPr>
        <w:jc w:val="center"/>
        <w:ind w:right="9299"/>
        <w:spacing w:after="0" w:line="237" w:lineRule="auto"/>
        <w:rPr>
          <w:sz w:val="20"/>
          <w:szCs w:val="20"/>
          <w:color w:val="auto"/>
        </w:rPr>
      </w:pPr>
      <w:r>
        <w:rPr>
          <w:rFonts w:ascii="Courier New" w:cs="Courier New" w:eastAsia="Courier New" w:hAnsi="Courier New"/>
          <w:sz w:val="16"/>
          <w:szCs w:val="16"/>
          <w:color w:val="auto"/>
        </w:rPr>
        <w:t>1.4000%</w:t>
      </w:r>
    </w:p>
    <w:p>
      <w:pPr>
        <w:jc w:val="center"/>
        <w:ind w:right="9299"/>
        <w:spacing w:after="0" w:line="237" w:lineRule="auto"/>
        <w:rPr>
          <w:sz w:val="20"/>
          <w:szCs w:val="20"/>
          <w:color w:val="auto"/>
        </w:rPr>
      </w:pPr>
      <w:r>
        <w:rPr>
          <w:rFonts w:ascii="Courier New" w:cs="Courier New" w:eastAsia="Courier New" w:hAnsi="Courier New"/>
          <w:sz w:val="16"/>
          <w:szCs w:val="16"/>
          <w:color w:val="auto"/>
        </w:rPr>
        <w:t>than or</w:t>
      </w:r>
    </w:p>
    <w:p>
      <w:pPr>
        <w:jc w:val="center"/>
        <w:ind w:right="9299"/>
        <w:spacing w:after="0" w:line="237" w:lineRule="auto"/>
        <w:rPr>
          <w:sz w:val="20"/>
          <w:szCs w:val="20"/>
          <w:color w:val="auto"/>
        </w:rPr>
      </w:pPr>
      <w:r>
        <w:rPr>
          <w:rFonts w:ascii="Courier New" w:cs="Courier New" w:eastAsia="Courier New" w:hAnsi="Courier New"/>
          <w:sz w:val="16"/>
          <w:szCs w:val="16"/>
          <w:color w:val="auto"/>
        </w:rPr>
        <w:t>equal to</w:t>
      </w:r>
    </w:p>
    <w:p>
      <w:pPr>
        <w:jc w:val="center"/>
        <w:ind w:right="9299"/>
        <w:spacing w:after="0"/>
        <w:rPr>
          <w:sz w:val="20"/>
          <w:szCs w:val="20"/>
          <w:color w:val="auto"/>
        </w:rPr>
      </w:pPr>
      <w:r>
        <w:rPr>
          <w:rFonts w:ascii="Courier New" w:cs="Courier New" w:eastAsia="Courier New" w:hAnsi="Courier New"/>
          <w:sz w:val="14"/>
          <w:szCs w:val="14"/>
          <w:color w:val="auto"/>
        </w:rPr>
        <w:t>Ba2 by per</w:t>
      </w:r>
    </w:p>
    <w:p>
      <w:pPr>
        <w:spacing w:after="0" w:line="18"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annum per</w:t>
      </w:r>
    </w:p>
    <w:p>
      <w:pPr>
        <w:jc w:val="center"/>
        <w:ind w:right="9299"/>
        <w:spacing w:after="0" w:line="236" w:lineRule="auto"/>
        <w:rPr>
          <w:sz w:val="20"/>
          <w:szCs w:val="20"/>
          <w:color w:val="auto"/>
        </w:rPr>
      </w:pPr>
      <w:r>
        <w:rPr>
          <w:rFonts w:ascii="Courier New" w:cs="Courier New" w:eastAsia="Courier New" w:hAnsi="Courier New"/>
          <w:sz w:val="16"/>
          <w:szCs w:val="16"/>
          <w:color w:val="auto"/>
        </w:rPr>
        <w:t>annum</w:t>
      </w:r>
    </w:p>
    <w:p>
      <w:pPr>
        <w:spacing w:after="0" w:line="1"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Moody's</w:t>
      </w:r>
    </w:p>
    <w:p>
      <w:pPr>
        <w:spacing w:after="0" w:line="327" w:lineRule="exact"/>
        <w:rPr>
          <w:sz w:val="20"/>
          <w:szCs w:val="20"/>
          <w:color w:val="auto"/>
        </w:rPr>
      </w:pPr>
    </w:p>
    <w:p>
      <w:pPr>
        <w:ind w:right="2879"/>
        <w:spacing w:after="0" w:line="263" w:lineRule="auto"/>
        <w:rPr>
          <w:sz w:val="20"/>
          <w:szCs w:val="20"/>
          <w:color w:val="auto"/>
        </w:rPr>
      </w:pPr>
      <w:r>
        <w:rPr>
          <w:rFonts w:ascii="Courier New" w:cs="Courier New" w:eastAsia="Courier New" w:hAnsi="Courier New"/>
          <w:sz w:val="16"/>
          <w:szCs w:val="16"/>
          <w:color w:val="auto"/>
        </w:rPr>
        <w:t>The applicable rates charged for any day shall be determined by the higher Senior Public Debt Rating in effect as of that day, provided that if the higher Senior Public Debt Rating is more than one level higher than the lower Senior Public Debt Rating, the applicable rate shall be set at one level above the lower Senior Public Debt Rating.</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RCRA. See Section 6.15(a).</w:t>
      </w:r>
    </w:p>
    <w:p>
      <w:pPr>
        <w:spacing w:after="0" w:line="177"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Real Property. All real property heretofore, now, or hereafter owned, operated, or leased by the Borrower or any of its Subsidiaries.</w:t>
      </w:r>
    </w:p>
    <w:p>
      <w:pPr>
        <w:spacing w:after="0" w:line="20"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Reimbursement Obligation. The Borrower's obligation to reimburse the applicable Issuing Bank and the Banks on account of any drawing under any Letter of Credit, all as provided in Section 3.2.</w:t>
      </w:r>
    </w:p>
    <w:p>
      <w:pPr>
        <w:spacing w:after="0" w:line="61" w:lineRule="exact"/>
        <w:rPr>
          <w:sz w:val="20"/>
          <w:szCs w:val="20"/>
          <w:color w:val="auto"/>
        </w:rPr>
      </w:pPr>
    </w:p>
    <w:p>
      <w:pPr>
        <w:ind w:right="2959" w:firstLine="837"/>
        <w:spacing w:after="0" w:line="263" w:lineRule="auto"/>
        <w:rPr>
          <w:sz w:val="20"/>
          <w:szCs w:val="20"/>
          <w:color w:val="auto"/>
        </w:rPr>
      </w:pPr>
      <w:r>
        <w:rPr>
          <w:rFonts w:ascii="Courier New" w:cs="Courier New" w:eastAsia="Courier New" w:hAnsi="Courier New"/>
          <w:sz w:val="16"/>
          <w:szCs w:val="16"/>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w:t>
      </w:r>
    </w:p>
    <w:p>
      <w:pPr>
        <w:sectPr>
          <w:pgSz w:w="11900" w:h="16838" w:orient="portrait"/>
          <w:cols w:equalWidth="0" w:num="1">
            <w:col w:w="10219"/>
          </w:cols>
          <w:pgMar w:left="240" w:top="114"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21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pacing w:after="0" w:line="327"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6"/>
          <w:szCs w:val="16"/>
          <w:color w:val="auto"/>
        </w:rPr>
        <w:t>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9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Replacement Bank. See Section 5.12.</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Replacement Notice. See Section 5.12.</w:t>
      </w:r>
    </w:p>
    <w:p>
      <w:pPr>
        <w:spacing w:after="0" w:line="177"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Senior Public Debt Rating. The ratings of the Borrower's public unsecured long-term senior debt, without third party credit enhancement, issued by Moody's and Standard &amp; Poor's.</w:t>
      </w:r>
    </w:p>
    <w:p>
      <w:pPr>
        <w:spacing w:after="0" w:line="61"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Shareholder Suits. See the definition of "Consolidated Earnings Before Interest and Taxes, or EBIT".</w:t>
      </w:r>
    </w:p>
    <w:p>
      <w:pPr>
        <w:spacing w:after="0" w:line="20" w:lineRule="exact"/>
        <w:rPr>
          <w:sz w:val="20"/>
          <w:szCs w:val="20"/>
          <w:color w:val="auto"/>
        </w:rPr>
      </w:pPr>
    </w:p>
    <w:p>
      <w:pPr>
        <w:ind w:right="3059" w:firstLine="837"/>
        <w:spacing w:after="0" w:line="342" w:lineRule="auto"/>
        <w:rPr>
          <w:sz w:val="20"/>
          <w:szCs w:val="20"/>
          <w:color w:val="auto"/>
        </w:rPr>
      </w:pPr>
      <w:r>
        <w:rPr>
          <w:rFonts w:ascii="Courier New" w:cs="Courier New" w:eastAsia="Courier New" w:hAnsi="Courier New"/>
          <w:sz w:val="16"/>
          <w:szCs w:val="16"/>
          <w:color w:val="auto"/>
        </w:rPr>
        <w:t>Standard &amp; Poor's. Standard &amp; Poor's Ratings Services, a division of The McGraw-Hill Companies, Inc.</w:t>
      </w:r>
    </w:p>
    <w:p>
      <w:pPr>
        <w:spacing w:after="0" w:line="20"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 and whose financial results are required to be consolidated with the financial results of the designated parent in accordance with GAAP.</w:t>
      </w:r>
    </w:p>
    <w:p>
      <w:pPr>
        <w:spacing w:after="0" w:line="83" w:lineRule="exact"/>
        <w:rPr>
          <w:sz w:val="20"/>
          <w:szCs w:val="20"/>
          <w:color w:val="auto"/>
        </w:rPr>
      </w:pPr>
    </w:p>
    <w:p>
      <w:pPr>
        <w:ind w:right="2959" w:firstLine="837"/>
        <w:spacing w:after="0" w:line="309" w:lineRule="auto"/>
        <w:rPr>
          <w:sz w:val="20"/>
          <w:szCs w:val="20"/>
          <w:color w:val="auto"/>
        </w:rPr>
      </w:pPr>
      <w:r>
        <w:rPr>
          <w:rFonts w:ascii="Courier New" w:cs="Courier New" w:eastAsia="Courier New" w:hAnsi="Courier New"/>
          <w:sz w:val="14"/>
          <w:szCs w:val="14"/>
          <w:color w:val="auto"/>
        </w:rPr>
        <w:t>Swap Contracts.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52"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Swap Obligations. The maximum amount of any termination or loss payment required to be paid by the Borrower or any Subsidiary with respect to any Swap Contract if such Swap Contract were, at the time of determination, to be terminated by reason of any event of default or early termination event thereunder, whether or not such event of default or early termination event has in fact occurred, provided that, solely with respect to Swap Contracts which are either (a) entered into between the Borrower or any of its Subsidiaries with an investment grade company, or (b) entered into between the Borrower or any of its Subsidiaries with third parties whose obligations thereunder are secured, such maximum amount of termination or loss payment shall be net of any termination or loss payment required to be paid to the Borrower or any Subsidiary by such counterparty (other than the Borrower or another Subsidiary) with respect to any Swap Contract if such Swap Contract were, at the time of determination, to be terminated by reason of any event of default or early termination event thereunder, whether or not such event of default or early termination event has in fact occurred.</w:t>
      </w:r>
    </w:p>
    <w:p>
      <w:pPr>
        <w:spacing w:after="0" w:line="10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Loans. See Section 2.11(a).</w:t>
      </w:r>
    </w:p>
    <w:p>
      <w:pPr>
        <w:sectPr>
          <w:pgSz w:w="11900" w:h="16838" w:orient="portrait"/>
          <w:cols w:equalWidth="0" w:num="1">
            <w:col w:w="10219"/>
          </w:cols>
          <w:pgMar w:left="240" w:top="269"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22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pacing w:after="0" w:line="32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Note. See Section 2.11(a).</w:t>
      </w:r>
    </w:p>
    <w:p>
      <w:pPr>
        <w:spacing w:after="0" w:line="177" w:lineRule="exact"/>
        <w:rPr>
          <w:sz w:val="20"/>
          <w:szCs w:val="20"/>
          <w:color w:val="auto"/>
        </w:rPr>
      </w:pPr>
    </w:p>
    <w:p>
      <w:pPr>
        <w:ind w:right="2779" w:firstLine="837"/>
        <w:spacing w:after="0" w:line="301" w:lineRule="auto"/>
        <w:rPr>
          <w:sz w:val="20"/>
          <w:szCs w:val="20"/>
          <w:color w:val="auto"/>
        </w:rPr>
      </w:pPr>
      <w:r>
        <w:rPr>
          <w:rFonts w:ascii="Courier New" w:cs="Courier New" w:eastAsia="Courier New" w:hAnsi="Courier New"/>
          <w:sz w:val="14"/>
          <w:szCs w:val="14"/>
          <w:color w:val="auto"/>
        </w:rPr>
        <w:t>Swing Line Settlement. The making or receiving of payments, in immediately available funds, by the Banks to or from the Administrative Agent in accordance with Section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5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Settlement Amount. See Section 2.11(b).</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Settlement Date. See Section 2.11(b).</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Settling Bank. See Section 2.11(b).</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Syndicated Loan Request. See Section 2.6(a).</w:t>
      </w:r>
    </w:p>
    <w:p>
      <w:pPr>
        <w:spacing w:after="0" w:line="177"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Syndicated Loans. A borrowing hereunder consisting of one or more loans made by the Banks to the Borrower under the procedure described in Section 2.1(a) and Section 2.11 hereof.</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Syndicated Notes. See Section 2.4(a).</w:t>
      </w:r>
    </w:p>
    <w:p>
      <w:pPr>
        <w:spacing w:after="0" w:line="177" w:lineRule="exact"/>
        <w:rPr>
          <w:sz w:val="20"/>
          <w:szCs w:val="20"/>
          <w:color w:val="auto"/>
        </w:rPr>
      </w:pPr>
    </w:p>
    <w:p>
      <w:pPr>
        <w:ind w:right="2779" w:firstLine="837"/>
        <w:spacing w:after="0" w:line="342" w:lineRule="auto"/>
        <w:rPr>
          <w:sz w:val="20"/>
          <w:szCs w:val="20"/>
          <w:color w:val="auto"/>
        </w:rPr>
      </w:pPr>
      <w:r>
        <w:rPr>
          <w:rFonts w:ascii="Courier New" w:cs="Courier New" w:eastAsia="Courier New" w:hAnsi="Courier New"/>
          <w:sz w:val="16"/>
          <w:szCs w:val="16"/>
          <w:color w:val="auto"/>
        </w:rPr>
        <w:t>Terminated Plans. The Waste Management, Inc. Pension Plan and The Waste Management of Alameda County, Inc. Retirement Plan.</w:t>
      </w:r>
    </w:p>
    <w:p>
      <w:pPr>
        <w:spacing w:after="0" w:line="20"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Total Commitment. Up to $1,750,000,000, as such amount may be reduced pursuant to Section 2.3 hereof, or, if such Total Commitment has been terminated pursuant to Section 2.3 or Section 12.2 hereof, zero.</w:t>
      </w:r>
    </w:p>
    <w:p>
      <w:pPr>
        <w:spacing w:after="0" w:line="61" w:lineRule="exact"/>
        <w:rPr>
          <w:sz w:val="20"/>
          <w:szCs w:val="20"/>
          <w:color w:val="auto"/>
        </w:rPr>
      </w:pPr>
    </w:p>
    <w:p>
      <w:pPr>
        <w:ind w:right="2779" w:firstLine="837"/>
        <w:spacing w:after="0" w:line="290" w:lineRule="auto"/>
        <w:rPr>
          <w:sz w:val="20"/>
          <w:szCs w:val="20"/>
          <w:color w:val="auto"/>
        </w:rPr>
      </w:pPr>
      <w:r>
        <w:rPr>
          <w:rFonts w:ascii="Courier New" w:cs="Courier New" w:eastAsia="Courier New" w:hAnsi="Courier New"/>
          <w:sz w:val="14"/>
          <w:szCs w:val="14"/>
          <w:color w:val="auto"/>
        </w:rPr>
        <w:t>Total Debt. The sum, without duplication, of all (1) Indebtedness of the Borrower and its Subsidiaries on a consolidated basis under subsections (a) through (h) of the definition of "Indebtedness" (provided, however, that Indebtedness (A) under subsection (f) of the definition of "Indebtedness" shall be included in such calculation only to the extent that a surety has been called upon to make payment on a bond, and (B) with respect to Permitted Receivables Transactions shall not be included in such calculation), plus (2) Swap Obligations, plus (3) non-contingent reimbursement obligations of the Borrower and its Subsidiaries with respect to drawings under any letters of credit.</w:t>
      </w:r>
    </w:p>
    <w:p>
      <w:pPr>
        <w:spacing w:after="0" w:line="6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1.2. RULES OF INTERPRETATION.</w:t>
      </w:r>
    </w:p>
    <w:p>
      <w:pPr>
        <w:spacing w:after="0" w:line="177" w:lineRule="exact"/>
        <w:rPr>
          <w:sz w:val="20"/>
          <w:szCs w:val="20"/>
          <w:color w:val="auto"/>
        </w:rPr>
      </w:pPr>
    </w:p>
    <w:p>
      <w:pPr>
        <w:jc w:val="both"/>
        <w:ind w:left="840" w:right="3159" w:firstLine="830"/>
        <w:spacing w:after="0" w:line="322" w:lineRule="auto"/>
        <w:tabs>
          <w:tab w:leader="none" w:pos="2049"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43" w:lineRule="exact"/>
        <w:rPr>
          <w:rFonts w:ascii="Courier New" w:cs="Courier New" w:eastAsia="Courier New" w:hAnsi="Courier New"/>
          <w:sz w:val="14"/>
          <w:szCs w:val="14"/>
          <w:color w:val="auto"/>
        </w:rPr>
      </w:pPr>
    </w:p>
    <w:p>
      <w:pPr>
        <w:ind w:left="2040" w:hanging="370"/>
        <w:spacing w:after="0"/>
        <w:tabs>
          <w:tab w:leader="none" w:pos="20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singular includes the plural and the plural includes</w:t>
      </w:r>
    </w:p>
    <w:p>
      <w:pPr>
        <w:spacing w:after="0" w:line="25"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singular.</w:t>
      </w:r>
    </w:p>
    <w:p>
      <w:pPr>
        <w:sectPr>
          <w:pgSz w:w="11900" w:h="16838" w:orient="portrait"/>
          <w:cols w:equalWidth="0" w:num="1">
            <w:col w:w="10219"/>
          </w:cols>
          <w:pgMar w:left="240" w:top="269"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6"/>
          <w:szCs w:val="16"/>
          <w:color w:val="auto"/>
        </w:rPr>
        <w:t>23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pacing w:after="0" w:line="327" w:lineRule="exact"/>
        <w:rPr>
          <w:sz w:val="20"/>
          <w:szCs w:val="20"/>
          <w:color w:val="auto"/>
        </w:rPr>
      </w:pPr>
    </w:p>
    <w:p>
      <w:pPr>
        <w:ind w:left="840" w:right="3719" w:firstLine="830"/>
        <w:spacing w:after="0" w:line="342" w:lineRule="auto"/>
        <w:tabs>
          <w:tab w:leader="none" w:pos="20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any law includes any amendment or modification to such law.</w:t>
      </w:r>
    </w:p>
    <w:p>
      <w:pPr>
        <w:spacing w:after="0" w:line="20" w:lineRule="exact"/>
        <w:rPr>
          <w:rFonts w:ascii="Courier New" w:cs="Courier New" w:eastAsia="Courier New" w:hAnsi="Courier New"/>
          <w:sz w:val="16"/>
          <w:szCs w:val="16"/>
          <w:color w:val="auto"/>
        </w:rPr>
      </w:pPr>
    </w:p>
    <w:p>
      <w:pPr>
        <w:ind w:left="840" w:right="3719" w:firstLine="830"/>
        <w:spacing w:after="0" w:line="342" w:lineRule="auto"/>
        <w:tabs>
          <w:tab w:leader="none" w:pos="20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any Person includes its permitted successors and permitted assigns.</w:t>
      </w:r>
    </w:p>
    <w:p>
      <w:pPr>
        <w:spacing w:after="0" w:line="20" w:lineRule="exact"/>
        <w:rPr>
          <w:rFonts w:ascii="Courier New" w:cs="Courier New" w:eastAsia="Courier New" w:hAnsi="Courier New"/>
          <w:sz w:val="16"/>
          <w:szCs w:val="16"/>
          <w:color w:val="auto"/>
        </w:rPr>
      </w:pPr>
    </w:p>
    <w:p>
      <w:pPr>
        <w:ind w:left="840" w:right="2959" w:firstLine="830"/>
        <w:spacing w:after="0" w:line="272" w:lineRule="auto"/>
        <w:tabs>
          <w:tab w:leader="none" w:pos="20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terms capitalized but not otherwise defined herein have the meanings assigned to them by generally accepted accounting principles applied on a consistent basis by the accounting entity to which they refer.</w:t>
      </w:r>
    </w:p>
    <w:p>
      <w:pPr>
        <w:spacing w:after="0" w:line="72"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"include", "includes" and "including" are not</w:t>
      </w:r>
    </w:p>
    <w:p>
      <w:pPr>
        <w:spacing w:after="0" w:line="25"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limiting.</w:t>
      </w:r>
    </w:p>
    <w:p>
      <w:pPr>
        <w:spacing w:after="0" w:line="148" w:lineRule="exact"/>
        <w:rPr>
          <w:rFonts w:ascii="Courier New" w:cs="Courier New" w:eastAsia="Courier New" w:hAnsi="Courier New"/>
          <w:sz w:val="16"/>
          <w:szCs w:val="16"/>
          <w:color w:val="auto"/>
        </w:rPr>
      </w:pPr>
    </w:p>
    <w:p>
      <w:pPr>
        <w:jc w:val="both"/>
        <w:ind w:left="840" w:right="2879" w:firstLine="830"/>
        <w:spacing w:after="0" w:line="272" w:lineRule="auto"/>
        <w:tabs>
          <w:tab w:leader="none" w:pos="20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72" w:lineRule="exact"/>
        <w:rPr>
          <w:rFonts w:ascii="Courier New" w:cs="Courier New" w:eastAsia="Courier New" w:hAnsi="Courier New"/>
          <w:sz w:val="16"/>
          <w:szCs w:val="16"/>
          <w:color w:val="auto"/>
        </w:rPr>
      </w:pPr>
    </w:p>
    <w:p>
      <w:pPr>
        <w:ind w:left="840" w:right="3519" w:firstLine="830"/>
        <w:spacing w:after="0" w:line="342" w:lineRule="auto"/>
        <w:tabs>
          <w:tab w:leader="none" w:pos="20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to a particular "Section" refers to that section of this Agreement unless otherwise indicated.</w:t>
      </w:r>
    </w:p>
    <w:p>
      <w:pPr>
        <w:spacing w:after="0" w:line="20" w:lineRule="exact"/>
        <w:rPr>
          <w:rFonts w:ascii="Courier New" w:cs="Courier New" w:eastAsia="Courier New" w:hAnsi="Courier New"/>
          <w:sz w:val="16"/>
          <w:szCs w:val="16"/>
          <w:color w:val="auto"/>
        </w:rPr>
      </w:pPr>
    </w:p>
    <w:p>
      <w:pPr>
        <w:jc w:val="both"/>
        <w:ind w:left="840" w:right="3159" w:firstLine="830"/>
        <w:spacing w:after="0" w:line="289" w:lineRule="auto"/>
        <w:tabs>
          <w:tab w:leader="none" w:pos="204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"hereunder" and words of like import shall refer to this Agreement as a whole and not to any particular section or subdivision of this Agreement.</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 THE LOAN FACILITIES.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2.1. COMMITMENT TO LEND.</w:t>
      </w:r>
    </w:p>
    <w:p>
      <w:pPr>
        <w:spacing w:after="0" w:line="177" w:lineRule="exact"/>
        <w:rPr>
          <w:sz w:val="20"/>
          <w:szCs w:val="20"/>
          <w:color w:val="auto"/>
        </w:rPr>
      </w:pPr>
    </w:p>
    <w:p>
      <w:pPr>
        <w:ind w:left="840" w:right="2879" w:firstLine="830"/>
        <w:spacing w:after="0" w:line="286" w:lineRule="auto"/>
        <w:tabs>
          <w:tab w:leader="none" w:pos="204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Section 2, its Commitment Percentage of the Syndicated Loans as are 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256" w:lineRule="exact"/>
        <w:rPr>
          <w:rFonts w:ascii="Courier New" w:cs="Courier New" w:eastAsia="Courier New" w:hAnsi="Courier New"/>
          <w:sz w:val="14"/>
          <w:szCs w:val="14"/>
          <w:color w:val="auto"/>
        </w:rPr>
      </w:pPr>
    </w:p>
    <w:p>
      <w:pPr>
        <w:ind w:left="840" w:right="2779" w:firstLine="830"/>
        <w:spacing w:after="0" w:line="258" w:lineRule="auto"/>
        <w:tabs>
          <w:tab w:leader="none" w:pos="2049"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each request for a Loan or Letter of Credit hereunder, the Borrower shall be deemed to have made a representation and warranty that the conditions set forth in Section 10 and Section 11, as the case may be, have been satisfied on the date of such request. Any unpaid Reimbursement Obligation shall be a Base Rate Loan, as set forth in Section 3.2(a).</w:t>
      </w:r>
    </w:p>
    <w:p>
      <w:pPr>
        <w:spacing w:after="0" w:line="83"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SECTION 2.2. FACILITY FEE. The Borrower agrees to pay to the Administrative Agent for the account of the Banks a fee (the "Facility Fee") on the Total Commitment equal to the Applicable</w:t>
      </w:r>
    </w:p>
    <w:p>
      <w:pPr>
        <w:sectPr>
          <w:pgSz w:w="11900" w:h="16838" w:orient="portrait"/>
          <w:cols w:equalWidth="0" w:num="1">
            <w:col w:w="10219"/>
          </w:cols>
          <w:pgMar w:left="240" w:top="269"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24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pacing w:after="0" w:line="327" w:lineRule="exact"/>
        <w:rPr>
          <w:sz w:val="20"/>
          <w:szCs w:val="20"/>
          <w:color w:val="auto"/>
        </w:rPr>
      </w:pPr>
    </w:p>
    <w:p>
      <w:pPr>
        <w:ind w:right="2779"/>
        <w:spacing w:after="0" w:line="296" w:lineRule="auto"/>
        <w:rPr>
          <w:sz w:val="20"/>
          <w:szCs w:val="20"/>
          <w:color w:val="auto"/>
        </w:rPr>
      </w:pPr>
      <w:r>
        <w:rPr>
          <w:rFonts w:ascii="Courier New" w:cs="Courier New" w:eastAsia="Courier New" w:hAnsi="Courier New"/>
          <w:sz w:val="14"/>
          <w:szCs w:val="14"/>
          <w:color w:val="auto"/>
        </w:rPr>
        <w:t>Facility Rate multiplied by the Total Commitment. The Facility Fee shall be payable for the period from and after the Effective Date quarterly in arrears on the first day of each calendar quarter for the immediately preceding calendar quarter with the first such payment commencing on October 1, 2001 and with a final payment on the Maturity Date (or on the date of termination in full of the Total Commitment, if earlier). The Facility Fee shall be distributed pro rata among the Banks in accordance with each Bank's Commitment Percentage.</w:t>
      </w:r>
    </w:p>
    <w:p>
      <w:pPr>
        <w:spacing w:after="0" w:line="62"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2.3. REDUCTION OF TOTAL COMMITMENT.</w:t>
      </w:r>
    </w:p>
    <w:p>
      <w:pPr>
        <w:spacing w:after="0" w:line="177" w:lineRule="exact"/>
        <w:rPr>
          <w:sz w:val="20"/>
          <w:szCs w:val="20"/>
          <w:color w:val="auto"/>
        </w:rPr>
      </w:pPr>
    </w:p>
    <w:p>
      <w:pPr>
        <w:ind w:left="840" w:right="2779" w:firstLine="830"/>
        <w:spacing w:after="0" w:line="248" w:lineRule="auto"/>
        <w:tabs>
          <w:tab w:leader="none" w:pos="204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Loans then outstanding.</w:t>
      </w:r>
    </w:p>
    <w:p>
      <w:pPr>
        <w:spacing w:after="0" w:line="94" w:lineRule="exact"/>
        <w:rPr>
          <w:rFonts w:ascii="Courier New" w:cs="Courier New" w:eastAsia="Courier New" w:hAnsi="Courier New"/>
          <w:sz w:val="16"/>
          <w:szCs w:val="16"/>
          <w:color w:val="auto"/>
        </w:rPr>
      </w:pPr>
    </w:p>
    <w:p>
      <w:pPr>
        <w:ind w:left="840" w:right="2959" w:firstLine="830"/>
        <w:spacing w:after="0" w:line="322" w:lineRule="auto"/>
        <w:tabs>
          <w:tab w:leader="none" w:pos="2049"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43" w:lineRule="exact"/>
        <w:rPr>
          <w:rFonts w:ascii="Courier New" w:cs="Courier New" w:eastAsia="Courier New" w:hAnsi="Courier New"/>
          <w:sz w:val="14"/>
          <w:szCs w:val="14"/>
          <w:color w:val="auto"/>
        </w:rPr>
      </w:pPr>
    </w:p>
    <w:p>
      <w:pPr>
        <w:ind w:left="840" w:right="2959" w:firstLine="830"/>
        <w:spacing w:after="0" w:line="272" w:lineRule="auto"/>
        <w:tabs>
          <w:tab w:leader="none" w:pos="2049"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will notify the Banks promptly after receiving any notice delivered by the Borrower pursuant to this Section 2.3 and will distribute to each Bank a revised Schedule 1 to this Agreement.</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2.4. THE SYNDICATED NOTES.</w:t>
      </w:r>
    </w:p>
    <w:p>
      <w:pPr>
        <w:spacing w:after="0" w:line="177" w:lineRule="exact"/>
        <w:rPr>
          <w:sz w:val="20"/>
          <w:szCs w:val="20"/>
          <w:color w:val="auto"/>
        </w:rPr>
      </w:pPr>
    </w:p>
    <w:p>
      <w:pPr>
        <w:ind w:left="840" w:right="2779" w:firstLine="830"/>
        <w:spacing w:after="0" w:line="288" w:lineRule="auto"/>
        <w:tabs>
          <w:tab w:leader="none" w:pos="2049"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Syndicated Loans shall be evidenced by separate promissory notes of the Borrower in substantially the form of Exhibit A hereto (each, a "Syndicated Note"), dated as of the Effective Date (or such later date at which a Bank becomes a party hereto pursuant to Section 20)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w:t>
      </w:r>
    </w:p>
    <w:p>
      <w:pPr>
        <w:spacing w:after="0" w:line="254" w:lineRule="exact"/>
        <w:rPr>
          <w:rFonts w:ascii="Courier New" w:cs="Courier New" w:eastAsia="Courier New" w:hAnsi="Courier New"/>
          <w:sz w:val="14"/>
          <w:szCs w:val="14"/>
          <w:color w:val="auto"/>
        </w:rPr>
      </w:pPr>
    </w:p>
    <w:p>
      <w:pPr>
        <w:ind w:left="840" w:right="2879" w:firstLine="830"/>
        <w:spacing w:after="0" w:line="254" w:lineRule="auto"/>
        <w:tabs>
          <w:tab w:leader="none" w:pos="2049"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irrevocably authorizes each Bank to make, or cause to be made, in connection with a Drawdown Date of any Syndicated Loan and at the time of receipt of any payment of principal on its Syndicated Note, an appropriate notation on such Bank's records or on the schedule attached to such Bank's Syndicated Note or a continuation of such schedule attached thereto reflecting the making of such Loan, or the</w:t>
      </w:r>
    </w:p>
    <w:p>
      <w:pPr>
        <w:sectPr>
          <w:pgSz w:w="11900" w:h="16838" w:orient="portrait"/>
          <w:cols w:equalWidth="0" w:num="1">
            <w:col w:w="10219"/>
          </w:cols>
          <w:pgMar w:left="240" w:top="269"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6"/>
          <w:szCs w:val="16"/>
          <w:color w:val="auto"/>
        </w:rPr>
        <w:t>25</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-19-</w:t>
      </w:r>
    </w:p>
    <w:p>
      <w:pPr>
        <w:spacing w:after="0" w:line="327" w:lineRule="exact"/>
        <w:rPr>
          <w:sz w:val="20"/>
          <w:szCs w:val="20"/>
          <w:color w:val="auto"/>
        </w:rPr>
      </w:pPr>
    </w:p>
    <w:p>
      <w:pPr>
        <w:ind w:left="560" w:right="2879"/>
        <w:spacing w:after="0" w:line="290" w:lineRule="auto"/>
        <w:rPr>
          <w:sz w:val="20"/>
          <w:szCs w:val="20"/>
          <w:color w:val="auto"/>
        </w:rPr>
      </w:pPr>
      <w:r>
        <w:rPr>
          <w:rFonts w:ascii="Courier New" w:cs="Courier New" w:eastAsia="Courier New" w:hAnsi="Courier New"/>
          <w:sz w:val="14"/>
          <w:szCs w:val="14"/>
          <w:color w:val="auto"/>
        </w:rPr>
        <w:t>receipt of such payment (as the case may be) and each Bank may, prior to any transfer of its Syndicated Note endorse on the reverse side thereof the outstanding principal amount of such Loans evidenced thereby. The outstanding amount of the Loans set forth on such Bank's records shall be 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200" w:lineRule="exact"/>
        <w:rPr>
          <w:sz w:val="20"/>
          <w:szCs w:val="20"/>
          <w:color w:val="auto"/>
        </w:rPr>
      </w:pPr>
    </w:p>
    <w:p>
      <w:pPr>
        <w:spacing w:after="0" w:line="222"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2.5. INTEREST ON LOANS.</w:t>
      </w:r>
    </w:p>
    <w:p>
      <w:pPr>
        <w:spacing w:after="0" w:line="177" w:lineRule="exact"/>
        <w:rPr>
          <w:sz w:val="20"/>
          <w:szCs w:val="20"/>
          <w:color w:val="auto"/>
        </w:rPr>
      </w:pPr>
    </w:p>
    <w:p>
      <w:pPr>
        <w:ind w:left="560" w:right="2779" w:firstLine="830"/>
        <w:spacing w:after="0" w:line="263" w:lineRule="auto"/>
        <w:tabs>
          <w:tab w:leader="none" w:pos="17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principal amount of the Syndicated Loans shall bear interest at the rate per annum equal to (i) the Applicable Base Rate on Base Rate Loans, (ii) the Applicable Eurodollar Rate on Eurodollar Loans and (iii) the Applicable Swing Line Rate on Swing Line Loans.</w:t>
      </w:r>
    </w:p>
    <w:p>
      <w:pPr>
        <w:spacing w:after="0" w:line="80" w:lineRule="exact"/>
        <w:rPr>
          <w:rFonts w:ascii="Courier New" w:cs="Courier New" w:eastAsia="Courier New" w:hAnsi="Courier New"/>
          <w:sz w:val="16"/>
          <w:szCs w:val="16"/>
          <w:color w:val="auto"/>
        </w:rPr>
      </w:pPr>
    </w:p>
    <w:p>
      <w:pPr>
        <w:ind w:left="560" w:right="2779" w:firstLine="830"/>
        <w:spacing w:after="0" w:line="254" w:lineRule="auto"/>
        <w:tabs>
          <w:tab w:leader="none" w:pos="17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payable (i) quarterly in arrears on the first Business Day of each quarter, with the first such payment commencing October 1, 2001, on Base Rate Loans, (ii) on the last day of the applicable Interest Period, and if such Interest Period is longer than three months, also on the last day of each three month period following the commencement of such Interest Period, on Eurodollar Loans, and (iii) on the Maturity Date for all Loans.</w:t>
      </w:r>
    </w:p>
    <w:p>
      <w:pPr>
        <w:spacing w:after="0" w:line="200" w:lineRule="exact"/>
        <w:rPr>
          <w:sz w:val="20"/>
          <w:szCs w:val="20"/>
          <w:color w:val="auto"/>
        </w:rPr>
      </w:pPr>
    </w:p>
    <w:p>
      <w:pPr>
        <w:spacing w:after="0" w:line="24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2.6. REQUESTS FOR SYNDICATED LOANS.</w:t>
      </w:r>
    </w:p>
    <w:p>
      <w:pPr>
        <w:spacing w:after="0" w:line="177" w:lineRule="exact"/>
        <w:rPr>
          <w:sz w:val="20"/>
          <w:szCs w:val="20"/>
          <w:color w:val="auto"/>
        </w:rPr>
      </w:pPr>
    </w:p>
    <w:p>
      <w:pPr>
        <w:ind w:left="-280" w:right="2779" w:firstLine="833"/>
        <w:spacing w:after="0" w:line="243" w:lineRule="auto"/>
        <w:tabs>
          <w:tab w:leader="none" w:pos="92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ectPr>
          <w:pgSz w:w="11900" w:h="16838" w:orient="portrait"/>
          <w:cols w:equalWidth="0" w:num="1">
            <w:col w:w="9939"/>
          </w:cols>
          <w:pgMar w:left="520" w:top="269"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26</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-20-</w:t>
      </w:r>
    </w:p>
    <w:p>
      <w:pPr>
        <w:spacing w:after="0" w:line="327" w:lineRule="exact"/>
        <w:rPr>
          <w:sz w:val="20"/>
          <w:szCs w:val="20"/>
          <w:color w:val="auto"/>
        </w:rPr>
      </w:pPr>
    </w:p>
    <w:p>
      <w:pPr>
        <w:ind w:right="2779" w:firstLine="833"/>
        <w:spacing w:after="0" w:line="285" w:lineRule="auto"/>
        <w:tabs>
          <w:tab w:leader="none" w:pos="1209"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(ii) of changes occurring in the ordinary course of business that either individually or in the aggregate do not result in a Material Adverse Effect, or (iii) that such representations and warranties expressly relate only to an earlier date).</w:t>
      </w:r>
    </w:p>
    <w:p>
      <w:pPr>
        <w:spacing w:after="0" w:line="253" w:lineRule="exact"/>
        <w:rPr>
          <w:rFonts w:ascii="Courier New" w:cs="Courier New" w:eastAsia="Courier New" w:hAnsi="Courier New"/>
          <w:sz w:val="14"/>
          <w:szCs w:val="14"/>
          <w:color w:val="auto"/>
        </w:rPr>
      </w:pPr>
    </w:p>
    <w:p>
      <w:pPr>
        <w:ind w:right="2779" w:firstLine="833"/>
        <w:spacing w:after="0" w:line="272" w:lineRule="auto"/>
        <w:tabs>
          <w:tab w:leader="none" w:pos="1209"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promptly notify each Bank of each Syndicated Loan Request received by the Administrative Agent (i) on the proposed Drawdown Date of any Base Rate Loan, or (ii) three (3) Eurodollar Business Days prior to the proposed Drawdown Date of any Eurodollar Loan.</w:t>
      </w:r>
    </w:p>
    <w:p>
      <w:pPr>
        <w:spacing w:after="0" w:line="73"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SECTION 2.7. ELECTION OF EURODOLLAR RATE; NOTICE OF ELECTION; INTEREST PERIODS; MINIMUM AMOUNTS.</w:t>
      </w:r>
    </w:p>
    <w:p>
      <w:pPr>
        <w:spacing w:after="0" w:line="20" w:lineRule="exact"/>
        <w:rPr>
          <w:sz w:val="20"/>
          <w:szCs w:val="20"/>
          <w:color w:val="auto"/>
        </w:rPr>
      </w:pPr>
    </w:p>
    <w:p>
      <w:pPr>
        <w:ind w:left="840" w:right="2779" w:firstLine="830"/>
        <w:spacing w:after="0" w:line="285" w:lineRule="auto"/>
        <w:tabs>
          <w:tab w:leader="none" w:pos="204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 forthwith provide notice thereof to the Borrower and the Banks, and each such notice to the Borrower shall be considered prima facie correct and binding, absent manifest error.</w:t>
      </w:r>
    </w:p>
    <w:p>
      <w:pPr>
        <w:spacing w:after="0" w:line="253" w:lineRule="exact"/>
        <w:rPr>
          <w:rFonts w:ascii="Courier New" w:cs="Courier New" w:eastAsia="Courier New" w:hAnsi="Courier New"/>
          <w:sz w:val="14"/>
          <w:szCs w:val="14"/>
          <w:color w:val="auto"/>
        </w:rPr>
      </w:pPr>
    </w:p>
    <w:p>
      <w:pPr>
        <w:ind w:left="840" w:right="2779" w:firstLine="830"/>
        <w:spacing w:after="0" w:line="279" w:lineRule="auto"/>
        <w:tabs>
          <w:tab w:leader="none" w:pos="2049"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ectPr>
          <w:pgSz w:w="11900" w:h="16838" w:orient="portrait"/>
          <w:cols w:equalWidth="0" w:num="1">
            <w:col w:w="10219"/>
          </w:cols>
          <w:pgMar w:left="240" w:top="269"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27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pacing w:after="0" w:line="327" w:lineRule="exact"/>
        <w:rPr>
          <w:sz w:val="20"/>
          <w:szCs w:val="20"/>
          <w:color w:val="auto"/>
        </w:rPr>
      </w:pPr>
    </w:p>
    <w:p>
      <w:pPr>
        <w:ind w:left="840" w:right="3059" w:firstLine="830"/>
        <w:spacing w:after="0" w:line="289" w:lineRule="auto"/>
        <w:tabs>
          <w:tab w:leader="none" w:pos="2049"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the Borrower may not specify an Interest Period that would extend beyond the Maturity Date.</w:t>
      </w:r>
    </w:p>
    <w:p>
      <w:pPr>
        <w:spacing w:after="0" w:line="60" w:lineRule="exact"/>
        <w:rPr>
          <w:rFonts w:ascii="Courier New" w:cs="Courier New" w:eastAsia="Courier New" w:hAnsi="Courier New"/>
          <w:sz w:val="16"/>
          <w:szCs w:val="16"/>
          <w:color w:val="auto"/>
        </w:rPr>
      </w:pPr>
    </w:p>
    <w:p>
      <w:pPr>
        <w:ind w:left="840" w:right="2959" w:firstLine="830"/>
        <w:spacing w:after="0" w:line="322" w:lineRule="auto"/>
        <w:tabs>
          <w:tab w:leader="none" w:pos="204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conversion of Loans pursuant to this Section 2.7 may result in Eurodollar Loans that are less than $5,000,000. In no event shall the Borrower have more than ten (10) different Interest Periods for borrowings of Eurodollar Loans outstanding at any time.</w:t>
      </w:r>
    </w:p>
    <w:p>
      <w:pPr>
        <w:spacing w:after="0" w:line="43" w:lineRule="exact"/>
        <w:rPr>
          <w:rFonts w:ascii="Courier New" w:cs="Courier New" w:eastAsia="Courier New" w:hAnsi="Courier New"/>
          <w:sz w:val="14"/>
          <w:szCs w:val="14"/>
          <w:color w:val="auto"/>
        </w:rPr>
      </w:pPr>
    </w:p>
    <w:p>
      <w:pPr>
        <w:ind w:left="840" w:right="2779" w:firstLine="830"/>
        <w:spacing w:after="0" w:line="280" w:lineRule="auto"/>
        <w:tabs>
          <w:tab w:leader="none" w:pos="2049"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Section 5.8 hereof, if any Affected Bank demands compensation under Section 5.5(c) or (d) with respect to any Eurodollar Loan, the Borrower may at any time, upon at least three (3) 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260"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SECTION 2.8. FUNDS FOR SYNDICATED LOANS. Not later than 1:00 p.m. (New York time) on the proposed Drawdown Date of Syndicated Loans, each of the Banks will make available to the Administrative Agent at its Loan Office, in immediately available funds, the amount of its Commitment Percentage of the amount of the requested Loan. Upon receipt from each Bank of such amount, and upon receipt of the documents required by Section 10 and Section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93" w:lineRule="exact"/>
        <w:rPr>
          <w:sz w:val="20"/>
          <w:szCs w:val="20"/>
          <w:color w:val="auto"/>
        </w:rPr>
      </w:pPr>
    </w:p>
    <w:p>
      <w:pPr>
        <w:ind w:right="2779" w:firstLine="837"/>
        <w:spacing w:after="0" w:line="309" w:lineRule="auto"/>
        <w:rPr>
          <w:sz w:val="20"/>
          <w:szCs w:val="20"/>
          <w:color w:val="auto"/>
        </w:rPr>
      </w:pPr>
      <w:r>
        <w:rPr>
          <w:rFonts w:ascii="Courier New" w:cs="Courier New" w:eastAsia="Courier New" w:hAnsi="Courier New"/>
          <w:sz w:val="14"/>
          <w:szCs w:val="14"/>
          <w:color w:val="auto"/>
        </w:rPr>
        <w:t>SECTION 2.9. MATURITY OF THE LOANS AND REIMBURSEMENT OBLIGATIONS. The Borrower promises to pay on the Maturity Date, and there shall become absolutely due and payable on the Maturity Date, all of the Loans and unpaid Reimbursement Obligations outstanding on such date, together with any and all accrued and unpaid interest thereon and any fees and other amounts owing hereunder.</w:t>
      </w:r>
    </w:p>
    <w:p>
      <w:pPr>
        <w:sectPr>
          <w:pgSz w:w="11900" w:h="16838" w:orient="portrait"/>
          <w:cols w:equalWidth="0" w:num="1">
            <w:col w:w="10219"/>
          </w:cols>
          <w:pgMar w:left="240" w:top="269"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28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-22-</w:t>
      </w:r>
    </w:p>
    <w:p>
      <w:pPr>
        <w:spacing w:after="0" w:line="327"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SECTION 2.10. OPTIONAL PREPAYMENTS OR REPAYMENTS OF LOANS. Subject to the terms and conditions of Section 5.8, the Borrower shall have the right, at its election, to repay or prepay the outstanding amount of the Loans, as a whole or in part, at any time without penalty or premium. The Borrower shall give the Administrative Agent no later than 11:00 a.m. (New York time) (a) on the proposed date of prepayment or repayment of Base Rate Loans, and (b) three (3) Eurodollar Business Day prior to the proposed date of prepayment or repayment of all other Loans, written notice (or telephonic notice confirmed in writing or by facsimile) of any proposed prepayment or repayment pursuant to this Section</w:t>
      </w:r>
    </w:p>
    <w:p>
      <w:pPr>
        <w:spacing w:after="0" w:line="2" w:lineRule="exact"/>
        <w:rPr>
          <w:sz w:val="20"/>
          <w:szCs w:val="20"/>
          <w:color w:val="auto"/>
        </w:rPr>
      </w:pPr>
    </w:p>
    <w:p>
      <w:pPr>
        <w:ind w:right="2779"/>
        <w:spacing w:after="0" w:line="250" w:lineRule="auto"/>
        <w:rPr>
          <w:sz w:val="20"/>
          <w:szCs w:val="20"/>
          <w:color w:val="auto"/>
        </w:rPr>
      </w:pPr>
      <w:r>
        <w:rPr>
          <w:rFonts w:ascii="Courier New" w:cs="Courier New" w:eastAsia="Courier New" w:hAnsi="Courier New"/>
          <w:sz w:val="16"/>
          <w:szCs w:val="16"/>
          <w:color w:val="auto"/>
        </w:rPr>
        <w:t>2.10, specifying the proposed date of prepayment or repayment of Loans and the principal amount to be paid. Notwithstanding the foregoing, the Borrower may not prepay any Competitive Bid Loans without the consent of the applicable Bank. The Administrative Agent shall promptly notify each Bank by written notice (or telephonic notice confirmed in writing or by facsimile) of such notice of payment.</w:t>
      </w:r>
    </w:p>
    <w:p>
      <w:pPr>
        <w:spacing w:after="0" w:line="200" w:lineRule="exact"/>
        <w:rPr>
          <w:sz w:val="20"/>
          <w:szCs w:val="20"/>
          <w:color w:val="auto"/>
        </w:rPr>
      </w:pPr>
    </w:p>
    <w:p>
      <w:pPr>
        <w:spacing w:after="0" w:line="24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2.11. SWING LINE LOANS; SETTLEMENTS.</w:t>
      </w:r>
    </w:p>
    <w:p>
      <w:pPr>
        <w:spacing w:after="0" w:line="177" w:lineRule="exact"/>
        <w:rPr>
          <w:sz w:val="20"/>
          <w:szCs w:val="20"/>
          <w:color w:val="auto"/>
        </w:rPr>
      </w:pPr>
    </w:p>
    <w:p>
      <w:pPr>
        <w:ind w:left="840" w:right="2779" w:firstLine="830"/>
        <w:spacing w:after="0" w:line="278" w:lineRule="auto"/>
        <w:tabs>
          <w:tab w:leader="none" w:pos="20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notice and minimum amount requirements set forth in Section 2.6 but otherwise in accordance with the terms and conditions of this Agreement, and solely for ease of administration of the Syndicated Loans, the Administrative Agent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the Administrative Agent may be in amounts less than $10,000,000 provided that the outstanding amount of Swing Line Loans advanced by the Administrative Agent hereunder shall not exceed $10,000,000 at any time. Each Bank shall remain severally and unconditionally liable to fund its pro rata share (based upon each Bank's Commitment Percentage) of such Swing Line Loans on each Swing Line Settlement Date and, in the event the Administrative Agent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the Administrative Agent.</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0" w:right="2779" w:firstLine="830"/>
        <w:spacing w:after="0" w:line="286" w:lineRule="auto"/>
        <w:tabs>
          <w:tab w:leader="none" w:pos="2049"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shall effect Swing Line Settlements on (i) the Business Day immediately following any day which the Administrative Agent gives written notice to effect a Swing Line Settlement, (ii) the Business Day immediately following the Administrative Agent's becoming aware of the existence of any Default or Event of Default and (iii) the Maturity Date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 (B) the amount that any Bank, as applicable (a "Swing Line Settling Bank"), shall pay to</w:t>
      </w:r>
    </w:p>
    <w:p>
      <w:pPr>
        <w:sectPr>
          <w:pgSz w:w="11900" w:h="16838" w:orient="portrait"/>
          <w:cols w:equalWidth="0" w:num="1">
            <w:col w:w="10219"/>
          </w:cols>
          <w:pgMar w:left="240" w:top="269"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6"/>
          <w:szCs w:val="16"/>
          <w:color w:val="auto"/>
        </w:rPr>
        <w:t>29</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-23-</w:t>
      </w: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4"/>
          <w:szCs w:val="14"/>
          <w:color w:val="auto"/>
        </w:rPr>
        <w:t>effect a Swing Line Settlement (a "Swing Line Settlement Amount") and</w:t>
      </w:r>
    </w:p>
    <w:p>
      <w:pPr>
        <w:spacing w:after="0" w:line="48" w:lineRule="exact"/>
        <w:rPr>
          <w:sz w:val="20"/>
          <w:szCs w:val="20"/>
          <w:color w:val="auto"/>
        </w:rPr>
      </w:pPr>
    </w:p>
    <w:p>
      <w:pPr>
        <w:ind w:left="560" w:right="2779" w:hanging="7"/>
        <w:spacing w:after="0" w:line="277" w:lineRule="auto"/>
        <w:tabs>
          <w:tab w:leader="none" w:pos="932"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Loan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2.11(b) shall for all purposes be treated as a Base Rate Loan made by such Swing Line Settling Bank to the Borrower, and all funds received by any Bank pursuant to this Section 2.11(b) shall for all purposes be treated as repayment of amounts owed by the Borrower with respect to Base Rate Loans made by such Bank.</w:t>
      </w:r>
    </w:p>
    <w:p>
      <w:pPr>
        <w:spacing w:after="0" w:line="200" w:lineRule="exact"/>
        <w:rPr>
          <w:rFonts w:ascii="Courier New" w:cs="Courier New" w:eastAsia="Courier New" w:hAnsi="Courier New"/>
          <w:sz w:val="14"/>
          <w:szCs w:val="14"/>
          <w:color w:val="auto"/>
        </w:rPr>
      </w:pPr>
    </w:p>
    <w:p>
      <w:pPr>
        <w:spacing w:after="0" w:line="242" w:lineRule="exact"/>
        <w:rPr>
          <w:rFonts w:ascii="Courier New" w:cs="Courier New" w:eastAsia="Courier New" w:hAnsi="Courier New"/>
          <w:sz w:val="14"/>
          <w:szCs w:val="14"/>
          <w:color w:val="auto"/>
        </w:rPr>
      </w:pPr>
    </w:p>
    <w:p>
      <w:pPr>
        <w:ind w:left="560" w:right="2779" w:firstLine="830"/>
        <w:spacing w:after="0" w:line="275" w:lineRule="auto"/>
        <w:tabs>
          <w:tab w:leader="none" w:pos="1769"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Applicable Base Rate.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3" w:lineRule="exact"/>
        <w:rPr>
          <w:rFonts w:ascii="Courier New" w:cs="Courier New" w:eastAsia="Courier New" w:hAnsi="Courier New"/>
          <w:sz w:val="14"/>
          <w:szCs w:val="14"/>
          <w:color w:val="auto"/>
        </w:rPr>
      </w:pPr>
    </w:p>
    <w:p>
      <w:pPr>
        <w:ind w:left="560" w:right="2959" w:firstLine="830"/>
        <w:spacing w:after="0" w:line="272" w:lineRule="auto"/>
        <w:tabs>
          <w:tab w:leader="none" w:pos="1769"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any Swing Line Settlement Date, any payment by the Borrower of Swing Line Loans hereunder shall be allocated among the Banks, in amounts determined so as to provide that after such application and the related Swing Line Settlement, the</w:t>
      </w:r>
    </w:p>
    <w:p>
      <w:pPr>
        <w:sectPr>
          <w:pgSz w:w="11900" w:h="16838" w:orient="portrait"/>
          <w:cols w:equalWidth="0" w:num="1">
            <w:col w:w="9939"/>
          </w:cols>
          <w:pgMar w:left="520" w:top="269"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6"/>
          <w:szCs w:val="16"/>
          <w:color w:val="auto"/>
        </w:rPr>
        <w:t>30</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-24-</w:t>
      </w:r>
    </w:p>
    <w:p>
      <w:pPr>
        <w:spacing w:after="0" w:line="327" w:lineRule="exact"/>
        <w:rPr>
          <w:sz w:val="20"/>
          <w:szCs w:val="20"/>
          <w:color w:val="auto"/>
        </w:rPr>
      </w:pPr>
    </w:p>
    <w:p>
      <w:pPr>
        <w:ind w:left="560" w:right="2959"/>
        <w:spacing w:after="0" w:line="289" w:lineRule="auto"/>
        <w:rPr>
          <w:sz w:val="20"/>
          <w:szCs w:val="20"/>
          <w:color w:val="auto"/>
        </w:rPr>
      </w:pPr>
      <w:r>
        <w:rPr>
          <w:rFonts w:ascii="Courier New" w:cs="Courier New" w:eastAsia="Courier New" w:hAnsi="Courier New"/>
          <w:sz w:val="16"/>
          <w:szCs w:val="16"/>
          <w:color w:val="auto"/>
        </w:rPr>
        <w:t>outstanding amount of Syndicated Loans of each Bank equals, as nearly as practicable, such Bank's Commitment Percentage of the aggregate amount of Syndicated Loans.</w:t>
      </w:r>
    </w:p>
    <w:p>
      <w:pPr>
        <w:spacing w:after="0" w:line="6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 LETTERS OF CREDIT.</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3.1. LETTER OF CREDIT COMMITMENTS.</w:t>
      </w:r>
    </w:p>
    <w:p>
      <w:pPr>
        <w:spacing w:after="0" w:line="177" w:lineRule="exact"/>
        <w:rPr>
          <w:sz w:val="20"/>
          <w:szCs w:val="20"/>
          <w:color w:val="auto"/>
        </w:rPr>
      </w:pPr>
    </w:p>
    <w:p>
      <w:pPr>
        <w:ind w:left="560" w:right="2779" w:firstLine="830"/>
        <w:spacing w:after="0" w:line="241" w:lineRule="auto"/>
        <w:tabs>
          <w:tab w:leader="none" w:pos="176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 up to twelve (12) months), in such form as may be requested from time to time by the Borrower and agreed to by the Issuing Bank; provided, however, that, after giving effect to such request, the aggregate Maximum Drawing Amount of all Letters of Credit issued at any time shall not exceed the Total Commitment minus the aggregate outstanding amount of the Loans and provided further, that no Letter of Credit shall have an expiration date later than the earlier of (i) eighteen (18) months after the date of issuance (which may incorporate automatic renewals for periods of up to twelve (12) months), or (ii) five (5) Business Days prior to the Maturity Date. The letters of credit listed in Schedule 3.1(a) issued by Issuing Banks under the Existing Credit Agreement shall be Letters of Credit under this Agreement.</w:t>
      </w:r>
    </w:p>
    <w:p>
      <w:pPr>
        <w:spacing w:after="0" w:line="110" w:lineRule="exact"/>
        <w:rPr>
          <w:rFonts w:ascii="Courier New" w:cs="Courier New" w:eastAsia="Courier New" w:hAnsi="Courier New"/>
          <w:sz w:val="16"/>
          <w:szCs w:val="16"/>
          <w:color w:val="auto"/>
        </w:rPr>
      </w:pPr>
    </w:p>
    <w:p>
      <w:pPr>
        <w:ind w:left="560" w:right="2779" w:firstLine="830"/>
        <w:spacing w:after="0" w:line="245" w:lineRule="auto"/>
        <w:tabs>
          <w:tab w:leader="none" w:pos="176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Letter of Credit shall be denominated in Dollars. Each Bank severally agrees that it shall be absolutely liable, without regard to the occurrence of any Default or Event of Default, the termination of the Total Commitment pursuant to Section 12.2,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pacing w:after="0" w:line="93" w:lineRule="exact"/>
        <w:rPr>
          <w:rFonts w:ascii="Courier New" w:cs="Courier New" w:eastAsia="Courier New" w:hAnsi="Courier New"/>
          <w:sz w:val="16"/>
          <w:szCs w:val="16"/>
          <w:color w:val="auto"/>
        </w:rPr>
      </w:pPr>
    </w:p>
    <w:p>
      <w:pPr>
        <w:ind w:left="560" w:right="2779" w:firstLine="830"/>
        <w:spacing w:after="0" w:line="258" w:lineRule="auto"/>
        <w:tabs>
          <w:tab w:leader="none" w:pos="176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ectPr>
          <w:pgSz w:w="11900" w:h="16838" w:orient="portrait"/>
          <w:cols w:equalWidth="0" w:num="1">
            <w:col w:w="9939"/>
          </w:cols>
          <w:pgMar w:left="520" w:top="269"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31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-25-</w:t>
      </w:r>
    </w:p>
    <w:p>
      <w:pPr>
        <w:spacing w:after="0" w:line="200" w:lineRule="exact"/>
        <w:rPr>
          <w:sz w:val="20"/>
          <w:szCs w:val="20"/>
          <w:color w:val="auto"/>
        </w:rPr>
      </w:pPr>
    </w:p>
    <w:p>
      <w:pPr>
        <w:spacing w:after="0" w:line="306"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80" w:lineRule="exact"/>
        <w:rPr>
          <w:sz w:val="20"/>
          <w:szCs w:val="20"/>
          <w:color w:val="auto"/>
        </w:rPr>
      </w:pPr>
    </w:p>
    <w:p>
      <w:pPr>
        <w:ind w:left="840" w:right="2779" w:firstLine="830"/>
        <w:spacing w:after="0" w:line="246" w:lineRule="auto"/>
        <w:tabs>
          <w:tab w:leader="none" w:pos="204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Sections 12.1(g) or 12.1(h) has occurred, become automatically a Syndicated Loan which is a Base Rate Loan advanced hereunder in an amount equal to such sum; and</w:t>
      </w:r>
    </w:p>
    <w:p>
      <w:pPr>
        <w:spacing w:after="0" w:line="96" w:lineRule="exact"/>
        <w:rPr>
          <w:rFonts w:ascii="Courier New" w:cs="Courier New" w:eastAsia="Courier New" w:hAnsi="Courier New"/>
          <w:sz w:val="16"/>
          <w:szCs w:val="16"/>
          <w:color w:val="auto"/>
        </w:rPr>
      </w:pPr>
    </w:p>
    <w:p>
      <w:pPr>
        <w:ind w:left="840" w:right="2779" w:firstLine="830"/>
        <w:spacing w:after="0" w:line="258" w:lineRule="auto"/>
        <w:tabs>
          <w:tab w:leader="none" w:pos="2049"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Maturity Date or the acceleration of the Reimbursement Obligations with respect to all Letters of Credit in accordance with Section 12, an amount equal to the then Maximum Drawing Amount of all Letters of Credit shall be paid by the Borrower to the Administrative Agent to be held as cash collateral for the applicable Reimbursement Obligations.</w:t>
      </w:r>
    </w:p>
    <w:p>
      <w:pPr>
        <w:spacing w:after="0" w:line="200" w:lineRule="exact"/>
        <w:rPr>
          <w:sz w:val="20"/>
          <w:szCs w:val="20"/>
          <w:color w:val="auto"/>
        </w:rPr>
      </w:pPr>
    </w:p>
    <w:p>
      <w:pPr>
        <w:spacing w:after="0" w:line="241"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ectPr>
          <w:pgSz w:w="11900" w:h="16838" w:orient="portrait"/>
          <w:cols w:equalWidth="0" w:num="1">
            <w:col w:w="10219"/>
          </w:cols>
          <w:pgMar w:left="240" w:top="269"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32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-26-</w:t>
      </w:r>
    </w:p>
    <w:p>
      <w:pPr>
        <w:spacing w:after="0" w:line="327" w:lineRule="exact"/>
        <w:rPr>
          <w:sz w:val="20"/>
          <w:szCs w:val="20"/>
          <w:color w:val="auto"/>
        </w:rPr>
      </w:pPr>
    </w:p>
    <w:p>
      <w:pPr>
        <w:ind w:right="2879" w:firstLine="837"/>
        <w:spacing w:after="0" w:line="250" w:lineRule="auto"/>
        <w:rPr>
          <w:sz w:val="20"/>
          <w:szCs w:val="20"/>
          <w:color w:val="auto"/>
        </w:rPr>
      </w:pPr>
      <w:r>
        <w:rPr>
          <w:rFonts w:ascii="Courier New" w:cs="Courier New" w:eastAsia="Courier New" w:hAnsi="Courier New"/>
          <w:sz w:val="16"/>
          <w:szCs w:val="16"/>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90"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88" w:lineRule="exact"/>
        <w:rPr>
          <w:sz w:val="20"/>
          <w:szCs w:val="20"/>
          <w:color w:val="auto"/>
        </w:rPr>
      </w:pPr>
    </w:p>
    <w:p>
      <w:pPr>
        <w:ind w:right="2879" w:firstLine="837"/>
        <w:spacing w:after="0" w:line="247" w:lineRule="auto"/>
        <w:rPr>
          <w:sz w:val="20"/>
          <w:szCs w:val="20"/>
          <w:color w:val="auto"/>
        </w:rPr>
      </w:pPr>
      <w:r>
        <w:rPr>
          <w:rFonts w:ascii="Courier New" w:cs="Courier New" w:eastAsia="Courier New" w:hAnsi="Courier New"/>
          <w:sz w:val="16"/>
          <w:szCs w:val="16"/>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with the first such payment commencing October 1, 2001, and on the Maturity Date. In addition, an issuing fee (the "Issuance Fee") with respect to each Letter of Credit to be agreed upon annually between the Borrower and each Issuing Bank shall be payable by the Borrower to such Issuing Bank for its account.</w:t>
      </w:r>
    </w:p>
    <w:p>
      <w:pPr>
        <w:spacing w:after="0" w:line="9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4. COMPETITIVE BID LOANS.</w:t>
      </w:r>
    </w:p>
    <w:p>
      <w:pPr>
        <w:spacing w:after="0" w:line="177" w:lineRule="exact"/>
        <w:rPr>
          <w:sz w:val="20"/>
          <w:szCs w:val="20"/>
          <w:color w:val="auto"/>
        </w:rPr>
      </w:pPr>
    </w:p>
    <w:p>
      <w:pPr>
        <w:ind w:right="2779" w:firstLine="837"/>
        <w:spacing w:after="0" w:line="288" w:lineRule="auto"/>
        <w:rPr>
          <w:sz w:val="20"/>
          <w:szCs w:val="20"/>
          <w:color w:val="auto"/>
        </w:rPr>
      </w:pPr>
      <w:r>
        <w:rPr>
          <w:rFonts w:ascii="Courier New" w:cs="Courier New" w:eastAsia="Courier New" w:hAnsi="Courier New"/>
          <w:sz w:val="14"/>
          <w:szCs w:val="14"/>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 4. 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2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4.2. COMPETITIVE BID LOAN ACCOUNTS; COMPETITIVE BID NOTES.</w:t>
      </w:r>
    </w:p>
    <w:p>
      <w:pPr>
        <w:sectPr>
          <w:pgSz w:w="11900" w:h="16838" w:orient="portrait"/>
          <w:cols w:equalWidth="0" w:num="1">
            <w:col w:w="10219"/>
          </w:cols>
          <w:pgMar w:left="240" w:top="269"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33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-27-</w:t>
      </w:r>
    </w:p>
    <w:p>
      <w:pPr>
        <w:spacing w:after="0" w:line="327" w:lineRule="exact"/>
        <w:rPr>
          <w:sz w:val="20"/>
          <w:szCs w:val="20"/>
          <w:color w:val="auto"/>
        </w:rPr>
      </w:pPr>
    </w:p>
    <w:p>
      <w:pPr>
        <w:ind w:left="840" w:right="2779" w:firstLine="830"/>
        <w:spacing w:after="0" w:line="287" w:lineRule="auto"/>
        <w:tabs>
          <w:tab w:leader="none" w:pos="204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Section 4.2, the Borrower's obligations with respect to Competitive Bid Loans are to be evidenced only as stated herein and not by separate promissory notes.</w:t>
      </w:r>
    </w:p>
    <w:p>
      <w:pPr>
        <w:spacing w:after="0" w:line="71" w:lineRule="exact"/>
        <w:rPr>
          <w:rFonts w:ascii="Courier New" w:cs="Courier New" w:eastAsia="Courier New" w:hAnsi="Courier New"/>
          <w:sz w:val="14"/>
          <w:szCs w:val="14"/>
          <w:color w:val="auto"/>
        </w:rPr>
      </w:pPr>
    </w:p>
    <w:p>
      <w:pPr>
        <w:ind w:left="840" w:right="2779" w:firstLine="830"/>
        <w:spacing w:after="0" w:line="282" w:lineRule="auto"/>
        <w:tabs>
          <w:tab w:leader="none" w:pos="204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and from time to time, request that any Competitive Bid Loans outstanding to such Bank be evidenced by a promissory note of the Borrower in substantially the form of Exhibit C hereto (each, a "Competitive Bid Note"), dated as of the Effective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253" w:lineRule="exact"/>
        <w:rPr>
          <w:rFonts w:ascii="Courier New" w:cs="Courier New" w:eastAsia="Courier New" w:hAnsi="Courier New"/>
          <w:sz w:val="14"/>
          <w:szCs w:val="14"/>
          <w:color w:val="auto"/>
        </w:rPr>
      </w:pPr>
    </w:p>
    <w:p>
      <w:pPr>
        <w:ind w:left="840" w:right="2779" w:firstLine="830"/>
        <w:spacing w:after="0" w:line="277" w:lineRule="auto"/>
        <w:tabs>
          <w:tab w:leader="none" w:pos="204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 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SECTION 4.3. COMPETITIVE BID QUOTE REQUEST; INVITATION FOR COMPETITIVE BID QUOTES.</w:t>
      </w:r>
    </w:p>
    <w:p>
      <w:pPr>
        <w:sectPr>
          <w:pgSz w:w="11900" w:h="16838" w:orient="portrait"/>
          <w:cols w:equalWidth="0" w:num="1">
            <w:col w:w="10219"/>
          </w:cols>
          <w:pgMar w:left="240" w:top="269"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34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-28-</w:t>
      </w:r>
    </w:p>
    <w:p>
      <w:pPr>
        <w:spacing w:after="0" w:line="327" w:lineRule="exact"/>
        <w:rPr>
          <w:sz w:val="20"/>
          <w:szCs w:val="20"/>
          <w:color w:val="auto"/>
        </w:rPr>
      </w:pPr>
    </w:p>
    <w:p>
      <w:pPr>
        <w:ind w:left="840" w:right="2779" w:firstLine="830"/>
        <w:spacing w:after="0" w:line="288" w:lineRule="auto"/>
        <w:tabs>
          <w:tab w:leader="none" w:pos="2049"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Borrower wishes to request offers to make Competitive Bid Loans under this Section 4, it shall transmit to the Administrative Agent by telex or facsimile a Competitive Bid Quote Request substantially in the form of Exhibit H hereto (a "Competitive Bid Quote Request") so as to be received no later than 1:00 p.m. (New York time) (x) five (5) Eurodollar Business Days prior to the requested Drawdown Date in the case of a Eurodollar Competitive Bid Loan (a "Eurodollar Competitive Bid Loan") or (y) one (1) Business Day prior to the requested Drawdown Date in the case of an Absolute Competitive Bid Loan (an "Absolute Competitive Bid Loan"), specifying:</w:t>
      </w:r>
    </w:p>
    <w:p>
      <w:pPr>
        <w:spacing w:after="0" w:line="254" w:lineRule="exact"/>
        <w:rPr>
          <w:rFonts w:ascii="Courier New" w:cs="Courier New" w:eastAsia="Courier New" w:hAnsi="Courier New"/>
          <w:sz w:val="14"/>
          <w:szCs w:val="14"/>
          <w:color w:val="auto"/>
        </w:rPr>
      </w:pPr>
    </w:p>
    <w:p>
      <w:pPr>
        <w:ind w:left="1660" w:right="3239" w:firstLine="847"/>
        <w:spacing w:after="0" w:line="272" w:lineRule="auto"/>
        <w:tabs>
          <w:tab w:leader="none" w:pos="2869"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requested Drawdown Date (which must be a Eurodollar Business Day in the case of a Eurodollar Competitive Bid Loan or a Business Day in the case of an Absolute Competitive Bid Loan);</w:t>
      </w:r>
    </w:p>
    <w:p>
      <w:pPr>
        <w:spacing w:after="0" w:line="72" w:lineRule="exact"/>
        <w:rPr>
          <w:rFonts w:ascii="Courier New" w:cs="Courier New" w:eastAsia="Courier New" w:hAnsi="Courier New"/>
          <w:sz w:val="16"/>
          <w:szCs w:val="16"/>
          <w:color w:val="auto"/>
        </w:rPr>
      </w:pPr>
    </w:p>
    <w:p>
      <w:pPr>
        <w:ind w:left="1660" w:right="3159" w:firstLine="847"/>
        <w:spacing w:after="0" w:line="289" w:lineRule="auto"/>
        <w:tabs>
          <w:tab w:leader="none" w:pos="2962"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such Competitive Bid Loans, which shall be $10,000,000 or larger multiple of $1,000,000;</w:t>
      </w:r>
    </w:p>
    <w:p>
      <w:pPr>
        <w:spacing w:after="0" w:line="60" w:lineRule="exact"/>
        <w:rPr>
          <w:rFonts w:ascii="Courier New" w:cs="Courier New" w:eastAsia="Courier New" w:hAnsi="Courier New"/>
          <w:sz w:val="16"/>
          <w:szCs w:val="16"/>
          <w:color w:val="auto"/>
        </w:rPr>
      </w:pPr>
    </w:p>
    <w:p>
      <w:pPr>
        <w:ind w:left="1660" w:right="3619" w:firstLine="847"/>
        <w:spacing w:after="0" w:line="348" w:lineRule="auto"/>
        <w:tabs>
          <w:tab w:leader="none" w:pos="3055"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Period(s) applicable thereto, subject to the provisions of the definition of Interest Period; and</w:t>
      </w:r>
    </w:p>
    <w:p>
      <w:pPr>
        <w:spacing w:after="0" w:line="25" w:lineRule="exact"/>
        <w:rPr>
          <w:rFonts w:ascii="Courier New" w:cs="Courier New" w:eastAsia="Courier New" w:hAnsi="Courier New"/>
          <w:sz w:val="14"/>
          <w:szCs w:val="14"/>
          <w:color w:val="auto"/>
        </w:rPr>
      </w:pPr>
    </w:p>
    <w:p>
      <w:pPr>
        <w:ind w:left="1660" w:right="2779" w:firstLine="847"/>
        <w:spacing w:after="0" w:line="289" w:lineRule="auto"/>
        <w:tabs>
          <w:tab w:leader="none" w:pos="2962"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Competitive Bid Quotes requested are for Eurodollar Competitive Bid Loans or Absolute Competitive Bid Loans.</w:t>
      </w:r>
    </w:p>
    <w:p>
      <w:pPr>
        <w:spacing w:after="0" w:line="61" w:lineRule="exact"/>
        <w:rPr>
          <w:sz w:val="20"/>
          <w:szCs w:val="20"/>
          <w:color w:val="auto"/>
        </w:rPr>
      </w:pPr>
    </w:p>
    <w:p>
      <w:pPr>
        <w:ind w:left="840" w:right="2779"/>
        <w:spacing w:after="0" w:line="258" w:lineRule="auto"/>
        <w:rPr>
          <w:sz w:val="20"/>
          <w:szCs w:val="20"/>
          <w:color w:val="auto"/>
        </w:rPr>
      </w:pPr>
      <w:r>
        <w:rPr>
          <w:rFonts w:ascii="Courier New" w:cs="Courier New" w:eastAsia="Courier New" w:hAnsi="Courier New"/>
          <w:sz w:val="16"/>
          <w:szCs w:val="16"/>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83" w:lineRule="exact"/>
        <w:rPr>
          <w:sz w:val="20"/>
          <w:szCs w:val="20"/>
          <w:color w:val="auto"/>
        </w:rPr>
      </w:pPr>
    </w:p>
    <w:p>
      <w:pPr>
        <w:ind w:left="840" w:right="2879" w:firstLine="830"/>
        <w:spacing w:after="0" w:line="258" w:lineRule="auto"/>
        <w:tabs>
          <w:tab w:leader="none" w:pos="2049"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pacing w:after="0" w:line="83" w:lineRule="exact"/>
        <w:rPr>
          <w:sz w:val="20"/>
          <w:szCs w:val="20"/>
          <w:color w:val="auto"/>
        </w:rPr>
      </w:pPr>
    </w:p>
    <w:p>
      <w:pPr>
        <w:ind w:right="2779" w:firstLine="837"/>
        <w:spacing w:after="0" w:line="287" w:lineRule="auto"/>
        <w:rPr>
          <w:sz w:val="20"/>
          <w:szCs w:val="20"/>
          <w:color w:val="auto"/>
        </w:rPr>
      </w:pPr>
      <w:r>
        <w:rPr>
          <w:rFonts w:ascii="Courier New" w:cs="Courier New" w:eastAsia="Courier New" w:hAnsi="Courier New"/>
          <w:sz w:val="14"/>
          <w:szCs w:val="14"/>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 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ectPr>
          <w:pgSz w:w="11900" w:h="16838" w:orient="portrait"/>
          <w:cols w:equalWidth="0" w:num="1">
            <w:col w:w="10219"/>
          </w:cols>
          <w:pgMar w:left="240" w:top="269"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6"/>
          <w:szCs w:val="16"/>
          <w:color w:val="auto"/>
        </w:rPr>
        <w:t>35</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-29-</w:t>
      </w: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4.5. SUBMISSION AND CONTENTS OF COMPETITIVE BID QUOTES.</w:t>
      </w:r>
    </w:p>
    <w:p>
      <w:pPr>
        <w:spacing w:after="0" w:line="177" w:lineRule="exact"/>
        <w:rPr>
          <w:sz w:val="20"/>
          <w:szCs w:val="20"/>
          <w:color w:val="auto"/>
        </w:rPr>
      </w:pPr>
    </w:p>
    <w:p>
      <w:pPr>
        <w:ind w:left="560" w:right="2779" w:firstLine="830"/>
        <w:spacing w:after="0" w:line="279" w:lineRule="auto"/>
        <w:tabs>
          <w:tab w:leader="none" w:pos="1769"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22 not later than (x) 2:00 p.m. (New York time) on the fourth Eurodollar Business Day prior to the proposed Drawdown Date, in the case of a Eurodollar Competitive Bid Loan or (y) 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Eurodollar Competitive Bid Loan or (y) 15 minutes prior to the deadline for the other Banks, in the case of an Absolute Competitive Bid Loan. Subject to the provisions of Sections 10 and 11 hereof, any Competitive Bid Quote so made shall be irrevocable except with the written consent of the Administrative Agent given on the instructions of the Borrower.</w:t>
      </w:r>
    </w:p>
    <w:p>
      <w:pPr>
        <w:spacing w:after="0" w:line="259" w:lineRule="exact"/>
        <w:rPr>
          <w:rFonts w:ascii="Courier New" w:cs="Courier New" w:eastAsia="Courier New" w:hAnsi="Courier New"/>
          <w:sz w:val="14"/>
          <w:szCs w:val="14"/>
          <w:color w:val="auto"/>
        </w:rPr>
      </w:pPr>
    </w:p>
    <w:p>
      <w:pPr>
        <w:ind w:left="560" w:right="2959" w:firstLine="830"/>
        <w:spacing w:after="0" w:line="342" w:lineRule="auto"/>
        <w:tabs>
          <w:tab w:leader="none" w:pos="1769"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Competitive Bid Quote shall be in substantially the form of Exhibit J hereto and shall in any case specify:</w:t>
      </w:r>
    </w:p>
    <w:p>
      <w:pPr>
        <w:spacing w:after="0" w:line="20" w:lineRule="exact"/>
        <w:rPr>
          <w:rFonts w:ascii="Courier New" w:cs="Courier New" w:eastAsia="Courier New" w:hAnsi="Courier New"/>
          <w:sz w:val="16"/>
          <w:szCs w:val="16"/>
          <w:color w:val="auto"/>
        </w:rPr>
      </w:pPr>
    </w:p>
    <w:p>
      <w:pPr>
        <w:ind w:left="2600" w:hanging="373"/>
        <w:spacing w:after="0"/>
        <w:tabs>
          <w:tab w:leader="none" w:pos="2600"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Drawdown Date;</w:t>
      </w:r>
    </w:p>
    <w:p>
      <w:pPr>
        <w:spacing w:after="0" w:line="176" w:lineRule="exact"/>
        <w:rPr>
          <w:rFonts w:ascii="Courier New" w:cs="Courier New" w:eastAsia="Courier New" w:hAnsi="Courier New"/>
          <w:sz w:val="16"/>
          <w:szCs w:val="16"/>
          <w:color w:val="auto"/>
        </w:rPr>
      </w:pPr>
    </w:p>
    <w:p>
      <w:pPr>
        <w:ind w:left="1380" w:right="2779" w:firstLine="847"/>
        <w:spacing w:after="0" w:line="291" w:lineRule="auto"/>
        <w:tabs>
          <w:tab w:leader="none" w:pos="2682"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Competitive Bid Loan for which each proposal is being made, which principal amount</w:t>
      </w:r>
    </w:p>
    <w:p>
      <w:pPr>
        <w:spacing w:after="0" w:line="1" w:lineRule="exact"/>
        <w:rPr>
          <w:rFonts w:ascii="Courier New" w:cs="Courier New" w:eastAsia="Courier New" w:hAnsi="Courier New"/>
          <w:sz w:val="14"/>
          <w:szCs w:val="14"/>
          <w:color w:val="auto"/>
        </w:rPr>
      </w:pPr>
    </w:p>
    <w:p>
      <w:pPr>
        <w:ind w:left="1380" w:right="2879" w:firstLine="10"/>
        <w:spacing w:after="0" w:line="270" w:lineRule="auto"/>
        <w:tabs>
          <w:tab w:leader="none" w:pos="1752"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be greater than or less than the Commitment of the quoting Bank, (x) must be $5,000,000 or a larger multiple of $1,000,000, (y) may not exceed the aggregate principal amount of Competitive Bid Loans for which offers were requested and</w:t>
      </w:r>
    </w:p>
    <w:p>
      <w:pPr>
        <w:spacing w:after="0" w:line="1" w:lineRule="exact"/>
        <w:rPr>
          <w:rFonts w:ascii="Courier New" w:cs="Courier New" w:eastAsia="Courier New" w:hAnsi="Courier New"/>
          <w:sz w:val="14"/>
          <w:szCs w:val="14"/>
          <w:color w:val="auto"/>
        </w:rPr>
      </w:pPr>
    </w:p>
    <w:p>
      <w:pPr>
        <w:ind w:left="1380" w:right="3159" w:firstLine="10"/>
        <w:spacing w:after="0" w:line="271" w:lineRule="auto"/>
        <w:tabs>
          <w:tab w:leader="none" w:pos="1752"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subject to an aggregate limitation as to the principal amount of Competitive Bid Loans for which offers being made by such quoting Bank may be accepted;</w:t>
      </w:r>
    </w:p>
    <w:p>
      <w:pPr>
        <w:spacing w:after="0" w:line="73" w:lineRule="exact"/>
        <w:rPr>
          <w:rFonts w:ascii="Courier New" w:cs="Courier New" w:eastAsia="Courier New" w:hAnsi="Courier New"/>
          <w:sz w:val="16"/>
          <w:szCs w:val="16"/>
          <w:color w:val="auto"/>
        </w:rPr>
      </w:pPr>
    </w:p>
    <w:p>
      <w:pPr>
        <w:ind w:left="1380" w:right="3059" w:firstLine="847"/>
        <w:spacing w:after="0" w:line="342" w:lineRule="auto"/>
        <w:tabs>
          <w:tab w:leader="none" w:pos="2775"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Period(s) for which Competitive Bid Quotes are being submitted;</w:t>
      </w:r>
    </w:p>
    <w:p>
      <w:pPr>
        <w:spacing w:after="0" w:line="20" w:lineRule="exact"/>
        <w:rPr>
          <w:rFonts w:ascii="Courier New" w:cs="Courier New" w:eastAsia="Courier New" w:hAnsi="Courier New"/>
          <w:sz w:val="16"/>
          <w:szCs w:val="16"/>
          <w:color w:val="auto"/>
        </w:rPr>
      </w:pPr>
    </w:p>
    <w:p>
      <w:pPr>
        <w:ind w:left="1380" w:right="2779" w:firstLine="847"/>
        <w:spacing w:after="0" w:line="258" w:lineRule="auto"/>
        <w:tabs>
          <w:tab w:leader="none" w:pos="2682"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Eurodollar Competitive Bid Loan, the margin above or below the applicable Eurodollar Rate (the "Competitive Bid Margin") offered for each such Competitive Bid Loan, expressed as a percentage (specified to the nearest 1/10,000th of 1%) to be added to or subtracted from such Eurodollar Rate;</w:t>
      </w:r>
    </w:p>
    <w:p>
      <w:pPr>
        <w:spacing w:after="0" w:line="83" w:lineRule="exact"/>
        <w:rPr>
          <w:rFonts w:ascii="Courier New" w:cs="Courier New" w:eastAsia="Courier New" w:hAnsi="Courier New"/>
          <w:sz w:val="16"/>
          <w:szCs w:val="16"/>
          <w:color w:val="auto"/>
        </w:rPr>
      </w:pPr>
    </w:p>
    <w:p>
      <w:pPr>
        <w:ind w:left="1380" w:right="2879" w:firstLine="847"/>
        <w:spacing w:after="0" w:line="272" w:lineRule="auto"/>
        <w:tabs>
          <w:tab w:leader="none" w:pos="2589"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Absolute Competitive Bid Loan, the rate of interest per annum (specified to the nearest 1/10,000th of 1%) (the "Competitive Bid Rate") offered for each such Absolute Competitive Bid Loan; and</w:t>
      </w:r>
    </w:p>
    <w:p>
      <w:pPr>
        <w:spacing w:after="0" w:line="72" w:lineRule="exact"/>
        <w:rPr>
          <w:rFonts w:ascii="Courier New" w:cs="Courier New" w:eastAsia="Courier New" w:hAnsi="Courier New"/>
          <w:sz w:val="16"/>
          <w:szCs w:val="16"/>
          <w:color w:val="auto"/>
        </w:rPr>
      </w:pPr>
    </w:p>
    <w:p>
      <w:pPr>
        <w:ind w:left="2700" w:hanging="473"/>
        <w:spacing w:after="0"/>
        <w:tabs>
          <w:tab w:leader="none" w:pos="270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of the quoting Bank.</w:t>
      </w:r>
    </w:p>
    <w:p>
      <w:pPr>
        <w:sectPr>
          <w:pgSz w:w="11900" w:h="16838" w:orient="portrait"/>
          <w:cols w:equalWidth="0" w:num="1">
            <w:col w:w="9939"/>
          </w:cols>
          <w:pgMar w:left="520" w:top="269" w:right="1440" w:bottom="1440" w:gutter="0" w:footer="0" w:header="0"/>
        </w:sectPr>
      </w:pPr>
    </w:p>
    <w:bookmarkStart w:id="80" w:name="page81"/>
    <w:bookmarkEnd w:id="80"/>
    <w:p>
      <w:pPr>
        <w:ind w:left="285"/>
        <w:spacing w:after="0"/>
        <w:rPr>
          <w:sz w:val="20"/>
          <w:szCs w:val="20"/>
          <w:color w:val="auto"/>
        </w:rPr>
      </w:pPr>
      <w:r>
        <w:rPr>
          <w:rFonts w:ascii="Courier New" w:cs="Courier New" w:eastAsia="Courier New" w:hAnsi="Courier New"/>
          <w:sz w:val="16"/>
          <w:szCs w:val="16"/>
          <w:color w:val="auto"/>
        </w:rPr>
        <w:t>36</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-30-</w:t>
      </w:r>
    </w:p>
    <w:p>
      <w:pPr>
        <w:spacing w:after="0" w:line="327" w:lineRule="exact"/>
        <w:rPr>
          <w:sz w:val="20"/>
          <w:szCs w:val="20"/>
          <w:color w:val="auto"/>
        </w:rPr>
      </w:pPr>
    </w:p>
    <w:p>
      <w:pPr>
        <w:ind w:left="845" w:right="2959"/>
        <w:spacing w:after="0" w:line="289" w:lineRule="auto"/>
        <w:rPr>
          <w:sz w:val="20"/>
          <w:szCs w:val="20"/>
          <w:color w:val="auto"/>
        </w:rPr>
      </w:pPr>
      <w:r>
        <w:rPr>
          <w:rFonts w:ascii="Courier New" w:cs="Courier New" w:eastAsia="Courier New" w:hAnsi="Courier New"/>
          <w:sz w:val="16"/>
          <w:szCs w:val="16"/>
          <w:color w:val="auto"/>
        </w:rPr>
        <w:t>A Competitive Bid Quote may include up to five separate offers by the quoting Bank with respect to each Interest Period specified in the related Invitation for Competitive Bid Quotes.</w:t>
      </w:r>
    </w:p>
    <w:p>
      <w:pPr>
        <w:spacing w:after="0" w:line="61" w:lineRule="exact"/>
        <w:rPr>
          <w:sz w:val="20"/>
          <w:szCs w:val="20"/>
          <w:color w:val="auto"/>
        </w:rPr>
      </w:pPr>
    </w:p>
    <w:p>
      <w:pPr>
        <w:ind w:left="2045" w:hanging="370"/>
        <w:spacing w:after="0"/>
        <w:tabs>
          <w:tab w:leader="none" w:pos="204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Competitive Bid Quote shall be disregarded if it:</w:t>
      </w:r>
    </w:p>
    <w:p>
      <w:pPr>
        <w:spacing w:after="0" w:line="176" w:lineRule="exact"/>
        <w:rPr>
          <w:rFonts w:ascii="Courier New" w:cs="Courier New" w:eastAsia="Courier New" w:hAnsi="Courier New"/>
          <w:sz w:val="16"/>
          <w:szCs w:val="16"/>
          <w:color w:val="auto"/>
        </w:rPr>
      </w:pPr>
    </w:p>
    <w:p>
      <w:pPr>
        <w:ind w:left="2885" w:hanging="373"/>
        <w:spacing w:after="0"/>
        <w:tabs>
          <w:tab w:leader="none" w:pos="288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substantially in the form of Exhibit J</w:t>
      </w:r>
    </w:p>
    <w:p>
      <w:pPr>
        <w:spacing w:after="0" w:line="25" w:lineRule="exact"/>
        <w:rPr>
          <w:rFonts w:ascii="Courier New" w:cs="Courier New" w:eastAsia="Courier New" w:hAnsi="Courier New"/>
          <w:sz w:val="16"/>
          <w:szCs w:val="16"/>
          <w:color w:val="auto"/>
        </w:rPr>
      </w:pPr>
    </w:p>
    <w:p>
      <w:pPr>
        <w:ind w:left="16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hereto;</w:t>
      </w:r>
    </w:p>
    <w:p>
      <w:pPr>
        <w:spacing w:after="0" w:line="148" w:lineRule="exact"/>
        <w:rPr>
          <w:rFonts w:ascii="Courier New" w:cs="Courier New" w:eastAsia="Courier New" w:hAnsi="Courier New"/>
          <w:sz w:val="16"/>
          <w:szCs w:val="16"/>
          <w:color w:val="auto"/>
        </w:rPr>
      </w:pPr>
    </w:p>
    <w:p>
      <w:pPr>
        <w:ind w:left="2985" w:hanging="473"/>
        <w:spacing w:after="0"/>
        <w:tabs>
          <w:tab w:leader="none" w:pos="298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contains qualifying, conditional or similar</w:t>
      </w:r>
    </w:p>
    <w:p>
      <w:pPr>
        <w:spacing w:after="0" w:line="25" w:lineRule="exact"/>
        <w:rPr>
          <w:rFonts w:ascii="Courier New" w:cs="Courier New" w:eastAsia="Courier New" w:hAnsi="Courier New"/>
          <w:sz w:val="16"/>
          <w:szCs w:val="16"/>
          <w:color w:val="auto"/>
        </w:rPr>
      </w:pPr>
    </w:p>
    <w:p>
      <w:pPr>
        <w:ind w:left="16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language;</w:t>
      </w:r>
    </w:p>
    <w:p>
      <w:pPr>
        <w:spacing w:after="0" w:line="148" w:lineRule="exact"/>
        <w:rPr>
          <w:rFonts w:ascii="Courier New" w:cs="Courier New" w:eastAsia="Courier New" w:hAnsi="Courier New"/>
          <w:sz w:val="16"/>
          <w:szCs w:val="16"/>
          <w:color w:val="auto"/>
        </w:rPr>
      </w:pPr>
    </w:p>
    <w:p>
      <w:pPr>
        <w:ind w:left="1665" w:right="2959" w:firstLine="847"/>
        <w:spacing w:after="0" w:line="289" w:lineRule="auto"/>
        <w:tabs>
          <w:tab w:leader="none" w:pos="3060"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proposes terms other than or in addition to those set forth in the applicable Invitation for Competitive Bid Quotes; or</w:t>
      </w:r>
    </w:p>
    <w:p>
      <w:pPr>
        <w:spacing w:after="0" w:line="60" w:lineRule="exact"/>
        <w:rPr>
          <w:rFonts w:ascii="Courier New" w:cs="Courier New" w:eastAsia="Courier New" w:hAnsi="Courier New"/>
          <w:sz w:val="16"/>
          <w:szCs w:val="16"/>
          <w:color w:val="auto"/>
        </w:rPr>
      </w:pPr>
    </w:p>
    <w:p>
      <w:pPr>
        <w:ind w:left="2985" w:hanging="473"/>
        <w:spacing w:after="0"/>
        <w:tabs>
          <w:tab w:leader="none" w:pos="2985" w:val="left"/>
        </w:tabs>
        <w:numPr>
          <w:ilvl w:val="1"/>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arrives after the time set forth in Section</w:t>
      </w:r>
    </w:p>
    <w:p>
      <w:pPr>
        <w:spacing w:after="0" w:line="25" w:lineRule="exact"/>
        <w:rPr>
          <w:rFonts w:ascii="Courier New" w:cs="Courier New" w:eastAsia="Courier New" w:hAnsi="Courier New"/>
          <w:sz w:val="16"/>
          <w:szCs w:val="16"/>
          <w:color w:val="auto"/>
        </w:rPr>
      </w:pPr>
    </w:p>
    <w:p>
      <w:pPr>
        <w:ind w:left="16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4.5(a) hereof.</w:t>
      </w:r>
    </w:p>
    <w:p>
      <w:pPr>
        <w:spacing w:after="0" w:line="149" w:lineRule="exact"/>
        <w:rPr>
          <w:sz w:val="20"/>
          <w:szCs w:val="20"/>
          <w:color w:val="auto"/>
        </w:rPr>
      </w:pPr>
    </w:p>
    <w:p>
      <w:pPr>
        <w:ind w:left="5" w:right="2879" w:firstLine="837"/>
        <w:spacing w:after="0" w:line="276" w:lineRule="auto"/>
        <w:rPr>
          <w:sz w:val="20"/>
          <w:szCs w:val="20"/>
          <w:color w:val="auto"/>
        </w:rPr>
      </w:pPr>
      <w:r>
        <w:rPr>
          <w:rFonts w:ascii="Courier New" w:cs="Courier New" w:eastAsia="Courier New" w:hAnsi="Courier New"/>
          <w:sz w:val="14"/>
          <w:szCs w:val="14"/>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w:t>
      </w:r>
    </w:p>
    <w:p>
      <w:pPr>
        <w:spacing w:after="0" w:line="161" w:lineRule="exact"/>
        <w:rPr>
          <w:sz w:val="20"/>
          <w:szCs w:val="20"/>
          <w:color w:val="auto"/>
        </w:rPr>
      </w:pPr>
    </w:p>
    <w:p>
      <w:pPr>
        <w:jc w:val="both"/>
        <w:ind w:left="5" w:right="2879" w:hanging="5"/>
        <w:spacing w:after="0" w:line="383" w:lineRule="auto"/>
        <w:tabs>
          <w:tab w:leader="none" w:pos="37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limitations on the aggregate principal amount of Competitive Bid Loans for which offers in any single Competitive Bid Quote may be accepted.</w:t>
      </w:r>
    </w:p>
    <w:p>
      <w:pPr>
        <w:spacing w:after="0" w:line="2" w:lineRule="exact"/>
        <w:rPr>
          <w:sz w:val="20"/>
          <w:szCs w:val="20"/>
          <w:color w:val="auto"/>
        </w:rPr>
      </w:pPr>
    </w:p>
    <w:p>
      <w:pPr>
        <w:ind w:left="5" w:right="3059" w:firstLine="837"/>
        <w:spacing w:after="0" w:line="292" w:lineRule="auto"/>
        <w:rPr>
          <w:sz w:val="20"/>
          <w:szCs w:val="20"/>
          <w:color w:val="auto"/>
        </w:rPr>
      </w:pPr>
      <w:r>
        <w:rPr>
          <w:rFonts w:ascii="Courier New" w:cs="Courier New" w:eastAsia="Courier New" w:hAnsi="Courier New"/>
          <w:sz w:val="14"/>
          <w:szCs w:val="14"/>
          <w:color w:val="auto"/>
        </w:rPr>
        <w:t>SECTION 4.7. ACCEPTANCE AND NOTICE BY BORROWER AND ADMINISTRATIVE AGENT. Not later than 11:00 a.m. (New York time) on (x) the third Eurodollar Business Day prior to the proposed Drawdown Date, in the case of a Eurodollar Competitive Bid Loan or (y) the proposed Drawdown Date, in the case of an Absolute Competitive Bid Loan, the Borrower shall notify the Administrative Agent of its acceptance or non-acceptance of each Competitive Bid Quote in substantially the form of Exhibit K hereto. The Borrower may accept any Competitive Bid Quote in whole or in part; provided that:</w:t>
      </w:r>
    </w:p>
    <w:p>
      <w:pPr>
        <w:spacing w:after="0" w:line="66" w:lineRule="exact"/>
        <w:rPr>
          <w:sz w:val="20"/>
          <w:szCs w:val="20"/>
          <w:color w:val="auto"/>
        </w:rPr>
      </w:pPr>
    </w:p>
    <w:p>
      <w:pPr>
        <w:ind w:left="845" w:right="3159" w:firstLine="830"/>
        <w:spacing w:after="0" w:line="289" w:lineRule="auto"/>
        <w:tabs>
          <w:tab w:leader="none" w:pos="205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each Competitive Bid Loan may not exceed the applicable amount set forth in the related Competitive Bid Quote Request;</w:t>
      </w:r>
    </w:p>
    <w:p>
      <w:pPr>
        <w:spacing w:after="0" w:line="60" w:lineRule="exact"/>
        <w:rPr>
          <w:rFonts w:ascii="Courier New" w:cs="Courier New" w:eastAsia="Courier New" w:hAnsi="Courier New"/>
          <w:sz w:val="16"/>
          <w:szCs w:val="16"/>
          <w:color w:val="auto"/>
        </w:rPr>
      </w:pPr>
    </w:p>
    <w:p>
      <w:pPr>
        <w:ind w:left="845" w:right="2779" w:firstLine="830"/>
        <w:spacing w:after="0" w:line="289" w:lineRule="auto"/>
        <w:tabs>
          <w:tab w:leader="none" w:pos="2147"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offers may only be made on the basis of ascending Competitive Bid Margins or Competitive Bid Rates, as the case may be, and</w:t>
      </w:r>
    </w:p>
    <w:p>
      <w:pPr>
        <w:sectPr>
          <w:pgSz w:w="11900" w:h="16838" w:orient="portrait"/>
          <w:cols w:equalWidth="0" w:num="1">
            <w:col w:w="10224"/>
          </w:cols>
          <w:pgMar w:left="235" w:top="269"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37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-31-</w:t>
      </w:r>
    </w:p>
    <w:p>
      <w:pPr>
        <w:spacing w:after="0" w:line="327" w:lineRule="exact"/>
        <w:rPr>
          <w:sz w:val="20"/>
          <w:szCs w:val="20"/>
          <w:color w:val="auto"/>
        </w:rPr>
      </w:pPr>
    </w:p>
    <w:p>
      <w:pPr>
        <w:ind w:left="840" w:right="2879" w:firstLine="830"/>
        <w:spacing w:after="0" w:line="289" w:lineRule="auto"/>
        <w:tabs>
          <w:tab w:leader="none" w:pos="223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not accept any offer that is described in subsection 4.5(c) or that otherwise fails to comply with the requirements of this Agreement.</w:t>
      </w:r>
    </w:p>
    <w:p>
      <w:pPr>
        <w:spacing w:after="0" w:line="61" w:lineRule="exact"/>
        <w:rPr>
          <w:sz w:val="20"/>
          <w:szCs w:val="20"/>
          <w:color w:val="auto"/>
        </w:rPr>
      </w:pPr>
    </w:p>
    <w:p>
      <w:pPr>
        <w:ind w:right="2779"/>
        <w:spacing w:after="0" w:line="296" w:lineRule="auto"/>
        <w:rPr>
          <w:sz w:val="20"/>
          <w:szCs w:val="20"/>
          <w:color w:val="auto"/>
        </w:rPr>
      </w:pPr>
      <w:r>
        <w:rPr>
          <w:rFonts w:ascii="Courier New" w:cs="Courier New" w:eastAsia="Courier New" w:hAnsi="Courier New"/>
          <w:sz w:val="14"/>
          <w:szCs w:val="14"/>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62" w:lineRule="exact"/>
        <w:rPr>
          <w:sz w:val="20"/>
          <w:szCs w:val="20"/>
          <w:color w:val="auto"/>
        </w:rPr>
      </w:pPr>
    </w:p>
    <w:p>
      <w:pPr>
        <w:ind w:right="2879" w:firstLine="837"/>
        <w:spacing w:after="0" w:line="247" w:lineRule="auto"/>
        <w:rPr>
          <w:sz w:val="20"/>
          <w:szCs w:val="20"/>
          <w:color w:val="auto"/>
        </w:rPr>
      </w:pPr>
      <w:r>
        <w:rPr>
          <w:rFonts w:ascii="Courier New" w:cs="Courier New" w:eastAsia="Courier New" w:hAnsi="Courier New"/>
          <w:sz w:val="16"/>
          <w:szCs w:val="16"/>
          <w:color w:val="auto"/>
        </w:rPr>
        <w:t>SECTION 4.8. ALLOCATION BY ADMINISTRATIVE AGENT. If offers are made by two or more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95"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SECTION 4.9. FUNDING OF COMPETITIVE BID LOANS. If, on or prior to the Drawdown Date of any Competitive Bid Loan, the Total Commitment has not terminated in full and if, on such Drawdown Date, the applicable conditions of Sections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90"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Section 5.8.</w:t>
      </w:r>
    </w:p>
    <w:p>
      <w:pPr>
        <w:spacing w:after="0" w:line="95"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SECTION 4.11. REPAYMENT OF COMPETITIVE BID LOANS; INTEREST. The principal of each Competitive Bid Loan shall become absolutely due and payable by the Borrower on the last day</w:t>
      </w:r>
    </w:p>
    <w:p>
      <w:pPr>
        <w:sectPr>
          <w:pgSz w:w="11900" w:h="16838" w:orient="portrait"/>
          <w:cols w:equalWidth="0" w:num="1">
            <w:col w:w="10219"/>
          </w:cols>
          <w:pgMar w:left="240" w:top="268" w:right="1440" w:bottom="1440" w:gutter="0" w:footer="0" w:header="0"/>
        </w:sectPr>
      </w:pPr>
    </w:p>
    <w:bookmarkStart w:id="82" w:name="page83"/>
    <w:bookmarkEnd w:id="82"/>
    <w:p>
      <w:pPr>
        <w:ind w:left="285"/>
        <w:spacing w:after="0"/>
        <w:rPr>
          <w:sz w:val="20"/>
          <w:szCs w:val="20"/>
          <w:color w:val="auto"/>
        </w:rPr>
      </w:pPr>
      <w:r>
        <w:rPr>
          <w:rFonts w:ascii="Courier New" w:cs="Courier New" w:eastAsia="Courier New" w:hAnsi="Courier New"/>
          <w:sz w:val="16"/>
          <w:szCs w:val="16"/>
          <w:color w:val="auto"/>
        </w:rPr>
        <w:t>38</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-32-</w:t>
      </w:r>
    </w:p>
    <w:p>
      <w:pPr>
        <w:spacing w:after="0" w:line="327" w:lineRule="exact"/>
        <w:rPr>
          <w:sz w:val="20"/>
          <w:szCs w:val="20"/>
          <w:color w:val="auto"/>
        </w:rPr>
      </w:pPr>
    </w:p>
    <w:p>
      <w:pPr>
        <w:ind w:left="5" w:right="2779"/>
        <w:spacing w:after="0" w:line="276" w:lineRule="auto"/>
        <w:rPr>
          <w:sz w:val="20"/>
          <w:szCs w:val="20"/>
          <w:color w:val="auto"/>
        </w:rPr>
      </w:pPr>
      <w:r>
        <w:rPr>
          <w:rFonts w:ascii="Courier New" w:cs="Courier New" w:eastAsia="Courier New" w:hAnsi="Courier New"/>
          <w:sz w:val="14"/>
          <w:szCs w:val="14"/>
          <w:color w:val="auto"/>
        </w:rPr>
        <w:t>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 Competitive Bid Loans shall bear interest at the rate per annum specified in the applicable Competitive Bid Quotes. Interest on the Competitive Bid Loans shall be payable</w:t>
      </w:r>
    </w:p>
    <w:p>
      <w:pPr>
        <w:spacing w:after="0" w:line="4" w:lineRule="exact"/>
        <w:rPr>
          <w:sz w:val="20"/>
          <w:szCs w:val="20"/>
          <w:color w:val="auto"/>
        </w:rPr>
      </w:pPr>
    </w:p>
    <w:p>
      <w:pPr>
        <w:ind w:left="5" w:right="2779" w:hanging="5"/>
        <w:spacing w:after="0" w:line="250" w:lineRule="auto"/>
        <w:tabs>
          <w:tab w:leader="none" w:pos="377"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91"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SECTION 5. PROVISIONS RELATING TO ALL LOANS AND LETTERS OF CREDIT.</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SECTION 5.1. PAYMENTS.</w:t>
      </w:r>
    </w:p>
    <w:p>
      <w:pPr>
        <w:spacing w:after="0" w:line="177" w:lineRule="exact"/>
        <w:rPr>
          <w:sz w:val="20"/>
          <w:szCs w:val="20"/>
          <w:color w:val="auto"/>
        </w:rPr>
      </w:pPr>
    </w:p>
    <w:p>
      <w:pPr>
        <w:ind w:left="845" w:right="2779" w:firstLine="830"/>
        <w:spacing w:after="0" w:line="275" w:lineRule="auto"/>
        <w:tabs>
          <w:tab w:leader="none" w:pos="2054"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of principal, interest, Reimbursement Obligations, fees (other than the Issuance Fee) and any other amounts due hereunder or under any of the other Loan Documents shall be made to the Administrative Agent at its Loan Office in immediately available funds by 11:00 a.m. (New York time) on any due date. Subject to the provisions of Section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the Administrative Agent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 (1) 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Administrative Agent with respect to any amounts owing under this paragraph shall be prima facie evidence of the amount due and owing to such Bank by the Administrative Agent.</w:t>
      </w:r>
    </w:p>
    <w:p>
      <w:pPr>
        <w:sectPr>
          <w:pgSz w:w="11900" w:h="16838" w:orient="portrait"/>
          <w:cols w:equalWidth="0" w:num="1">
            <w:col w:w="10224"/>
          </w:cols>
          <w:pgMar w:left="235" w:top="269"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6"/>
          <w:szCs w:val="16"/>
          <w:color w:val="auto"/>
        </w:rPr>
        <w:t>39</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-33-</w:t>
      </w:r>
    </w:p>
    <w:p>
      <w:pPr>
        <w:spacing w:after="0" w:line="327" w:lineRule="exact"/>
        <w:rPr>
          <w:sz w:val="20"/>
          <w:szCs w:val="20"/>
          <w:color w:val="auto"/>
        </w:rPr>
      </w:pPr>
    </w:p>
    <w:p>
      <w:pPr>
        <w:ind w:left="560" w:right="2779" w:firstLine="830"/>
        <w:spacing w:after="0" w:line="278" w:lineRule="auto"/>
        <w:tabs>
          <w:tab w:leader="none" w:pos="176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the Borrower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is compelled by law to make such deduction or withholding. If any such obligation is imposed upon the Borrower with respect to any amount payable by it hereunder or under any of the other Loan Documents, the Borrower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The Borrower will deliver promptly to the Administrative Agent certificates or other valid vouchers for all taxes or other charges deducted from or paid with respect to payments made by the Borrower hereunder or under such other Loan Document.</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560" w:right="2779" w:firstLine="830"/>
        <w:spacing w:after="0"/>
        <w:tabs>
          <w:tab w:leader="none" w:pos="1769"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W-8BEN or W-8ECI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108" w:lineRule="exact"/>
        <w:rPr>
          <w:rFonts w:ascii="Courier New" w:cs="Courier New" w:eastAsia="Courier New" w:hAnsi="Courier New"/>
          <w:sz w:val="16"/>
          <w:szCs w:val="16"/>
          <w:color w:val="auto"/>
        </w:rPr>
      </w:pPr>
    </w:p>
    <w:p>
      <w:pPr>
        <w:ind w:left="560" w:right="2959" w:firstLine="830"/>
        <w:spacing w:after="0" w:line="322" w:lineRule="auto"/>
        <w:tabs>
          <w:tab w:leader="none" w:pos="176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pay any additional amounts to any Non-U.S. Bank in respect of United States Federal withholding tax pursuant to Section 17 to the extent that (i) the obligation to withhold amounts with respect to United States Federal</w:t>
      </w:r>
    </w:p>
    <w:p>
      <w:pPr>
        <w:sectPr>
          <w:pgSz w:w="11900" w:h="16838" w:orient="portrait"/>
          <w:cols w:equalWidth="0" w:num="1">
            <w:col w:w="9939"/>
          </w:cols>
          <w:pgMar w:left="520" w:top="269"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40</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-34-</w:t>
      </w:r>
    </w:p>
    <w:p>
      <w:pPr>
        <w:spacing w:after="0" w:line="327" w:lineRule="exact"/>
        <w:rPr>
          <w:sz w:val="20"/>
          <w:szCs w:val="20"/>
          <w:color w:val="auto"/>
        </w:rPr>
      </w:pPr>
    </w:p>
    <w:p>
      <w:pPr>
        <w:ind w:left="840" w:right="2779"/>
        <w:spacing w:after="0" w:line="280" w:lineRule="auto"/>
        <w:rPr>
          <w:sz w:val="20"/>
          <w:szCs w:val="20"/>
          <w:color w:val="auto"/>
        </w:rPr>
      </w:pPr>
      <w:r>
        <w:rPr>
          <w:rFonts w:ascii="Courier New" w:cs="Courier New" w:eastAsia="Courier New" w:hAnsi="Courier New"/>
          <w:sz w:val="14"/>
          <w:szCs w:val="14"/>
          <w:color w:val="auto"/>
        </w:rPr>
        <w:t>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pacing w:after="0" w:line="75" w:lineRule="exact"/>
        <w:rPr>
          <w:sz w:val="20"/>
          <w:szCs w:val="20"/>
          <w:color w:val="auto"/>
        </w:rPr>
      </w:pPr>
    </w:p>
    <w:p>
      <w:pPr>
        <w:ind w:left="840" w:right="2879" w:firstLine="830"/>
        <w:spacing w:after="0" w:line="301" w:lineRule="auto"/>
        <w:tabs>
          <w:tab w:leader="none" w:pos="2049"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each Bank agrees to use reasonable efforts (consistent with legal and regulatory restrictions) to change its lending office to avoid or to minimize any amounts otherwise payable under Section 17 in each case solely if such change can be made in a manner so that such Bank, in its sole determination, suffers no legal, economic or regulatory disadvantage.</w:t>
      </w:r>
    </w:p>
    <w:p>
      <w:pPr>
        <w:spacing w:after="0" w:line="59" w:lineRule="exact"/>
        <w:rPr>
          <w:sz w:val="20"/>
          <w:szCs w:val="20"/>
          <w:color w:val="auto"/>
        </w:rPr>
      </w:pPr>
    </w:p>
    <w:p>
      <w:pPr>
        <w:ind w:right="2779" w:firstLine="837"/>
        <w:spacing w:after="0" w:line="282" w:lineRule="auto"/>
        <w:rPr>
          <w:sz w:val="20"/>
          <w:szCs w:val="20"/>
          <w:color w:val="auto"/>
        </w:rPr>
      </w:pPr>
      <w:r>
        <w:rPr>
          <w:rFonts w:ascii="Courier New" w:cs="Courier New" w:eastAsia="Courier New" w:hAnsi="Courier New"/>
          <w:sz w:val="14"/>
          <w:szCs w:val="14"/>
          <w:color w:val="auto"/>
        </w:rPr>
        <w:t>SECTION 5.2. MANDATORY REPAYMENTS OF THE LOANS. If at any time the sum of the 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first to Syndicated Loans, then to Competitive Bid Loans, subject to Section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5.2(a) exceeds the Maximum Drawing Amount required to be collateralized from time to time, the Administrative Agent shall return such excess to the Borrower.</w:t>
      </w:r>
    </w:p>
    <w:p>
      <w:pPr>
        <w:spacing w:after="0" w:line="261" w:lineRule="exact"/>
        <w:rPr>
          <w:sz w:val="20"/>
          <w:szCs w:val="20"/>
          <w:color w:val="auto"/>
        </w:rPr>
      </w:pPr>
    </w:p>
    <w:p>
      <w:pPr>
        <w:ind w:right="2779" w:firstLine="837"/>
        <w:spacing w:after="0" w:line="288" w:lineRule="auto"/>
        <w:rPr>
          <w:sz w:val="20"/>
          <w:szCs w:val="20"/>
          <w:color w:val="auto"/>
        </w:rPr>
      </w:pPr>
      <w:r>
        <w:rPr>
          <w:rFonts w:ascii="Courier New" w:cs="Courier New" w:eastAsia="Courier New" w:hAnsi="Courier New"/>
          <w:sz w:val="14"/>
          <w:szCs w:val="14"/>
          <w:color w:val="auto"/>
        </w:rPr>
        <w:t>SECTION 5.3. COMPUTATIONS. Except as otherwise expressly provided herein, all computations of interest, Facility Fees, Letter of Credit Fees or other fees shall be based on a 360-day year and paid for the actual number of days elapsed, except that computations based on the Base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w:t>
      </w:r>
    </w:p>
    <w:p>
      <w:pPr>
        <w:sectPr>
          <w:pgSz w:w="11900" w:h="16838" w:orient="portrait"/>
          <w:cols w:equalWidth="0" w:num="1">
            <w:col w:w="10219"/>
          </w:cols>
          <w:pgMar w:left="240" w:top="269"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41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-35-</w:t>
      </w:r>
    </w:p>
    <w:p>
      <w:pPr>
        <w:spacing w:after="0" w:line="327"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next succeeding calendar month or after the Maturity Date, it shall be deemed to end on the next preceding Business Day.</w:t>
      </w:r>
    </w:p>
    <w:p>
      <w:pPr>
        <w:spacing w:after="0" w:line="20"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SECTION 5.4. ILLEGALITY; INABILITY TO DETERMINE EURODOLLAR RATE. Notwithstanding any other provision of this Agreement (other than Section 5.10),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200" w:lineRule="exact"/>
        <w:rPr>
          <w:sz w:val="20"/>
          <w:szCs w:val="20"/>
          <w:color w:val="auto"/>
        </w:rPr>
      </w:pPr>
    </w:p>
    <w:p>
      <w:pPr>
        <w:spacing w:after="0" w:line="249"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5.5.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94" w:lineRule="exact"/>
        <w:rPr>
          <w:sz w:val="20"/>
          <w:szCs w:val="20"/>
          <w:color w:val="auto"/>
        </w:rPr>
      </w:pPr>
    </w:p>
    <w:p>
      <w:pPr>
        <w:ind w:left="840" w:right="2779" w:firstLine="830"/>
        <w:spacing w:after="0" w:line="301" w:lineRule="auto"/>
        <w:tabs>
          <w:tab w:leader="none" w:pos="204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58" w:lineRule="exact"/>
        <w:rPr>
          <w:rFonts w:ascii="Courier New" w:cs="Courier New" w:eastAsia="Courier New" w:hAnsi="Courier New"/>
          <w:sz w:val="14"/>
          <w:szCs w:val="14"/>
          <w:color w:val="auto"/>
        </w:rPr>
      </w:pPr>
    </w:p>
    <w:p>
      <w:pPr>
        <w:ind w:left="840" w:right="3339" w:firstLine="830"/>
        <w:spacing w:after="0" w:line="289" w:lineRule="auto"/>
        <w:tabs>
          <w:tab w:leader="none" w:pos="204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change the basis of taxation (except for changes in taxes on income or profits of such Bank imposed by the jurisdiction of its incorporation or</w:t>
      </w:r>
    </w:p>
    <w:p>
      <w:pPr>
        <w:sectPr>
          <w:pgSz w:w="11900" w:h="16838" w:orient="portrait"/>
          <w:cols w:equalWidth="0" w:num="1">
            <w:col w:w="10219"/>
          </w:cols>
          <w:pgMar w:left="240" w:top="269"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6"/>
          <w:szCs w:val="16"/>
          <w:color w:val="auto"/>
        </w:rPr>
        <w:t>42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-36-</w:t>
      </w:r>
    </w:p>
    <w:p>
      <w:pPr>
        <w:spacing w:after="0" w:line="327" w:lineRule="exact"/>
        <w:rPr>
          <w:sz w:val="20"/>
          <w:szCs w:val="20"/>
          <w:color w:val="auto"/>
        </w:rPr>
      </w:pPr>
    </w:p>
    <w:p>
      <w:pPr>
        <w:ind w:left="840" w:right="2779"/>
        <w:spacing w:after="0" w:line="272" w:lineRule="auto"/>
        <w:rPr>
          <w:sz w:val="20"/>
          <w:szCs w:val="20"/>
          <w:color w:val="auto"/>
        </w:rPr>
      </w:pPr>
      <w:r>
        <w:rPr>
          <w:rFonts w:ascii="Courier New" w:cs="Courier New" w:eastAsia="Courier New" w:hAnsi="Courier New"/>
          <w:sz w:val="16"/>
          <w:szCs w:val="16"/>
          <w:color w:val="auto"/>
        </w:rPr>
        <w:t>organization, or the location of its lending office) of payments to such Bank of the principal or of the interest on any Loans or any other amounts payable to such Bank under this Agreement or the other Loan Documents; or</w:t>
      </w:r>
    </w:p>
    <w:p>
      <w:pPr>
        <w:spacing w:after="0" w:line="73" w:lineRule="exact"/>
        <w:rPr>
          <w:sz w:val="20"/>
          <w:szCs w:val="20"/>
          <w:color w:val="auto"/>
        </w:rPr>
      </w:pPr>
    </w:p>
    <w:p>
      <w:pPr>
        <w:ind w:left="840" w:right="2779" w:firstLine="830"/>
        <w:spacing w:after="0" w:line="288" w:lineRule="auto"/>
        <w:tabs>
          <w:tab w:leader="none" w:pos="2049"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5.6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254" w:lineRule="exact"/>
        <w:rPr>
          <w:rFonts w:ascii="Courier New" w:cs="Courier New" w:eastAsia="Courier New" w:hAnsi="Courier New"/>
          <w:sz w:val="14"/>
          <w:szCs w:val="14"/>
          <w:color w:val="auto"/>
        </w:rPr>
      </w:pPr>
    </w:p>
    <w:p>
      <w:pPr>
        <w:ind w:left="840" w:right="2779" w:firstLine="830"/>
        <w:spacing w:after="0" w:line="263" w:lineRule="auto"/>
        <w:tabs>
          <w:tab w:leader="none" w:pos="204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80" w:lineRule="exact"/>
        <w:rPr>
          <w:rFonts w:ascii="Courier New" w:cs="Courier New" w:eastAsia="Courier New" w:hAnsi="Courier New"/>
          <w:sz w:val="16"/>
          <w:szCs w:val="16"/>
          <w:color w:val="auto"/>
        </w:rPr>
      </w:pPr>
    </w:p>
    <w:p>
      <w:pPr>
        <w:ind w:left="1660" w:right="2779" w:firstLine="847"/>
        <w:spacing w:after="0" w:line="272" w:lineRule="auto"/>
        <w:tabs>
          <w:tab w:leader="none" w:pos="2869"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increase the cost to such Bank of making, funding, issuing, renewing, extending or maintaining the Loans or such Bank's Commitment or issuing or participating in Letters of Credit;</w:t>
      </w:r>
    </w:p>
    <w:p>
      <w:pPr>
        <w:spacing w:after="0" w:line="72" w:lineRule="exact"/>
        <w:rPr>
          <w:rFonts w:ascii="Courier New" w:cs="Courier New" w:eastAsia="Courier New" w:hAnsi="Courier New"/>
          <w:sz w:val="16"/>
          <w:szCs w:val="16"/>
          <w:color w:val="auto"/>
        </w:rPr>
      </w:pPr>
    </w:p>
    <w:p>
      <w:pPr>
        <w:ind w:left="1660" w:right="2779" w:firstLine="847"/>
        <w:spacing w:after="0" w:line="272" w:lineRule="auto"/>
        <w:tabs>
          <w:tab w:leader="none" w:pos="2962"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amount of principal, interest or other amount payable to such Bank hereunder on account of such Bank's Commitment, the Loans or the Reimbursement Obligations; or</w:t>
      </w:r>
    </w:p>
    <w:p>
      <w:pPr>
        <w:spacing w:after="0" w:line="72" w:lineRule="exact"/>
        <w:rPr>
          <w:rFonts w:ascii="Courier New" w:cs="Courier New" w:eastAsia="Courier New" w:hAnsi="Courier New"/>
          <w:sz w:val="16"/>
          <w:szCs w:val="16"/>
          <w:color w:val="auto"/>
        </w:rPr>
      </w:pPr>
    </w:p>
    <w:p>
      <w:pPr>
        <w:ind w:left="1660" w:right="2779" w:firstLine="847"/>
        <w:spacing w:after="0" w:line="258" w:lineRule="auto"/>
        <w:tabs>
          <w:tab w:leader="none" w:pos="3055"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83" w:lineRule="exact"/>
        <w:rPr>
          <w:sz w:val="20"/>
          <w:szCs w:val="20"/>
          <w:color w:val="auto"/>
        </w:rPr>
      </w:pPr>
    </w:p>
    <w:p>
      <w:pPr>
        <w:ind w:left="840" w:right="2779" w:firstLine="837"/>
        <w:spacing w:after="0" w:line="296" w:lineRule="auto"/>
        <w:rPr>
          <w:sz w:val="20"/>
          <w:szCs w:val="20"/>
          <w:color w:val="auto"/>
        </w:rPr>
      </w:pPr>
      <w:r>
        <w:rPr>
          <w:rFonts w:ascii="Courier New" w:cs="Courier New" w:eastAsia="Courier New" w:hAnsi="Courier New"/>
          <w:sz w:val="14"/>
          <w:szCs w:val="14"/>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62"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5.6. CAPITAL ADEQUACY. If any Bank shall have determined that, after the date hereof, (a)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w:t>
      </w:r>
    </w:p>
    <w:p>
      <w:pPr>
        <w:sectPr>
          <w:pgSz w:w="11900" w:h="16838" w:orient="portrait"/>
          <w:cols w:equalWidth="0" w:num="1">
            <w:col w:w="10219"/>
          </w:cols>
          <w:pgMar w:left="240" w:top="269"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43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-37-</w:t>
      </w:r>
    </w:p>
    <w:p>
      <w:pPr>
        <w:spacing w:after="0" w:line="327" w:lineRule="exact"/>
        <w:rPr>
          <w:sz w:val="20"/>
          <w:szCs w:val="20"/>
          <w:color w:val="auto"/>
        </w:rPr>
      </w:pPr>
    </w:p>
    <w:p>
      <w:pPr>
        <w:ind w:right="2779"/>
        <w:spacing w:after="0" w:line="282" w:lineRule="auto"/>
        <w:rPr>
          <w:sz w:val="20"/>
          <w:szCs w:val="20"/>
          <w:color w:val="auto"/>
        </w:rPr>
      </w:pPr>
      <w:r>
        <w:rPr>
          <w:rFonts w:ascii="Courier New" w:cs="Courier New" w:eastAsia="Courier New" w:hAnsi="Courier New"/>
          <w:sz w:val="14"/>
          <w:szCs w:val="14"/>
          <w:color w:val="auto"/>
        </w:rPr>
        <w:t>agency, or (b) compliance by such Bank or the Administrative Agent or any corporation controlling such Bank or the Administrative Agent with any law, governmental rule, regulation, policy, guideline or directive (whether or not having the force of law) of any such entity regarding capital adequacy,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253" w:lineRule="exact"/>
        <w:rPr>
          <w:sz w:val="20"/>
          <w:szCs w:val="20"/>
          <w:color w:val="auto"/>
        </w:rPr>
      </w:pPr>
    </w:p>
    <w:p>
      <w:pPr>
        <w:ind w:right="2879" w:firstLine="837"/>
        <w:spacing w:after="0" w:line="298" w:lineRule="auto"/>
        <w:rPr>
          <w:sz w:val="20"/>
          <w:szCs w:val="20"/>
          <w:color w:val="auto"/>
        </w:rPr>
      </w:pPr>
      <w:r>
        <w:rPr>
          <w:rFonts w:ascii="Courier New" w:cs="Courier New" w:eastAsia="Courier New" w:hAnsi="Courier New"/>
          <w:sz w:val="14"/>
          <w:szCs w:val="14"/>
          <w:color w:val="auto"/>
        </w:rPr>
        <w:t>SECTION 5.7. CERTIFICATE. A certificate setting forth the additional amounts payable pursuant to Section 5.5 or Section 5.6 and a reasonable explanation of such amounts which are due, submitted by any Bank to the Borrower, shall be conclusive, absent manifest error, that such amounts are due and owing; provided that no Bank shall be entitled to additional amounts with respect to events or circumstances occurring more than one hundred and twenty (120) days prior to the delivery of such certificate..</w:t>
      </w:r>
    </w:p>
    <w:p>
      <w:pPr>
        <w:spacing w:after="0" w:line="250" w:lineRule="exact"/>
        <w:rPr>
          <w:sz w:val="20"/>
          <w:szCs w:val="20"/>
          <w:color w:val="auto"/>
        </w:rPr>
      </w:pPr>
    </w:p>
    <w:p>
      <w:pPr>
        <w:ind w:right="2779" w:firstLine="837"/>
        <w:spacing w:after="0" w:line="277" w:lineRule="auto"/>
        <w:rPr>
          <w:sz w:val="20"/>
          <w:szCs w:val="20"/>
          <w:color w:val="auto"/>
        </w:rPr>
      </w:pPr>
      <w:r>
        <w:rPr>
          <w:rFonts w:ascii="Courier New" w:cs="Courier New" w:eastAsia="Courier New" w:hAnsi="Courier New"/>
          <w:sz w:val="14"/>
          <w:szCs w:val="14"/>
          <w:color w:val="auto"/>
        </w:rPr>
        <w:t>SECTION 5.8.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w:t>
      </w:r>
    </w:p>
    <w:p>
      <w:pPr>
        <w:sectPr>
          <w:pgSz w:w="11900" w:h="16838" w:orient="portrait"/>
          <w:cols w:equalWidth="0" w:num="1">
            <w:col w:w="10219"/>
          </w:cols>
          <w:pgMar w:left="240" w:top="269" w:right="1440" w:bottom="1440" w:gutter="0" w:footer="0" w:header="0"/>
        </w:sectPr>
      </w:pPr>
    </w:p>
    <w:bookmarkStart w:id="88" w:name="page89"/>
    <w:bookmarkEnd w:id="88"/>
    <w:p>
      <w:pPr>
        <w:ind w:left="285"/>
        <w:spacing w:after="0"/>
        <w:rPr>
          <w:sz w:val="20"/>
          <w:szCs w:val="20"/>
          <w:color w:val="auto"/>
        </w:rPr>
      </w:pPr>
      <w:r>
        <w:rPr>
          <w:rFonts w:ascii="Courier New" w:cs="Courier New" w:eastAsia="Courier New" w:hAnsi="Courier New"/>
          <w:sz w:val="16"/>
          <w:szCs w:val="16"/>
          <w:color w:val="auto"/>
        </w:rPr>
        <w:t>44</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-38-</w:t>
      </w:r>
    </w:p>
    <w:p>
      <w:pPr>
        <w:spacing w:after="0" w:line="327" w:lineRule="exact"/>
        <w:rPr>
          <w:sz w:val="20"/>
          <w:szCs w:val="20"/>
          <w:color w:val="auto"/>
        </w:rPr>
      </w:pPr>
    </w:p>
    <w:p>
      <w:pPr>
        <w:ind w:left="5" w:right="2779"/>
        <w:spacing w:after="0" w:line="258" w:lineRule="auto"/>
        <w:rPr>
          <w:sz w:val="20"/>
          <w:szCs w:val="20"/>
          <w:color w:val="auto"/>
        </w:rPr>
      </w:pPr>
      <w:r>
        <w:rPr>
          <w:rFonts w:ascii="Courier New" w:cs="Courier New" w:eastAsia="Courier New" w:hAnsi="Courier New"/>
          <w:sz w:val="16"/>
          <w:szCs w:val="16"/>
          <w:color w:val="auto"/>
        </w:rPr>
        <w:t>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83" w:lineRule="exact"/>
        <w:rPr>
          <w:sz w:val="20"/>
          <w:szCs w:val="20"/>
          <w:color w:val="auto"/>
        </w:rPr>
      </w:pPr>
    </w:p>
    <w:p>
      <w:pPr>
        <w:ind w:left="5" w:right="2779" w:firstLine="837"/>
        <w:spacing w:after="0" w:line="258" w:lineRule="auto"/>
        <w:rPr>
          <w:sz w:val="20"/>
          <w:szCs w:val="20"/>
          <w:color w:val="auto"/>
        </w:rPr>
      </w:pPr>
      <w:r>
        <w:rPr>
          <w:rFonts w:ascii="Courier New" w:cs="Courier New" w:eastAsia="Courier New" w:hAnsi="Courier New"/>
          <w:sz w:val="16"/>
          <w:szCs w:val="16"/>
          <w:color w:val="auto"/>
        </w:rPr>
        <w:t>SECTION 5.9.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 the Applicable Base Rate plus 2%, until such amount shall be paid in full (after as well as before judgment).</w:t>
      </w:r>
    </w:p>
    <w:p>
      <w:pPr>
        <w:spacing w:after="0" w:line="83" w:lineRule="exact"/>
        <w:rPr>
          <w:sz w:val="20"/>
          <w:szCs w:val="20"/>
          <w:color w:val="auto"/>
        </w:rPr>
      </w:pPr>
    </w:p>
    <w:p>
      <w:pPr>
        <w:ind w:left="5" w:right="2879" w:firstLine="837"/>
        <w:spacing w:after="0" w:line="250" w:lineRule="auto"/>
        <w:rPr>
          <w:sz w:val="20"/>
          <w:szCs w:val="20"/>
          <w:color w:val="auto"/>
        </w:rPr>
      </w:pPr>
      <w:r>
        <w:rPr>
          <w:rFonts w:ascii="Courier New" w:cs="Courier New" w:eastAsia="Courier New" w:hAnsi="Courier New"/>
          <w:sz w:val="16"/>
          <w:szCs w:val="16"/>
          <w:color w:val="auto"/>
        </w:rPr>
        <w:t>SECTION 5.10.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90" w:lineRule="exact"/>
        <w:rPr>
          <w:sz w:val="20"/>
          <w:szCs w:val="20"/>
          <w:color w:val="auto"/>
        </w:rPr>
      </w:pPr>
    </w:p>
    <w:p>
      <w:pPr>
        <w:jc w:val="both"/>
        <w:ind w:left="5" w:right="2879" w:firstLine="837"/>
        <w:spacing w:after="0" w:line="284" w:lineRule="auto"/>
        <w:rPr>
          <w:sz w:val="20"/>
          <w:szCs w:val="20"/>
          <w:color w:val="auto"/>
        </w:rPr>
      </w:pPr>
      <w:r>
        <w:rPr>
          <w:rFonts w:ascii="Courier New" w:cs="Courier New" w:eastAsia="Courier New" w:hAnsi="Courier New"/>
          <w:sz w:val="14"/>
          <w:szCs w:val="14"/>
          <w:color w:val="auto"/>
        </w:rPr>
        <w:t>SECTION 5.11. REASONABLE EFFORTS TO MITIGATE. Each Bank agrees that as promptly as practicable after it becomes aware of the occurrence of an event or the existence of a condition that would cause it to be affected under Sections</w:t>
      </w:r>
    </w:p>
    <w:p>
      <w:pPr>
        <w:spacing w:after="0" w:line="2" w:lineRule="exact"/>
        <w:rPr>
          <w:sz w:val="20"/>
          <w:szCs w:val="20"/>
          <w:color w:val="auto"/>
        </w:rPr>
      </w:pPr>
    </w:p>
    <w:p>
      <w:pPr>
        <w:ind w:left="5" w:right="2779"/>
        <w:spacing w:after="0" w:line="281" w:lineRule="auto"/>
        <w:rPr>
          <w:sz w:val="20"/>
          <w:szCs w:val="20"/>
          <w:color w:val="auto"/>
        </w:rPr>
      </w:pPr>
      <w:r>
        <w:rPr>
          <w:rFonts w:ascii="Courier New" w:cs="Courier New" w:eastAsia="Courier New" w:hAnsi="Courier New"/>
          <w:sz w:val="14"/>
          <w:szCs w:val="14"/>
          <w:color w:val="auto"/>
        </w:rPr>
        <w:t>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76"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SECTION 5.12. REPLACEMENT OF BANKS. If any Bank (an "Affected Bank")</w:t>
      </w:r>
    </w:p>
    <w:p>
      <w:pPr>
        <w:spacing w:after="0" w:line="26" w:lineRule="exact"/>
        <w:rPr>
          <w:sz w:val="20"/>
          <w:szCs w:val="20"/>
          <w:color w:val="auto"/>
        </w:rPr>
      </w:pPr>
    </w:p>
    <w:p>
      <w:pPr>
        <w:ind w:left="5" w:right="2779" w:hanging="5"/>
        <w:spacing w:after="0" w:line="270" w:lineRule="auto"/>
        <w:tabs>
          <w:tab w:leader="none" w:pos="377"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demand upon the Borrower for (or if the Borrower is otherwise required to pay) amounts pursuant to Sections 5.5 or 5.6, (ii) is unable to make or maintain Eurodollar Loans as a result of a condition described in Section 5.4 or</w:t>
      </w:r>
    </w:p>
    <w:p>
      <w:pPr>
        <w:spacing w:after="0" w:line="1" w:lineRule="exact"/>
        <w:rPr>
          <w:rFonts w:ascii="Courier New" w:cs="Courier New" w:eastAsia="Courier New" w:hAnsi="Courier New"/>
          <w:sz w:val="14"/>
          <w:szCs w:val="14"/>
          <w:color w:val="auto"/>
        </w:rPr>
      </w:pPr>
    </w:p>
    <w:p>
      <w:pPr>
        <w:ind w:left="5" w:right="2879" w:hanging="5"/>
        <w:spacing w:after="0" w:line="271" w:lineRule="auto"/>
        <w:tabs>
          <w:tab w:leader="none" w:pos="56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in its obligation to make Loans or to participate in Letters of Credit in accordance with the terms of this Agreement (such Bank being referred to as a</w:t>
      </w:r>
    </w:p>
    <w:p>
      <w:pPr>
        <w:sectPr>
          <w:pgSz w:w="11900" w:h="16838" w:orient="portrait"/>
          <w:cols w:equalWidth="0" w:num="1">
            <w:col w:w="10224"/>
          </w:cols>
          <w:pgMar w:left="235" w:top="268" w:right="1440" w:bottom="1440" w:gutter="0" w:footer="0" w:header="0"/>
        </w:sectPr>
      </w:pPr>
    </w:p>
    <w:bookmarkStart w:id="89" w:name="page90"/>
    <w:bookmarkEnd w:id="89"/>
    <w:p>
      <w:pPr>
        <w:ind w:left="285"/>
        <w:spacing w:after="0"/>
        <w:rPr>
          <w:sz w:val="20"/>
          <w:szCs w:val="20"/>
          <w:color w:val="auto"/>
        </w:rPr>
      </w:pPr>
      <w:r>
        <w:rPr>
          <w:rFonts w:ascii="Courier New" w:cs="Courier New" w:eastAsia="Courier New" w:hAnsi="Courier New"/>
          <w:sz w:val="16"/>
          <w:szCs w:val="16"/>
          <w:color w:val="auto"/>
        </w:rPr>
        <w:t>45</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-39-</w:t>
      </w:r>
    </w:p>
    <w:p>
      <w:pPr>
        <w:spacing w:after="0" w:line="327" w:lineRule="exact"/>
        <w:rPr>
          <w:sz w:val="20"/>
          <w:szCs w:val="20"/>
          <w:color w:val="auto"/>
        </w:rPr>
      </w:pPr>
    </w:p>
    <w:p>
      <w:pPr>
        <w:ind w:left="5" w:right="2779"/>
        <w:spacing w:after="0" w:line="274" w:lineRule="auto"/>
        <w:rPr>
          <w:sz w:val="20"/>
          <w:szCs w:val="20"/>
          <w:color w:val="auto"/>
        </w:rPr>
      </w:pPr>
      <w:r>
        <w:rPr>
          <w:rFonts w:ascii="Courier New" w:cs="Courier New" w:eastAsia="Courier New" w:hAnsi="Courier New"/>
          <w:sz w:val="14"/>
          <w:szCs w:val="14"/>
          <w:color w:val="auto"/>
        </w:rPr>
        <w:t>"Defaulting Bank"), the Borrower may, within 90 days of receipt of such demand, notice (or the occurrence of such other event causing the Borrower to be required to pay such compensation or causing Section 5.4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20, all of its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w:t>
      </w:r>
    </w:p>
    <w:p>
      <w:pPr>
        <w:spacing w:after="0" w:line="342" w:lineRule="exact"/>
        <w:rPr>
          <w:sz w:val="20"/>
          <w:szCs w:val="20"/>
          <w:color w:val="auto"/>
        </w:rPr>
      </w:pPr>
    </w:p>
    <w:p>
      <w:pPr>
        <w:ind w:left="5" w:right="2779" w:hanging="5"/>
        <w:spacing w:after="0" w:line="245" w:lineRule="auto"/>
        <w:tabs>
          <w:tab w:leader="none" w:pos="377"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5.5, 5.6 and 5.8.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96" w:lineRule="exact"/>
        <w:rPr>
          <w:sz w:val="20"/>
          <w:szCs w:val="20"/>
          <w:color w:val="auto"/>
        </w:rPr>
      </w:pPr>
    </w:p>
    <w:p>
      <w:pPr>
        <w:ind w:left="5" w:right="2779" w:firstLine="837"/>
        <w:spacing w:after="0" w:line="242" w:lineRule="auto"/>
        <w:rPr>
          <w:sz w:val="20"/>
          <w:szCs w:val="20"/>
          <w:color w:val="auto"/>
        </w:rPr>
      </w:pPr>
      <w:r>
        <w:rPr>
          <w:rFonts w:ascii="Courier New" w:cs="Courier New" w:eastAsia="Courier New" w:hAnsi="Courier New"/>
          <w:sz w:val="16"/>
          <w:szCs w:val="16"/>
          <w:color w:val="auto"/>
        </w:rPr>
        <w:t>SECTION 5.13.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times (iii) a fraction, the numerator of which is the number of days that elapse from and including such Drawdown Date to but not</w:t>
      </w:r>
    </w:p>
    <w:p>
      <w:pPr>
        <w:sectPr>
          <w:pgSz w:w="11900" w:h="16838" w:orient="portrait"/>
          <w:cols w:equalWidth="0" w:num="1">
            <w:col w:w="10224"/>
          </w:cols>
          <w:pgMar w:left="235" w:top="269"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46</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-40-</w:t>
      </w:r>
    </w:p>
    <w:p>
      <w:pPr>
        <w:spacing w:after="0" w:line="327" w:lineRule="exact"/>
        <w:rPr>
          <w:sz w:val="20"/>
          <w:szCs w:val="20"/>
          <w:color w:val="auto"/>
        </w:rPr>
      </w:pPr>
    </w:p>
    <w:p>
      <w:pPr>
        <w:ind w:right="2879"/>
        <w:spacing w:after="0" w:line="286" w:lineRule="auto"/>
        <w:rPr>
          <w:sz w:val="20"/>
          <w:szCs w:val="20"/>
          <w:color w:val="auto"/>
        </w:rPr>
      </w:pPr>
      <w:r>
        <w:rPr>
          <w:rFonts w:ascii="Courier New" w:cs="Courier New" w:eastAsia="Courier New" w:hAnsi="Courier New"/>
          <w:sz w:val="14"/>
          <w:szCs w:val="14"/>
          <w:color w:val="auto"/>
        </w:rPr>
        <w:t>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25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6. REPRESENTATIONS AND WARRANTIES. The Borrower (and the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Guarantor, where applicable) represents and warrants to the Banks that:</w:t>
      </w:r>
    </w:p>
    <w:p>
      <w:pPr>
        <w:spacing w:after="0" w:line="14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6.1. CORPORATE AUTHORITY.</w:t>
      </w:r>
    </w:p>
    <w:p>
      <w:pPr>
        <w:spacing w:after="0" w:line="177" w:lineRule="exact"/>
        <w:rPr>
          <w:sz w:val="20"/>
          <w:szCs w:val="20"/>
          <w:color w:val="auto"/>
        </w:rPr>
      </w:pPr>
    </w:p>
    <w:p>
      <w:pPr>
        <w:ind w:left="840" w:right="2779" w:firstLine="830"/>
        <w:spacing w:after="0" w:line="248" w:lineRule="auto"/>
        <w:tabs>
          <w:tab w:leader="none" w:pos="2049" w:val="left"/>
        </w:tabs>
        <w:numPr>
          <w:ilvl w:val="1"/>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Good Standing. The Borrower and each of its Material Subsidiaries (i) is duly organized, validly existing and in good standing under the laws of 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94" w:lineRule="exact"/>
        <w:rPr>
          <w:rFonts w:ascii="Courier New" w:cs="Courier New" w:eastAsia="Courier New" w:hAnsi="Courier New"/>
          <w:sz w:val="16"/>
          <w:szCs w:val="16"/>
          <w:color w:val="auto"/>
        </w:rPr>
      </w:pPr>
    </w:p>
    <w:p>
      <w:pPr>
        <w:ind w:left="840" w:right="2779" w:firstLine="830"/>
        <w:spacing w:after="0" w:line="291" w:lineRule="auto"/>
        <w:tabs>
          <w:tab w:leader="none" w:pos="2049"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The execution, delivery and performance of its Loan Documents and the transactions contemplated hereby and thereby</w:t>
      </w:r>
    </w:p>
    <w:p>
      <w:pPr>
        <w:spacing w:after="0" w:line="1" w:lineRule="exact"/>
        <w:rPr>
          <w:rFonts w:ascii="Courier New" w:cs="Courier New" w:eastAsia="Courier New" w:hAnsi="Courier New"/>
          <w:sz w:val="14"/>
          <w:szCs w:val="14"/>
          <w:color w:val="auto"/>
        </w:rPr>
      </w:pPr>
    </w:p>
    <w:p>
      <w:pPr>
        <w:ind w:left="840" w:right="3059" w:hanging="7"/>
        <w:spacing w:after="0" w:line="270" w:lineRule="auto"/>
        <w:tabs>
          <w:tab w:leader="none" w:pos="1212"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within the corporate authority of the Borrower and the Guarantor, (ii) have been duly authorized by all necessary corporate proceedings on the part of each of the Borrower and the Guarantor,</w:t>
      </w:r>
    </w:p>
    <w:p>
      <w:pPr>
        <w:spacing w:after="0" w:line="1" w:lineRule="exact"/>
        <w:rPr>
          <w:rFonts w:ascii="Courier New" w:cs="Courier New" w:eastAsia="Courier New" w:hAnsi="Courier New"/>
          <w:sz w:val="14"/>
          <w:szCs w:val="14"/>
          <w:color w:val="auto"/>
        </w:rPr>
      </w:pPr>
    </w:p>
    <w:p>
      <w:pPr>
        <w:ind w:left="840" w:right="2779" w:hanging="7"/>
        <w:spacing w:after="0" w:line="282" w:lineRule="auto"/>
        <w:tabs>
          <w:tab w:leader="none" w:pos="1398"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 not conflict with or result in any breach or contravention of any provision of law, statute, rule or regulation to which any of the Borrower or the Guarantor or any of their Subsidiaries is subject or any judgment, order, writ, injunction, license or permit applicable to the Borrower, the Guarantor or any of their Subsidiaries so as to have a Material Adverse Effect, and (iv) do not conflict with any provision of the corporate charter or bylaws of the Borrower, the Guarantor or any Material Subsidiary or any agreement or other instrument binding upon the Borrower, the Guarantor or any of their Material Subsidiaries, except for those conflicts with any such agreement or instrument which could not reasonably be expected to have a Material Adverse Effect.</w:t>
      </w:r>
    </w:p>
    <w:p>
      <w:pPr>
        <w:spacing w:after="0" w:line="255" w:lineRule="exact"/>
        <w:rPr>
          <w:rFonts w:ascii="Courier New" w:cs="Courier New" w:eastAsia="Courier New" w:hAnsi="Courier New"/>
          <w:sz w:val="14"/>
          <w:szCs w:val="14"/>
          <w:color w:val="auto"/>
        </w:rPr>
      </w:pPr>
    </w:p>
    <w:p>
      <w:pPr>
        <w:ind w:left="840" w:right="2779" w:firstLine="830"/>
        <w:spacing w:after="0" w:line="254" w:lineRule="auto"/>
        <w:tabs>
          <w:tab w:leader="none" w:pos="2049" w:val="left"/>
        </w:tabs>
        <w:numPr>
          <w:ilvl w:val="1"/>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w:t>
      </w:r>
    </w:p>
    <w:p>
      <w:pPr>
        <w:sectPr>
          <w:pgSz w:w="11900" w:h="16838" w:orient="portrait"/>
          <w:cols w:equalWidth="0" w:num="1">
            <w:col w:w="10219"/>
          </w:cols>
          <w:pgMar w:left="240" w:top="269"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47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-41-</w:t>
      </w:r>
    </w:p>
    <w:p>
      <w:pPr>
        <w:spacing w:after="0" w:line="327" w:lineRule="exact"/>
        <w:rPr>
          <w:sz w:val="20"/>
          <w:szCs w:val="20"/>
          <w:color w:val="auto"/>
        </w:rPr>
      </w:pPr>
    </w:p>
    <w:p>
      <w:pPr>
        <w:ind w:left="840" w:right="2879"/>
        <w:spacing w:after="0" w:line="342" w:lineRule="auto"/>
        <w:rPr>
          <w:sz w:val="20"/>
          <w:szCs w:val="20"/>
          <w:color w:val="auto"/>
        </w:rPr>
      </w:pPr>
      <w:r>
        <w:rPr>
          <w:rFonts w:ascii="Courier New" w:cs="Courier New" w:eastAsia="Courier New" w:hAnsi="Courier New"/>
          <w:sz w:val="16"/>
          <w:szCs w:val="16"/>
          <w:color w:val="auto"/>
        </w:rPr>
        <w:t>affecting generally the enforcement of creditors' rights generally and general principles of equity.</w:t>
      </w:r>
    </w:p>
    <w:p>
      <w:pPr>
        <w:spacing w:after="0" w:line="20"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6.2. GOVERNMENTAL AND OTHER APPROVALS. The execution, delivery and performance of the Loan Documents by the Borrower and the Guarantor and the consummation by the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their covenants contained in Sections 7, 8 and 9 hereof.</w:t>
      </w:r>
    </w:p>
    <w:p>
      <w:pPr>
        <w:spacing w:after="0" w:line="94"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6.3.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Liens except Permitted Liens.</w:t>
      </w:r>
    </w:p>
    <w:p>
      <w:pPr>
        <w:spacing w:after="0" w:line="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6.4. FINANCIAL STATEMENTS; SOLVENCY.</w:t>
      </w:r>
    </w:p>
    <w:p>
      <w:pPr>
        <w:spacing w:after="0" w:line="177" w:lineRule="exact"/>
        <w:rPr>
          <w:sz w:val="20"/>
          <w:szCs w:val="20"/>
          <w:color w:val="auto"/>
        </w:rPr>
      </w:pPr>
    </w:p>
    <w:p>
      <w:pPr>
        <w:ind w:left="840" w:right="2779" w:firstLine="830"/>
        <w:spacing w:after="0" w:line="241" w:lineRule="auto"/>
        <w:tabs>
          <w:tab w:leader="none" w:pos="204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furnished to the Banks consolidated balance sheets of the Borrower and its Subsidiaries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in all material respects, the financial condition of the Borrower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110" w:lineRule="exact"/>
        <w:rPr>
          <w:rFonts w:ascii="Courier New" w:cs="Courier New" w:eastAsia="Courier New" w:hAnsi="Courier New"/>
          <w:sz w:val="16"/>
          <w:szCs w:val="16"/>
          <w:color w:val="auto"/>
        </w:rPr>
      </w:pPr>
    </w:p>
    <w:p>
      <w:pPr>
        <w:ind w:left="840" w:right="2879" w:firstLine="830"/>
        <w:spacing w:after="0" w:line="258" w:lineRule="auto"/>
        <w:tabs>
          <w:tab w:leader="none" w:pos="2049"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its Subsidiaries on a consolidated basis (both before and after giving effect to the transactions contemplated by this Agreement) are solvent (i.e., they have assets having a fair value in excess of the amount required to pay their probable liabilities on their existing debts as they become absolute and matured) and have, and</w:t>
      </w:r>
    </w:p>
    <w:p>
      <w:pPr>
        <w:sectPr>
          <w:pgSz w:w="11900" w:h="16838" w:orient="portrait"/>
          <w:cols w:equalWidth="0" w:num="1">
            <w:col w:w="10219"/>
          </w:cols>
          <w:pgMar w:left="240" w:top="269"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48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-42-</w:t>
      </w:r>
    </w:p>
    <w:p>
      <w:pPr>
        <w:spacing w:after="0" w:line="327" w:lineRule="exact"/>
        <w:rPr>
          <w:sz w:val="20"/>
          <w:szCs w:val="20"/>
          <w:color w:val="auto"/>
        </w:rPr>
      </w:pPr>
    </w:p>
    <w:p>
      <w:pPr>
        <w:ind w:left="840" w:right="3439"/>
        <w:spacing w:after="0" w:line="342" w:lineRule="auto"/>
        <w:rPr>
          <w:sz w:val="20"/>
          <w:szCs w:val="20"/>
          <w:color w:val="auto"/>
        </w:rPr>
      </w:pPr>
      <w:r>
        <w:rPr>
          <w:rFonts w:ascii="Courier New" w:cs="Courier New" w:eastAsia="Courier New" w:hAnsi="Courier New"/>
          <w:sz w:val="16"/>
          <w:szCs w:val="16"/>
          <w:color w:val="auto"/>
        </w:rPr>
        <w:t>expect to have, the ability to pay their debts from time to time incurred in connection therewith as such debts mature.</w:t>
      </w:r>
    </w:p>
    <w:p>
      <w:pPr>
        <w:spacing w:after="0" w:line="20" w:lineRule="exact"/>
        <w:rPr>
          <w:sz w:val="20"/>
          <w:szCs w:val="20"/>
          <w:color w:val="auto"/>
        </w:rPr>
      </w:pPr>
    </w:p>
    <w:p>
      <w:pPr>
        <w:ind w:right="3059" w:firstLine="837"/>
        <w:spacing w:after="0" w:line="258" w:lineRule="auto"/>
        <w:rPr>
          <w:sz w:val="20"/>
          <w:szCs w:val="20"/>
          <w:color w:val="auto"/>
        </w:rPr>
      </w:pPr>
      <w:r>
        <w:rPr>
          <w:rFonts w:ascii="Courier New" w:cs="Courier New" w:eastAsia="Courier New" w:hAnsi="Courier New"/>
          <w:sz w:val="16"/>
          <w:szCs w:val="16"/>
          <w:color w:val="auto"/>
        </w:rPr>
        <w:t>SECTION 6.5. NO MATERIAL CHANGES, ETC. Since the Balance Sheet Date, there have been no material adverse changes in the consolidated financial condition, business, assets or liabilities (contingent or otherwise) of the Borrower and its Subsidiaries, taken as a whole, other than the Shareholder Suits and changes in the ordinary course of business which have not had a Material Adverse Effect.</w:t>
      </w:r>
    </w:p>
    <w:p>
      <w:pPr>
        <w:spacing w:after="0" w:line="83" w:lineRule="exact"/>
        <w:rPr>
          <w:sz w:val="20"/>
          <w:szCs w:val="20"/>
          <w:color w:val="auto"/>
        </w:rPr>
      </w:pPr>
    </w:p>
    <w:p>
      <w:pPr>
        <w:ind w:right="3059" w:firstLine="837"/>
        <w:spacing w:after="0" w:line="254" w:lineRule="auto"/>
        <w:rPr>
          <w:sz w:val="20"/>
          <w:szCs w:val="20"/>
          <w:color w:val="auto"/>
        </w:rPr>
      </w:pPr>
      <w:r>
        <w:rPr>
          <w:rFonts w:ascii="Courier New" w:cs="Courier New" w:eastAsia="Courier New" w:hAnsi="Courier New"/>
          <w:sz w:val="16"/>
          <w:szCs w:val="16"/>
          <w:color w:val="auto"/>
        </w:rPr>
        <w:t>SECTION 6.6.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88" w:lineRule="exact"/>
        <w:rPr>
          <w:sz w:val="20"/>
          <w:szCs w:val="20"/>
          <w:color w:val="auto"/>
        </w:rPr>
      </w:pPr>
    </w:p>
    <w:p>
      <w:pPr>
        <w:jc w:val="both"/>
        <w:ind w:right="2779" w:firstLine="837"/>
        <w:spacing w:after="0" w:line="301" w:lineRule="auto"/>
        <w:rPr>
          <w:sz w:val="20"/>
          <w:szCs w:val="20"/>
          <w:color w:val="auto"/>
        </w:rPr>
      </w:pPr>
      <w:r>
        <w:rPr>
          <w:rFonts w:ascii="Courier New" w:cs="Courier New" w:eastAsia="Courier New" w:hAnsi="Courier New"/>
          <w:sz w:val="14"/>
          <w:szCs w:val="14"/>
          <w:color w:val="auto"/>
        </w:rPr>
        <w:t>SECTION 6.7. LITIGATION. Except as set forth on Schedule 6.7 or in the Disclosure Documents, there are no actions, suits, proceedings or investigations of any kind pending or, to the knowledge of the Borrower, threatened against the Borrower or any of its Subsidiaries before any court, tribunal or administrative agency or board which, either in any case or in the aggregate, could reasonably be expected to have a Material Adverse Effect.</w:t>
      </w:r>
    </w:p>
    <w:p>
      <w:pPr>
        <w:spacing w:after="0" w:line="59" w:lineRule="exact"/>
        <w:rPr>
          <w:sz w:val="20"/>
          <w:szCs w:val="20"/>
          <w:color w:val="auto"/>
        </w:rPr>
      </w:pPr>
    </w:p>
    <w:p>
      <w:pPr>
        <w:ind w:right="2779" w:firstLine="837"/>
        <w:spacing w:after="0" w:line="290" w:lineRule="auto"/>
        <w:rPr>
          <w:sz w:val="20"/>
          <w:szCs w:val="20"/>
          <w:color w:val="auto"/>
        </w:rPr>
      </w:pPr>
      <w:r>
        <w:rPr>
          <w:rFonts w:ascii="Courier New" w:cs="Courier New" w:eastAsia="Courier New" w:hAnsi="Courier New"/>
          <w:sz w:val="14"/>
          <w:szCs w:val="14"/>
          <w:color w:val="auto"/>
        </w:rPr>
        <w:t>SECTION 6.8.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64" w:lineRule="exact"/>
        <w:rPr>
          <w:sz w:val="20"/>
          <w:szCs w:val="20"/>
          <w:color w:val="auto"/>
        </w:rPr>
      </w:pPr>
    </w:p>
    <w:p>
      <w:pPr>
        <w:ind w:right="2779" w:firstLine="837"/>
        <w:spacing w:after="0" w:line="296" w:lineRule="auto"/>
        <w:rPr>
          <w:sz w:val="20"/>
          <w:szCs w:val="20"/>
          <w:color w:val="auto"/>
        </w:rPr>
      </w:pPr>
      <w:r>
        <w:rPr>
          <w:rFonts w:ascii="Courier New" w:cs="Courier New" w:eastAsia="Courier New" w:hAnsi="Courier New"/>
          <w:sz w:val="14"/>
          <w:szCs w:val="14"/>
          <w:color w:val="auto"/>
        </w:rPr>
        <w:t>SECTION 6.9. COMPLIANCE WITH OTHER INSTRUMENTS, LAWS, ETC. Neither the Borrower nor any of its Subsidiaries is (a) violating any provision of its 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62"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SECTION 6.10. TAX STATUS. The Borrower and its Subsidiaries have filed all federal, state, provincial and territorial income and all other tax returns, 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w:t>
      </w:r>
    </w:p>
    <w:p>
      <w:pPr>
        <w:sectPr>
          <w:pgSz w:w="11900" w:h="16838" w:orient="portrait"/>
          <w:cols w:equalWidth="0" w:num="1">
            <w:col w:w="10219"/>
          </w:cols>
          <w:pgMar w:left="240" w:top="269"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49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-43-</w:t>
      </w:r>
    </w:p>
    <w:p>
      <w:pPr>
        <w:spacing w:after="0" w:line="327" w:lineRule="exact"/>
        <w:rPr>
          <w:sz w:val="20"/>
          <w:szCs w:val="20"/>
          <w:color w:val="auto"/>
        </w:rPr>
      </w:pPr>
    </w:p>
    <w:p>
      <w:pPr>
        <w:ind w:right="2779"/>
        <w:spacing w:after="0" w:line="286" w:lineRule="auto"/>
        <w:rPr>
          <w:sz w:val="20"/>
          <w:szCs w:val="20"/>
          <w:color w:val="auto"/>
        </w:rPr>
      </w:pPr>
      <w:r>
        <w:rPr>
          <w:rFonts w:ascii="Courier New" w:cs="Courier New" w:eastAsia="Courier New" w:hAnsi="Courier New"/>
          <w:sz w:val="14"/>
          <w:szCs w:val="14"/>
          <w:color w:val="auto"/>
        </w:rPr>
        <w:t>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257"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SECTION 6.11. NO EVENT OF DEFAULT. No Default or Event of Default has occurred hereunder and is continuing.</w:t>
      </w:r>
    </w:p>
    <w:p>
      <w:pPr>
        <w:spacing w:after="0" w:line="20"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6.12. HOLDING COMPANY AND INVESTMENT COMPANY ACTS. Neither the Borrower nor any of its Subsidiaries is a "holding company", or a "subsidiary company" of a "holding company",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w:t>
      </w:r>
    </w:p>
    <w:p>
      <w:pPr>
        <w:spacing w:after="0" w:line="88"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6.13. ABSENCE OF FINANCING STATEMENTS, ETC. Except as permitted by Section 8.1 of this Agreement, there is no Indebtedness senior to the Obligations, and except for Permitted Liens, there are no Liens, or any effective financing statement, security agreement, chattel mortgage, real estate mortgage or other document filed or recorded with any filing records, registry, or other public office, which purports to cover, affect or give notice of any present or possible future Lien on any assets or property of the Borrower or any of its Subsidiaries or right thereunder.</w:t>
      </w:r>
    </w:p>
    <w:p>
      <w:pPr>
        <w:spacing w:after="0" w:line="9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6.14. EMPLOYEE BENEFIT PLANS.</w:t>
      </w:r>
    </w:p>
    <w:p>
      <w:pPr>
        <w:spacing w:after="0" w:line="177" w:lineRule="exact"/>
        <w:rPr>
          <w:sz w:val="20"/>
          <w:szCs w:val="20"/>
          <w:color w:val="auto"/>
        </w:rPr>
      </w:pPr>
    </w:p>
    <w:p>
      <w:pPr>
        <w:ind w:left="840" w:right="2779" w:firstLine="837"/>
        <w:spacing w:after="0" w:line="290" w:lineRule="auto"/>
        <w:rPr>
          <w:sz w:val="20"/>
          <w:szCs w:val="20"/>
          <w:color w:val="auto"/>
        </w:rPr>
      </w:pPr>
      <w:r>
        <w:rPr>
          <w:rFonts w:ascii="Courier New" w:cs="Courier New" w:eastAsia="Courier New" w:hAnsi="Courier New"/>
          <w:sz w:val="14"/>
          <w:szCs w:val="14"/>
          <w:color w:val="auto"/>
        </w:rPr>
        <w:t>SECTION 6.14.1. IN GENERAL. Each Employee Benefit Plan has been maintained and operated in compliance with the provisions of ERISA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64" w:lineRule="exact"/>
        <w:rPr>
          <w:sz w:val="20"/>
          <w:szCs w:val="20"/>
          <w:color w:val="auto"/>
        </w:rPr>
      </w:pPr>
    </w:p>
    <w:p>
      <w:pPr>
        <w:ind w:left="840" w:right="2879" w:firstLine="837"/>
        <w:spacing w:after="0" w:line="322" w:lineRule="auto"/>
        <w:rPr>
          <w:sz w:val="20"/>
          <w:szCs w:val="20"/>
          <w:color w:val="auto"/>
        </w:rPr>
      </w:pPr>
      <w:r>
        <w:rPr>
          <w:rFonts w:ascii="Courier New" w:cs="Courier New" w:eastAsia="Courier New" w:hAnsi="Courier New"/>
          <w:sz w:val="14"/>
          <w:szCs w:val="14"/>
          <w:color w:val="auto"/>
        </w:rPr>
        <w:t>SECTION 6.14.2. TERMINABILITY OF WELFARE PLANS. Under each Employee Benefit Plan which is an employee welfare benefit plan within the meaning of Section 3(1) or Section 3(2)(B) of ERISA, no benefits are due unless the event giving rise to the benefit entitlement occurs</w:t>
      </w:r>
    </w:p>
    <w:p>
      <w:pPr>
        <w:sectPr>
          <w:pgSz w:w="11900" w:h="16838" w:orient="portrait"/>
          <w:cols w:equalWidth="0" w:num="1">
            <w:col w:w="10219"/>
          </w:cols>
          <w:pgMar w:left="240" w:top="269"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6"/>
          <w:szCs w:val="16"/>
          <w:color w:val="auto"/>
        </w:rPr>
        <w:t>50</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-44-</w:t>
      </w:r>
    </w:p>
    <w:p>
      <w:pPr>
        <w:spacing w:after="0" w:line="327" w:lineRule="exact"/>
        <w:rPr>
          <w:sz w:val="20"/>
          <w:szCs w:val="20"/>
          <w:color w:val="auto"/>
        </w:rPr>
      </w:pPr>
    </w:p>
    <w:p>
      <w:pPr>
        <w:ind w:left="840" w:right="2779"/>
        <w:spacing w:after="0" w:line="258" w:lineRule="auto"/>
        <w:rPr>
          <w:sz w:val="20"/>
          <w:szCs w:val="20"/>
          <w:color w:val="auto"/>
        </w:rPr>
      </w:pPr>
      <w:r>
        <w:rPr>
          <w:rFonts w:ascii="Courier New" w:cs="Courier New" w:eastAsia="Courier New" w:hAnsi="Courier New"/>
          <w:sz w:val="16"/>
          <w:szCs w:val="16"/>
          <w:color w:val="auto"/>
        </w:rPr>
        <w:t>prior to plan termination (except as required by Title I, Part 6 of ERISA). The Borrower or an ERISA Affiliate, as appropriate, may terminate each such Plan at any time (or at any time subsequent to the expiration of any applicable bargaining agreement) in the discretion of the Borrower or such ERISA Affiliate without material liability to any Person.</w:t>
      </w:r>
    </w:p>
    <w:p>
      <w:pPr>
        <w:spacing w:after="0" w:line="83" w:lineRule="exact"/>
        <w:rPr>
          <w:sz w:val="20"/>
          <w:szCs w:val="20"/>
          <w:color w:val="auto"/>
        </w:rPr>
      </w:pPr>
    </w:p>
    <w:p>
      <w:pPr>
        <w:ind w:left="840" w:right="2779" w:firstLine="837"/>
        <w:spacing w:after="0" w:line="278" w:lineRule="auto"/>
        <w:rPr>
          <w:sz w:val="20"/>
          <w:szCs w:val="20"/>
          <w:color w:val="auto"/>
        </w:rPr>
      </w:pPr>
      <w:r>
        <w:rPr>
          <w:rFonts w:ascii="Courier New" w:cs="Courier New" w:eastAsia="Courier New" w:hAnsi="Courier New"/>
          <w:sz w:val="14"/>
          <w:szCs w:val="14"/>
          <w:color w:val="auto"/>
        </w:rPr>
        <w:t>SECTION 6.14.3. GUARANTEED PENSION PLANS. Each contribution required to be made to a Guaranteed Pension Plan, whether required 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261" w:lineRule="exact"/>
        <w:rPr>
          <w:sz w:val="20"/>
          <w:szCs w:val="20"/>
          <w:color w:val="auto"/>
        </w:rPr>
      </w:pPr>
    </w:p>
    <w:p>
      <w:pPr>
        <w:ind w:left="840" w:right="2779" w:firstLine="837"/>
        <w:spacing w:after="0" w:line="248" w:lineRule="auto"/>
        <w:rPr>
          <w:sz w:val="20"/>
          <w:szCs w:val="20"/>
          <w:color w:val="auto"/>
        </w:rPr>
      </w:pPr>
      <w:r>
        <w:rPr>
          <w:rFonts w:ascii="Courier New" w:cs="Courier New" w:eastAsia="Courier New" w:hAnsi="Courier New"/>
          <w:sz w:val="16"/>
          <w:szCs w:val="16"/>
          <w:color w:val="auto"/>
        </w:rPr>
        <w:t>SECTION 6.14.4.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 that any Multiemployer Plan intends to terminate or has been terminated under Section 4041A of ERISA.</w:t>
      </w:r>
    </w:p>
    <w:p>
      <w:pPr>
        <w:spacing w:after="0" w:line="95"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6.15. ENVIRONMENTAL COMPLIANCE. The Borrower and its Subsidiaries have taken all steps that they have deemed reasonably necessary to investigate the past and present condition and usage of the Real Property and the operations conducted by the Borrower and its Subsidiaries and, based upon such diligent investigation, have determined that, except as set forth on Schedule 6.15 or in the Disclosure Documents:</w:t>
      </w:r>
    </w:p>
    <w:p>
      <w:pPr>
        <w:spacing w:after="0" w:line="83" w:lineRule="exact"/>
        <w:rPr>
          <w:sz w:val="20"/>
          <w:szCs w:val="20"/>
          <w:color w:val="auto"/>
        </w:rPr>
      </w:pPr>
    </w:p>
    <w:p>
      <w:pPr>
        <w:ind w:left="840" w:right="2779" w:firstLine="830"/>
        <w:spacing w:after="0" w:line="254" w:lineRule="auto"/>
        <w:tabs>
          <w:tab w:leader="none" w:pos="2049"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Borrower, its Material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w:t>
      </w:r>
    </w:p>
    <w:p>
      <w:pPr>
        <w:sectPr>
          <w:pgSz w:w="11900" w:h="16838" w:orient="portrait"/>
          <w:cols w:equalWidth="0" w:num="1">
            <w:col w:w="10219"/>
          </w:cols>
          <w:pgMar w:left="240" w:top="269"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6"/>
          <w:szCs w:val="16"/>
          <w:color w:val="auto"/>
        </w:rPr>
        <w:t>51</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-45-</w:t>
      </w:r>
    </w:p>
    <w:p>
      <w:pPr>
        <w:spacing w:after="0" w:line="327" w:lineRule="exact"/>
        <w:rPr>
          <w:sz w:val="20"/>
          <w:szCs w:val="20"/>
          <w:color w:val="auto"/>
        </w:rPr>
      </w:pPr>
    </w:p>
    <w:p>
      <w:pPr>
        <w:ind w:left="560" w:right="2779"/>
        <w:spacing w:after="0" w:line="293" w:lineRule="auto"/>
        <w:rPr>
          <w:sz w:val="20"/>
          <w:szCs w:val="20"/>
          <w:color w:val="auto"/>
        </w:rPr>
      </w:pPr>
      <w:r>
        <w:rPr>
          <w:rFonts w:ascii="Courier New" w:cs="Courier New" w:eastAsia="Courier New" w:hAnsi="Courier New"/>
          <w:sz w:val="14"/>
          <w:szCs w:val="14"/>
          <w:color w:val="auto"/>
        </w:rPr>
        <w:t>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255" w:lineRule="exact"/>
        <w:rPr>
          <w:sz w:val="20"/>
          <w:szCs w:val="20"/>
          <w:color w:val="auto"/>
        </w:rPr>
      </w:pPr>
    </w:p>
    <w:p>
      <w:pPr>
        <w:ind w:left="560" w:right="2879" w:firstLine="830"/>
        <w:spacing w:after="0" w:line="277" w:lineRule="auto"/>
        <w:tabs>
          <w:tab w:leader="none" w:pos="176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any such matters that could not reasonably be expected to have a Material Adverse Effect, neither the Borrower nor any of its Material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Material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560" w:right="2779" w:firstLine="830"/>
        <w:spacing w:after="0" w:line="278" w:lineRule="auto"/>
        <w:tabs>
          <w:tab w:leader="none" w:pos="1769"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those occurrences or situations that could not reasonably be expected to have a Material Adverse Effect, (i) no portion of the Real Property or other assets of the Borrower and its Material Subsidiaries has been used for the handling, processing, storage or disposal of Hazardous Substances except in accordance with applicable Environmental Laws; (ii) in the course of any activities conducted by the Borrower, its Material Subsidiaries, or operators of the Real Property or other assets of the Borrower and its Material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its Material Subsidiaries; and (iv) any Hazardous Substances that have been generated on the Real Property or other assets of the Borrower or its Material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ectPr>
          <w:pgSz w:w="11900" w:h="16838" w:orient="portrait"/>
          <w:cols w:equalWidth="0" w:num="1">
            <w:col w:w="9939"/>
          </w:cols>
          <w:pgMar w:left="520" w:top="269"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52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-46-</w:t>
      </w:r>
    </w:p>
    <w:p>
      <w:pPr>
        <w:spacing w:after="0" w:line="200" w:lineRule="exact"/>
        <w:rPr>
          <w:sz w:val="20"/>
          <w:szCs w:val="20"/>
          <w:color w:val="auto"/>
        </w:rPr>
      </w:pPr>
    </w:p>
    <w:p>
      <w:pPr>
        <w:spacing w:after="0" w:line="306"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SECTION 6.16. DISCLOSURE. No representation or warranty made by the Borrower or the Guarantor in this Agreement or in any agreement, instrument, document, certificate, or financial statement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90" w:lineRule="exact"/>
        <w:rPr>
          <w:sz w:val="20"/>
          <w:szCs w:val="20"/>
          <w:color w:val="auto"/>
        </w:rPr>
      </w:pPr>
    </w:p>
    <w:p>
      <w:pPr>
        <w:ind w:right="2779" w:firstLine="837"/>
        <w:spacing w:after="0" w:line="288" w:lineRule="auto"/>
        <w:rPr>
          <w:sz w:val="20"/>
          <w:szCs w:val="20"/>
          <w:color w:val="auto"/>
        </w:rPr>
      </w:pPr>
      <w:r>
        <w:rPr>
          <w:rFonts w:ascii="Courier New" w:cs="Courier New" w:eastAsia="Courier New" w:hAnsi="Courier New"/>
          <w:sz w:val="14"/>
          <w:szCs w:val="14"/>
          <w:color w:val="auto"/>
        </w:rPr>
        <w:t>SECTION 6.17. PERMITS AND GOVERNMENTAL AUTHORITY. All permits (other than those the absence of which could not reasonably be expected to have a Material Adverse Effect) required for the construction and operation of all landfills currently owned or operated by the Borrower or any of its Material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255"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7. AFFIRMATIVE COVENANTS OF THE BORROWER. The Borrower agrees that, so long as any Obligation or any Letter of Credit is outstanding or the Banks have any obligation to make Loans, or any Issuing Bank has any obligation to issue, extend or renew any Letters of Credit hereunder, or the Banks have any obligations to reimburse any Issuing Bank for drawings honored under any Letter of Credit, it shall, and shall cause its Subsidiaries to, comply with the following covenants:</w:t>
      </w:r>
    </w:p>
    <w:p>
      <w:pPr>
        <w:spacing w:after="0" w:line="88"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7.1.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80"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SECTION 7.2. MAINTENANCE OF U.S. OFFICE. The Borrower will maintain its chief executive offices at Houston, Texas, or at such other place in the United States of America as the Borrower shall designate upon 30 days' prior written notice to the Administrative Agent.</w:t>
      </w:r>
    </w:p>
    <w:p>
      <w:pPr>
        <w:spacing w:after="0" w:line="73"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SECTION 7.3. RECORDS AND ACCOUNTS. The Borrower will, and will cause each of its Subsidiaries to, keep true and accurate records and books of account in which full, true and correct entries will</w:t>
      </w:r>
    </w:p>
    <w:p>
      <w:pPr>
        <w:sectPr>
          <w:pgSz w:w="11900" w:h="16838" w:orient="portrait"/>
          <w:cols w:equalWidth="0" w:num="1">
            <w:col w:w="10219"/>
          </w:cols>
          <w:pgMar w:left="240" w:top="269"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6"/>
          <w:szCs w:val="16"/>
          <w:color w:val="auto"/>
        </w:rPr>
        <w:t>53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-47-</w:t>
      </w:r>
    </w:p>
    <w:p>
      <w:pPr>
        <w:spacing w:after="0" w:line="327" w:lineRule="exact"/>
        <w:rPr>
          <w:sz w:val="20"/>
          <w:szCs w:val="20"/>
          <w:color w:val="auto"/>
        </w:rPr>
      </w:pPr>
    </w:p>
    <w:p>
      <w:pPr>
        <w:ind w:right="2779"/>
        <w:spacing w:after="0" w:line="322" w:lineRule="auto"/>
        <w:rPr>
          <w:sz w:val="20"/>
          <w:szCs w:val="20"/>
          <w:color w:val="auto"/>
        </w:rPr>
      </w:pPr>
      <w:r>
        <w:rPr>
          <w:rFonts w:ascii="Courier New" w:cs="Courier New" w:eastAsia="Courier New" w:hAnsi="Courier New"/>
          <w:sz w:val="14"/>
          <w:szCs w:val="14"/>
          <w:color w:val="auto"/>
        </w:rPr>
        <w:t>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43" w:lineRule="exact"/>
        <w:rPr>
          <w:sz w:val="20"/>
          <w:szCs w:val="20"/>
          <w:color w:val="auto"/>
        </w:rPr>
      </w:pPr>
    </w:p>
    <w:p>
      <w:pPr>
        <w:ind w:right="3059" w:firstLine="837"/>
        <w:spacing w:after="0" w:line="342" w:lineRule="auto"/>
        <w:rPr>
          <w:sz w:val="20"/>
          <w:szCs w:val="20"/>
          <w:color w:val="auto"/>
        </w:rPr>
      </w:pPr>
      <w:r>
        <w:rPr>
          <w:rFonts w:ascii="Courier New" w:cs="Courier New" w:eastAsia="Courier New" w:hAnsi="Courier New"/>
          <w:sz w:val="16"/>
          <w:szCs w:val="16"/>
          <w:color w:val="auto"/>
        </w:rPr>
        <w:t>SECTION 7.4. FINANCIAL STATEMENTS, CERTIFICATES AND INFORMATION. The Borrower will deliver to the Banks:</w:t>
      </w:r>
    </w:p>
    <w:p>
      <w:pPr>
        <w:spacing w:after="0" w:line="20" w:lineRule="exact"/>
        <w:rPr>
          <w:sz w:val="20"/>
          <w:szCs w:val="20"/>
          <w:color w:val="auto"/>
        </w:rPr>
      </w:pPr>
    </w:p>
    <w:p>
      <w:pPr>
        <w:ind w:left="840" w:right="2779" w:firstLine="830"/>
        <w:spacing w:after="0" w:line="279" w:lineRule="auto"/>
        <w:tabs>
          <w:tab w:leader="none" w:pos="2049"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not later than 100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PricewaterhouseCoopers LLP or Arthur Andersen LLP or by other nationally recognized independent auditors selected by the Borrower and reasonably satisfactory to the Administrative Agent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200" w:lineRule="exact"/>
        <w:rPr>
          <w:rFonts w:ascii="Courier New" w:cs="Courier New" w:eastAsia="Courier New" w:hAnsi="Courier New"/>
          <w:sz w:val="14"/>
          <w:szCs w:val="14"/>
          <w:color w:val="auto"/>
        </w:rPr>
      </w:pPr>
    </w:p>
    <w:p>
      <w:pPr>
        <w:spacing w:after="0" w:line="243" w:lineRule="exact"/>
        <w:rPr>
          <w:rFonts w:ascii="Courier New" w:cs="Courier New" w:eastAsia="Courier New" w:hAnsi="Courier New"/>
          <w:sz w:val="14"/>
          <w:szCs w:val="14"/>
          <w:color w:val="auto"/>
        </w:rPr>
      </w:pPr>
    </w:p>
    <w:p>
      <w:pPr>
        <w:ind w:left="840" w:right="2779" w:firstLine="830"/>
        <w:spacing w:after="0" w:line="280" w:lineRule="auto"/>
        <w:tabs>
          <w:tab w:leader="none" w:pos="2049"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not later than 60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in all material respects, the consolidated financial condition of the Borrower and its Subsidiaries on a consolidated basis as at the close of business on the date thereof and the results of operations for the period then ended, subject to year-end adjustments and the exclusion of detailed footnotes;</w:t>
      </w:r>
    </w:p>
    <w:p>
      <w:pPr>
        <w:spacing w:after="0" w:line="200" w:lineRule="exact"/>
        <w:rPr>
          <w:rFonts w:ascii="Courier New" w:cs="Courier New" w:eastAsia="Courier New" w:hAnsi="Courier New"/>
          <w:sz w:val="14"/>
          <w:szCs w:val="14"/>
          <w:color w:val="auto"/>
        </w:rPr>
      </w:pPr>
    </w:p>
    <w:p>
      <w:pPr>
        <w:spacing w:after="0" w:line="244" w:lineRule="exact"/>
        <w:rPr>
          <w:rFonts w:ascii="Courier New" w:cs="Courier New" w:eastAsia="Courier New" w:hAnsi="Courier New"/>
          <w:sz w:val="14"/>
          <w:szCs w:val="14"/>
          <w:color w:val="auto"/>
        </w:rPr>
      </w:pPr>
    </w:p>
    <w:p>
      <w:pPr>
        <w:ind w:left="840" w:right="2779" w:firstLine="830"/>
        <w:spacing w:after="0" w:line="292" w:lineRule="auto"/>
        <w:tabs>
          <w:tab w:leader="none" w:pos="2049"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Sections 7, 8 and 9 hereof as of the end of the applicable period and setting forth in reasonable detail computations evidencing such compliance with respect to the covenants contained</w:t>
      </w:r>
    </w:p>
    <w:p>
      <w:pPr>
        <w:sectPr>
          <w:pgSz w:w="11900" w:h="16838" w:orient="portrait"/>
          <w:cols w:equalWidth="0" w:num="1">
            <w:col w:w="10219"/>
          </w:cols>
          <w:pgMar w:left="240" w:top="269"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54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-48-</w:t>
      </w:r>
    </w:p>
    <w:p>
      <w:pPr>
        <w:spacing w:after="0" w:line="327" w:lineRule="exact"/>
        <w:rPr>
          <w:sz w:val="20"/>
          <w:szCs w:val="20"/>
          <w:color w:val="auto"/>
        </w:rPr>
      </w:pPr>
    </w:p>
    <w:p>
      <w:pPr>
        <w:ind w:left="840" w:right="2959"/>
        <w:spacing w:after="0" w:line="296" w:lineRule="auto"/>
        <w:rPr>
          <w:sz w:val="20"/>
          <w:szCs w:val="20"/>
          <w:color w:val="auto"/>
        </w:rPr>
      </w:pPr>
      <w:r>
        <w:rPr>
          <w:rFonts w:ascii="Courier New" w:cs="Courier New" w:eastAsia="Courier New" w:hAnsi="Courier New"/>
          <w:sz w:val="14"/>
          <w:szCs w:val="14"/>
          <w:color w:val="auto"/>
        </w:rPr>
        <w:t>in Section 9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62" w:lineRule="exact"/>
        <w:rPr>
          <w:sz w:val="20"/>
          <w:szCs w:val="20"/>
          <w:color w:val="auto"/>
        </w:rPr>
      </w:pPr>
    </w:p>
    <w:p>
      <w:pPr>
        <w:ind w:left="840" w:right="2879" w:firstLine="830"/>
        <w:spacing w:after="0" w:line="272" w:lineRule="auto"/>
        <w:tabs>
          <w:tab w:leader="none" w:pos="204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filing or mailing thereof, copies of all material of a financial nature filed with the Securities and Exchange Commission or sent to the Borrower's and its Subsidiaries' stockholders generally; and</w:t>
      </w:r>
    </w:p>
    <w:p>
      <w:pPr>
        <w:spacing w:after="0" w:line="72" w:lineRule="exact"/>
        <w:rPr>
          <w:rFonts w:ascii="Courier New" w:cs="Courier New" w:eastAsia="Courier New" w:hAnsi="Courier New"/>
          <w:sz w:val="16"/>
          <w:szCs w:val="16"/>
          <w:color w:val="auto"/>
        </w:rPr>
      </w:pPr>
    </w:p>
    <w:p>
      <w:pPr>
        <w:ind w:left="840" w:right="3239" w:firstLine="830"/>
        <w:spacing w:after="0" w:line="342" w:lineRule="auto"/>
        <w:tabs>
          <w:tab w:leader="none" w:pos="204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such other financial data and other information as the Banks may reasonably request.</w:t>
      </w:r>
    </w:p>
    <w:p>
      <w:pPr>
        <w:spacing w:after="0" w:line="20" w:lineRule="exact"/>
        <w:rPr>
          <w:sz w:val="20"/>
          <w:szCs w:val="20"/>
          <w:color w:val="auto"/>
        </w:rPr>
      </w:pPr>
    </w:p>
    <w:p>
      <w:pPr>
        <w:ind w:right="2879" w:firstLine="837"/>
        <w:spacing w:after="0" w:line="296" w:lineRule="auto"/>
        <w:rPr>
          <w:sz w:val="20"/>
          <w:szCs w:val="20"/>
          <w:color w:val="auto"/>
        </w:rPr>
      </w:pPr>
      <w:r>
        <w:rPr>
          <w:rFonts w:ascii="Courier New" w:cs="Courier New" w:eastAsia="Courier New" w:hAnsi="Courier New"/>
          <w:sz w:val="14"/>
          <w:szCs w:val="14"/>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62" w:lineRule="exact"/>
        <w:rPr>
          <w:sz w:val="20"/>
          <w:szCs w:val="20"/>
          <w:color w:val="auto"/>
        </w:rPr>
      </w:pPr>
    </w:p>
    <w:p>
      <w:pPr>
        <w:ind w:right="2779" w:firstLine="837"/>
        <w:spacing w:after="0" w:line="281" w:lineRule="auto"/>
        <w:rPr>
          <w:sz w:val="20"/>
          <w:szCs w:val="20"/>
          <w:color w:val="auto"/>
        </w:rPr>
      </w:pPr>
      <w:r>
        <w:rPr>
          <w:rFonts w:ascii="Courier New" w:cs="Courier New" w:eastAsia="Courier New" w:hAnsi="Courier New"/>
          <w:sz w:val="14"/>
          <w:szCs w:val="14"/>
          <w:color w:val="auto"/>
        </w:rPr>
        <w:t>SECTION 7.5. EXISTENCE AND CONDUCT OF BUSINESS. The Borrower will, and will cause each Material Subsidiary, to do or cause to be done all things necessary to preserve and keep in full force and effect its existence, rights and franchises; and effect and maintain its foreign qualifications (except where the failure of the Borrower or any Material Subsidiary to remain so qualified could not reasonably be expected to have a Material Adverse Effect), licensing, domestication or authorization, except as any of the foregoing may be terminated by its Board of Directors in the exercise of its reasonable judgment; provided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businesses, and any additional businesses acquired pursuant to the terms of Section 8.4(a) hereunder.</w:t>
      </w:r>
    </w:p>
    <w:p>
      <w:pPr>
        <w:spacing w:after="0" w:line="256"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SECTION 7.6. MAINTENANCE OF PROPERTIES. The Borrower will, and will cause its Material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Material Subsidiaries may be necessary so that the businesses carried on in connection therewith may be properly and advantageously conducted at all times; provided,</w:t>
      </w:r>
    </w:p>
    <w:p>
      <w:pPr>
        <w:sectPr>
          <w:pgSz w:w="11900" w:h="16838" w:orient="portrait"/>
          <w:cols w:equalWidth="0" w:num="1">
            <w:col w:w="10219"/>
          </w:cols>
          <w:pgMar w:left="240" w:top="269"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55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-49-</w:t>
      </w:r>
    </w:p>
    <w:p>
      <w:pPr>
        <w:spacing w:after="0" w:line="327" w:lineRule="exact"/>
        <w:rPr>
          <w:sz w:val="20"/>
          <w:szCs w:val="20"/>
          <w:color w:val="auto"/>
        </w:rPr>
      </w:pPr>
    </w:p>
    <w:p>
      <w:pPr>
        <w:ind w:right="2959"/>
        <w:spacing w:after="0" w:line="263" w:lineRule="auto"/>
        <w:rPr>
          <w:sz w:val="20"/>
          <w:szCs w:val="20"/>
          <w:color w:val="auto"/>
        </w:rPr>
      </w:pPr>
      <w:r>
        <w:rPr>
          <w:rFonts w:ascii="Courier New" w:cs="Courier New" w:eastAsia="Courier New" w:hAnsi="Courier New"/>
          <w:sz w:val="16"/>
          <w:szCs w:val="16"/>
          <w:color w:val="auto"/>
        </w:rPr>
        <w:t>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80" w:lineRule="exact"/>
        <w:rPr>
          <w:sz w:val="20"/>
          <w:szCs w:val="20"/>
          <w:color w:val="auto"/>
        </w:rPr>
      </w:pPr>
    </w:p>
    <w:p>
      <w:pPr>
        <w:ind w:right="2779" w:firstLine="837"/>
        <w:spacing w:after="0" w:line="244" w:lineRule="auto"/>
        <w:rPr>
          <w:sz w:val="20"/>
          <w:szCs w:val="20"/>
          <w:color w:val="auto"/>
        </w:rPr>
      </w:pPr>
      <w:r>
        <w:rPr>
          <w:rFonts w:ascii="Courier New" w:cs="Courier New" w:eastAsia="Courier New" w:hAnsi="Courier New"/>
          <w:sz w:val="16"/>
          <w:szCs w:val="16"/>
          <w:color w:val="auto"/>
        </w:rPr>
        <w:t>SECTION 7.7. INSURANCE. The Borrower will, and will cause its Subsidiaries to, maintain with financially sound and reputable insurance companies (including captive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98" w:lineRule="exact"/>
        <w:rPr>
          <w:sz w:val="20"/>
          <w:szCs w:val="20"/>
          <w:color w:val="auto"/>
        </w:rPr>
      </w:pPr>
    </w:p>
    <w:p>
      <w:pPr>
        <w:ind w:right="2779" w:firstLine="837"/>
        <w:spacing w:after="0" w:line="282" w:lineRule="auto"/>
        <w:rPr>
          <w:sz w:val="20"/>
          <w:szCs w:val="20"/>
          <w:color w:val="auto"/>
        </w:rPr>
      </w:pPr>
      <w:r>
        <w:rPr>
          <w:rFonts w:ascii="Courier New" w:cs="Courier New" w:eastAsia="Courier New" w:hAnsi="Courier New"/>
          <w:sz w:val="14"/>
          <w:szCs w:val="14"/>
          <w:color w:val="auto"/>
        </w:rPr>
        <w:t>SECTION 7.8. TAXES. The Borrower will, and will cause its Subsidiaries to, duly pay and discharge, or cause to be paid and discharged, before the same 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provided, however,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prior to the foreclosure on any Lien which may have attached as security therefor.</w:t>
      </w:r>
    </w:p>
    <w:p>
      <w:pPr>
        <w:spacing w:after="0" w:line="253"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SECTION 7.9. INSPECTION OF PROPERTIES, BOOKS AND CONTRACTS. The Borrower will, and will cause its Material Subsidiaries to, permit the Administrative Agent or any Bank or any of their designated representatives, upon reasonable notice, to visit and inspect any of the properties of the Borrower and its Material Subsidiaries, to examine the books of account of the Borrower and its Material Subsidiaries, or contracts (and to make copies thereof and extracts therefrom), and to discuss the affairs, finances and accounts of the Borrower and its Material Subsidiaries with, and to be advised as to the same by, their officers, all at such times and intervals as may be reasonably requested.</w:t>
      </w:r>
    </w:p>
    <w:p>
      <w:pPr>
        <w:sectPr>
          <w:pgSz w:w="11900" w:h="16838" w:orient="portrait"/>
          <w:cols w:equalWidth="0" w:num="1">
            <w:col w:w="10219"/>
          </w:cols>
          <w:pgMar w:left="240" w:top="269" w:right="1440" w:bottom="1440" w:gutter="0" w:footer="0" w:header="0"/>
        </w:sectPr>
      </w:pPr>
    </w:p>
    <w:bookmarkStart w:id="100" w:name="page101"/>
    <w:bookmarkEnd w:id="100"/>
    <w:p>
      <w:pPr>
        <w:ind w:left="285"/>
        <w:spacing w:after="0"/>
        <w:rPr>
          <w:sz w:val="20"/>
          <w:szCs w:val="20"/>
          <w:color w:val="auto"/>
        </w:rPr>
      </w:pPr>
      <w:r>
        <w:rPr>
          <w:rFonts w:ascii="Courier New" w:cs="Courier New" w:eastAsia="Courier New" w:hAnsi="Courier New"/>
          <w:sz w:val="16"/>
          <w:szCs w:val="16"/>
          <w:color w:val="auto"/>
        </w:rPr>
        <w:t>56</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-50-</w:t>
      </w:r>
    </w:p>
    <w:p>
      <w:pPr>
        <w:spacing w:after="0" w:line="327" w:lineRule="exact"/>
        <w:rPr>
          <w:sz w:val="20"/>
          <w:szCs w:val="20"/>
          <w:color w:val="auto"/>
        </w:rPr>
      </w:pPr>
    </w:p>
    <w:p>
      <w:pPr>
        <w:ind w:left="5" w:right="2779" w:firstLine="837"/>
        <w:spacing w:after="0" w:line="274" w:lineRule="auto"/>
        <w:rPr>
          <w:sz w:val="20"/>
          <w:szCs w:val="20"/>
          <w:color w:val="auto"/>
        </w:rPr>
      </w:pPr>
      <w:r>
        <w:rPr>
          <w:rFonts w:ascii="Courier New" w:cs="Courier New" w:eastAsia="Courier New" w:hAnsi="Courier New"/>
          <w:sz w:val="14"/>
          <w:szCs w:val="14"/>
          <w:color w:val="auto"/>
        </w:rPr>
        <w:t>SECTION 7.10. COMPLIANCE WITH LAWS, CONTRACTS, LICENSES AND PERMITS; MAINTENANCE OF MATERIAL LICENSES AND PERMITS. The Borrower will, and 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("Applicable Requirements"), except where noncompliance with such Applicable Requirements could not reasonably be expected to have a Material Adverse Effect;</w:t>
      </w:r>
    </w:p>
    <w:p>
      <w:pPr>
        <w:spacing w:after="0" w:line="6" w:lineRule="exact"/>
        <w:rPr>
          <w:sz w:val="20"/>
          <w:szCs w:val="20"/>
          <w:color w:val="auto"/>
        </w:rPr>
      </w:pPr>
    </w:p>
    <w:p>
      <w:pPr>
        <w:ind w:left="5" w:right="2779" w:hanging="5"/>
        <w:spacing w:after="0" w:line="280" w:lineRule="auto"/>
        <w:tabs>
          <w:tab w:leader="none" w:pos="47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Material Subsidiary may fulfill any of its obligations hereunder or under any other Loan Document, the Borrower will immediately take or cause to be taken all reasonable steps within the power of the Borrower or such Material Subsidiary to obtain such authorization, consent, approval, permit or license and furnish the Banks with evidence thereof.</w:t>
      </w:r>
    </w:p>
    <w:p>
      <w:pPr>
        <w:spacing w:after="0" w:line="256" w:lineRule="exact"/>
        <w:rPr>
          <w:sz w:val="20"/>
          <w:szCs w:val="20"/>
          <w:color w:val="auto"/>
        </w:rPr>
      </w:pPr>
    </w:p>
    <w:p>
      <w:pPr>
        <w:ind w:left="5" w:right="2779" w:firstLine="837"/>
        <w:spacing w:after="0" w:line="242" w:lineRule="auto"/>
        <w:rPr>
          <w:sz w:val="20"/>
          <w:szCs w:val="20"/>
          <w:color w:val="auto"/>
        </w:rPr>
      </w:pPr>
      <w:r>
        <w:rPr>
          <w:rFonts w:ascii="Courier New" w:cs="Courier New" w:eastAsia="Courier New" w:hAnsi="Courier New"/>
          <w:sz w:val="16"/>
          <w:szCs w:val="16"/>
          <w:color w:val="auto"/>
        </w:rPr>
        <w:t>SECTION 7.11.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05" w:lineRule="exact"/>
        <w:rPr>
          <w:sz w:val="20"/>
          <w:szCs w:val="20"/>
          <w:color w:val="auto"/>
        </w:rPr>
      </w:pPr>
    </w:p>
    <w:p>
      <w:pPr>
        <w:ind w:left="5" w:right="2779" w:firstLine="837"/>
        <w:spacing w:after="0" w:line="263" w:lineRule="auto"/>
        <w:rPr>
          <w:sz w:val="20"/>
          <w:szCs w:val="20"/>
          <w:color w:val="auto"/>
        </w:rPr>
      </w:pPr>
      <w:r>
        <w:rPr>
          <w:rFonts w:ascii="Courier New" w:cs="Courier New" w:eastAsia="Courier New" w:hAnsi="Courier New"/>
          <w:sz w:val="16"/>
          <w:szCs w:val="16"/>
          <w:color w:val="auto"/>
        </w:rPr>
        <w:t>SECTION 7.12. FURTHER ASSURANCES. The Borrower and the Guarantor will cooperate with the Administrative Agent and execute such further instruments and documents as the Administrative Agent shall reasonably request to carry out to the Majority Banks' satisfaction the transactions contemplated by this Agreement.</w:t>
      </w:r>
    </w:p>
    <w:p>
      <w:pPr>
        <w:spacing w:after="0" w:line="80" w:lineRule="exact"/>
        <w:rPr>
          <w:sz w:val="20"/>
          <w:szCs w:val="20"/>
          <w:color w:val="auto"/>
        </w:rPr>
      </w:pPr>
    </w:p>
    <w:p>
      <w:pPr>
        <w:ind w:left="5" w:right="2779" w:firstLine="837"/>
        <w:spacing w:after="0" w:line="289" w:lineRule="auto"/>
        <w:rPr>
          <w:sz w:val="20"/>
          <w:szCs w:val="20"/>
          <w:color w:val="auto"/>
        </w:rPr>
      </w:pPr>
      <w:r>
        <w:rPr>
          <w:rFonts w:ascii="Courier New" w:cs="Courier New" w:eastAsia="Courier New" w:hAnsi="Courier New"/>
          <w:sz w:val="16"/>
          <w:szCs w:val="16"/>
          <w:color w:val="auto"/>
        </w:rPr>
        <w:t>SECTION 7.13. NOTICE OF POTENTIAL CLAIMS OR LITIGATION. The Borrower shall deliver to the Banks, within 30 days of receipt thereof, written notice of the initiation of any action, claim,</w:t>
      </w:r>
    </w:p>
    <w:p>
      <w:pPr>
        <w:sectPr>
          <w:pgSz w:w="11900" w:h="16838" w:orient="portrait"/>
          <w:cols w:equalWidth="0" w:num="1">
            <w:col w:w="10224"/>
          </w:cols>
          <w:pgMar w:left="235" w:top="269"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57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-51-</w:t>
      </w:r>
    </w:p>
    <w:p>
      <w:pPr>
        <w:spacing w:after="0" w:line="327" w:lineRule="exact"/>
        <w:rPr>
          <w:sz w:val="20"/>
          <w:szCs w:val="20"/>
          <w:color w:val="auto"/>
        </w:rPr>
      </w:pPr>
    </w:p>
    <w:p>
      <w:pPr>
        <w:ind w:right="2879"/>
        <w:spacing w:after="0" w:line="258" w:lineRule="auto"/>
        <w:rPr>
          <w:sz w:val="20"/>
          <w:szCs w:val="20"/>
          <w:color w:val="auto"/>
        </w:rPr>
      </w:pPr>
      <w:r>
        <w:rPr>
          <w:rFonts w:ascii="Courier New" w:cs="Courier New" w:eastAsia="Courier New" w:hAnsi="Courier New"/>
          <w:sz w:val="16"/>
          <w:szCs w:val="16"/>
          <w:color w:val="auto"/>
        </w:rPr>
        <w:t>complaint, or any other notice of dispute or litigation against the Borrower or any of its Subsidiaries wherein the asserted, demanded or alleged liability is in excess of $25,000,000 or which questions the validity or enforceability of any Loan Document, together with a copy of each such complaint or other notice received by the Borrower or any of its Subsidiaries if requested by the Administrative Agent.</w:t>
      </w:r>
    </w:p>
    <w:p>
      <w:pPr>
        <w:spacing w:after="0" w:line="83" w:lineRule="exact"/>
        <w:rPr>
          <w:sz w:val="20"/>
          <w:szCs w:val="20"/>
          <w:color w:val="auto"/>
        </w:rPr>
      </w:pPr>
    </w:p>
    <w:p>
      <w:pPr>
        <w:ind w:right="3519" w:firstLine="837"/>
        <w:spacing w:after="0" w:line="342" w:lineRule="auto"/>
        <w:rPr>
          <w:sz w:val="20"/>
          <w:szCs w:val="20"/>
          <w:color w:val="auto"/>
        </w:rPr>
      </w:pPr>
      <w:r>
        <w:rPr>
          <w:rFonts w:ascii="Courier New" w:cs="Courier New" w:eastAsia="Courier New" w:hAnsi="Courier New"/>
          <w:sz w:val="16"/>
          <w:szCs w:val="16"/>
          <w:color w:val="auto"/>
        </w:rPr>
        <w:t>SECTION 7.14. NOTICE OF CERTAIN EVENTS CONCERNING INSURANCE AND ENVIRONMENTAL CLAIMS.</w:t>
      </w:r>
    </w:p>
    <w:p>
      <w:pPr>
        <w:spacing w:after="0" w:line="20" w:lineRule="exact"/>
        <w:rPr>
          <w:sz w:val="20"/>
          <w:szCs w:val="20"/>
          <w:color w:val="auto"/>
        </w:rPr>
      </w:pPr>
    </w:p>
    <w:p>
      <w:pPr>
        <w:ind w:left="840" w:right="2779" w:firstLine="830"/>
        <w:spacing w:after="0" w:line="301" w:lineRule="auto"/>
        <w:tabs>
          <w:tab w:leader="none" w:pos="2049"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will provide the Banks with written notice as to any material cancellation or material adverse change in any insurance of the Borrower or any of its Material Subsidiaries within ten (10) Business Days after the Borrower's or any of its Material Subsidiary's receipt of any notice (whether formal or informal) of such material cancellation or material change by any of its insurers.</w:t>
      </w:r>
    </w:p>
    <w:p>
      <w:pPr>
        <w:spacing w:after="0" w:line="58" w:lineRule="exact"/>
        <w:rPr>
          <w:rFonts w:ascii="Courier New" w:cs="Courier New" w:eastAsia="Courier New" w:hAnsi="Courier New"/>
          <w:sz w:val="14"/>
          <w:szCs w:val="14"/>
          <w:color w:val="auto"/>
        </w:rPr>
      </w:pPr>
    </w:p>
    <w:p>
      <w:pPr>
        <w:ind w:left="2040" w:hanging="370"/>
        <w:spacing w:after="0"/>
        <w:tabs>
          <w:tab w:leader="none" w:pos="2040"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will promptly, and in any event within ten</w:t>
      </w:r>
    </w:p>
    <w:p>
      <w:pPr>
        <w:spacing w:after="0" w:line="25" w:lineRule="exact"/>
        <w:rPr>
          <w:rFonts w:ascii="Courier New" w:cs="Courier New" w:eastAsia="Courier New" w:hAnsi="Courier New"/>
          <w:sz w:val="16"/>
          <w:szCs w:val="16"/>
          <w:color w:val="auto"/>
        </w:rPr>
      </w:pPr>
    </w:p>
    <w:p>
      <w:pPr>
        <w:ind w:left="840" w:right="3339" w:hanging="7"/>
        <w:spacing w:after="0" w:line="383" w:lineRule="auto"/>
        <w:tabs>
          <w:tab w:leader="none" w:pos="130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of the Borrower's obtaining knowledge thereof, notify the Banks in writing of any of the following events:</w:t>
      </w:r>
    </w:p>
    <w:p>
      <w:pPr>
        <w:spacing w:after="0" w:line="2" w:lineRule="exact"/>
        <w:rPr>
          <w:rFonts w:ascii="Courier New" w:cs="Courier New" w:eastAsia="Courier New" w:hAnsi="Courier New"/>
          <w:sz w:val="14"/>
          <w:szCs w:val="14"/>
          <w:color w:val="auto"/>
        </w:rPr>
      </w:pPr>
    </w:p>
    <w:p>
      <w:pPr>
        <w:ind w:left="1660" w:right="2879" w:firstLine="847"/>
        <w:spacing w:after="0" w:line="309" w:lineRule="auto"/>
        <w:tabs>
          <w:tab w:leader="none" w:pos="2869" w:val="left"/>
        </w:tabs>
        <w:numPr>
          <w:ilvl w:val="2"/>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Material Subsidiary's obtaining knowledge of any violation of any Environmental Law regarding the Real Property or the Borrower's or any Subsidiary's operations which violation could reasonably be expected to have a Material Adverse Effect;</w:t>
      </w:r>
    </w:p>
    <w:p>
      <w:pPr>
        <w:spacing w:after="0" w:line="52" w:lineRule="exact"/>
        <w:rPr>
          <w:rFonts w:ascii="Courier New" w:cs="Courier New" w:eastAsia="Courier New" w:hAnsi="Courier New"/>
          <w:sz w:val="14"/>
          <w:szCs w:val="14"/>
          <w:color w:val="auto"/>
        </w:rPr>
      </w:pPr>
    </w:p>
    <w:p>
      <w:pPr>
        <w:ind w:left="1660" w:right="2779" w:firstLine="847"/>
        <w:spacing w:after="0" w:line="263" w:lineRule="auto"/>
        <w:tabs>
          <w:tab w:leader="none" w:pos="2962"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Material Subsidiary's obtaining knowledge of any potential or known Release, or threat of Release, of any Hazardous Substance at, from, or into the Real Property which could reasonably be expected to have a Material Adverse Effect;</w:t>
      </w:r>
    </w:p>
    <w:p>
      <w:pPr>
        <w:spacing w:after="0" w:line="80" w:lineRule="exact"/>
        <w:rPr>
          <w:rFonts w:ascii="Courier New" w:cs="Courier New" w:eastAsia="Courier New" w:hAnsi="Courier New"/>
          <w:sz w:val="16"/>
          <w:szCs w:val="16"/>
          <w:color w:val="auto"/>
        </w:rPr>
      </w:pPr>
    </w:p>
    <w:p>
      <w:pPr>
        <w:ind w:left="1660" w:right="2879" w:firstLine="847"/>
        <w:spacing w:after="0" w:line="274" w:lineRule="auto"/>
        <w:tabs>
          <w:tab w:leader="none" w:pos="3055" w:val="left"/>
        </w:tabs>
        <w:numPr>
          <w:ilvl w:val="2"/>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Material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Material Subsidiary's or any Person's operation of the Real Property,</w:t>
      </w:r>
    </w:p>
    <w:p>
      <w:pPr>
        <w:spacing w:after="0" w:line="6" w:lineRule="exact"/>
        <w:rPr>
          <w:rFonts w:ascii="Courier New" w:cs="Courier New" w:eastAsia="Courier New" w:hAnsi="Courier New"/>
          <w:sz w:val="14"/>
          <w:szCs w:val="14"/>
          <w:color w:val="auto"/>
        </w:rPr>
      </w:pPr>
    </w:p>
    <w:p>
      <w:pPr>
        <w:ind w:left="1660" w:right="2779"/>
        <w:spacing w:after="0" w:line="248"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 contamination on, from, or into the Real Property, or (C) investigation or remediation of offsite locations at which the Borrower, any Material Subsidiary, or its predecessors are alleged to have directly or indirectly Disposed of Hazardous Substances, and with respect to which the asserted, demanded or alleged liability associated therewith exceeds $35,000,000; or</w:t>
      </w:r>
    </w:p>
    <w:p>
      <w:pPr>
        <w:spacing w:after="0" w:line="92" w:lineRule="exact"/>
        <w:rPr>
          <w:rFonts w:ascii="Courier New" w:cs="Courier New" w:eastAsia="Courier New" w:hAnsi="Courier New"/>
          <w:sz w:val="14"/>
          <w:szCs w:val="14"/>
          <w:color w:val="auto"/>
        </w:rPr>
      </w:pPr>
    </w:p>
    <w:p>
      <w:pPr>
        <w:ind w:left="1660" w:right="2779" w:firstLine="847"/>
        <w:spacing w:after="0" w:line="254" w:lineRule="auto"/>
        <w:tabs>
          <w:tab w:leader="none" w:pos="2962" w:val="left"/>
        </w:tabs>
        <w:numPr>
          <w:ilvl w:val="2"/>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Material Subsidiary's obtaining knowledge that any expense or loss which individually or in the aggregate exceeds $35,000,000 has been incurred by such governmental authority in connection with the assessment, containment, removal or remediation of any Hazardous Substances with respect to which the Borrower or any Material Subsidiary has</w:t>
      </w:r>
    </w:p>
    <w:p>
      <w:pPr>
        <w:sectPr>
          <w:pgSz w:w="11900" w:h="16838" w:orient="portrait"/>
          <w:cols w:equalWidth="0" w:num="1">
            <w:col w:w="10219"/>
          </w:cols>
          <w:pgMar w:left="240" w:top="269" w:right="1440" w:bottom="1440" w:gutter="0" w:footer="0" w:header="0"/>
        </w:sectPr>
      </w:pPr>
    </w:p>
    <w:bookmarkStart w:id="102" w:name="page103"/>
    <w:bookmarkEnd w:id="102"/>
    <w:p>
      <w:pPr>
        <w:ind w:left="280"/>
        <w:spacing w:after="0"/>
        <w:rPr>
          <w:sz w:val="20"/>
          <w:szCs w:val="20"/>
          <w:color w:val="auto"/>
        </w:rPr>
      </w:pPr>
      <w:r>
        <w:rPr>
          <w:rFonts w:ascii="Courier New" w:cs="Courier New" w:eastAsia="Courier New" w:hAnsi="Courier New"/>
          <w:sz w:val="16"/>
          <w:szCs w:val="16"/>
          <w:color w:val="auto"/>
        </w:rPr>
        <w:t>58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-52-</w:t>
      </w:r>
    </w:p>
    <w:p>
      <w:pPr>
        <w:spacing w:after="0" w:line="327" w:lineRule="exact"/>
        <w:rPr>
          <w:sz w:val="20"/>
          <w:szCs w:val="20"/>
          <w:color w:val="auto"/>
        </w:rPr>
      </w:pPr>
    </w:p>
    <w:p>
      <w:pPr>
        <w:jc w:val="both"/>
        <w:ind w:left="1660" w:right="2959"/>
        <w:spacing w:after="0" w:line="289" w:lineRule="auto"/>
        <w:rPr>
          <w:sz w:val="20"/>
          <w:szCs w:val="20"/>
          <w:color w:val="auto"/>
        </w:rPr>
      </w:pPr>
      <w:r>
        <w:rPr>
          <w:rFonts w:ascii="Courier New" w:cs="Courier New" w:eastAsia="Courier New" w:hAnsi="Courier New"/>
          <w:sz w:val="16"/>
          <w:szCs w:val="16"/>
          <w:color w:val="auto"/>
        </w:rPr>
        <w:t>been alleged to be liable by such governmental authority or for which a Lien may be imposed on the Real Property by such governmental authority.</w:t>
      </w:r>
    </w:p>
    <w:p>
      <w:pPr>
        <w:spacing w:after="0" w:line="61"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SECTION 7.15.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Material Subsidiaries is a party or obligor, whether as principal or surety, the Borrower shall promptly upon obtaining actual knowledge thereof give written notice thereof to the Banks, describing the notice of action and the nature of the claimed default.</w:t>
      </w:r>
    </w:p>
    <w:p>
      <w:pPr>
        <w:spacing w:after="0" w:line="95"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7.16. USE OF PROCEEDS. The proceeds of the Loans shall be used for general corporate purposes, to provide working capital, to provide letters of credit and to refinance existing Indebtedness of the Borrower and its Subsidiaries. No proceeds of the Loans shall be used in any way that will violate Regulations U or X of the Board of Governors of the Federal Reserve System.</w:t>
      </w:r>
    </w:p>
    <w:p>
      <w:pPr>
        <w:spacing w:after="0" w:line="83" w:lineRule="exact"/>
        <w:rPr>
          <w:sz w:val="20"/>
          <w:szCs w:val="20"/>
          <w:color w:val="auto"/>
        </w:rPr>
      </w:pPr>
    </w:p>
    <w:p>
      <w:pPr>
        <w:ind w:right="2779" w:firstLine="837"/>
        <w:spacing w:after="0" w:line="244" w:lineRule="auto"/>
        <w:rPr>
          <w:sz w:val="20"/>
          <w:szCs w:val="20"/>
          <w:color w:val="auto"/>
        </w:rPr>
      </w:pPr>
      <w:r>
        <w:rPr>
          <w:rFonts w:ascii="Courier New" w:cs="Courier New" w:eastAsia="Courier New" w:hAnsi="Courier New"/>
          <w:sz w:val="16"/>
          <w:szCs w:val="16"/>
          <w:color w:val="auto"/>
        </w:rPr>
        <w:t>SECTION 7.17. CERTAIN TRANSACTIONS. Except as disclosed in the Disclosure Documents prior to the Effective Date,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98"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8.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88" w:lineRule="exact"/>
        <w:rPr>
          <w:sz w:val="20"/>
          <w:szCs w:val="20"/>
          <w:color w:val="auto"/>
        </w:rPr>
      </w:pPr>
    </w:p>
    <w:p>
      <w:pPr>
        <w:ind w:right="2779" w:firstLine="837"/>
        <w:spacing w:after="0" w:line="292" w:lineRule="auto"/>
        <w:rPr>
          <w:sz w:val="20"/>
          <w:szCs w:val="20"/>
          <w:color w:val="auto"/>
        </w:rPr>
      </w:pPr>
      <w:r>
        <w:rPr>
          <w:rFonts w:ascii="Courier New" w:cs="Courier New" w:eastAsia="Courier New" w:hAnsi="Courier New"/>
          <w:sz w:val="14"/>
          <w:szCs w:val="14"/>
          <w:color w:val="auto"/>
        </w:rPr>
        <w:t>SECTION 8.1.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(other than the Borrower or any of its Subsidiaries), or incur any Indebtedness other than:</w:t>
      </w:r>
    </w:p>
    <w:p>
      <w:pPr>
        <w:sectPr>
          <w:pgSz w:w="11900" w:h="16838" w:orient="portrait"/>
          <w:cols w:equalWidth="0" w:num="1">
            <w:col w:w="10219"/>
          </w:cols>
          <w:pgMar w:left="240" w:top="269"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59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-53-</w:t>
      </w:r>
    </w:p>
    <w:p>
      <w:pPr>
        <w:spacing w:after="0" w:line="327" w:lineRule="exact"/>
        <w:rPr>
          <w:sz w:val="20"/>
          <w:szCs w:val="20"/>
          <w:color w:val="auto"/>
        </w:rPr>
      </w:pPr>
    </w:p>
    <w:p>
      <w:pPr>
        <w:ind w:left="840" w:right="3159" w:firstLine="830"/>
        <w:spacing w:after="0" w:line="342" w:lineRule="auto"/>
        <w:tabs>
          <w:tab w:leader="none" w:pos="204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arising under this Agreement or the other Loan Documents;</w:t>
      </w:r>
    </w:p>
    <w:p>
      <w:pPr>
        <w:spacing w:after="0" w:line="20" w:lineRule="exact"/>
        <w:rPr>
          <w:rFonts w:ascii="Courier New" w:cs="Courier New" w:eastAsia="Courier New" w:hAnsi="Courier New"/>
          <w:sz w:val="16"/>
          <w:szCs w:val="16"/>
          <w:color w:val="auto"/>
        </w:rPr>
      </w:pPr>
    </w:p>
    <w:p>
      <w:pPr>
        <w:ind w:left="840" w:right="2879" w:firstLine="830"/>
        <w:spacing w:after="0" w:line="272" w:lineRule="auto"/>
        <w:tabs>
          <w:tab w:leader="none" w:pos="204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Indebtedness incurred by the Borrower or any Subsidiary with respect to any suretyship or performance bond incurred in the ordinary course of its business and undrawn landfill closure bonds;</w:t>
      </w:r>
    </w:p>
    <w:p>
      <w:pPr>
        <w:spacing w:after="0" w:line="72" w:lineRule="exact"/>
        <w:rPr>
          <w:rFonts w:ascii="Courier New" w:cs="Courier New" w:eastAsia="Courier New" w:hAnsi="Courier New"/>
          <w:sz w:val="16"/>
          <w:szCs w:val="16"/>
          <w:color w:val="auto"/>
        </w:rPr>
      </w:pPr>
    </w:p>
    <w:p>
      <w:pPr>
        <w:jc w:val="both"/>
        <w:ind w:left="840" w:right="2779" w:firstLine="1202"/>
        <w:spacing w:after="0" w:line="289" w:lineRule="auto"/>
        <w:tabs>
          <w:tab w:leader="none" w:pos="2514"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of any of its Subsidiaries' obligations to governmental authorities in lieu of the posting of any landfill closure bonds;</w:t>
      </w:r>
    </w:p>
    <w:p>
      <w:pPr>
        <w:spacing w:after="0" w:line="60" w:lineRule="exact"/>
        <w:rPr>
          <w:rFonts w:ascii="Courier New" w:cs="Courier New" w:eastAsia="Courier New" w:hAnsi="Courier New"/>
          <w:sz w:val="16"/>
          <w:szCs w:val="16"/>
          <w:color w:val="auto"/>
        </w:rPr>
      </w:pPr>
    </w:p>
    <w:p>
      <w:pPr>
        <w:ind w:left="840" w:right="2779" w:firstLine="830"/>
        <w:spacing w:after="0" w:line="301" w:lineRule="auto"/>
        <w:tabs>
          <w:tab w:leader="none" w:pos="204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Indebtedness of the Borrower (and any guarantee thereof by the Guarantor), including commercial paper and the 364 Day Facility, which is pari passu or subordinated to the Obligations; provided that there does not exist a Default or Event of Default at the time of the incurrence of such Indebtedness and no Default or Event of Default would be created by the incurrence of such Indebtedness;</w:t>
      </w:r>
    </w:p>
    <w:p>
      <w:pPr>
        <w:spacing w:after="0" w:line="58" w:lineRule="exact"/>
        <w:rPr>
          <w:rFonts w:ascii="Courier New" w:cs="Courier New" w:eastAsia="Courier New" w:hAnsi="Courier New"/>
          <w:sz w:val="14"/>
          <w:szCs w:val="14"/>
          <w:color w:val="auto"/>
        </w:rPr>
      </w:pPr>
    </w:p>
    <w:p>
      <w:pPr>
        <w:ind w:left="840" w:right="2779" w:firstLine="830"/>
        <w:spacing w:after="0" w:line="254" w:lineRule="auto"/>
        <w:tabs>
          <w:tab w:leader="none" w:pos="2049"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Guarantor and the Borrower's Subsidiaries listed in Schedule 8.1(d) and any extension, renewal or refinancing by the Guarantor or such Subsidiary of such Indebtedness, provided that the terms and conditions of any such extension, renewal or refinancing are substantially the same as the terms and conditions in effect on the Effective Date, or are more favorable to the Guarantor or such Subsidiary; and</w:t>
      </w:r>
    </w:p>
    <w:p>
      <w:pPr>
        <w:spacing w:after="0" w:line="88" w:lineRule="exact"/>
        <w:rPr>
          <w:rFonts w:ascii="Courier New" w:cs="Courier New" w:eastAsia="Courier New" w:hAnsi="Courier New"/>
          <w:sz w:val="16"/>
          <w:szCs w:val="16"/>
          <w:color w:val="auto"/>
        </w:rPr>
      </w:pPr>
    </w:p>
    <w:p>
      <w:pPr>
        <w:ind w:left="840" w:right="3159" w:firstLine="830"/>
        <w:spacing w:after="0" w:line="298" w:lineRule="auto"/>
        <w:tabs>
          <w:tab w:leader="none" w:pos="2049"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Other Indebtedness of the Borrower's Subsidiaries (other than of the Guarantor), (ii) secured Indebtedness of the Borrower, (iii) Indebtedness with respect to drawn landfill closure bonds, and (iv) Indebtedness with respect to Permitted Receivables Transactions; provided that the aggregate amount of all such Indebtedness in this Section 8.1(e) shall not exceed 15% of Consolidated Tangible Assets at any time.</w:t>
      </w:r>
    </w:p>
    <w:p>
      <w:pPr>
        <w:spacing w:after="0" w:line="250"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SECTION 8.2. RESTRICTIONS ON LIENS. The Borrower will not, and will cause its Subsidiaries not to, create or incur or suffer to be created or incurred or to 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Liens.</w:t>
      </w:r>
    </w:p>
    <w:p>
      <w:pPr>
        <w:spacing w:after="0" w:line="105"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The Borrower and the Guarantor covenant and agree that if either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w:t>
      </w:r>
    </w:p>
    <w:p>
      <w:pPr>
        <w:sectPr>
          <w:pgSz w:w="11900" w:h="16838" w:orient="portrait"/>
          <w:cols w:equalWidth="0" w:num="1">
            <w:col w:w="10219"/>
          </w:cols>
          <w:pgMar w:left="240" w:top="269" w:right="1440" w:bottom="1440" w:gutter="0" w:footer="0" w:header="0"/>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60</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-54-</w:t>
      </w:r>
    </w:p>
    <w:p>
      <w:pPr>
        <w:spacing w:after="0" w:line="327" w:lineRule="exact"/>
        <w:rPr>
          <w:sz w:val="20"/>
          <w:szCs w:val="20"/>
          <w:color w:val="auto"/>
        </w:rPr>
      </w:pPr>
    </w:p>
    <w:p>
      <w:pPr>
        <w:ind w:right="2959"/>
        <w:spacing w:after="0" w:line="250" w:lineRule="auto"/>
        <w:rPr>
          <w:sz w:val="20"/>
          <w:szCs w:val="20"/>
          <w:color w:val="auto"/>
        </w:rPr>
      </w:pPr>
      <w:r>
        <w:rPr>
          <w:rFonts w:ascii="Courier New" w:cs="Courier New" w:eastAsia="Courier New" w:hAnsi="Courier New"/>
          <w:sz w:val="16"/>
          <w:szCs w:val="16"/>
          <w:color w:val="auto"/>
        </w:rPr>
        <w:t>will be secured by such Lien equally and ratably with any and all other Indebtedness thereby secured so long as such other Indebtedness shall be so secured; provided, that the covenants of the Borrower and the Guarantor contained in this sentence shall only be in effect for so long as the Borrower or the Guarantor shall be similarly obligated under any other Indebtedness; provided, further, that an Event of Default shall occur for so long as such other Indebtedness becomes secured notwithstanding any actions taken by the Borrower or the Guarantor to ratably secure the Obligations and the Guaranteed Obligations hereunder.</w:t>
      </w:r>
    </w:p>
    <w:p>
      <w:pPr>
        <w:spacing w:after="0" w:line="90" w:lineRule="exact"/>
        <w:rPr>
          <w:sz w:val="20"/>
          <w:szCs w:val="20"/>
          <w:color w:val="auto"/>
        </w:rPr>
      </w:pPr>
    </w:p>
    <w:p>
      <w:pPr>
        <w:ind w:right="2779" w:firstLine="837"/>
        <w:spacing w:after="0" w:line="277" w:lineRule="auto"/>
        <w:rPr>
          <w:sz w:val="20"/>
          <w:szCs w:val="20"/>
          <w:color w:val="auto"/>
        </w:rPr>
      </w:pPr>
      <w:r>
        <w:rPr>
          <w:rFonts w:ascii="Courier New" w:cs="Courier New" w:eastAsia="Courier New" w:hAnsi="Courier New"/>
          <w:sz w:val="14"/>
          <w:szCs w:val="14"/>
          <w:color w:val="auto"/>
        </w:rPr>
        <w:t>SECTION 8.3. RESTRICTIONS ON INVESTMENTS. Except to the extent provided in Section 8.4, neither the Borrower nor any Subsidiary may make or permit to exist or to remain outstanding any Investment, unless both before and after giving effect thereto (i) the Borrower and its Subsidiaries are in compliance with the covenants set forth in Sections 7, 8 and 9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 than one (1) year, issued by commercial banks in the United States or Canada having capital and surplus of not less than $100,000,000, and (C) Subsidiaries), does not exceed</w:t>
      </w:r>
    </w:p>
    <w:p>
      <w:pPr>
        <w:spacing w:after="0" w:line="161" w:lineRule="exact"/>
        <w:rPr>
          <w:sz w:val="20"/>
          <w:szCs w:val="20"/>
          <w:color w:val="auto"/>
        </w:rPr>
      </w:pPr>
    </w:p>
    <w:p>
      <w:pPr>
        <w:jc w:val="both"/>
        <w:ind w:right="2779"/>
        <w:spacing w:after="0" w:line="327" w:lineRule="auto"/>
        <w:rPr>
          <w:sz w:val="20"/>
          <w:szCs w:val="20"/>
          <w:color w:val="auto"/>
        </w:rPr>
      </w:pPr>
      <w:r>
        <w:rPr>
          <w:rFonts w:ascii="Courier New" w:cs="Courier New" w:eastAsia="Courier New" w:hAnsi="Courier New"/>
          <w:sz w:val="14"/>
          <w:szCs w:val="14"/>
          <w:color w:val="auto"/>
        </w:rPr>
        <w:t>15% of Consolidated Tangible Assets; provided, that the ability of the Borrower and its Subsidiaries to incur any Indebtedness in connection with any Investment permitted by this Section 8.3 shall be governed by Section 8.1.</w:t>
      </w:r>
    </w:p>
    <w:p>
      <w:pPr>
        <w:spacing w:after="0" w:line="3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8.4. MERGERS, CONSOLIDATIONS, SALES.</w:t>
      </w:r>
    </w:p>
    <w:p>
      <w:pPr>
        <w:spacing w:after="0" w:line="177" w:lineRule="exact"/>
        <w:rPr>
          <w:sz w:val="20"/>
          <w:szCs w:val="20"/>
          <w:color w:val="auto"/>
        </w:rPr>
      </w:pPr>
    </w:p>
    <w:p>
      <w:pPr>
        <w:ind w:left="840" w:right="2779" w:firstLine="830"/>
        <w:spacing w:after="0" w:line="277" w:lineRule="auto"/>
        <w:tabs>
          <w:tab w:leader="none" w:pos="2049"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8.3 or this Section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provided that the Borrower or its Subsidiaries may purchase or otherwise acquire all or</w:t>
      </w:r>
    </w:p>
    <w:p>
      <w:pPr>
        <w:sectPr>
          <w:pgSz w:w="11900" w:h="16838" w:orient="portrait"/>
          <w:cols w:equalWidth="0" w:num="1">
            <w:col w:w="10219"/>
          </w:cols>
          <w:pgMar w:left="240" w:top="269"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6"/>
          <w:szCs w:val="16"/>
          <w:color w:val="auto"/>
        </w:rPr>
        <w:t>61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-55-</w:t>
      </w:r>
    </w:p>
    <w:p>
      <w:pPr>
        <w:spacing w:after="0" w:line="327" w:lineRule="exact"/>
        <w:rPr>
          <w:sz w:val="20"/>
          <w:szCs w:val="20"/>
          <w:color w:val="auto"/>
        </w:rPr>
      </w:pPr>
    </w:p>
    <w:p>
      <w:pPr>
        <w:ind w:left="840" w:right="2779"/>
        <w:spacing w:after="0" w:line="250" w:lineRule="auto"/>
        <w:rPr>
          <w:sz w:val="20"/>
          <w:szCs w:val="20"/>
          <w:color w:val="auto"/>
        </w:rPr>
      </w:pPr>
      <w:r>
        <w:rPr>
          <w:rFonts w:ascii="Courier New" w:cs="Courier New" w:eastAsia="Courier New" w:hAnsi="Courier New"/>
          <w:sz w:val="16"/>
          <w:szCs w:val="16"/>
          <w:color w:val="auto"/>
        </w:rPr>
        <w:t>substantially all of the assets or stock of any class of, or any partnership, membership or joint venture or other interest in, any Persons in unrelated businesses, not to exceed an aggregate amount of $100,000,000 during the first year following the Effective Date, and not to exceed a total aggregate amount of $200,000,000 during the term of this Agreement. Notwithstanding anything herein to the contrary, the ability of the Borrower and its Subsidiaries to incur any Indebtedness in connection with any transaction permitted pursuant to this Section 8.4 shall be governed by Section 8.1.</w:t>
      </w:r>
    </w:p>
    <w:p>
      <w:pPr>
        <w:spacing w:after="0" w:line="90" w:lineRule="exact"/>
        <w:rPr>
          <w:sz w:val="20"/>
          <w:szCs w:val="20"/>
          <w:color w:val="auto"/>
        </w:rPr>
      </w:pPr>
    </w:p>
    <w:p>
      <w:pPr>
        <w:ind w:left="840" w:right="2779" w:firstLine="830"/>
        <w:spacing w:after="0" w:line="278" w:lineRule="auto"/>
        <w:tabs>
          <w:tab w:leader="none" w:pos="2049"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 and is continuing, or would result therefrom, sales of assets or pursuant to a sale-leaseback transaction, provided that any net cash proceeds from any such sale or sale-leaseback shall, within 180 days, either be used to pay down outstanding Loans under this Agreement and outstanding loans under the 364 Day Facility pro rata, or be reinvested by such Person in assets of the business of the Borrower and its Subsidiaries, used for working capital, invested in Investments in accordance with the provisions of Section 8.3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200" w:lineRule="exact"/>
        <w:rPr>
          <w:sz w:val="20"/>
          <w:szCs w:val="20"/>
          <w:color w:val="auto"/>
        </w:rPr>
      </w:pPr>
    </w:p>
    <w:p>
      <w:pPr>
        <w:spacing w:after="0" w:line="240" w:lineRule="exact"/>
        <w:rPr>
          <w:sz w:val="20"/>
          <w:szCs w:val="20"/>
          <w:color w:val="auto"/>
        </w:rPr>
      </w:pPr>
    </w:p>
    <w:p>
      <w:pPr>
        <w:ind w:right="2879" w:firstLine="837"/>
        <w:spacing w:after="0" w:line="286" w:lineRule="auto"/>
        <w:rPr>
          <w:sz w:val="20"/>
          <w:szCs w:val="20"/>
          <w:color w:val="auto"/>
        </w:rPr>
      </w:pPr>
      <w:r>
        <w:rPr>
          <w:rFonts w:ascii="Courier New" w:cs="Courier New" w:eastAsia="Courier New" w:hAnsi="Courier New"/>
          <w:sz w:val="14"/>
          <w:szCs w:val="14"/>
          <w:color w:val="auto"/>
        </w:rPr>
        <w:t>SECTION 8.5. RESTRICTED DISTRIBUTIONS AND REDEMPTIONS. Neither the Borrower nor any of its Subsidiaries will (a) declare or pay any Distributions, or (b) redeem, convert, retire or otherwise acquire shares of any class of its capital stock (other than in connection with a merger permitted by Section 8.4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68"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SECTION 8.6. EMPLOYEE BENEFIT PLANS. None of the Borrower, any of its</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or any ERISA Affiliate will:</w:t>
      </w:r>
    </w:p>
    <w:p>
      <w:pPr>
        <w:spacing w:after="0" w:line="149" w:lineRule="exact"/>
        <w:rPr>
          <w:sz w:val="20"/>
          <w:szCs w:val="20"/>
          <w:color w:val="auto"/>
        </w:rPr>
      </w:pPr>
    </w:p>
    <w:p>
      <w:pPr>
        <w:jc w:val="both"/>
        <w:ind w:left="840" w:right="2879" w:firstLine="830"/>
        <w:spacing w:after="0" w:line="348" w:lineRule="auto"/>
        <w:tabs>
          <w:tab w:leader="none" w:pos="204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"prohibited transaction" within the meaning of Section 406 of ERISA or Section 4975 of the Code which could result in a material liability for the Borrower on a consolidated basis; or</w:t>
      </w:r>
    </w:p>
    <w:p>
      <w:pPr>
        <w:spacing w:after="0" w:line="25" w:lineRule="exact"/>
        <w:rPr>
          <w:rFonts w:ascii="Courier New" w:cs="Courier New" w:eastAsia="Courier New" w:hAnsi="Courier New"/>
          <w:sz w:val="14"/>
          <w:szCs w:val="14"/>
          <w:color w:val="auto"/>
        </w:rPr>
      </w:pPr>
    </w:p>
    <w:p>
      <w:pPr>
        <w:ind w:left="840" w:right="3059" w:firstLine="830"/>
        <w:spacing w:after="0" w:line="348" w:lineRule="auto"/>
        <w:tabs>
          <w:tab w:leader="none" w:pos="2049"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ectPr>
          <w:pgSz w:w="11900" w:h="16838" w:orient="portrait"/>
          <w:cols w:equalWidth="0" w:num="1">
            <w:col w:w="10219"/>
          </w:cols>
          <w:pgMar w:left="240" w:top="269" w:right="1440" w:bottom="1440" w:gutter="0" w:footer="0" w:header="0"/>
        </w:sectPr>
      </w:pPr>
    </w:p>
    <w:bookmarkStart w:id="106" w:name="page107"/>
    <w:bookmarkEnd w:id="106"/>
    <w:p>
      <w:pPr>
        <w:ind w:left="285"/>
        <w:spacing w:after="0"/>
        <w:rPr>
          <w:sz w:val="20"/>
          <w:szCs w:val="20"/>
          <w:color w:val="auto"/>
        </w:rPr>
      </w:pPr>
      <w:r>
        <w:rPr>
          <w:rFonts w:ascii="Courier New" w:cs="Courier New" w:eastAsia="Courier New" w:hAnsi="Courier New"/>
          <w:sz w:val="16"/>
          <w:szCs w:val="16"/>
          <w:color w:val="auto"/>
        </w:rPr>
        <w:t>62</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-56-</w:t>
      </w:r>
    </w:p>
    <w:p>
      <w:pPr>
        <w:spacing w:after="0" w:line="327" w:lineRule="exact"/>
        <w:rPr>
          <w:sz w:val="20"/>
          <w:szCs w:val="20"/>
          <w:color w:val="auto"/>
        </w:rPr>
      </w:pPr>
    </w:p>
    <w:p>
      <w:pPr>
        <w:ind w:left="845" w:right="2959" w:firstLine="830"/>
        <w:spacing w:after="0" w:line="263" w:lineRule="auto"/>
        <w:tabs>
          <w:tab w:leader="none" w:pos="2054"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 to contribute to any Guaranteed Pension Plan to an extent which, or terminate any Guaranteed Pension Plan in a manner which, could result in the imposition of a lien or encumbrance on the assets of the Borrower or the Guarantor pursuant to Section 302(f) or Section 4068 of ERISA; or</w:t>
      </w:r>
    </w:p>
    <w:p>
      <w:pPr>
        <w:spacing w:after="0" w:line="80" w:lineRule="exact"/>
        <w:rPr>
          <w:rFonts w:ascii="Courier New" w:cs="Courier New" w:eastAsia="Courier New" w:hAnsi="Courier New"/>
          <w:sz w:val="16"/>
          <w:szCs w:val="16"/>
          <w:color w:val="auto"/>
        </w:rPr>
      </w:pPr>
    </w:p>
    <w:p>
      <w:pPr>
        <w:ind w:left="845" w:right="2779" w:firstLine="830"/>
        <w:spacing w:after="0" w:line="301" w:lineRule="auto"/>
        <w:tabs>
          <w:tab w:leader="none" w:pos="2054"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or take any action which would result in the aggregate benefit liabilities (within the meaning of Section 4001 of ERISA), other than with respect to the Terminated Plans, of all Guaranteed Pension Plans exceeding the value of the aggregate assets of such Plans, disregarding for this purpose the benefit liabilities and assets of any such Plan with assets in excess of benefit liabilities.</w:t>
      </w:r>
    </w:p>
    <w:p>
      <w:pPr>
        <w:spacing w:after="0" w:line="59" w:lineRule="exact"/>
        <w:rPr>
          <w:sz w:val="20"/>
          <w:szCs w:val="20"/>
          <w:color w:val="auto"/>
        </w:rPr>
      </w:pPr>
    </w:p>
    <w:p>
      <w:pPr>
        <w:ind w:left="5" w:right="2779" w:firstLine="837"/>
        <w:spacing w:after="0" w:line="250" w:lineRule="auto"/>
        <w:rPr>
          <w:sz w:val="20"/>
          <w:szCs w:val="20"/>
          <w:color w:val="auto"/>
        </w:rPr>
      </w:pPr>
      <w:r>
        <w:rPr>
          <w:rFonts w:ascii="Courier New" w:cs="Courier New" w:eastAsia="Courier New" w:hAnsi="Courier New"/>
          <w:sz w:val="16"/>
          <w:szCs w:val="16"/>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90" w:lineRule="exact"/>
        <w:rPr>
          <w:sz w:val="20"/>
          <w:szCs w:val="20"/>
          <w:color w:val="auto"/>
        </w:rPr>
      </w:pPr>
    </w:p>
    <w:p>
      <w:pPr>
        <w:ind w:left="5" w:right="2879" w:firstLine="837"/>
        <w:spacing w:after="0" w:line="258" w:lineRule="auto"/>
        <w:rPr>
          <w:sz w:val="20"/>
          <w:szCs w:val="20"/>
          <w:color w:val="auto"/>
        </w:rPr>
      </w:pPr>
      <w:r>
        <w:rPr>
          <w:rFonts w:ascii="Courier New" w:cs="Courier New" w:eastAsia="Courier New" w:hAnsi="Courier New"/>
          <w:sz w:val="16"/>
          <w:szCs w:val="16"/>
          <w:color w:val="auto"/>
        </w:rPr>
        <w:t>SECTION 9.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 honored under any Letter of Credit, it shall comply with the following covenants:</w:t>
      </w:r>
    </w:p>
    <w:p>
      <w:pPr>
        <w:spacing w:after="0" w:line="83" w:lineRule="exact"/>
        <w:rPr>
          <w:sz w:val="20"/>
          <w:szCs w:val="20"/>
          <w:color w:val="auto"/>
        </w:rPr>
      </w:pPr>
    </w:p>
    <w:p>
      <w:pPr>
        <w:ind w:left="5" w:right="2879" w:firstLine="837"/>
        <w:spacing w:after="0" w:line="263" w:lineRule="auto"/>
        <w:rPr>
          <w:sz w:val="20"/>
          <w:szCs w:val="20"/>
          <w:color w:val="auto"/>
        </w:rPr>
      </w:pPr>
      <w:r>
        <w:rPr>
          <w:rFonts w:ascii="Courier New" w:cs="Courier New" w:eastAsia="Courier New" w:hAnsi="Courier New"/>
          <w:sz w:val="16"/>
          <w:szCs w:val="16"/>
          <w:color w:val="auto"/>
        </w:rPr>
        <w:t>SECTION 9.1. INTEREST COVERAGE RATIO. As of the end of any fiscal quarter of the Borrower, the Borrower will not permit the ratio of (a) EBIT for the four fiscal quarters then ending to (b) Consolidated Total Interest Expense for such period to be less than the applicable ratio set forth in the table below:</w:t>
      </w:r>
    </w:p>
    <w:p>
      <w:pPr>
        <w:spacing w:after="0" w:line="259"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FISCAL</w:t>
      </w:r>
    </w:p>
    <w:p>
      <w:pPr>
        <w:spacing w:after="0" w:line="26"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QUARTER(S)</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ENDING:</w:t>
      </w:r>
    </w:p>
    <w:p>
      <w:pPr>
        <w:ind w:left="5"/>
        <w:spacing w:after="0" w:line="236" w:lineRule="auto"/>
        <w:rPr>
          <w:sz w:val="20"/>
          <w:szCs w:val="20"/>
          <w:color w:val="auto"/>
        </w:rPr>
      </w:pPr>
      <w:r>
        <w:rPr>
          <w:rFonts w:ascii="Courier New" w:cs="Courier New" w:eastAsia="Courier New" w:hAnsi="Courier New"/>
          <w:sz w:val="16"/>
          <w:szCs w:val="16"/>
          <w:color w:val="auto"/>
        </w:rPr>
        <w:t>RATIO: ---</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285" w:hanging="285"/>
        <w:spacing w:after="0" w:line="237" w:lineRule="auto"/>
        <w:tabs>
          <w:tab w:leader="none" w:pos="285"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both"/>
        <w:ind w:left="5" w:right="9299" w:hanging="5"/>
        <w:spacing w:after="0" w:line="270" w:lineRule="auto"/>
        <w:tabs>
          <w:tab w:leader="none" w:pos="284"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6/30/01 - 12/31/01 2.25:1.00 3/31/02 - 12/31/02 2.50:1.00</w:t>
      </w:r>
    </w:p>
    <w:p>
      <w:pPr>
        <w:spacing w:after="0" w:line="2" w:lineRule="exact"/>
        <w:rPr>
          <w:rFonts w:ascii="Courier New" w:cs="Courier New" w:eastAsia="Courier New" w:hAnsi="Courier New"/>
          <w:sz w:val="14"/>
          <w:szCs w:val="14"/>
          <w:color w:val="auto"/>
        </w:rPr>
      </w:pPr>
    </w:p>
    <w:p>
      <w:pPr>
        <w:ind w:left="14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3/31/03</w:t>
      </w:r>
    </w:p>
    <w:p>
      <w:pPr>
        <w:ind w:left="32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and</w:t>
      </w:r>
    </w:p>
    <w:p>
      <w:pPr>
        <w:jc w:val="both"/>
        <w:ind w:left="45" w:right="9299" w:hanging="46"/>
        <w:spacing w:after="0" w:line="38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thereafter 3.00:1.00</w:t>
      </w:r>
    </w:p>
    <w:p>
      <w:pPr>
        <w:spacing w:after="0" w:line="181" w:lineRule="exact"/>
        <w:rPr>
          <w:sz w:val="20"/>
          <w:szCs w:val="20"/>
          <w:color w:val="auto"/>
        </w:rPr>
      </w:pPr>
    </w:p>
    <w:p>
      <w:pPr>
        <w:jc w:val="both"/>
        <w:ind w:left="5" w:right="2779" w:firstLine="837"/>
        <w:spacing w:after="0" w:line="348" w:lineRule="auto"/>
        <w:rPr>
          <w:sz w:val="20"/>
          <w:szCs w:val="20"/>
          <w:color w:val="auto"/>
        </w:rPr>
      </w:pPr>
      <w:r>
        <w:rPr>
          <w:rFonts w:ascii="Courier New" w:cs="Courier New" w:eastAsia="Courier New" w:hAnsi="Courier New"/>
          <w:sz w:val="14"/>
          <w:szCs w:val="14"/>
          <w:color w:val="auto"/>
        </w:rPr>
        <w:t>SECTION 9.2. TOTAL DEBT TO EBITDA. As of the end of any fiscal quarter of the Borrower, the Borrower will not permit the ratio of (a) Total Debt to (b) EBITDA for the four fiscal quarters then ending to exceed 3.00:1.00.</w:t>
      </w:r>
    </w:p>
    <w:p>
      <w:pPr>
        <w:spacing w:after="0" w:line="26" w:lineRule="exact"/>
        <w:rPr>
          <w:sz w:val="20"/>
          <w:szCs w:val="20"/>
          <w:color w:val="auto"/>
        </w:rPr>
      </w:pPr>
    </w:p>
    <w:p>
      <w:pPr>
        <w:ind w:left="5" w:right="2959" w:firstLine="837"/>
        <w:spacing w:after="0" w:line="272" w:lineRule="auto"/>
        <w:rPr>
          <w:sz w:val="20"/>
          <w:szCs w:val="20"/>
          <w:color w:val="auto"/>
        </w:rPr>
      </w:pPr>
      <w:r>
        <w:rPr>
          <w:rFonts w:ascii="Courier New" w:cs="Courier New" w:eastAsia="Courier New" w:hAnsi="Courier New"/>
          <w:sz w:val="16"/>
          <w:szCs w:val="16"/>
          <w:color w:val="auto"/>
        </w:rPr>
        <w:t>SECTION 9.3. MINIMUM NET WORTH. The Borrower will not permit Consolidated Net Worth at any time to be less than $3,500,000,000, plus 75% of cumulative positive Consolidated Net Income for each fiscal quarter, beginning with the fiscal quarter ending March 31, 2001.</w:t>
      </w:r>
    </w:p>
    <w:p>
      <w:pPr>
        <w:sectPr>
          <w:pgSz w:w="11900" w:h="16838" w:orient="portrait"/>
          <w:cols w:equalWidth="0" w:num="1">
            <w:col w:w="10224"/>
          </w:cols>
          <w:pgMar w:left="235" w:top="269"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63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-57-</w:t>
      </w:r>
    </w:p>
    <w:p>
      <w:pPr>
        <w:spacing w:after="0" w:line="32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10. CONDITIONS PRECEDENT.</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10.1. CONDITIONS TO EFFECTIVENESS. The effectiveness of this Agreement and the obligations of the Banks to make any Loans and of any Issuing Bank to issue Letters of Credit and of the Banks to participate in Letters of Credit and otherwise be bound by the terms of this Agreement shall be subject to the satisfaction of each of the following conditions precedent:</w:t>
      </w:r>
    </w:p>
    <w:p>
      <w:pPr>
        <w:spacing w:after="0" w:line="80" w:lineRule="exact"/>
        <w:rPr>
          <w:sz w:val="20"/>
          <w:szCs w:val="20"/>
          <w:color w:val="auto"/>
        </w:rPr>
      </w:pPr>
    </w:p>
    <w:p>
      <w:pPr>
        <w:ind w:left="840" w:right="2959" w:firstLine="837"/>
        <w:spacing w:after="0" w:line="301" w:lineRule="auto"/>
        <w:rPr>
          <w:sz w:val="20"/>
          <w:szCs w:val="20"/>
          <w:color w:val="auto"/>
        </w:rPr>
      </w:pPr>
      <w:r>
        <w:rPr>
          <w:rFonts w:ascii="Courier New" w:cs="Courier New" w:eastAsia="Courier New" w:hAnsi="Courier New"/>
          <w:sz w:val="14"/>
          <w:szCs w:val="14"/>
          <w:color w:val="auto"/>
        </w:rPr>
        <w:t>SECTION 10.1.1. CORPORATE ACTION. All corporate action necessary for the valid execution, delivery and performance by the Borrower and the Guarantor of the Loan Documents shall have been duly and effectively taken, and evidence thereof certified by authorized officers of the Borrower and the Guarantor and satisfactory to the Administrative Agent shall have been provided to the Banks.</w:t>
      </w:r>
    </w:p>
    <w:p>
      <w:pPr>
        <w:spacing w:after="0" w:line="59" w:lineRule="exact"/>
        <w:rPr>
          <w:sz w:val="20"/>
          <w:szCs w:val="20"/>
          <w:color w:val="auto"/>
        </w:rPr>
      </w:pPr>
    </w:p>
    <w:p>
      <w:pPr>
        <w:ind w:left="840" w:right="2959" w:firstLine="837"/>
        <w:spacing w:after="0" w:line="263" w:lineRule="auto"/>
        <w:rPr>
          <w:sz w:val="20"/>
          <w:szCs w:val="20"/>
          <w:color w:val="auto"/>
        </w:rPr>
      </w:pPr>
      <w:r>
        <w:rPr>
          <w:rFonts w:ascii="Courier New" w:cs="Courier New" w:eastAsia="Courier New" w:hAnsi="Courier New"/>
          <w:sz w:val="16"/>
          <w:szCs w:val="16"/>
          <w:color w:val="auto"/>
        </w:rPr>
        <w:t>SECTION 10.1.2. LOAN DOCUMENTS, ETC. Each of the Loan Documents and other documents listed on the closing agenda shall have been duly and properly authorized, executed and delivered by the respective parties thereto and shall be in full force and effect in a form satisfactory to the Majority Banks.</w:t>
      </w:r>
    </w:p>
    <w:p>
      <w:pPr>
        <w:spacing w:after="0" w:line="80" w:lineRule="exact"/>
        <w:rPr>
          <w:sz w:val="20"/>
          <w:szCs w:val="20"/>
          <w:color w:val="auto"/>
        </w:rPr>
      </w:pPr>
    </w:p>
    <w:p>
      <w:pPr>
        <w:ind w:left="840" w:right="2779" w:firstLine="837"/>
        <w:spacing w:after="0" w:line="251" w:lineRule="auto"/>
        <w:rPr>
          <w:sz w:val="20"/>
          <w:szCs w:val="20"/>
          <w:color w:val="auto"/>
        </w:rPr>
      </w:pPr>
      <w:r>
        <w:rPr>
          <w:rFonts w:ascii="Courier New" w:cs="Courier New" w:eastAsia="Courier New" w:hAnsi="Courier New"/>
          <w:sz w:val="16"/>
          <w:szCs w:val="16"/>
          <w:color w:val="auto"/>
        </w:rPr>
        <w:t>SECTION 10.1.3. CERTIFICATE OF NO CHANGE. The Banks shall have received from each of the Borrower and the Guarantor a certificate, certified by a duly authorized officer of such Person to be true and complete on the Effective Date, of (a) no changes (other than those attached thereto) to its charter or other incorporation documents since last delivered to the Administrative Agent, and (b) no changes to its by-laws (other than those attached thereto) since last delivered to the Administrative Agent.</w:t>
      </w:r>
    </w:p>
    <w:p>
      <w:pPr>
        <w:spacing w:after="0" w:line="94" w:lineRule="exact"/>
        <w:rPr>
          <w:sz w:val="20"/>
          <w:szCs w:val="20"/>
          <w:color w:val="auto"/>
        </w:rPr>
      </w:pPr>
    </w:p>
    <w:p>
      <w:pPr>
        <w:ind w:left="840" w:right="2779" w:firstLine="837"/>
        <w:spacing w:after="0" w:line="250" w:lineRule="auto"/>
        <w:rPr>
          <w:sz w:val="20"/>
          <w:szCs w:val="20"/>
          <w:color w:val="auto"/>
        </w:rPr>
      </w:pPr>
      <w:r>
        <w:rPr>
          <w:rFonts w:ascii="Courier New" w:cs="Courier New" w:eastAsia="Courier New" w:hAnsi="Courier New"/>
          <w:sz w:val="16"/>
          <w:szCs w:val="16"/>
          <w:color w:val="auto"/>
        </w:rPr>
        <w:t>SECTION 10.1.4. INCUMBENCY CERTIFICATE. The Banks shall have received an incumbency certificate, dated as of the Effective Date, signed by duly authorized officers of the Borrower and the Guarantor giving the name and bearing a specimen signature of each individual who shall be authorized: (a) to sign the Loan Documents on behalf of the Borrower and the Guarantor; (b) to make Syndicated Loan Requests and Letter of Credit Requests; (c) to make Competitive Bid Quote Requests; and (d) to give notices and to take other action on the Borrower's or the Guarantor's behalf under the Loan Documents.</w:t>
      </w:r>
    </w:p>
    <w:p>
      <w:pPr>
        <w:spacing w:after="0" w:line="90" w:lineRule="exact"/>
        <w:rPr>
          <w:sz w:val="20"/>
          <w:szCs w:val="20"/>
          <w:color w:val="auto"/>
        </w:rPr>
      </w:pPr>
    </w:p>
    <w:p>
      <w:pPr>
        <w:ind w:left="840" w:right="2879" w:firstLine="837"/>
        <w:spacing w:after="0" w:line="301" w:lineRule="auto"/>
        <w:rPr>
          <w:sz w:val="20"/>
          <w:szCs w:val="20"/>
          <w:color w:val="auto"/>
        </w:rPr>
      </w:pPr>
      <w:r>
        <w:rPr>
          <w:rFonts w:ascii="Courier New" w:cs="Courier New" w:eastAsia="Courier New" w:hAnsi="Courier New"/>
          <w:sz w:val="14"/>
          <w:szCs w:val="14"/>
          <w:color w:val="auto"/>
        </w:rPr>
        <w:t>SECTION 10.1.5. CERTIFICATES OF INSURANCE. The Administrative Agent shall have received a certificate of insurance from an independent insurance broker dated as of the Effective Date, or within 15 days prior thereto, identifying insurers, types of insurance, insurance limits, and policy terms, and otherwise describing the insurance coverage of the Borrower and its Subsidiaries.</w:t>
      </w:r>
    </w:p>
    <w:p>
      <w:pPr>
        <w:spacing w:after="0" w:line="59" w:lineRule="exact"/>
        <w:rPr>
          <w:sz w:val="20"/>
          <w:szCs w:val="20"/>
          <w:color w:val="auto"/>
        </w:rPr>
      </w:pPr>
    </w:p>
    <w:p>
      <w:pPr>
        <w:ind w:left="840" w:right="2959" w:firstLine="837"/>
        <w:spacing w:after="0" w:line="263" w:lineRule="auto"/>
        <w:rPr>
          <w:sz w:val="20"/>
          <w:szCs w:val="20"/>
          <w:color w:val="auto"/>
        </w:rPr>
      </w:pPr>
      <w:r>
        <w:rPr>
          <w:rFonts w:ascii="Courier New" w:cs="Courier New" w:eastAsia="Courier New" w:hAnsi="Courier New"/>
          <w:sz w:val="16"/>
          <w:szCs w:val="16"/>
          <w:color w:val="auto"/>
        </w:rPr>
        <w:t>SECTION 10.1.6. OPINION OF COUNSEL. The Banks shall have received a favorable legal opinion from the deputy general counsel to the Borrower and the Guarantor addressed to the Banks, dated the Effective Date, in form and substance satisfactory to the Administrative Agent.</w:t>
      </w:r>
    </w:p>
    <w:p>
      <w:pPr>
        <w:spacing w:after="0" w:line="80" w:lineRule="exact"/>
        <w:rPr>
          <w:sz w:val="20"/>
          <w:szCs w:val="20"/>
          <w:color w:val="auto"/>
        </w:rPr>
      </w:pPr>
    </w:p>
    <w:p>
      <w:pPr>
        <w:jc w:val="both"/>
        <w:ind w:left="840" w:right="2959" w:firstLine="837"/>
        <w:spacing w:after="0" w:line="289" w:lineRule="auto"/>
        <w:rPr>
          <w:sz w:val="20"/>
          <w:szCs w:val="20"/>
          <w:color w:val="auto"/>
        </w:rPr>
      </w:pPr>
      <w:r>
        <w:rPr>
          <w:rFonts w:ascii="Courier New" w:cs="Courier New" w:eastAsia="Courier New" w:hAnsi="Courier New"/>
          <w:sz w:val="16"/>
          <w:szCs w:val="16"/>
          <w:color w:val="auto"/>
        </w:rPr>
        <w:t>SECTION 10.1.7. SATISFACTORY FINANCIAL CONDITION. Other than as disclosed in the Disclosure Documents, no material adverse change shall have occurred in the financial</w:t>
      </w:r>
    </w:p>
    <w:p>
      <w:pPr>
        <w:sectPr>
          <w:pgSz w:w="11900" w:h="16838" w:orient="portrait"/>
          <w:cols w:equalWidth="0" w:num="1">
            <w:col w:w="10219"/>
          </w:cols>
          <w:pgMar w:left="240" w:top="269"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64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-58-</w:t>
      </w:r>
    </w:p>
    <w:p>
      <w:pPr>
        <w:spacing w:after="0" w:line="327" w:lineRule="exact"/>
        <w:rPr>
          <w:sz w:val="20"/>
          <w:szCs w:val="20"/>
          <w:color w:val="auto"/>
        </w:rPr>
      </w:pPr>
    </w:p>
    <w:p>
      <w:pPr>
        <w:jc w:val="both"/>
        <w:ind w:left="840" w:right="2879"/>
        <w:spacing w:after="0" w:line="289" w:lineRule="auto"/>
        <w:rPr>
          <w:sz w:val="20"/>
          <w:szCs w:val="20"/>
          <w:color w:val="auto"/>
        </w:rPr>
      </w:pPr>
      <w:r>
        <w:rPr>
          <w:rFonts w:ascii="Courier New" w:cs="Courier New" w:eastAsia="Courier New" w:hAnsi="Courier New"/>
          <w:sz w:val="16"/>
          <w:szCs w:val="16"/>
          <w:color w:val="auto"/>
        </w:rPr>
        <w:t>condition, results of operations, business, properties or prospects of the Borrower and its Subsidiaries, taken as a whole, since the Interim Balance Sheet Date.</w:t>
      </w:r>
    </w:p>
    <w:p>
      <w:pPr>
        <w:spacing w:after="0" w:line="61" w:lineRule="exact"/>
        <w:rPr>
          <w:sz w:val="20"/>
          <w:szCs w:val="20"/>
          <w:color w:val="auto"/>
        </w:rPr>
      </w:pPr>
    </w:p>
    <w:p>
      <w:pPr>
        <w:ind w:left="840" w:right="2879" w:firstLine="837"/>
        <w:spacing w:after="0" w:line="289" w:lineRule="auto"/>
        <w:rPr>
          <w:sz w:val="20"/>
          <w:szCs w:val="20"/>
          <w:color w:val="auto"/>
        </w:rPr>
      </w:pPr>
      <w:r>
        <w:rPr>
          <w:rFonts w:ascii="Courier New" w:cs="Courier New" w:eastAsia="Courier New" w:hAnsi="Courier New"/>
          <w:sz w:val="16"/>
          <w:szCs w:val="16"/>
          <w:color w:val="auto"/>
        </w:rPr>
        <w:t>SECTION 10.1.8. PAYMENT OF CLOSING FEES. The Borrower shall have paid the agreed upon closing fees to the Administrative Agent for the account of the Banks</w:t>
      </w:r>
    </w:p>
    <w:p>
      <w:pPr>
        <w:spacing w:after="0" w:line="61" w:lineRule="exact"/>
        <w:rPr>
          <w:sz w:val="20"/>
          <w:szCs w:val="20"/>
          <w:color w:val="auto"/>
        </w:rPr>
      </w:pPr>
    </w:p>
    <w:p>
      <w:pPr>
        <w:ind w:left="840" w:right="2879" w:firstLine="837"/>
        <w:spacing w:after="0" w:line="250" w:lineRule="auto"/>
        <w:rPr>
          <w:sz w:val="20"/>
          <w:szCs w:val="20"/>
          <w:color w:val="auto"/>
        </w:rPr>
      </w:pPr>
      <w:r>
        <w:rPr>
          <w:rFonts w:ascii="Courier New" w:cs="Courier New" w:eastAsia="Courier New" w:hAnsi="Courier New"/>
          <w:sz w:val="16"/>
          <w:szCs w:val="16"/>
          <w:color w:val="auto"/>
        </w:rPr>
        <w:t>SECTION 10.1.9. PAYOFF OF EXISTING DEBT. The Administrative Agent shall have received evidence, in form and substance satisfactory to the Administrative Agent, that (a) the Fourth Amended and Restated Revolving Credit Agreement, dated as of July 10, 2000, among the Borrower, the Guarantor and certain of the Banks has been paid in full and terminated, (b) the 364 Day Loan Agreement, dated as of July 10, 2000, among the Borrower, the Guarantor and certain of the Banks has been paid in full and terminated, and (c) the new 364 Day Facility is effective.</w:t>
      </w:r>
    </w:p>
    <w:p>
      <w:pPr>
        <w:spacing w:after="0" w:line="90" w:lineRule="exact"/>
        <w:rPr>
          <w:sz w:val="20"/>
          <w:szCs w:val="20"/>
          <w:color w:val="auto"/>
        </w:rPr>
      </w:pPr>
    </w:p>
    <w:p>
      <w:pPr>
        <w:ind w:left="840" w:right="2779" w:firstLine="837"/>
        <w:spacing w:after="0" w:line="258" w:lineRule="auto"/>
        <w:rPr>
          <w:sz w:val="20"/>
          <w:szCs w:val="20"/>
          <w:color w:val="auto"/>
        </w:rPr>
      </w:pPr>
      <w:r>
        <w:rPr>
          <w:rFonts w:ascii="Courier New" w:cs="Courier New" w:eastAsia="Courier New" w:hAnsi="Courier New"/>
          <w:sz w:val="16"/>
          <w:szCs w:val="16"/>
          <w:color w:val="auto"/>
        </w:rPr>
        <w:t>SECTION 10.1.10. CLOSING CERTIFICATE. The Borrower shall have delivered to the Administrative Agent a certificate, dated as of the Effective Date, stating that, as of such date (a) the representations and warranties set forth herein or in any other Loan Document are true and correct, and (b) no Default or Event of Default has occurred and is continuing.</w:t>
      </w:r>
    </w:p>
    <w:p>
      <w:pPr>
        <w:spacing w:after="0" w:line="83" w:lineRule="exact"/>
        <w:rPr>
          <w:sz w:val="20"/>
          <w:szCs w:val="20"/>
          <w:color w:val="auto"/>
        </w:rPr>
      </w:pPr>
    </w:p>
    <w:p>
      <w:pPr>
        <w:ind w:right="2959" w:firstLine="837"/>
        <w:spacing w:after="0" w:line="263" w:lineRule="auto"/>
        <w:rPr>
          <w:sz w:val="20"/>
          <w:szCs w:val="20"/>
          <w:color w:val="auto"/>
        </w:rPr>
      </w:pPr>
      <w:r>
        <w:rPr>
          <w:rFonts w:ascii="Courier New" w:cs="Courier New" w:eastAsia="Courier New" w:hAnsi="Courier New"/>
          <w:sz w:val="16"/>
          <w:szCs w:val="16"/>
          <w:color w:val="auto"/>
        </w:rPr>
        <w:t>SECTION 11. CONDITIONS TO ALL LOANS. The obligations of the Banks to make or continue for an additional Interest Period in accordance with Section 2.7 any Loan and the obligation of any Issuing Bank to issue, extend, or renew any Letter of Credit at the time of and subsequent to the Effective Date is subject to the following conditions precedent:</w:t>
      </w:r>
    </w:p>
    <w:p>
      <w:pPr>
        <w:spacing w:after="0" w:line="80" w:lineRule="exact"/>
        <w:rPr>
          <w:sz w:val="20"/>
          <w:szCs w:val="20"/>
          <w:color w:val="auto"/>
        </w:rPr>
      </w:pPr>
    </w:p>
    <w:p>
      <w:pPr>
        <w:ind w:right="2959" w:firstLine="837"/>
        <w:spacing w:after="0" w:line="285" w:lineRule="auto"/>
        <w:rPr>
          <w:sz w:val="20"/>
          <w:szCs w:val="20"/>
          <w:color w:val="auto"/>
        </w:rPr>
      </w:pPr>
      <w:r>
        <w:rPr>
          <w:rFonts w:ascii="Courier New" w:cs="Courier New" w:eastAsia="Courier New" w:hAnsi="Courier New"/>
          <w:sz w:val="14"/>
          <w:szCs w:val="14"/>
          <w:color w:val="auto"/>
        </w:rPr>
        <w:t>SECTION 11.1. REPRESENTATIONS TRUE. Each of the representations and warranties of the Borrower and the Guarantor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254" w:lineRule="exact"/>
        <w:rPr>
          <w:sz w:val="20"/>
          <w:szCs w:val="20"/>
          <w:color w:val="auto"/>
        </w:rPr>
      </w:pPr>
    </w:p>
    <w:p>
      <w:pPr>
        <w:ind w:right="2779" w:firstLine="837"/>
        <w:spacing w:after="0" w:line="285" w:lineRule="auto"/>
        <w:rPr>
          <w:sz w:val="20"/>
          <w:szCs w:val="20"/>
          <w:color w:val="auto"/>
        </w:rPr>
      </w:pPr>
      <w:r>
        <w:rPr>
          <w:rFonts w:ascii="Courier New" w:cs="Courier New" w:eastAsia="Courier New" w:hAnsi="Courier New"/>
          <w:sz w:val="14"/>
          <w:szCs w:val="14"/>
          <w:color w:val="auto"/>
        </w:rPr>
        <w:t>SECTION 11.2. PERFORMANCE; NO EVENT OF DEFAULT. The Borrower shall have performed and complied with all terms and conditions herein required to be performed or complied with by it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11.1 and 11.2 will be duly satisfied on the date of such Loan or Letter of Credit issuance, extension or renewal.</w:t>
      </w:r>
    </w:p>
    <w:p>
      <w:pPr>
        <w:sectPr>
          <w:pgSz w:w="11900" w:h="16838" w:orient="portrait"/>
          <w:cols w:equalWidth="0" w:num="1">
            <w:col w:w="10219"/>
          </w:cols>
          <w:pgMar w:left="240" w:top="269"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65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-59-</w:t>
      </w:r>
    </w:p>
    <w:p>
      <w:pPr>
        <w:spacing w:after="0" w:line="327" w:lineRule="exact"/>
        <w:rPr>
          <w:sz w:val="20"/>
          <w:szCs w:val="20"/>
          <w:color w:val="auto"/>
        </w:rPr>
      </w:pPr>
    </w:p>
    <w:p>
      <w:pPr>
        <w:jc w:val="both"/>
        <w:ind w:right="2779" w:firstLine="837"/>
        <w:spacing w:after="0" w:line="263" w:lineRule="auto"/>
        <w:rPr>
          <w:sz w:val="20"/>
          <w:szCs w:val="20"/>
          <w:color w:val="auto"/>
        </w:rPr>
      </w:pPr>
      <w:r>
        <w:rPr>
          <w:rFonts w:ascii="Courier New" w:cs="Courier New" w:eastAsia="Courier New" w:hAnsi="Courier New"/>
          <w:sz w:val="16"/>
          <w:szCs w:val="16"/>
          <w:color w:val="auto"/>
        </w:rPr>
        <w:t>SECTION 11.3.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80"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SECTION 11.4.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83"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SECTION 11.5.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Syndicated Loan Request in the form attached hereto as Exhibit D or a Letter of Credit Request in the form attached hereto as Exhibit E and the Banks shall have received all information and such counterpart originals or certified or other copies of such documents as the Banks may reasonably request.</w:t>
      </w:r>
    </w:p>
    <w:p>
      <w:pPr>
        <w:spacing w:after="0" w:line="90"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SECTION 12. EVENTS OF DEFAULT; ACCELERATION; TERMINATION OF COMMITMENT.</w:t>
      </w:r>
    </w:p>
    <w:p>
      <w:pPr>
        <w:spacing w:after="0" w:line="199"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SECTION 12.1. EVENTS OF DEFAULT AND ACCELERATION. If any of the following events ("Events of Default" or, if the giving of notice or the lapse of time or both is required, then, prior to such notice and/or lapse of time, "Defaults") shall occur:</w:t>
      </w:r>
    </w:p>
    <w:p>
      <w:pPr>
        <w:spacing w:after="0" w:line="73" w:lineRule="exact"/>
        <w:rPr>
          <w:sz w:val="20"/>
          <w:szCs w:val="20"/>
          <w:color w:val="auto"/>
        </w:rPr>
      </w:pPr>
    </w:p>
    <w:p>
      <w:pPr>
        <w:ind w:left="840" w:right="2779" w:firstLine="830"/>
        <w:spacing w:after="0" w:line="272" w:lineRule="auto"/>
        <w:tabs>
          <w:tab w:leader="none" w:pos="2049" w:val="left"/>
        </w:tabs>
        <w:numPr>
          <w:ilvl w:val="1"/>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72" w:lineRule="exact"/>
        <w:rPr>
          <w:rFonts w:ascii="Courier New" w:cs="Courier New" w:eastAsia="Courier New" w:hAnsi="Courier New"/>
          <w:sz w:val="16"/>
          <w:szCs w:val="16"/>
          <w:color w:val="auto"/>
        </w:rPr>
      </w:pPr>
    </w:p>
    <w:p>
      <w:pPr>
        <w:ind w:left="840" w:right="2779" w:firstLine="830"/>
        <w:spacing w:after="0" w:line="291" w:lineRule="auto"/>
        <w:tabs>
          <w:tab w:leader="none" w:pos="2049" w:val="left"/>
        </w:tabs>
        <w:numPr>
          <w:ilvl w:val="1"/>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shall fail to pay any interest or fees or other amounts owing hereunder (other than those specified in subsection</w:t>
      </w:r>
    </w:p>
    <w:p>
      <w:pPr>
        <w:spacing w:after="0" w:line="1" w:lineRule="exact"/>
        <w:rPr>
          <w:rFonts w:ascii="Courier New" w:cs="Courier New" w:eastAsia="Courier New" w:hAnsi="Courier New"/>
          <w:sz w:val="14"/>
          <w:szCs w:val="14"/>
          <w:color w:val="auto"/>
        </w:rPr>
      </w:pPr>
    </w:p>
    <w:p>
      <w:pPr>
        <w:ind w:left="840" w:right="2779" w:hanging="7"/>
        <w:spacing w:after="0" w:line="271" w:lineRule="auto"/>
        <w:tabs>
          <w:tab w:leader="none" w:pos="1212"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within five (5) Business Days after the same shall become due and payable whether at the Maturity Date or any accelerated date of maturity or at any other date fixed for payment;</w:t>
      </w:r>
    </w:p>
    <w:p>
      <w:pPr>
        <w:spacing w:after="0" w:line="73" w:lineRule="exact"/>
        <w:rPr>
          <w:rFonts w:ascii="Courier New" w:cs="Courier New" w:eastAsia="Courier New" w:hAnsi="Courier New"/>
          <w:sz w:val="16"/>
          <w:szCs w:val="16"/>
          <w:color w:val="auto"/>
        </w:rPr>
      </w:pPr>
    </w:p>
    <w:p>
      <w:pPr>
        <w:ind w:left="840" w:right="2959" w:firstLine="830"/>
        <w:spacing w:after="0" w:line="406" w:lineRule="auto"/>
        <w:tabs>
          <w:tab w:leader="none" w:pos="2049" w:val="left"/>
        </w:tabs>
        <w:numPr>
          <w:ilvl w:val="1"/>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shall fail to comply with any of the covenants contained in Sections 7.4, 7.5, 7.15, 7.16, 8 and 9 hereof;</w:t>
      </w:r>
    </w:p>
    <w:p>
      <w:pPr>
        <w:ind w:left="840" w:right="2779" w:firstLine="830"/>
        <w:spacing w:after="0" w:line="258" w:lineRule="auto"/>
        <w:tabs>
          <w:tab w:leader="none" w:pos="2049"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83" w:lineRule="exact"/>
        <w:rPr>
          <w:rFonts w:ascii="Courier New" w:cs="Courier New" w:eastAsia="Courier New" w:hAnsi="Courier New"/>
          <w:sz w:val="16"/>
          <w:szCs w:val="16"/>
          <w:color w:val="auto"/>
        </w:rPr>
      </w:pPr>
    </w:p>
    <w:p>
      <w:pPr>
        <w:ind w:left="840" w:right="2879" w:firstLine="830"/>
        <w:spacing w:after="0" w:line="272" w:lineRule="auto"/>
        <w:tabs>
          <w:tab w:leader="none" w:pos="2049"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ectPr>
          <w:pgSz w:w="11900" w:h="16838" w:orient="portrait"/>
          <w:cols w:equalWidth="0" w:num="1">
            <w:col w:w="10219"/>
          </w:cols>
          <w:pgMar w:left="240" w:top="269"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6"/>
          <w:szCs w:val="16"/>
          <w:color w:val="auto"/>
        </w:rPr>
        <w:t>66</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-60-</w:t>
      </w:r>
    </w:p>
    <w:p>
      <w:pPr>
        <w:spacing w:after="0" w:line="327" w:lineRule="exact"/>
        <w:rPr>
          <w:sz w:val="20"/>
          <w:szCs w:val="20"/>
          <w:color w:val="auto"/>
        </w:rPr>
      </w:pPr>
    </w:p>
    <w:p>
      <w:pPr>
        <w:ind w:left="560" w:right="2779" w:firstLine="830"/>
        <w:spacing w:after="0" w:line="247" w:lineRule="auto"/>
        <w:tabs>
          <w:tab w:leader="none" w:pos="176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or any of its Subsidiaries shall fail to pay when due, or within any applicable period of grace, any Indebtedness or Swap Obligation in an aggregate amount greater than $50,000,000, or fail to observe or perform any material term, covenant or agreement contained in any one or more agreements by which it is bound, evidencing or securing any Indebtedness or Swap Obligation in an aggregate amount greater than $50,000,000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94" w:lineRule="exact"/>
        <w:rPr>
          <w:rFonts w:ascii="Courier New" w:cs="Courier New" w:eastAsia="Courier New" w:hAnsi="Courier New"/>
          <w:sz w:val="16"/>
          <w:szCs w:val="16"/>
          <w:color w:val="auto"/>
        </w:rPr>
      </w:pPr>
    </w:p>
    <w:p>
      <w:pPr>
        <w:ind w:left="560" w:right="2779" w:firstLine="830"/>
        <w:spacing w:after="0" w:line="280" w:lineRule="auto"/>
        <w:tabs>
          <w:tab w:leader="none" w:pos="1769"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the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Material Subsidiary, or of any substantial part of the assets of the Borrower, the Guarantor or any Material Subsidiary or commences any case or other proceeding relating to the Borrower, the Guarantor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Material Subsidiary or the Borrower, the Guarantor or any Material Subsidiary indicates its approval thereof, consent thereto or acquiescence therein;</w:t>
      </w:r>
    </w:p>
    <w:p>
      <w:pPr>
        <w:spacing w:after="0" w:line="259" w:lineRule="exact"/>
        <w:rPr>
          <w:rFonts w:ascii="Courier New" w:cs="Courier New" w:eastAsia="Courier New" w:hAnsi="Courier New"/>
          <w:sz w:val="14"/>
          <w:szCs w:val="14"/>
          <w:color w:val="auto"/>
        </w:rPr>
      </w:pPr>
    </w:p>
    <w:p>
      <w:pPr>
        <w:ind w:left="560" w:right="2779" w:firstLine="830"/>
        <w:spacing w:after="0" w:line="250" w:lineRule="auto"/>
        <w:tabs>
          <w:tab w:leader="none" w:pos="176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decree or order is entered appointing any such trustee, custodian, liquidator or receiver or adjudicating the Borrower or the Guarantor or any Material Subsidiary bankrupt or insolvent, or approving a petition in any such case or other proceeding, or a decree or order for relief is entered in respect of the Borrower or the Guarantor or any Material Subsidiary in an involuntary case under federal bankruptcy laws of any jurisdiction as now or hereafter constituted, and such decree or order remains in effect for more than 45 days, whether or not consecutive;</w:t>
      </w:r>
    </w:p>
    <w:p>
      <w:pPr>
        <w:spacing w:after="0" w:line="89" w:lineRule="exact"/>
        <w:rPr>
          <w:rFonts w:ascii="Courier New" w:cs="Courier New" w:eastAsia="Courier New" w:hAnsi="Courier New"/>
          <w:sz w:val="16"/>
          <w:szCs w:val="16"/>
          <w:color w:val="auto"/>
        </w:rPr>
      </w:pPr>
    </w:p>
    <w:p>
      <w:pPr>
        <w:ind w:left="560" w:right="2879" w:firstLine="830"/>
        <w:spacing w:after="0" w:line="301" w:lineRule="auto"/>
        <w:tabs>
          <w:tab w:leader="none" w:pos="1769"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$25,000,000 after taking into account any undisputed insurance coverage;</w:t>
      </w:r>
    </w:p>
    <w:p>
      <w:pPr>
        <w:spacing w:after="0" w:line="58" w:lineRule="exact"/>
        <w:rPr>
          <w:rFonts w:ascii="Courier New" w:cs="Courier New" w:eastAsia="Courier New" w:hAnsi="Courier New"/>
          <w:sz w:val="14"/>
          <w:szCs w:val="14"/>
          <w:color w:val="auto"/>
        </w:rPr>
      </w:pPr>
    </w:p>
    <w:p>
      <w:pPr>
        <w:ind w:left="560" w:right="2879" w:firstLine="830"/>
        <w:spacing w:after="0" w:line="250" w:lineRule="auto"/>
        <w:tabs>
          <w:tab w:leader="none" w:pos="1769"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with respect to any Guaranteed Pension Plan, an ERISA Reportable Event shall have occurred and the Banks shall have determined in their reasonable discretion that such event reasonably could be expected to result in liability of the Borrower or any Subsidiary to the PBGC or the Plan in an aggregate amount exceeding $25,000,000 and such event in the circumstances occurring reasonably could constitute grounds for the partial or complete termination of such Plan by the PBGC or for the appointment by the appropriate United States District Court of a trustee to administer</w:t>
      </w:r>
    </w:p>
    <w:p>
      <w:pPr>
        <w:sectPr>
          <w:pgSz w:w="11900" w:h="16838" w:orient="portrait"/>
          <w:cols w:equalWidth="0" w:num="1">
            <w:col w:w="9939"/>
          </w:cols>
          <w:pgMar w:left="520" w:top="269"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6"/>
          <w:szCs w:val="16"/>
          <w:color w:val="auto"/>
        </w:rPr>
        <w:t>67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-61-</w:t>
      </w:r>
    </w:p>
    <w:p>
      <w:pPr>
        <w:spacing w:after="0" w:line="327" w:lineRule="exact"/>
        <w:rPr>
          <w:sz w:val="20"/>
          <w:szCs w:val="20"/>
          <w:color w:val="auto"/>
        </w:rPr>
      </w:pPr>
    </w:p>
    <w:p>
      <w:pPr>
        <w:ind w:left="840" w:right="2779"/>
        <w:spacing w:after="0" w:line="289" w:lineRule="auto"/>
        <w:rPr>
          <w:sz w:val="20"/>
          <w:szCs w:val="20"/>
          <w:color w:val="auto"/>
        </w:rPr>
      </w:pPr>
      <w:r>
        <w:rPr>
          <w:rFonts w:ascii="Courier New" w:cs="Courier New" w:eastAsia="Courier New" w:hAnsi="Courier New"/>
          <w:sz w:val="16"/>
          <w:szCs w:val="16"/>
          <w:color w:val="auto"/>
        </w:rPr>
        <w:t>such Plan; or a trustee shall have been appointed by the appropriate United States District Court to administer such Plan; or the PBGC shall have instituted proceedings to terminate such Plan;</w:t>
      </w:r>
    </w:p>
    <w:p>
      <w:pPr>
        <w:spacing w:after="0" w:line="61" w:lineRule="exact"/>
        <w:rPr>
          <w:sz w:val="20"/>
          <w:szCs w:val="20"/>
          <w:color w:val="auto"/>
        </w:rPr>
      </w:pPr>
    </w:p>
    <w:p>
      <w:pPr>
        <w:ind w:left="840" w:right="2779" w:firstLine="830"/>
        <w:spacing w:after="0" w:line="246" w:lineRule="auto"/>
        <w:tabs>
          <w:tab w:leader="none" w:pos="2049"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96" w:lineRule="exact"/>
        <w:rPr>
          <w:rFonts w:ascii="Courier New" w:cs="Courier New" w:eastAsia="Courier New" w:hAnsi="Courier New"/>
          <w:sz w:val="16"/>
          <w:szCs w:val="16"/>
          <w:color w:val="auto"/>
        </w:rPr>
      </w:pPr>
    </w:p>
    <w:p>
      <w:pPr>
        <w:ind w:left="840" w:right="2959" w:firstLine="830"/>
        <w:spacing w:after="0" w:line="284" w:lineRule="auto"/>
        <w:tabs>
          <w:tab w:leader="none" w:pos="2049"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w:t>
      </w:r>
    </w:p>
    <w:p>
      <w:pPr>
        <w:spacing w:after="0" w:line="1" w:lineRule="exact"/>
        <w:rPr>
          <w:rFonts w:ascii="Courier New" w:cs="Courier New" w:eastAsia="Courier New" w:hAnsi="Courier New"/>
          <w:sz w:val="14"/>
          <w:szCs w:val="14"/>
          <w:color w:val="auto"/>
        </w:rPr>
      </w:pPr>
    </w:p>
    <w:p>
      <w:pPr>
        <w:ind w:left="840" w:right="2779"/>
        <w:spacing w:after="0" w:line="243"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100" w:lineRule="exact"/>
        <w:rPr>
          <w:sz w:val="20"/>
          <w:szCs w:val="20"/>
          <w:color w:val="auto"/>
        </w:rPr>
      </w:pPr>
    </w:p>
    <w:p>
      <w:pPr>
        <w:ind w:right="2779"/>
        <w:spacing w:after="0" w:line="281" w:lineRule="auto"/>
        <w:rPr>
          <w:sz w:val="20"/>
          <w:szCs w:val="20"/>
          <w:color w:val="auto"/>
        </w:rPr>
      </w:pPr>
      <w:r>
        <w:rPr>
          <w:rFonts w:ascii="Courier New" w:cs="Courier New" w:eastAsia="Courier New" w:hAnsi="Courier New"/>
          <w:sz w:val="14"/>
          <w:szCs w:val="14"/>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12.1(g) or 12.1(h) with respect to the Borrower or the Guarantor,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200" w:lineRule="exact"/>
        <w:rPr>
          <w:sz w:val="20"/>
          <w:szCs w:val="20"/>
          <w:color w:val="auto"/>
        </w:rPr>
      </w:pPr>
    </w:p>
    <w:p>
      <w:pPr>
        <w:spacing w:after="0" w:line="241" w:lineRule="exact"/>
        <w:rPr>
          <w:sz w:val="20"/>
          <w:szCs w:val="20"/>
          <w:color w:val="auto"/>
        </w:rPr>
      </w:pPr>
    </w:p>
    <w:p>
      <w:pPr>
        <w:ind w:right="2879" w:firstLine="837"/>
        <w:spacing w:after="0" w:line="309" w:lineRule="auto"/>
        <w:rPr>
          <w:sz w:val="20"/>
          <w:szCs w:val="20"/>
          <w:color w:val="auto"/>
        </w:rPr>
      </w:pPr>
      <w:r>
        <w:rPr>
          <w:rFonts w:ascii="Courier New" w:cs="Courier New" w:eastAsia="Courier New" w:hAnsi="Courier New"/>
          <w:sz w:val="14"/>
          <w:szCs w:val="14"/>
          <w:color w:val="auto"/>
        </w:rPr>
        <w:t>SECTION 12.2. TERMINATION OF COMMITMENTS. If any Event of Default pursuant to Sections 12.1(g) or 12.1(h) hereof shall occur with respect to the Borrower or the Guarantor, any unused portion of the Total Commitment hereunder shall forthwith terminate and the Banks and the Issuing Banks shall be relieved of all obligations to make Loans or to issue, extend or renew Letters of Credit</w:t>
      </w:r>
    </w:p>
    <w:p>
      <w:pPr>
        <w:sectPr>
          <w:pgSz w:w="11900" w:h="16838" w:orient="portrait"/>
          <w:cols w:equalWidth="0" w:num="1">
            <w:col w:w="10219"/>
          </w:cols>
          <w:pgMar w:left="240" w:top="269"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68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-62-</w:t>
      </w:r>
    </w:p>
    <w:p>
      <w:pPr>
        <w:spacing w:after="0" w:line="327" w:lineRule="exact"/>
        <w:rPr>
          <w:sz w:val="20"/>
          <w:szCs w:val="20"/>
          <w:color w:val="auto"/>
        </w:rPr>
      </w:pPr>
    </w:p>
    <w:p>
      <w:pPr>
        <w:ind w:right="2779"/>
        <w:spacing w:after="0" w:line="250" w:lineRule="auto"/>
        <w:rPr>
          <w:sz w:val="20"/>
          <w:szCs w:val="20"/>
          <w:color w:val="auto"/>
        </w:rPr>
      </w:pPr>
      <w:r>
        <w:rPr>
          <w:rFonts w:ascii="Courier New" w:cs="Courier New" w:eastAsia="Courier New" w:hAnsi="Courier New"/>
          <w:sz w:val="16"/>
          <w:szCs w:val="16"/>
          <w:color w:val="auto"/>
        </w:rPr>
        <w:t>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90" w:lineRule="exact"/>
        <w:rPr>
          <w:sz w:val="20"/>
          <w:szCs w:val="20"/>
          <w:color w:val="auto"/>
        </w:rPr>
      </w:pPr>
    </w:p>
    <w:p>
      <w:pPr>
        <w:ind w:right="2879" w:firstLine="837"/>
        <w:spacing w:after="0" w:line="279" w:lineRule="auto"/>
        <w:rPr>
          <w:sz w:val="20"/>
          <w:szCs w:val="20"/>
          <w:color w:val="auto"/>
        </w:rPr>
      </w:pPr>
      <w:r>
        <w:rPr>
          <w:rFonts w:ascii="Courier New" w:cs="Courier New" w:eastAsia="Courier New" w:hAnsi="Courier New"/>
          <w:sz w:val="14"/>
          <w:szCs w:val="14"/>
          <w:color w:val="auto"/>
        </w:rPr>
        <w:t>SECTION 12.3. REMEDIES. In case any one or more of the Events of Default shall have occurred and be continuing, and whether or not the Banks shall have accelerated the maturity of the Loans and other Obligations pursuant to Section 12.1, each Bank, upon notice to the other Banks, if owed any amount with respect to the Loans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265"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SECTION 13. SETOFF. Regardless of the adequacy of any collateral, during the continuance of an Event of Default, any deposits or other sums credited by or due from any Bank to the Borrower and any securities or other property of the Borrower in the possession 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13 shall be distributed ratably in accordance with Section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99" w:lineRule="exact"/>
        <w:rPr>
          <w:sz w:val="20"/>
          <w:szCs w:val="20"/>
          <w:color w:val="auto"/>
        </w:rPr>
      </w:pPr>
    </w:p>
    <w:p>
      <w:pPr>
        <w:ind w:right="2779" w:firstLine="837"/>
        <w:spacing w:after="0" w:line="247" w:lineRule="auto"/>
        <w:rPr>
          <w:sz w:val="20"/>
          <w:szCs w:val="20"/>
          <w:color w:val="auto"/>
        </w:rPr>
      </w:pPr>
      <w:r>
        <w:rPr>
          <w:rFonts w:ascii="Courier New" w:cs="Courier New" w:eastAsia="Courier New" w:hAnsi="Courier New"/>
          <w:sz w:val="16"/>
          <w:szCs w:val="16"/>
          <w:color w:val="auto"/>
        </w:rPr>
        <w:t>SECTION 14. EXPENSES. Whether or not the transactions contemplated herein shall be consummated, the Borrower hereby promises to reimburse the Administrative Agent and the Joint Lead Arrangers and Joint Book Managers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w:t>
      </w:r>
    </w:p>
    <w:p>
      <w:pPr>
        <w:sectPr>
          <w:pgSz w:w="11900" w:h="16838" w:orient="portrait"/>
          <w:cols w:equalWidth="0" w:num="1">
            <w:col w:w="10219"/>
          </w:cols>
          <w:pgMar w:left="240" w:top="269"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69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-63-</w:t>
      </w:r>
    </w:p>
    <w:p>
      <w:pPr>
        <w:spacing w:after="0" w:line="327" w:lineRule="exact"/>
        <w:rPr>
          <w:sz w:val="20"/>
          <w:szCs w:val="20"/>
          <w:color w:val="auto"/>
        </w:rPr>
      </w:pPr>
    </w:p>
    <w:p>
      <w:pPr>
        <w:ind w:right="2959"/>
        <w:spacing w:after="0" w:line="301" w:lineRule="auto"/>
        <w:rPr>
          <w:sz w:val="20"/>
          <w:szCs w:val="20"/>
          <w:color w:val="auto"/>
        </w:rPr>
      </w:pPr>
      <w:r>
        <w:rPr>
          <w:rFonts w:ascii="Courier New" w:cs="Courier New" w:eastAsia="Courier New" w:hAnsi="Courier New"/>
          <w:sz w:val="14"/>
          <w:szCs w:val="14"/>
          <w:color w:val="auto"/>
        </w:rPr>
        <w:t>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5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15. THE AGENTS.</w:t>
      </w:r>
    </w:p>
    <w:p>
      <w:pPr>
        <w:spacing w:after="0" w:line="177"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SECTION 15.1. APPOINTMENT, POWERS AND IMMUNITIES. Each Bank hereby irrevocably appoints and authorizes Fleet to act as Administrative Agent, provided, however, the Administrative Agent is hereby authorized to serve only as administrative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 provided in this Section 15.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 The Co-Documentation Agents and the Co-Syndication Agents shall not have any right, power, obligation, liability, responsibility or duty under this Credit Agreement in such capacity, other than, with respect to the Co-Documentation Agents and BOA, those applicable to all Banks as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SECTION 15.2. ACTIONS BY ADMINISTRATIVE AGENT. The Administrative Agent shall be fully justified in failing or refusing to take any action under this Agreement as reasonably deemed appropriate unless it shall first have received the consent of the Majority Banks (or, when</w:t>
      </w:r>
    </w:p>
    <w:p>
      <w:pPr>
        <w:sectPr>
          <w:pgSz w:w="11900" w:h="16838" w:orient="portrait"/>
          <w:cols w:equalWidth="0" w:num="1">
            <w:col w:w="10219"/>
          </w:cols>
          <w:pgMar w:left="240" w:top="268"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70</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-64-</w:t>
      </w:r>
    </w:p>
    <w:p>
      <w:pPr>
        <w:spacing w:after="0" w:line="327" w:lineRule="exact"/>
        <w:rPr>
          <w:sz w:val="20"/>
          <w:szCs w:val="20"/>
          <w:color w:val="auto"/>
        </w:rPr>
      </w:pPr>
    </w:p>
    <w:p>
      <w:pPr>
        <w:ind w:right="2959"/>
        <w:spacing w:after="0" w:line="248" w:lineRule="auto"/>
        <w:rPr>
          <w:sz w:val="20"/>
          <w:szCs w:val="20"/>
          <w:color w:val="auto"/>
        </w:rPr>
      </w:pPr>
      <w:r>
        <w:rPr>
          <w:rFonts w:ascii="Courier New" w:cs="Courier New" w:eastAsia="Courier New" w:hAnsi="Courier New"/>
          <w:sz w:val="16"/>
          <w:szCs w:val="16"/>
          <w:color w:val="auto"/>
        </w:rPr>
        <w:t>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95" w:lineRule="exact"/>
        <w:rPr>
          <w:sz w:val="20"/>
          <w:szCs w:val="20"/>
          <w:color w:val="auto"/>
        </w:rPr>
      </w:pPr>
    </w:p>
    <w:p>
      <w:pPr>
        <w:ind w:right="2779" w:firstLine="837"/>
        <w:spacing w:after="0" w:line="280" w:lineRule="auto"/>
        <w:rPr>
          <w:sz w:val="20"/>
          <w:szCs w:val="20"/>
          <w:color w:val="auto"/>
        </w:rPr>
      </w:pPr>
      <w:r>
        <w:rPr>
          <w:rFonts w:ascii="Courier New" w:cs="Courier New" w:eastAsia="Courier New" w:hAnsi="Courier New"/>
          <w:sz w:val="14"/>
          <w:szCs w:val="14"/>
          <w:color w:val="auto"/>
        </w:rPr>
        <w:t>SECTION 15.3.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 the terms hereof or thereof or of any such other documents; provided, that no Bank shall be liable for any of the foregoing to the extent they arise from the gross negligence or willful misconduct of the Administrative Agent (or any agent thereof), IT BEING THE INTENT OF THE PARTIES HERETO THAT ALL SUCH INDEMNIFIED PARTIES SHALL BE INDEMNIFIED FOR THEIR ORDINARY SOLE OR CONTRIBUTORY NEGLIGENCE.</w:t>
      </w:r>
    </w:p>
    <w:p>
      <w:pPr>
        <w:spacing w:after="0" w:line="200" w:lineRule="exact"/>
        <w:rPr>
          <w:sz w:val="20"/>
          <w:szCs w:val="20"/>
          <w:color w:val="auto"/>
        </w:rPr>
      </w:pPr>
    </w:p>
    <w:p>
      <w:pPr>
        <w:spacing w:after="0" w:line="245" w:lineRule="exact"/>
        <w:rPr>
          <w:sz w:val="20"/>
          <w:szCs w:val="20"/>
          <w:color w:val="auto"/>
        </w:rPr>
      </w:pPr>
    </w:p>
    <w:p>
      <w:pPr>
        <w:ind w:right="2779" w:firstLine="837"/>
        <w:spacing w:after="0" w:line="278" w:lineRule="auto"/>
        <w:rPr>
          <w:sz w:val="20"/>
          <w:szCs w:val="20"/>
          <w:color w:val="auto"/>
        </w:rPr>
      </w:pPr>
      <w:r>
        <w:rPr>
          <w:rFonts w:ascii="Courier New" w:cs="Courier New" w:eastAsia="Courier New" w:hAnsi="Courier New"/>
          <w:sz w:val="14"/>
          <w:szCs w:val="14"/>
          <w:color w:val="auto"/>
        </w:rPr>
        <w:t>SECTION 15.4. REIMBURSEMENT. Without limiting the provisions of Sections 5.1(a), 5.13, and 13,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w:t>
      </w:r>
    </w:p>
    <w:p>
      <w:pPr>
        <w:sectPr>
          <w:pgSz w:w="11900" w:h="16838" w:orient="portrait"/>
          <w:cols w:equalWidth="0" w:num="1">
            <w:col w:w="10219"/>
          </w:cols>
          <w:pgMar w:left="240" w:top="269"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71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-65-</w:t>
      </w:r>
    </w:p>
    <w:p>
      <w:pPr>
        <w:spacing w:after="0" w:line="327" w:lineRule="exact"/>
        <w:rPr>
          <w:sz w:val="20"/>
          <w:szCs w:val="20"/>
          <w:color w:val="auto"/>
        </w:rPr>
      </w:pPr>
    </w:p>
    <w:p>
      <w:pPr>
        <w:ind w:right="3239"/>
        <w:spacing w:after="0" w:line="342" w:lineRule="auto"/>
        <w:rPr>
          <w:sz w:val="20"/>
          <w:szCs w:val="20"/>
          <w:color w:val="auto"/>
        </w:rPr>
      </w:pPr>
      <w:r>
        <w:rPr>
          <w:rFonts w:ascii="Courier New" w:cs="Courier New" w:eastAsia="Courier New" w:hAnsi="Courier New"/>
          <w:sz w:val="16"/>
          <w:szCs w:val="16"/>
          <w:color w:val="auto"/>
        </w:rPr>
        <w:t>adjudged to be repaid or shall pay over the same in such manner and to such Persons as shall be determined by such court.</w:t>
      </w:r>
    </w:p>
    <w:p>
      <w:pPr>
        <w:spacing w:after="0" w:line="20" w:lineRule="exact"/>
        <w:rPr>
          <w:sz w:val="20"/>
          <w:szCs w:val="20"/>
          <w:color w:val="auto"/>
        </w:rPr>
      </w:pPr>
    </w:p>
    <w:p>
      <w:pPr>
        <w:ind w:right="2879" w:firstLine="837"/>
        <w:spacing w:after="0" w:line="301" w:lineRule="auto"/>
        <w:rPr>
          <w:sz w:val="20"/>
          <w:szCs w:val="20"/>
          <w:color w:val="auto"/>
        </w:rPr>
      </w:pPr>
      <w:r>
        <w:rPr>
          <w:rFonts w:ascii="Courier New" w:cs="Courier New" w:eastAsia="Courier New" w:hAnsi="Courier New"/>
          <w:sz w:val="14"/>
          <w:szCs w:val="14"/>
          <w:color w:val="auto"/>
        </w:rPr>
        <w:t>SECTION 15.5.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59"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SECTION 15.6.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 and the decision to enter into this Agreement and the other Loan Documents and agrees that it will, independently and without reliance upon the Administrative Agent, the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Administrative Agent hereunder, the Administrative Agent shall not have any duty or responsibility to provide any Bank with any credit or other information concerning any person which may come into the possession of the Administrative Agent or any of their affiliates. Each Bank shall have access to all documents relating to the Administrative Agent's performance of their duties hereunder at such Bank's request. Unless any Bank shall promptly object to any action taken by the Administrative Agent hereunder of which such Bank has actual knowledge (other than actions which require the prior consent of such Bank in accordance with the terms hereof or to which the provisions of Section 15.8 are applicable and other than actions which constitute gross negligence or willful misconduct by the Administrative Agent), such Bank shall be presumed to have approved the same.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15.7. RESIGNATION OF ADMINISTRATIVE AGENT. The Administrative Agent may resign at any time by giving 60 days' prior written notice thereof to the Banks and the Borrower. Upon any such resignation, the Majority Banks (other than the resigning Administrative Agent) shall have the right to appoint a successor Administrative Agent from among the Banks, subject to the consent of the Borrower. If no successor to the Administrative Agent shall have been so appointed by the Majority Banks and approved by the Borrower and shall have accepted such</w:t>
      </w:r>
    </w:p>
    <w:p>
      <w:pPr>
        <w:sectPr>
          <w:pgSz w:w="11900" w:h="16838" w:orient="portrait"/>
          <w:cols w:equalWidth="0" w:num="1">
            <w:col w:w="10219"/>
          </w:cols>
          <w:pgMar w:left="240" w:top="269" w:right="1440" w:bottom="1440" w:gutter="0" w:footer="0" w:header="0"/>
        </w:sectPr>
      </w:pPr>
    </w:p>
    <w:bookmarkStart w:id="116" w:name="page117"/>
    <w:bookmarkEnd w:id="116"/>
    <w:p>
      <w:pPr>
        <w:ind w:left="285"/>
        <w:spacing w:after="0"/>
        <w:rPr>
          <w:sz w:val="20"/>
          <w:szCs w:val="20"/>
          <w:color w:val="auto"/>
        </w:rPr>
      </w:pPr>
      <w:r>
        <w:rPr>
          <w:rFonts w:ascii="Courier New" w:cs="Courier New" w:eastAsia="Courier New" w:hAnsi="Courier New"/>
          <w:sz w:val="16"/>
          <w:szCs w:val="16"/>
          <w:color w:val="auto"/>
        </w:rPr>
        <w:t>72</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-66-</w:t>
      </w:r>
    </w:p>
    <w:p>
      <w:pPr>
        <w:spacing w:after="0" w:line="327" w:lineRule="exact"/>
        <w:rPr>
          <w:sz w:val="20"/>
          <w:szCs w:val="20"/>
          <w:color w:val="auto"/>
        </w:rPr>
      </w:pPr>
    </w:p>
    <w:p>
      <w:pPr>
        <w:ind w:left="5" w:right="2779"/>
        <w:spacing w:after="0" w:line="279" w:lineRule="auto"/>
        <w:rPr>
          <w:sz w:val="20"/>
          <w:szCs w:val="20"/>
          <w:color w:val="auto"/>
        </w:rPr>
      </w:pPr>
      <w:r>
        <w:rPr>
          <w:rFonts w:ascii="Courier New" w:cs="Courier New" w:eastAsia="Courier New" w:hAnsi="Courier New"/>
          <w:sz w:val="14"/>
          <w:szCs w:val="14"/>
          <w:color w:val="auto"/>
        </w:rPr>
        <w:t>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 Agreement shall continue in effect for its benefit in respect of any actions taken or omitted to be taken by it while it was acting as the Administrative Agent. Any new Issuing Bank appointed pursuant to this Section 15.7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265"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SECTION 15.8. ACTION BY THE BANKS, CONSENTS, AMENDMENTS, WAIVERS, ETC.</w:t>
      </w:r>
    </w:p>
    <w:p>
      <w:pPr>
        <w:spacing w:after="0" w:line="48" w:lineRule="exact"/>
        <w:rPr>
          <w:sz w:val="20"/>
          <w:szCs w:val="20"/>
          <w:color w:val="auto"/>
        </w:rPr>
      </w:pPr>
    </w:p>
    <w:p>
      <w:pPr>
        <w:ind w:left="5" w:right="2779" w:hanging="5"/>
        <w:spacing w:after="0" w:line="278" w:lineRule="auto"/>
        <w:tabs>
          <w:tab w:leader="none" w:pos="377"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or delay by the Administrative Agent, any Issuing Bank or any 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 of Default, regardless of whether the Administrative Agent, any Lender or the Issuing Bank may have had notice or knowledge of such Default or Event of Default at the time.</w:t>
      </w:r>
    </w:p>
    <w:p>
      <w:pPr>
        <w:spacing w:after="0" w:line="257" w:lineRule="exact"/>
        <w:rPr>
          <w:rFonts w:ascii="Courier New" w:cs="Courier New" w:eastAsia="Courier New" w:hAnsi="Courier New"/>
          <w:sz w:val="14"/>
          <w:szCs w:val="14"/>
          <w:color w:val="auto"/>
        </w:rPr>
      </w:pPr>
    </w:p>
    <w:p>
      <w:pPr>
        <w:ind w:left="5" w:right="2779" w:firstLine="833"/>
        <w:spacing w:after="0" w:line="281" w:lineRule="auto"/>
        <w:tabs>
          <w:tab w:leader="none" w:pos="1214"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Agreement nor any provision hereof may be waived, amended or modified except pursuant to an agreement or agreements in writing entered into by the Borrower and the Majority Banks or by the Borrower and the Administrative Agent with the consent of the Majority Banks; provided that no such agreement shall (i) increase the Commitment of any Bank without the written consent of such Bank, (ii) reduce the principal amount of any Loan or Reimbursement Obligations, or reduce the rate of interest thereon or on the Notes, or reduce any fees payable hereunder, without the written consent of each Bank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or (v) change any of the provisions of this Section 15.8 or the definition of "Majority Banks", without the written</w:t>
      </w:r>
    </w:p>
    <w:p>
      <w:pPr>
        <w:sectPr>
          <w:pgSz w:w="11900" w:h="16838" w:orient="portrait"/>
          <w:cols w:equalWidth="0" w:num="1">
            <w:col w:w="10224"/>
          </w:cols>
          <w:pgMar w:left="235" w:top="269"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73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-67-</w:t>
      </w:r>
    </w:p>
    <w:p>
      <w:pPr>
        <w:spacing w:after="0" w:line="327" w:lineRule="exact"/>
        <w:rPr>
          <w:sz w:val="20"/>
          <w:szCs w:val="20"/>
          <w:color w:val="auto"/>
        </w:rPr>
      </w:pPr>
    </w:p>
    <w:p>
      <w:pPr>
        <w:ind w:right="2959"/>
        <w:spacing w:after="0" w:line="272" w:lineRule="auto"/>
        <w:rPr>
          <w:sz w:val="20"/>
          <w:szCs w:val="20"/>
          <w:color w:val="auto"/>
        </w:rPr>
      </w:pPr>
      <w:r>
        <w:rPr>
          <w:rFonts w:ascii="Courier New" w:cs="Courier New" w:eastAsia="Courier New" w:hAnsi="Courier New"/>
          <w:sz w:val="16"/>
          <w:szCs w:val="16"/>
          <w:color w:val="auto"/>
        </w:rPr>
        <w:t>consent of each Bank; provided further that no such agreement shall amend, modify or otherwise affect the rights or duties of the Administrative Agent or any Issuing Bank hereunder without the prior written consent of the Administrative Agent or the Issuing Banks, as the case may be.</w:t>
      </w:r>
    </w:p>
    <w:p>
      <w:pPr>
        <w:spacing w:after="0" w:line="73" w:lineRule="exact"/>
        <w:rPr>
          <w:sz w:val="20"/>
          <w:szCs w:val="20"/>
          <w:color w:val="auto"/>
        </w:rPr>
      </w:pPr>
    </w:p>
    <w:p>
      <w:pPr>
        <w:ind w:right="2779" w:firstLine="837"/>
        <w:spacing w:after="0" w:line="277" w:lineRule="auto"/>
        <w:rPr>
          <w:sz w:val="20"/>
          <w:szCs w:val="20"/>
          <w:color w:val="auto"/>
        </w:rPr>
      </w:pPr>
      <w:r>
        <w:rPr>
          <w:rFonts w:ascii="Courier New" w:cs="Courier New" w:eastAsia="Courier New" w:hAnsi="Courier New"/>
          <w:sz w:val="14"/>
          <w:szCs w:val="14"/>
          <w:color w:val="auto"/>
        </w:rPr>
        <w:t>SECTION 16. INDEMNIFICATION. The Borrower agrees to indemnify and hold harmless the Banks, the Agents, the Issuing Banks, the Joint Lead Arrangers and Joint Book Managers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The covenants of this Section 16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200" w:lineRule="exact"/>
        <w:rPr>
          <w:sz w:val="20"/>
          <w:szCs w:val="20"/>
          <w:color w:val="auto"/>
        </w:rPr>
      </w:pPr>
    </w:p>
    <w:p>
      <w:pPr>
        <w:spacing w:after="0" w:line="24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17. WITHHOLDING TAXES. The Borrower hereby agrees that:</w:t>
      </w:r>
    </w:p>
    <w:p>
      <w:pPr>
        <w:spacing w:after="0" w:line="177" w:lineRule="exact"/>
        <w:rPr>
          <w:sz w:val="20"/>
          <w:szCs w:val="20"/>
          <w:color w:val="auto"/>
        </w:rPr>
      </w:pPr>
    </w:p>
    <w:p>
      <w:pPr>
        <w:ind w:left="840" w:right="2779" w:firstLine="830"/>
        <w:spacing w:after="0" w:line="277" w:lineRule="auto"/>
        <w:tabs>
          <w:tab w:leader="none" w:pos="2049" w:val="left"/>
        </w:tabs>
        <w:numPr>
          <w:ilvl w:val="1"/>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the Administrative Agent or the Banks or any holder of the Notes, (i) taxes imposed on, or measured by, its net income or profits,</w:t>
      </w:r>
    </w:p>
    <w:p>
      <w:pPr>
        <w:spacing w:after="0" w:line="3" w:lineRule="exact"/>
        <w:rPr>
          <w:rFonts w:ascii="Courier New" w:cs="Courier New" w:eastAsia="Courier New" w:hAnsi="Courier New"/>
          <w:sz w:val="14"/>
          <w:szCs w:val="14"/>
          <w:color w:val="auto"/>
        </w:rPr>
      </w:pPr>
    </w:p>
    <w:p>
      <w:pPr>
        <w:ind w:left="840" w:right="2779" w:hanging="7"/>
        <w:spacing w:after="0" w:line="278" w:lineRule="auto"/>
        <w:tabs>
          <w:tab w:leader="none" w:pos="1305"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w:t>
      </w:r>
    </w:p>
    <w:p>
      <w:pPr>
        <w:sectPr>
          <w:pgSz w:w="11900" w:h="16838" w:orient="portrait"/>
          <w:cols w:equalWidth="0" w:num="1">
            <w:col w:w="10219"/>
          </w:cols>
          <w:pgMar w:left="240" w:top="269"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6"/>
          <w:szCs w:val="16"/>
          <w:color w:val="auto"/>
        </w:rPr>
        <w:t>74</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-68-</w:t>
      </w:r>
    </w:p>
    <w:p>
      <w:pPr>
        <w:spacing w:after="0" w:line="327" w:lineRule="exact"/>
        <w:rPr>
          <w:sz w:val="20"/>
          <w:szCs w:val="20"/>
          <w:color w:val="auto"/>
        </w:rPr>
      </w:pPr>
    </w:p>
    <w:p>
      <w:pPr>
        <w:ind w:left="560" w:right="2779"/>
        <w:spacing w:after="0" w:line="241" w:lineRule="auto"/>
        <w:rPr>
          <w:sz w:val="20"/>
          <w:szCs w:val="20"/>
          <w:color w:val="auto"/>
        </w:rPr>
      </w:pPr>
      <w:r>
        <w:rPr>
          <w:rFonts w:ascii="Courier New" w:cs="Courier New" w:eastAsia="Courier New" w:hAnsi="Courier New"/>
          <w:sz w:val="16"/>
          <w:szCs w:val="16"/>
          <w:color w:val="auto"/>
        </w:rPr>
        <w:t>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110" w:lineRule="exact"/>
        <w:rPr>
          <w:sz w:val="20"/>
          <w:szCs w:val="20"/>
          <w:color w:val="auto"/>
        </w:rPr>
      </w:pPr>
    </w:p>
    <w:p>
      <w:pPr>
        <w:ind w:left="560" w:right="2779" w:firstLine="830"/>
        <w:spacing w:after="0" w:line="263" w:lineRule="auto"/>
        <w:tabs>
          <w:tab w:leader="none" w:pos="176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80" w:lineRule="exact"/>
        <w:rPr>
          <w:rFonts w:ascii="Courier New" w:cs="Courier New" w:eastAsia="Courier New" w:hAnsi="Courier New"/>
          <w:sz w:val="16"/>
          <w:szCs w:val="16"/>
          <w:color w:val="auto"/>
        </w:rPr>
      </w:pPr>
    </w:p>
    <w:p>
      <w:pPr>
        <w:ind w:left="560" w:right="2779" w:firstLine="830"/>
        <w:spacing w:after="0" w:line="244" w:lineRule="auto"/>
        <w:tabs>
          <w:tab w:leader="none" w:pos="176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hereby indemnifies and holds harmless the Administrative Agent and each Bank for the full amount of Indemnifiable Taxes or Other Taxes (including, without limitation, any Indemnifiable Taxes or Other Taxes imposed on amounts payable under this Section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98" w:lineRule="exact"/>
        <w:rPr>
          <w:rFonts w:ascii="Courier New" w:cs="Courier New" w:eastAsia="Courier New" w:hAnsi="Courier New"/>
          <w:sz w:val="16"/>
          <w:szCs w:val="16"/>
          <w:color w:val="auto"/>
        </w:rPr>
      </w:pPr>
    </w:p>
    <w:p>
      <w:pPr>
        <w:ind w:left="560" w:right="2779" w:firstLine="830"/>
        <w:spacing w:after="0" w:line="258" w:lineRule="auto"/>
        <w:tabs>
          <w:tab w:leader="none" w:pos="176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pays any amount under this Section 17 to the Administrative Agent or any Bank and such payee knowingly receives a refund of any taxes with respect to which such amount was paid, the Administrative Agent or such Bank, as the case may be, shall pay to the Borrower the amount of such refund promptly following the receipt thereof by such payee.</w:t>
      </w:r>
    </w:p>
    <w:p>
      <w:pPr>
        <w:spacing w:after="0" w:line="83" w:lineRule="exact"/>
        <w:rPr>
          <w:rFonts w:ascii="Courier New" w:cs="Courier New" w:eastAsia="Courier New" w:hAnsi="Courier New"/>
          <w:sz w:val="16"/>
          <w:szCs w:val="16"/>
          <w:color w:val="auto"/>
        </w:rPr>
      </w:pPr>
    </w:p>
    <w:p>
      <w:pPr>
        <w:ind w:left="560" w:right="2779" w:firstLine="830"/>
        <w:spacing w:after="0" w:line="289" w:lineRule="auto"/>
        <w:tabs>
          <w:tab w:leader="none" w:pos="1769"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taxing authority notifies the Borrower or the Guarantor that any of them has improperly failed to deduct or withhold any taxes (other than</w:t>
      </w:r>
    </w:p>
    <w:p>
      <w:pPr>
        <w:sectPr>
          <w:pgSz w:w="11900" w:h="16838" w:orient="portrait"/>
          <w:cols w:equalWidth="0" w:num="1">
            <w:col w:w="9939"/>
          </w:cols>
          <w:pgMar w:left="520" w:top="269"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6"/>
          <w:szCs w:val="16"/>
          <w:color w:val="auto"/>
        </w:rPr>
        <w:t>75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-69-</w:t>
      </w:r>
    </w:p>
    <w:p>
      <w:pPr>
        <w:spacing w:after="0" w:line="327" w:lineRule="exact"/>
        <w:rPr>
          <w:sz w:val="20"/>
          <w:szCs w:val="20"/>
          <w:color w:val="auto"/>
        </w:rPr>
      </w:pPr>
    </w:p>
    <w:p>
      <w:pPr>
        <w:ind w:left="840" w:right="2959"/>
        <w:spacing w:after="0" w:line="289" w:lineRule="auto"/>
        <w:rPr>
          <w:sz w:val="20"/>
          <w:szCs w:val="20"/>
          <w:color w:val="auto"/>
        </w:rPr>
      </w:pPr>
      <w:r>
        <w:rPr>
          <w:rFonts w:ascii="Courier New" w:cs="Courier New" w:eastAsia="Courier New" w:hAnsi="Courier New"/>
          <w:sz w:val="16"/>
          <w:szCs w:val="16"/>
          <w:color w:val="auto"/>
        </w:rPr>
        <w:t>Indemnifiable Taxes) from a payment made hereunder to the Administrative Agent or any Bank, the Borrower shall timely and fully pay such taxes to such taxing authority.</w:t>
      </w:r>
    </w:p>
    <w:p>
      <w:pPr>
        <w:spacing w:after="0" w:line="61" w:lineRule="exact"/>
        <w:rPr>
          <w:sz w:val="20"/>
          <w:szCs w:val="20"/>
          <w:color w:val="auto"/>
        </w:rPr>
      </w:pPr>
    </w:p>
    <w:p>
      <w:pPr>
        <w:ind w:left="840" w:right="2879" w:firstLine="830"/>
        <w:spacing w:after="0" w:line="258" w:lineRule="auto"/>
        <w:tabs>
          <w:tab w:leader="none" w:pos="204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83" w:lineRule="exact"/>
        <w:rPr>
          <w:rFonts w:ascii="Courier New" w:cs="Courier New" w:eastAsia="Courier New" w:hAnsi="Courier New"/>
          <w:sz w:val="16"/>
          <w:szCs w:val="16"/>
          <w:color w:val="auto"/>
        </w:rPr>
      </w:pPr>
    </w:p>
    <w:p>
      <w:pPr>
        <w:ind w:left="840" w:right="2779" w:firstLine="830"/>
        <w:spacing w:after="0" w:line="272" w:lineRule="auto"/>
        <w:tabs>
          <w:tab w:leader="none" w:pos="2049"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prejudice to the survival of any other agreement of the parties hereunder, the agreements and obligations of the Borrower contained in this Section 17 shall survive the payment in full of the Obligations.</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18. TREATMENT OF CERTAIN CONFIDENTIAL INFORMATION.</w:t>
      </w:r>
    </w:p>
    <w:p>
      <w:pPr>
        <w:spacing w:after="0" w:line="177"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SECTION 18.1.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18, or becomes available to any of the Banks or the Administrative Agent on a nonconfidential basis from a source other than the Borrower, (b) to the extent required by statute, rule, regulation or judicial process, (c) to counsel for any of the Banks or the Administrative Agent, (d) to bank examiners or any other regulatory authority having jurisdiction over any Bank or the Administrative Agent,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an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so long as such assignee, participant or counterparty, as the case may be, agrees to be bound by the provisions of Section 18.1, or (i) with the consent of the Borrower.</w:t>
      </w:r>
    </w:p>
    <w:p>
      <w:pPr>
        <w:spacing w:after="0" w:line="200" w:lineRule="exact"/>
        <w:rPr>
          <w:sz w:val="20"/>
          <w:szCs w:val="20"/>
          <w:color w:val="auto"/>
        </w:rPr>
      </w:pPr>
    </w:p>
    <w:p>
      <w:pPr>
        <w:spacing w:after="0" w:line="249" w:lineRule="exact"/>
        <w:rPr>
          <w:sz w:val="20"/>
          <w:szCs w:val="20"/>
          <w:color w:val="auto"/>
        </w:rPr>
      </w:pPr>
    </w:p>
    <w:p>
      <w:pPr>
        <w:ind w:right="3059" w:firstLine="837"/>
        <w:spacing w:after="0" w:line="309" w:lineRule="auto"/>
        <w:rPr>
          <w:sz w:val="20"/>
          <w:szCs w:val="20"/>
          <w:color w:val="auto"/>
        </w:rPr>
      </w:pPr>
      <w:r>
        <w:rPr>
          <w:rFonts w:ascii="Courier New" w:cs="Courier New" w:eastAsia="Courier New" w:hAnsi="Courier New"/>
          <w:sz w:val="14"/>
          <w:szCs w:val="14"/>
          <w:color w:val="auto"/>
        </w:rPr>
        <w:t>SECTION 18.2.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w:t>
      </w:r>
    </w:p>
    <w:p>
      <w:pPr>
        <w:sectPr>
          <w:pgSz w:w="11900" w:h="16838" w:orient="portrait"/>
          <w:cols w:equalWidth="0" w:num="1">
            <w:col w:w="10219"/>
          </w:cols>
          <w:pgMar w:left="240" w:top="269"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76</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-70-</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examination of the financial condition of such Bank by such governmental agency)</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pursuant to legal process.</w:t>
      </w:r>
    </w:p>
    <w:p>
      <w:pPr>
        <w:spacing w:after="0" w:line="149" w:lineRule="exact"/>
        <w:rPr>
          <w:sz w:val="20"/>
          <w:szCs w:val="20"/>
          <w:color w:val="auto"/>
        </w:rPr>
      </w:pPr>
    </w:p>
    <w:p>
      <w:pPr>
        <w:ind w:right="2779" w:firstLine="837"/>
        <w:spacing w:after="0" w:line="292" w:lineRule="auto"/>
        <w:rPr>
          <w:sz w:val="20"/>
          <w:szCs w:val="20"/>
          <w:color w:val="auto"/>
        </w:rPr>
      </w:pPr>
      <w:r>
        <w:rPr>
          <w:rFonts w:ascii="Courier New" w:cs="Courier New" w:eastAsia="Courier New" w:hAnsi="Courier New"/>
          <w:sz w:val="14"/>
          <w:szCs w:val="14"/>
          <w:color w:val="auto"/>
        </w:rPr>
        <w:t>SECTION 18.3. OTHER. In no event shall any Bank or the Administrative Agent be obligated or required to return any materials furnished to it or any Financial Affiliate by the Borrower or any of its Subsidiaries. The obligations of each Bank under this Section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66" w:lineRule="exact"/>
        <w:rPr>
          <w:sz w:val="20"/>
          <w:szCs w:val="20"/>
          <w:color w:val="auto"/>
        </w:rPr>
      </w:pPr>
    </w:p>
    <w:p>
      <w:pPr>
        <w:ind w:right="2779" w:firstLine="837"/>
        <w:spacing w:after="0" w:line="281" w:lineRule="auto"/>
        <w:rPr>
          <w:sz w:val="20"/>
          <w:szCs w:val="20"/>
          <w:color w:val="auto"/>
        </w:rPr>
      </w:pPr>
      <w:r>
        <w:rPr>
          <w:rFonts w:ascii="Courier New" w:cs="Courier New" w:eastAsia="Courier New" w:hAnsi="Courier New"/>
          <w:sz w:val="14"/>
          <w:szCs w:val="14"/>
          <w:color w:val="auto"/>
        </w:rPr>
        <w:t>SECTION 19. SURVIVAL OF COVENANTS, ETC. Unless otherwise stated herein, all covenants, agreements, representations and warranties made herein, in the other 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256" w:lineRule="exact"/>
        <w:rPr>
          <w:sz w:val="20"/>
          <w:szCs w:val="20"/>
          <w:color w:val="auto"/>
        </w:rPr>
      </w:pPr>
    </w:p>
    <w:p>
      <w:pPr>
        <w:ind w:right="2779" w:firstLine="837"/>
        <w:spacing w:after="0" w:line="241" w:lineRule="auto"/>
        <w:rPr>
          <w:sz w:val="20"/>
          <w:szCs w:val="20"/>
          <w:color w:val="auto"/>
        </w:rPr>
      </w:pPr>
      <w:r>
        <w:rPr>
          <w:rFonts w:ascii="Courier New" w:cs="Courier New" w:eastAsia="Courier New" w:hAnsi="Courier New"/>
          <w:sz w:val="16"/>
          <w:szCs w:val="16"/>
          <w:color w:val="auto"/>
        </w:rPr>
        <w:t>SECTION 20. ASSIGNMENT AND PARTICIPATION. It is understood and agreed that each Bank shall have the right to assign at any time all or a portion of its Commitment Percentage and interests in the risk relating to the Loans, outstanding Letters of Credit and its Commitment hereunder in an amount equal to or greater than $5,000,000 (or, if a Bank's Commitment is less than $5,000,000, in a minimum amount equal to such Bank's Commitment, provided that prior to any Commitment reductions pursuant to Section 2.3, such Bank's Commitment was at least $10,000,000) to additional banks or other financial institutions with the prior written approval of the Administrative Agent and, so long as no Event of Default has occurred and is continuing, the Borrower, which approvals shall not be unreasonably withheld. Any Bank may at any time, and from time to time, assign to any branch, lending office, or affiliate or such Bank all or any part of 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G hereto (an "Assignment and Acceptance") together with an assignment fee in the amount of $3,500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w:t>
      </w:r>
    </w:p>
    <w:p>
      <w:pPr>
        <w:sectPr>
          <w:pgSz w:w="11900" w:h="16838" w:orient="portrait"/>
          <w:cols w:equalWidth="0" w:num="1">
            <w:col w:w="10219"/>
          </w:cols>
          <w:pgMar w:left="240" w:top="268" w:right="1440" w:bottom="1440" w:gutter="0" w:footer="0" w:header="0"/>
        </w:sectPr>
      </w:pPr>
    </w:p>
    <w:bookmarkStart w:id="121" w:name="page122"/>
    <w:bookmarkEnd w:id="121"/>
    <w:p>
      <w:pPr>
        <w:ind w:left="285"/>
        <w:spacing w:after="0"/>
        <w:rPr>
          <w:sz w:val="20"/>
          <w:szCs w:val="20"/>
          <w:color w:val="auto"/>
        </w:rPr>
      </w:pPr>
      <w:r>
        <w:rPr>
          <w:rFonts w:ascii="Courier New" w:cs="Courier New" w:eastAsia="Courier New" w:hAnsi="Courier New"/>
          <w:sz w:val="16"/>
          <w:szCs w:val="16"/>
          <w:color w:val="auto"/>
        </w:rPr>
        <w:t>77</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-71-</w:t>
      </w:r>
    </w:p>
    <w:p>
      <w:pPr>
        <w:spacing w:after="0" w:line="327" w:lineRule="exact"/>
        <w:rPr>
          <w:sz w:val="20"/>
          <w:szCs w:val="20"/>
          <w:color w:val="auto"/>
        </w:rPr>
      </w:pPr>
    </w:p>
    <w:p>
      <w:pPr>
        <w:ind w:left="5" w:right="2779"/>
        <w:spacing w:after="0" w:line="274" w:lineRule="auto"/>
        <w:rPr>
          <w:sz w:val="20"/>
          <w:szCs w:val="20"/>
          <w:color w:val="auto"/>
        </w:rPr>
      </w:pPr>
      <w:r>
        <w:rPr>
          <w:rFonts w:ascii="Courier New" w:cs="Courier New" w:eastAsia="Courier New" w:hAnsi="Courier New"/>
          <w:sz w:val="14"/>
          <w:szCs w:val="14"/>
          <w:color w:val="auto"/>
        </w:rPr>
        <w:t>rights and obligations hereunder have been assigned by it pursuant to such Assignment and Acceptance, relinquish its rights (except for indemnity rights arising out of the period prior to such assignment) and be released from its obligations under this Agreement and the other Loan Documents. Upon the execution and delivery of such Assignment and Acceptance, (a) the Borrower shall issue to the assignee bank or other financial institution Notes in the amount of such bank's or other financial institution's Commitment dated the date of the assignment or such other date as may be specified by the Administrative Agent, and otherwise completed in substantially the form of Exhibits A or B, and to the extent any assigning Bank has retained a portion of its obligations hereunder, a replacement Syndicated Note, to the assigning Bank reflecting its assignment;</w:t>
      </w:r>
    </w:p>
    <w:p>
      <w:pPr>
        <w:spacing w:after="0" w:line="4" w:lineRule="exact"/>
        <w:rPr>
          <w:sz w:val="20"/>
          <w:szCs w:val="20"/>
          <w:color w:val="auto"/>
        </w:rPr>
      </w:pPr>
    </w:p>
    <w:p>
      <w:pPr>
        <w:ind w:left="5" w:right="2779" w:hanging="5"/>
        <w:spacing w:after="0" w:line="289" w:lineRule="auto"/>
        <w:tabs>
          <w:tab w:leader="none" w:pos="37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applicable, the Borrower shall issue a Competitive Bid Note in substantially the form of Exhibit C (and a replacement Competitive Bid Note) or the Administrative Agent shall make appropriate entries on the Competitive Bid Loan Accounts to reflect such assignment of Competitive Bid Loan(s); and (c) this Agreement and Schedule 1 shall be deemed to be appropriately amended to reflect (i) the status of the bank or financial institution as a party hereto and (ii) the status and rights of the Banks hereunder.</w:t>
      </w:r>
    </w:p>
    <w:p>
      <w:pPr>
        <w:spacing w:after="0" w:line="66" w:lineRule="exact"/>
        <w:rPr>
          <w:sz w:val="20"/>
          <w:szCs w:val="20"/>
          <w:color w:val="auto"/>
        </w:rPr>
      </w:pPr>
    </w:p>
    <w:p>
      <w:pPr>
        <w:ind w:left="5" w:right="2879" w:firstLine="837"/>
        <w:spacing w:after="0" w:line="258" w:lineRule="auto"/>
        <w:rPr>
          <w:sz w:val="20"/>
          <w:szCs w:val="20"/>
          <w:color w:val="auto"/>
        </w:rPr>
      </w:pPr>
      <w:r>
        <w:rPr>
          <w:rFonts w:ascii="Courier New" w:cs="Courier New" w:eastAsia="Courier New" w:hAnsi="Courier New"/>
          <w:sz w:val="16"/>
          <w:szCs w:val="16"/>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15.8(b)(i) - (v).</w:t>
      </w:r>
    </w:p>
    <w:p>
      <w:pPr>
        <w:spacing w:after="0" w:line="83" w:lineRule="exact"/>
        <w:rPr>
          <w:sz w:val="20"/>
          <w:szCs w:val="20"/>
          <w:color w:val="auto"/>
        </w:rPr>
      </w:pPr>
    </w:p>
    <w:p>
      <w:pPr>
        <w:ind w:left="5" w:right="2959" w:firstLine="837"/>
        <w:spacing w:after="0" w:line="309" w:lineRule="auto"/>
        <w:rPr>
          <w:sz w:val="20"/>
          <w:szCs w:val="20"/>
          <w:color w:val="auto"/>
        </w:rPr>
      </w:pPr>
      <w:r>
        <w:rPr>
          <w:rFonts w:ascii="Courier New" w:cs="Courier New" w:eastAsia="Courier New" w:hAnsi="Courier New"/>
          <w:sz w:val="14"/>
          <w:szCs w:val="14"/>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except as a result of reductions in the Total Commitment pursuant to Section 2.3 hereof.</w:t>
      </w:r>
    </w:p>
    <w:p>
      <w:pPr>
        <w:spacing w:after="0" w:line="52" w:lineRule="exact"/>
        <w:rPr>
          <w:sz w:val="20"/>
          <w:szCs w:val="20"/>
          <w:color w:val="auto"/>
        </w:rPr>
      </w:pPr>
    </w:p>
    <w:p>
      <w:pPr>
        <w:ind w:left="5" w:right="2879" w:firstLine="837"/>
        <w:spacing w:after="0" w:line="254" w:lineRule="auto"/>
        <w:rPr>
          <w:sz w:val="20"/>
          <w:szCs w:val="20"/>
          <w:color w:val="auto"/>
        </w:rPr>
      </w:pPr>
      <w:r>
        <w:rPr>
          <w:rFonts w:ascii="Courier New" w:cs="Courier New" w:eastAsia="Courier New" w:hAnsi="Courier New"/>
          <w:sz w:val="16"/>
          <w:szCs w:val="16"/>
          <w:color w:val="auto"/>
        </w:rPr>
        <w:t>Anything contained in this Section 20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88" w:lineRule="exact"/>
        <w:rPr>
          <w:sz w:val="20"/>
          <w:szCs w:val="20"/>
          <w:color w:val="auto"/>
        </w:rPr>
      </w:pPr>
    </w:p>
    <w:p>
      <w:pPr>
        <w:ind w:left="5" w:right="2879" w:firstLine="837"/>
        <w:spacing w:after="0" w:line="258" w:lineRule="auto"/>
        <w:rPr>
          <w:sz w:val="20"/>
          <w:szCs w:val="20"/>
          <w:color w:val="auto"/>
        </w:rPr>
      </w:pPr>
      <w:r>
        <w:rPr>
          <w:rFonts w:ascii="Courier New" w:cs="Courier New" w:eastAsia="Courier New" w:hAnsi="Courier New"/>
          <w:sz w:val="16"/>
          <w:szCs w:val="16"/>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 provided that such assignees or participants or potential assignees or participants shall agree to be bound by Section 18 hereof.</w:t>
      </w:r>
    </w:p>
    <w:p>
      <w:pPr>
        <w:spacing w:after="0" w:line="83" w:lineRule="exact"/>
        <w:rPr>
          <w:sz w:val="20"/>
          <w:szCs w:val="20"/>
          <w:color w:val="auto"/>
        </w:rPr>
      </w:pPr>
    </w:p>
    <w:p>
      <w:pPr>
        <w:ind w:left="5" w:right="2779" w:firstLine="837"/>
        <w:spacing w:after="0" w:line="258" w:lineRule="auto"/>
        <w:rPr>
          <w:sz w:val="20"/>
          <w:szCs w:val="20"/>
          <w:color w:val="auto"/>
        </w:rPr>
      </w:pPr>
      <w:r>
        <w:rPr>
          <w:rFonts w:ascii="Courier New" w:cs="Courier New" w:eastAsia="Courier New" w:hAnsi="Courier New"/>
          <w:sz w:val="16"/>
          <w:szCs w:val="16"/>
          <w:color w:val="auto"/>
        </w:rPr>
        <w:t>SECTION 21.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ectPr>
          <w:pgSz w:w="11900" w:h="16838" w:orient="portrait"/>
          <w:cols w:equalWidth="0" w:num="1">
            <w:col w:w="10224"/>
          </w:cols>
          <w:pgMar w:left="235" w:top="269"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6"/>
          <w:szCs w:val="16"/>
          <w:color w:val="auto"/>
        </w:rPr>
        <w:t>78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-72-</w:t>
      </w:r>
    </w:p>
    <w:p>
      <w:pPr>
        <w:spacing w:after="0" w:line="327"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SECTION 22.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83" w:lineRule="exact"/>
        <w:rPr>
          <w:sz w:val="20"/>
          <w:szCs w:val="20"/>
          <w:color w:val="auto"/>
        </w:rPr>
      </w:pPr>
    </w:p>
    <w:p>
      <w:pPr>
        <w:ind w:left="840" w:right="2959" w:firstLine="830"/>
        <w:spacing w:after="0" w:line="263" w:lineRule="auto"/>
        <w:tabs>
          <w:tab w:leader="none" w:pos="204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Borrower or the Guarantor, at 1001 Fannin Street, Suite 4000, Houston, Texas 77002, Attention: Ronald H. Jones, Treasurer, facsimile number (713) 209-9710, with a copy to Lawrence O'Donnell, Executive Vice President, General Counsel and Secretary, facsimile number (713) 512-6325; or</w:t>
      </w:r>
    </w:p>
    <w:p>
      <w:pPr>
        <w:spacing w:after="0" w:line="80" w:lineRule="exact"/>
        <w:rPr>
          <w:rFonts w:ascii="Courier New" w:cs="Courier New" w:eastAsia="Courier New" w:hAnsi="Courier New"/>
          <w:sz w:val="16"/>
          <w:szCs w:val="16"/>
          <w:color w:val="auto"/>
        </w:rPr>
      </w:pPr>
    </w:p>
    <w:p>
      <w:pPr>
        <w:ind w:left="840" w:right="2779" w:firstLine="830"/>
        <w:spacing w:after="0" w:line="289" w:lineRule="auto"/>
        <w:tabs>
          <w:tab w:leader="none" w:pos="204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Administrative Agent at Fleet National Bank, 100 Federal Street, Boston, Massachusetts 02110, Attention: H. Louis Bailey, Managing Director, facsimile number (617) 434-2160; or</w:t>
      </w:r>
    </w:p>
    <w:p>
      <w:pPr>
        <w:spacing w:after="0" w:line="60" w:lineRule="exact"/>
        <w:rPr>
          <w:rFonts w:ascii="Courier New" w:cs="Courier New" w:eastAsia="Courier New" w:hAnsi="Courier New"/>
          <w:sz w:val="16"/>
          <w:szCs w:val="16"/>
          <w:color w:val="auto"/>
        </w:rPr>
      </w:pPr>
    </w:p>
    <w:p>
      <w:pPr>
        <w:ind w:left="840" w:right="3439" w:firstLine="830"/>
        <w:spacing w:after="0" w:line="342" w:lineRule="auto"/>
        <w:tabs>
          <w:tab w:leader="none" w:pos="2049"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any Bank, at the last address provided to the Administrative Agent;</w:t>
      </w:r>
    </w:p>
    <w:p>
      <w:pPr>
        <w:spacing w:after="0" w:line="20"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or such other address for notice as shall have last been furnished in writing to the Person giving the notice.</w:t>
      </w:r>
    </w:p>
    <w:p>
      <w:pPr>
        <w:spacing w:after="0" w:line="20"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94"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SECTION 23. MISCELLANEOUS. The rights and remedies herein expressed are cumulative and not exclusive of any other rights which the Banks, the Issuing 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to deliver a signature or the fact that any signature or agreement or instrument was transmitted or communicated through the use of a facsimile machine as a defense to the formation of a contract and each party forever waives such defense.</w:t>
      </w:r>
    </w:p>
    <w:p>
      <w:pPr>
        <w:spacing w:after="0" w:line="200" w:lineRule="exact"/>
        <w:rPr>
          <w:sz w:val="20"/>
          <w:szCs w:val="20"/>
          <w:color w:val="auto"/>
        </w:rPr>
      </w:pPr>
    </w:p>
    <w:p>
      <w:pPr>
        <w:spacing w:after="0" w:line="238"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SECTION 24. CONSENTS, ETC. Neither this Agreement nor any term hereof may be changed, waived, discharged or terminated, except as provided in this Section 24, subject to the provisions of</w:t>
      </w:r>
    </w:p>
    <w:p>
      <w:pPr>
        <w:sectPr>
          <w:pgSz w:w="11900" w:h="16838" w:orient="portrait"/>
          <w:cols w:equalWidth="0" w:num="1">
            <w:col w:w="10219"/>
          </w:cols>
          <w:pgMar w:left="240" w:top="269"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79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-73-</w:t>
      </w:r>
    </w:p>
    <w:p>
      <w:pPr>
        <w:spacing w:after="0" w:line="327" w:lineRule="exact"/>
        <w:rPr>
          <w:sz w:val="20"/>
          <w:szCs w:val="20"/>
          <w:color w:val="auto"/>
        </w:rPr>
      </w:pPr>
    </w:p>
    <w:p>
      <w:pPr>
        <w:ind w:right="2779"/>
        <w:spacing w:after="0" w:line="282" w:lineRule="auto"/>
        <w:rPr>
          <w:sz w:val="20"/>
          <w:szCs w:val="20"/>
          <w:color w:val="auto"/>
        </w:rPr>
      </w:pPr>
      <w:r>
        <w:rPr>
          <w:rFonts w:ascii="Courier New" w:cs="Courier New" w:eastAsia="Courier New" w:hAnsi="Courier New"/>
          <w:sz w:val="14"/>
          <w:szCs w:val="14"/>
          <w:color w:val="auto"/>
        </w:rPr>
        <w:t>Section 15.8.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pacing w:after="0" w:line="253"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SECTION 25.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96" w:lineRule="exact"/>
        <w:rPr>
          <w:sz w:val="20"/>
          <w:szCs w:val="20"/>
          <w:color w:val="auto"/>
        </w:rPr>
      </w:pPr>
    </w:p>
    <w:p>
      <w:pPr>
        <w:jc w:val="both"/>
        <w:ind w:right="2959" w:firstLine="837"/>
        <w:spacing w:after="0" w:line="284" w:lineRule="auto"/>
        <w:rPr>
          <w:sz w:val="20"/>
          <w:szCs w:val="20"/>
          <w:color w:val="auto"/>
        </w:rPr>
      </w:pPr>
      <w:r>
        <w:rPr>
          <w:rFonts w:ascii="Courier New" w:cs="Courier New" w:eastAsia="Courier New" w:hAnsi="Courier New"/>
          <w:sz w:val="14"/>
          <w:szCs w:val="14"/>
          <w:color w:val="auto"/>
        </w:rPr>
        <w:t>SECTION 26. GOVERNING LAW; SUBMISSION TO JURISDICTION. THIS AGREEMENT AND EACH OF THE OTHER LOAN DOCUMENTS ARE CONTRACTS UNDER THE LAWS OF THE STATE OF NEW YORK AND SHALL, PURSUANT TO NEW YORK GENERAL OBLIGATIONS LAW SECTION</w:t>
      </w:r>
    </w:p>
    <w:p>
      <w:pPr>
        <w:spacing w:after="0" w:line="2" w:lineRule="exact"/>
        <w:rPr>
          <w:sz w:val="20"/>
          <w:szCs w:val="20"/>
          <w:color w:val="auto"/>
        </w:rPr>
      </w:pPr>
    </w:p>
    <w:p>
      <w:pPr>
        <w:jc w:val="both"/>
        <w:ind w:right="2779"/>
        <w:spacing w:after="0" w:line="298" w:lineRule="auto"/>
        <w:rPr>
          <w:sz w:val="20"/>
          <w:szCs w:val="20"/>
          <w:color w:val="auto"/>
        </w:rPr>
      </w:pPr>
      <w:r>
        <w:rPr>
          <w:rFonts w:ascii="Courier New" w:cs="Courier New" w:eastAsia="Courier New" w:hAnsi="Courier New"/>
          <w:sz w:val="14"/>
          <w:szCs w:val="14"/>
          <w:color w:val="auto"/>
        </w:rPr>
        <w:t>5-1401, BE CONSTRUED IN ACCORDANCE WITH AND GOVERNED BY THE LAW OF THE STATE OF NEW YORK. THE BORROWER AND THE GUARANTOR CONSENT AND AGREE THAT ANY SUIT FOR THE ENFORCEMENT OF THIS AGREEMENT OR ANY OF THE OTHER LOAN DOCUMENTS MAY BE BROUGHT IN THE COURTS OF THE STATE OF NEW YORK OR ANY FEDERAL COURT SITTING THEREIN AND CONSENTS TO THE NONEXCLUSIVE JURISDICTION OF SUCH COURT AND SERVICE OF</w:t>
      </w:r>
    </w:p>
    <w:p>
      <w:pPr>
        <w:sectPr>
          <w:pgSz w:w="11900" w:h="16838" w:orient="portrait"/>
          <w:cols w:equalWidth="0" w:num="1">
            <w:col w:w="10219"/>
          </w:cols>
          <w:pgMar w:left="240" w:top="269" w:right="1440" w:bottom="1440" w:gutter="0" w:footer="0" w:header="0"/>
        </w:sectPr>
      </w:pPr>
    </w:p>
    <w:bookmarkStart w:id="124" w:name="page125"/>
    <w:bookmarkEnd w:id="124"/>
    <w:p>
      <w:pPr>
        <w:ind w:left="285"/>
        <w:spacing w:after="0"/>
        <w:rPr>
          <w:sz w:val="20"/>
          <w:szCs w:val="20"/>
          <w:color w:val="auto"/>
        </w:rPr>
      </w:pPr>
      <w:r>
        <w:rPr>
          <w:rFonts w:ascii="Courier New" w:cs="Courier New" w:eastAsia="Courier New" w:hAnsi="Courier New"/>
          <w:sz w:val="16"/>
          <w:szCs w:val="16"/>
          <w:color w:val="auto"/>
        </w:rPr>
        <w:t>80</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-74-</w:t>
      </w:r>
    </w:p>
    <w:p>
      <w:pPr>
        <w:spacing w:after="0" w:line="327" w:lineRule="exact"/>
        <w:rPr>
          <w:sz w:val="20"/>
          <w:szCs w:val="20"/>
          <w:color w:val="auto"/>
        </w:rPr>
      </w:pPr>
    </w:p>
    <w:p>
      <w:pPr>
        <w:jc w:val="both"/>
        <w:ind w:left="5" w:right="2779"/>
        <w:spacing w:after="0" w:line="322" w:lineRule="auto"/>
        <w:rPr>
          <w:sz w:val="20"/>
          <w:szCs w:val="20"/>
          <w:color w:val="auto"/>
        </w:rPr>
      </w:pPr>
      <w:r>
        <w:rPr>
          <w:rFonts w:ascii="Courier New" w:cs="Courier New" w:eastAsia="Courier New" w:hAnsi="Courier New"/>
          <w:sz w:val="14"/>
          <w:szCs w:val="14"/>
          <w:color w:val="auto"/>
        </w:rPr>
        <w:t>PROCESS IN ANY SUCH SUIT BEING MADE UPON THE BORROWER IN ACCORDANCE WITH LAW AT THE ADDRESS SPECIFIED IN SECTION 22. THE BORROWER AND THE GUARANTOR HEREBY WAIVE ANY OBJECTION THAT THEY MAY NOW OR HEREAFTER HAVE TO THE VENUE OF ANY SUCH SUIT OR ANY SUCH COURT OR THAT SUCH SUIT IS BROUGHT IN AN INCONVENIENT COURT.</w:t>
      </w:r>
    </w:p>
    <w:p>
      <w:pPr>
        <w:spacing w:after="0" w:line="43" w:lineRule="exact"/>
        <w:rPr>
          <w:sz w:val="20"/>
          <w:szCs w:val="20"/>
          <w:color w:val="auto"/>
        </w:rPr>
      </w:pPr>
    </w:p>
    <w:p>
      <w:pPr>
        <w:ind w:left="5" w:right="2779" w:firstLine="837"/>
        <w:spacing w:after="0" w:line="254" w:lineRule="auto"/>
        <w:rPr>
          <w:sz w:val="20"/>
          <w:szCs w:val="20"/>
          <w:color w:val="auto"/>
        </w:rPr>
      </w:pPr>
      <w:r>
        <w:rPr>
          <w:rFonts w:ascii="Courier New" w:cs="Courier New" w:eastAsia="Courier New" w:hAnsi="Courier New"/>
          <w:sz w:val="16"/>
          <w:szCs w:val="16"/>
          <w:color w:val="auto"/>
        </w:rPr>
        <w:t>SECTION 27.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88"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SECTION 28. GUARANTY.</w:t>
      </w:r>
    </w:p>
    <w:p>
      <w:pPr>
        <w:spacing w:after="0" w:line="177" w:lineRule="exact"/>
        <w:rPr>
          <w:sz w:val="20"/>
          <w:szCs w:val="20"/>
          <w:color w:val="auto"/>
        </w:rPr>
      </w:pPr>
    </w:p>
    <w:p>
      <w:pPr>
        <w:jc w:val="both"/>
        <w:ind w:left="5" w:right="2779" w:firstLine="837"/>
        <w:spacing w:after="0" w:line="281" w:lineRule="auto"/>
        <w:rPr>
          <w:sz w:val="20"/>
          <w:szCs w:val="20"/>
          <w:color w:val="auto"/>
        </w:rPr>
      </w:pPr>
      <w:r>
        <w:rPr>
          <w:rFonts w:ascii="Courier New" w:cs="Courier New" w:eastAsia="Courier New" w:hAnsi="Courier New"/>
          <w:sz w:val="14"/>
          <w:szCs w:val="14"/>
          <w:color w:val="auto"/>
        </w:rPr>
        <w:t>SECTION 28.1. GUARANTY. For value received and hereby acknowledged and as an inducement to the Banks and the Issuing Banks to make the Loans available to the Borrower, and issue, extend or renew Letters of Credit for the account of the Borrower, the Guarantor hereby unconditionally and irrevocably guarantees</w:t>
      </w:r>
    </w:p>
    <w:p>
      <w:pPr>
        <w:spacing w:after="0" w:line="1" w:lineRule="exact"/>
        <w:rPr>
          <w:sz w:val="20"/>
          <w:szCs w:val="20"/>
          <w:color w:val="auto"/>
        </w:rPr>
      </w:pPr>
    </w:p>
    <w:p>
      <w:pPr>
        <w:ind w:left="5" w:right="2959" w:hanging="5"/>
        <w:spacing w:after="0" w:line="270" w:lineRule="auto"/>
        <w:tabs>
          <w:tab w:leader="none" w:pos="37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w:t>
      </w:r>
    </w:p>
    <w:p>
      <w:pPr>
        <w:spacing w:after="0" w:line="2" w:lineRule="exact"/>
        <w:rPr>
          <w:rFonts w:ascii="Courier New" w:cs="Courier New" w:eastAsia="Courier New" w:hAnsi="Courier New"/>
          <w:sz w:val="14"/>
          <w:szCs w:val="14"/>
          <w:color w:val="auto"/>
        </w:rPr>
      </w:pPr>
    </w:p>
    <w:p>
      <w:pPr>
        <w:ind w:left="5" w:right="2959" w:hanging="5"/>
        <w:spacing w:after="0" w:line="383" w:lineRule="auto"/>
        <w:tabs>
          <w:tab w:leader="none" w:pos="37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Borrower under the Loan Documents (such Obligations collectively being hereafter referred to as the "Guaranteed Obligations").</w:t>
      </w:r>
    </w:p>
    <w:p>
      <w:pPr>
        <w:spacing w:after="0" w:line="2" w:lineRule="exact"/>
        <w:rPr>
          <w:sz w:val="20"/>
          <w:szCs w:val="20"/>
          <w:color w:val="auto"/>
        </w:rPr>
      </w:pPr>
    </w:p>
    <w:p>
      <w:pPr>
        <w:ind w:left="5" w:right="2779" w:firstLine="837"/>
        <w:spacing w:after="0" w:line="296" w:lineRule="auto"/>
        <w:rPr>
          <w:sz w:val="20"/>
          <w:szCs w:val="20"/>
          <w:color w:val="auto"/>
        </w:rPr>
      </w:pPr>
      <w:r>
        <w:rPr>
          <w:rFonts w:ascii="Courier New" w:cs="Courier New" w:eastAsia="Courier New" w:hAnsi="Courier New"/>
          <w:sz w:val="14"/>
          <w:szCs w:val="14"/>
          <w:color w:val="auto"/>
        </w:rPr>
        <w:t>SECTION 28.2. GUARANTY ABSOLUTE. The Guarantor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62" w:lineRule="exact"/>
        <w:rPr>
          <w:sz w:val="20"/>
          <w:szCs w:val="20"/>
          <w:color w:val="auto"/>
        </w:rPr>
      </w:pPr>
    </w:p>
    <w:p>
      <w:pPr>
        <w:ind w:left="845" w:right="2879" w:firstLine="830"/>
        <w:spacing w:after="0" w:line="263" w:lineRule="auto"/>
        <w:tabs>
          <w:tab w:leader="none" w:pos="205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pacing w:after="0" w:line="80" w:lineRule="exact"/>
        <w:rPr>
          <w:rFonts w:ascii="Courier New" w:cs="Courier New" w:eastAsia="Courier New" w:hAnsi="Courier New"/>
          <w:sz w:val="16"/>
          <w:szCs w:val="16"/>
          <w:color w:val="auto"/>
        </w:rPr>
      </w:pPr>
    </w:p>
    <w:p>
      <w:pPr>
        <w:ind w:left="845" w:right="3239" w:firstLine="830"/>
        <w:spacing w:after="0" w:line="289" w:lineRule="auto"/>
        <w:tabs>
          <w:tab w:leader="none" w:pos="2054"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release or amendment or waiver of or consent to departure from any other guaranty for all or any of its Guaranteed Obligations;</w:t>
      </w:r>
    </w:p>
    <w:p>
      <w:pPr>
        <w:spacing w:after="0" w:line="60" w:lineRule="exact"/>
        <w:rPr>
          <w:rFonts w:ascii="Courier New" w:cs="Courier New" w:eastAsia="Courier New" w:hAnsi="Courier New"/>
          <w:sz w:val="16"/>
          <w:szCs w:val="16"/>
          <w:color w:val="auto"/>
        </w:rPr>
      </w:pPr>
    </w:p>
    <w:p>
      <w:pPr>
        <w:ind w:left="2045" w:hanging="370"/>
        <w:spacing w:after="0"/>
        <w:tabs>
          <w:tab w:leader="none" w:pos="204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ownership of the Borrower;</w:t>
      </w:r>
    </w:p>
    <w:p>
      <w:pPr>
        <w:sectPr>
          <w:pgSz w:w="11900" w:h="16838" w:orient="portrait"/>
          <w:cols w:equalWidth="0" w:num="1">
            <w:col w:w="10224"/>
          </w:cols>
          <w:pgMar w:left="235" w:top="269"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81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-75-</w:t>
      </w:r>
    </w:p>
    <w:p>
      <w:pPr>
        <w:spacing w:after="0" w:line="327" w:lineRule="exact"/>
        <w:rPr>
          <w:sz w:val="20"/>
          <w:szCs w:val="20"/>
          <w:color w:val="auto"/>
        </w:rPr>
      </w:pPr>
    </w:p>
    <w:p>
      <w:pPr>
        <w:ind w:left="840" w:right="2779" w:firstLine="830"/>
        <w:spacing w:after="0" w:line="342" w:lineRule="auto"/>
        <w:tabs>
          <w:tab w:leader="none" w:pos="204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acceptance of any partial payment(s) from the Borrower or the Guarantor; or</w:t>
      </w:r>
    </w:p>
    <w:p>
      <w:pPr>
        <w:spacing w:after="0" w:line="20" w:lineRule="exact"/>
        <w:rPr>
          <w:rFonts w:ascii="Courier New" w:cs="Courier New" w:eastAsia="Courier New" w:hAnsi="Courier New"/>
          <w:sz w:val="16"/>
          <w:szCs w:val="16"/>
          <w:color w:val="auto"/>
        </w:rPr>
      </w:pPr>
    </w:p>
    <w:p>
      <w:pPr>
        <w:ind w:left="840" w:right="2779" w:firstLine="830"/>
        <w:spacing w:after="0" w:line="289" w:lineRule="auto"/>
        <w:tabs>
          <w:tab w:leader="none" w:pos="204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Borrower in respect of its Obligations under any Loan Document.</w:t>
      </w:r>
    </w:p>
    <w:p>
      <w:pPr>
        <w:spacing w:after="0" w:line="61"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83"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SECTION 28.3.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200" w:lineRule="exact"/>
        <w:rPr>
          <w:sz w:val="20"/>
          <w:szCs w:val="20"/>
          <w:color w:val="auto"/>
        </w:rPr>
      </w:pPr>
    </w:p>
    <w:p>
      <w:pPr>
        <w:spacing w:after="0" w:line="238" w:lineRule="exact"/>
        <w:rPr>
          <w:sz w:val="20"/>
          <w:szCs w:val="20"/>
          <w:color w:val="auto"/>
        </w:rPr>
      </w:pPr>
    </w:p>
    <w:p>
      <w:pPr>
        <w:ind w:right="2779" w:firstLine="837"/>
        <w:spacing w:after="0" w:line="246" w:lineRule="auto"/>
        <w:rPr>
          <w:sz w:val="20"/>
          <w:szCs w:val="20"/>
          <w:color w:val="auto"/>
        </w:rPr>
      </w:pPr>
      <w:r>
        <w:rPr>
          <w:rFonts w:ascii="Courier New" w:cs="Courier New" w:eastAsia="Courier New" w:hAnsi="Courier New"/>
          <w:sz w:val="16"/>
          <w:szCs w:val="16"/>
          <w:color w:val="auto"/>
        </w:rPr>
        <w:t>SECTION 28.4. WAIVER. Except as otherwise specifically provided in any of the Loan Documents, the Guarantor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ectPr>
          <w:pgSz w:w="11900" w:h="16838" w:orient="portrait"/>
          <w:cols w:equalWidth="0" w:num="1">
            <w:col w:w="10219"/>
          </w:cols>
          <w:pgMar w:left="240" w:top="269"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82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-76-</w:t>
      </w:r>
    </w:p>
    <w:p>
      <w:pPr>
        <w:spacing w:after="0" w:line="327" w:lineRule="exact"/>
        <w:rPr>
          <w:sz w:val="20"/>
          <w:szCs w:val="20"/>
          <w:color w:val="auto"/>
        </w:rPr>
      </w:pPr>
    </w:p>
    <w:p>
      <w:pPr>
        <w:ind w:right="2779" w:firstLine="837"/>
        <w:spacing w:after="0" w:line="282" w:lineRule="auto"/>
        <w:rPr>
          <w:sz w:val="20"/>
          <w:szCs w:val="20"/>
          <w:color w:val="auto"/>
        </w:rPr>
      </w:pPr>
      <w:r>
        <w:rPr>
          <w:rFonts w:ascii="Courier New" w:cs="Courier New" w:eastAsia="Courier New" w:hAnsi="Courier New"/>
          <w:sz w:val="14"/>
          <w:szCs w:val="14"/>
          <w:color w:val="auto"/>
        </w:rPr>
        <w:t>SECTION 28.5. EXPENSES. The Guarantor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the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25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SECTION 28.6. CONCERNING JOINT AND SEVERAL LIABILITY OF THE GUARANTOR.</w:t>
      </w:r>
    </w:p>
    <w:p>
      <w:pPr>
        <w:spacing w:after="0" w:line="199" w:lineRule="exact"/>
        <w:rPr>
          <w:sz w:val="20"/>
          <w:szCs w:val="20"/>
          <w:color w:val="auto"/>
        </w:rPr>
      </w:pPr>
    </w:p>
    <w:p>
      <w:pPr>
        <w:ind w:left="840" w:right="2779" w:firstLine="830"/>
        <w:spacing w:after="0" w:line="250" w:lineRule="auto"/>
        <w:tabs>
          <w:tab w:leader="none" w:pos="20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28), it being the intention of the parties hereto that all such Guaranteed Obligations shall be the joint and several Guaranteed Obligations of the Guarantor and the Borrower without preferences or distinction among them.</w:t>
      </w:r>
    </w:p>
    <w:p>
      <w:pPr>
        <w:spacing w:after="0" w:line="89" w:lineRule="exact"/>
        <w:rPr>
          <w:rFonts w:ascii="Courier New" w:cs="Courier New" w:eastAsia="Courier New" w:hAnsi="Courier New"/>
          <w:sz w:val="16"/>
          <w:szCs w:val="16"/>
          <w:color w:val="auto"/>
        </w:rPr>
      </w:pPr>
    </w:p>
    <w:p>
      <w:pPr>
        <w:ind w:left="840" w:right="2879" w:firstLine="830"/>
        <w:spacing w:after="0" w:line="309" w:lineRule="auto"/>
        <w:tabs>
          <w:tab w:leader="none" w:pos="204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52" w:lineRule="exact"/>
        <w:rPr>
          <w:rFonts w:ascii="Courier New" w:cs="Courier New" w:eastAsia="Courier New" w:hAnsi="Courier New"/>
          <w:sz w:val="14"/>
          <w:szCs w:val="14"/>
          <w:color w:val="auto"/>
        </w:rPr>
      </w:pPr>
    </w:p>
    <w:p>
      <w:pPr>
        <w:ind w:left="840" w:right="2879" w:firstLine="830"/>
        <w:spacing w:after="0" w:line="309" w:lineRule="auto"/>
        <w:tabs>
          <w:tab w:leader="none" w:pos="2049"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Guaranteed Obligations of the Guarantor under the provisions of this Section 28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52" w:lineRule="exact"/>
        <w:rPr>
          <w:rFonts w:ascii="Courier New" w:cs="Courier New" w:eastAsia="Courier New" w:hAnsi="Courier New"/>
          <w:sz w:val="14"/>
          <w:szCs w:val="14"/>
          <w:color w:val="auto"/>
        </w:rPr>
      </w:pPr>
    </w:p>
    <w:p>
      <w:pPr>
        <w:ind w:left="840" w:right="2879" w:firstLine="830"/>
        <w:spacing w:after="0" w:line="245" w:lineRule="auto"/>
        <w:tabs>
          <w:tab w:leader="none" w:pos="2049"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w:t>
      </w:r>
    </w:p>
    <w:p>
      <w:pPr>
        <w:sectPr>
          <w:pgSz w:w="11900" w:h="16838" w:orient="portrait"/>
          <w:cols w:equalWidth="0" w:num="1">
            <w:col w:w="10219"/>
          </w:cols>
          <w:pgMar w:left="240" w:top="269"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6"/>
          <w:szCs w:val="16"/>
          <w:color w:val="auto"/>
        </w:rPr>
        <w:t>83</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-77-</w:t>
      </w:r>
    </w:p>
    <w:p>
      <w:pPr>
        <w:spacing w:after="0" w:line="327" w:lineRule="exact"/>
        <w:rPr>
          <w:sz w:val="20"/>
          <w:szCs w:val="20"/>
          <w:color w:val="auto"/>
        </w:rPr>
      </w:pPr>
    </w:p>
    <w:p>
      <w:pPr>
        <w:ind w:left="560" w:right="2779"/>
        <w:spacing w:after="0" w:line="275" w:lineRule="auto"/>
        <w:rPr>
          <w:sz w:val="20"/>
          <w:szCs w:val="20"/>
          <w:color w:val="auto"/>
        </w:rPr>
      </w:pPr>
      <w:r>
        <w:rPr>
          <w:rFonts w:ascii="Courier New" w:cs="Courier New" w:eastAsia="Courier New" w:hAnsi="Courier New"/>
          <w:sz w:val="14"/>
          <w:szCs w:val="14"/>
          <w:color w:val="auto"/>
        </w:rPr>
        <w:t>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Section 28, afford grounds for terminating, discharging or relieving the Guarantor, in whole or in part, from any of the Guaranteed Obligations under this Section 28, it being the intention of the Guarantor that, so long as any of the Guaranteed Obligations hereunder remain unsatisfied, the Guaranteed Obligations of the Guarantor under this Section 28 shall not be discharged except by performance and then only to the extent of such performance. The Guaranteed Obligations of the Guarantor under this Section 28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right="2779" w:firstLine="830"/>
        <w:spacing w:after="0" w:line="243" w:lineRule="auto"/>
        <w:tabs>
          <w:tab w:leader="none" w:pos="176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liable under this Section 28 only for the maximum amount of such liabilities that can be incurred under applicable law without rendering this Section 28 voidable under applicable law relating to fraudulent conveyance and fraudulent transfer, and not for any greater amount. Accordingly, if any obligation under any provision under this Section 28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Section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104" w:lineRule="exact"/>
        <w:rPr>
          <w:rFonts w:ascii="Courier New" w:cs="Courier New" w:eastAsia="Courier New" w:hAnsi="Courier New"/>
          <w:sz w:val="16"/>
          <w:szCs w:val="16"/>
          <w:color w:val="auto"/>
        </w:rPr>
      </w:pPr>
    </w:p>
    <w:p>
      <w:pPr>
        <w:ind w:left="560" w:right="2779" w:firstLine="830"/>
        <w:spacing w:after="0" w:line="254" w:lineRule="auto"/>
        <w:tabs>
          <w:tab w:leader="none" w:pos="1769"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28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w:t>
      </w:r>
    </w:p>
    <w:p>
      <w:pPr>
        <w:sectPr>
          <w:pgSz w:w="11900" w:h="16838" w:orient="portrait"/>
          <w:cols w:equalWidth="0" w:num="1">
            <w:col w:w="9939"/>
          </w:cols>
          <w:pgMar w:left="520" w:top="269"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84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-78-</w:t>
      </w:r>
    </w:p>
    <w:p>
      <w:pPr>
        <w:spacing w:after="0" w:line="327" w:lineRule="exact"/>
        <w:rPr>
          <w:sz w:val="20"/>
          <w:szCs w:val="20"/>
          <w:color w:val="auto"/>
        </w:rPr>
      </w:pPr>
    </w:p>
    <w:p>
      <w:pPr>
        <w:ind w:left="840" w:right="2779"/>
        <w:spacing w:after="0" w:line="244" w:lineRule="auto"/>
        <w:rPr>
          <w:sz w:val="20"/>
          <w:szCs w:val="20"/>
          <w:color w:val="auto"/>
        </w:rPr>
      </w:pPr>
      <w:r>
        <w:rPr>
          <w:rFonts w:ascii="Courier New" w:cs="Courier New" w:eastAsia="Courier New" w:hAnsi="Courier New"/>
          <w:sz w:val="16"/>
          <w:szCs w:val="16"/>
          <w:color w:val="auto"/>
        </w:rPr>
        <w:t>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Section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Section 28 will forthwith be reinstated in effect, as though such payment had not been made.</w:t>
      </w:r>
    </w:p>
    <w:p>
      <w:pPr>
        <w:spacing w:after="0" w:line="98" w:lineRule="exact"/>
        <w:rPr>
          <w:sz w:val="20"/>
          <w:szCs w:val="20"/>
          <w:color w:val="auto"/>
        </w:rPr>
      </w:pPr>
    </w:p>
    <w:p>
      <w:pPr>
        <w:ind w:right="2779" w:firstLine="837"/>
        <w:spacing w:after="0" w:line="246" w:lineRule="auto"/>
        <w:rPr>
          <w:sz w:val="20"/>
          <w:szCs w:val="20"/>
          <w:color w:val="auto"/>
        </w:rPr>
      </w:pPr>
      <w:r>
        <w:rPr>
          <w:rFonts w:ascii="Courier New" w:cs="Courier New" w:eastAsia="Courier New" w:hAnsi="Courier New"/>
          <w:sz w:val="16"/>
          <w:szCs w:val="16"/>
          <w:color w:val="auto"/>
        </w:rPr>
        <w:t>SECTION 28.7. WAIVER. Until the final payment and performance in full of all of the Obligations, the Guarantor shall not exercise and the Guarantor hereby 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96"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SECTION 28.8. SUBROGATION; SUBORDINATION. The payment of any amounts due with respect to any indebtedness of the Borrower for money 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10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29. PARI PASSU TREATMENT.</w:t>
      </w:r>
    </w:p>
    <w:p>
      <w:pPr>
        <w:spacing w:after="0" w:line="177" w:lineRule="exact"/>
        <w:rPr>
          <w:sz w:val="20"/>
          <w:szCs w:val="20"/>
          <w:color w:val="auto"/>
        </w:rPr>
      </w:pPr>
    </w:p>
    <w:p>
      <w:pPr>
        <w:jc w:val="both"/>
        <w:ind w:left="840" w:right="2779" w:firstLine="830"/>
        <w:spacing w:after="0" w:line="289" w:lineRule="auto"/>
        <w:tabs>
          <w:tab w:leader="none" w:pos="2049"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to the contrary set forth herein, each payment or prepayment of principal and interest received after the occurrence of an Event of Default</w:t>
      </w:r>
    </w:p>
    <w:p>
      <w:pPr>
        <w:sectPr>
          <w:pgSz w:w="11900" w:h="16838" w:orient="portrait"/>
          <w:cols w:equalWidth="0" w:num="1">
            <w:col w:w="10219"/>
          </w:cols>
          <w:pgMar w:left="240" w:top="269"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85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-79-</w:t>
      </w:r>
    </w:p>
    <w:p>
      <w:pPr>
        <w:spacing w:after="0" w:line="327" w:lineRule="exact"/>
        <w:rPr>
          <w:sz w:val="20"/>
          <w:szCs w:val="20"/>
          <w:color w:val="auto"/>
        </w:rPr>
      </w:pPr>
    </w:p>
    <w:p>
      <w:pPr>
        <w:ind w:left="840" w:right="3159"/>
        <w:spacing w:after="0" w:line="272" w:lineRule="auto"/>
        <w:rPr>
          <w:sz w:val="20"/>
          <w:szCs w:val="20"/>
          <w:color w:val="auto"/>
        </w:rPr>
      </w:pPr>
      <w:r>
        <w:rPr>
          <w:rFonts w:ascii="Courier New" w:cs="Courier New" w:eastAsia="Courier New" w:hAnsi="Courier New"/>
          <w:sz w:val="16"/>
          <w:szCs w:val="16"/>
          <w:color w:val="auto"/>
        </w:rPr>
        <w:t>hereunder shall be distributed pari passu among the Banks, in accordance with the aggregate outstanding principal amount of the Obligations owing to each Bank divided by the aggregate outstanding principal amount of all Obligations.</w:t>
      </w:r>
    </w:p>
    <w:p>
      <w:pPr>
        <w:spacing w:after="0" w:line="73" w:lineRule="exact"/>
        <w:rPr>
          <w:sz w:val="20"/>
          <w:szCs w:val="20"/>
          <w:color w:val="auto"/>
        </w:rPr>
      </w:pPr>
    </w:p>
    <w:p>
      <w:pPr>
        <w:ind w:left="840" w:right="2779" w:firstLine="830"/>
        <w:spacing w:after="0" w:line="275" w:lineRule="auto"/>
        <w:tabs>
          <w:tab w:leader="none" w:pos="2049"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and during the continuance of any Event of Default, each Bank agrees that if it shall, through the exercise of a right of banker's lien, setoff or counterclaim against any Borrower (pursuant to Section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Section 5.5, Section 5.6 or Section 5.8)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29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3059" w:firstLine="837"/>
        <w:spacing w:after="0" w:line="263" w:lineRule="auto"/>
        <w:rPr>
          <w:sz w:val="20"/>
          <w:szCs w:val="20"/>
          <w:color w:val="auto"/>
        </w:rPr>
      </w:pPr>
      <w:r>
        <w:rPr>
          <w:rFonts w:ascii="Courier New" w:cs="Courier New" w:eastAsia="Courier New" w:hAnsi="Courier New"/>
          <w:sz w:val="16"/>
          <w:szCs w:val="16"/>
          <w:color w:val="auto"/>
        </w:rPr>
        <w:t>SECTION 30.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269"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86</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IN WITNESS WHEREOF, the undersigned have duly executed this Agreement as of the date first set forth above.</w:t>
      </w:r>
    </w:p>
    <w:p>
      <w:pPr>
        <w:spacing w:after="0" w:line="2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BORROWER AND GUARANTOR:</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 /s/ Ronald H. Jones</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260"/>
        <w:spacing w:after="0"/>
        <w:tabs>
          <w:tab w:leader="none" w:pos="39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 and Treasurer</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WASTE MANAGEMENT HOLDINGS, INC.</w:t>
      </w:r>
    </w:p>
    <w:p>
      <w:pPr>
        <w:spacing w:after="0" w:line="35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 /s/ William L. Trubeck</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260"/>
        <w:spacing w:after="0"/>
        <w:tabs>
          <w:tab w:leader="none" w:pos="39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Executive Vice President and Chief</w:t>
      </w:r>
    </w:p>
    <w:p>
      <w:pPr>
        <w:ind w:left="4000"/>
        <w:spacing w:after="0"/>
        <w:rPr>
          <w:sz w:val="20"/>
          <w:szCs w:val="20"/>
          <w:color w:val="auto"/>
        </w:rPr>
      </w:pPr>
      <w:r>
        <w:rPr>
          <w:rFonts w:ascii="Courier New" w:cs="Courier New" w:eastAsia="Courier New" w:hAnsi="Courier New"/>
          <w:sz w:val="16"/>
          <w:szCs w:val="16"/>
          <w:color w:val="auto"/>
        </w:rPr>
        <w:t>Financial Officer</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 /s/ Ronald H. Jones</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260"/>
        <w:spacing w:after="0"/>
        <w:tabs>
          <w:tab w:leader="none" w:pos="39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 and Treasurer</w:t>
      </w:r>
    </w:p>
    <w:p>
      <w:pPr>
        <w:spacing w:after="0" w:line="200" w:lineRule="exact"/>
        <w:rPr>
          <w:sz w:val="20"/>
          <w:szCs w:val="20"/>
          <w:color w:val="auto"/>
        </w:rPr>
      </w:pPr>
    </w:p>
    <w:p>
      <w:pPr>
        <w:spacing w:after="0" w:line="30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THE BANKS AND AGENTS:</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FLEET NATIONAL BANK, individually and as</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Administrative Agent</w:t>
      </w:r>
    </w:p>
    <w:p>
      <w:pPr>
        <w:spacing w:after="0" w:line="200" w:lineRule="exact"/>
        <w:rPr>
          <w:sz w:val="20"/>
          <w:szCs w:val="20"/>
          <w:color w:val="auto"/>
        </w:rPr>
      </w:pPr>
    </w:p>
    <w:p>
      <w:pPr>
        <w:spacing w:after="0" w:line="30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By:/s/ H. Louis Bailey</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260"/>
        <w:spacing w:after="0"/>
        <w:tabs>
          <w:tab w:leader="none" w:pos="39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BANK OF AMERICA, N.A.</w:t>
      </w:r>
    </w:p>
    <w:p>
      <w:pPr>
        <w:spacing w:after="0" w:line="200" w:lineRule="exact"/>
        <w:rPr>
          <w:sz w:val="20"/>
          <w:szCs w:val="20"/>
          <w:color w:val="auto"/>
        </w:rPr>
      </w:pPr>
    </w:p>
    <w:p>
      <w:pPr>
        <w:spacing w:after="0" w:line="33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By:/s/ Dan M. Killian</w:t>
      </w:r>
    </w:p>
    <w:p>
      <w:pPr>
        <w:spacing w:after="0" w:line="2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260"/>
        <w:spacing w:after="0"/>
        <w:tabs>
          <w:tab w:leader="none" w:pos="398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Managing Director</w:t>
      </w:r>
    </w:p>
    <w:p>
      <w:pPr>
        <w:sectPr>
          <w:pgSz w:w="11900" w:h="16838" w:orient="portrait"/>
          <w:cols w:equalWidth="0" w:num="1">
            <w:col w:w="10219"/>
          </w:cols>
          <w:pgMar w:left="240" w:top="269"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6"/>
          <w:szCs w:val="16"/>
          <w:color w:val="auto"/>
        </w:rPr>
        <w:t>87</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THE CHASE MANHATTAN BANK</w:t>
      </w:r>
    </w:p>
    <w:p>
      <w:pPr>
        <w:spacing w:after="0" w:line="200" w:lineRule="exact"/>
        <w:rPr>
          <w:sz w:val="20"/>
          <w:szCs w:val="20"/>
          <w:color w:val="auto"/>
        </w:rPr>
      </w:pPr>
    </w:p>
    <w:p>
      <w:pPr>
        <w:spacing w:after="0" w:line="33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/s/ James R. Dolphin</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780"/>
        <w:spacing w:after="0"/>
        <w:tabs>
          <w:tab w:leader="none" w:pos="35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14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DEUTSCHE BANK AG, NEW YORK BRANCH</w:t>
      </w:r>
    </w:p>
    <w:p>
      <w:pPr>
        <w:spacing w:after="0" w:line="2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AND/OR CAYMAN ISLANDS BRANCH</w:t>
      </w:r>
    </w:p>
    <w:p>
      <w:pPr>
        <w:spacing w:after="0" w:line="200" w:lineRule="exact"/>
        <w:rPr>
          <w:sz w:val="20"/>
          <w:szCs w:val="20"/>
          <w:color w:val="auto"/>
        </w:rPr>
      </w:pPr>
    </w:p>
    <w:p>
      <w:pPr>
        <w:spacing w:after="0" w:line="30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/s/ Jean M. Hannigan</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Title: Director</w:t>
      </w:r>
    </w:p>
    <w:p>
      <w:pPr>
        <w:spacing w:after="0" w:line="14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CITIBANK, N.A.</w:t>
      </w:r>
    </w:p>
    <w:p>
      <w:pPr>
        <w:spacing w:after="0" w:line="200" w:lineRule="exact"/>
        <w:rPr>
          <w:sz w:val="20"/>
          <w:szCs w:val="20"/>
          <w:color w:val="auto"/>
        </w:rPr>
      </w:pPr>
    </w:p>
    <w:p>
      <w:pPr>
        <w:spacing w:after="0" w:line="33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/s/ David L. Harris</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780"/>
        <w:spacing w:after="0"/>
        <w:tabs>
          <w:tab w:leader="none" w:pos="35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14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ABN AMRO BANK N.V.</w:t>
      </w:r>
    </w:p>
    <w:p>
      <w:pPr>
        <w:spacing w:after="0" w:line="200" w:lineRule="exact"/>
        <w:rPr>
          <w:sz w:val="20"/>
          <w:szCs w:val="20"/>
          <w:color w:val="auto"/>
        </w:rPr>
      </w:pPr>
    </w:p>
    <w:p>
      <w:pPr>
        <w:spacing w:after="0" w:line="33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/s/ Judy C. Chiang</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780"/>
        <w:spacing w:after="0"/>
        <w:tabs>
          <w:tab w:leader="none" w:pos="35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Senior Vice President</w:t>
      </w:r>
    </w:p>
    <w:p>
      <w:pPr>
        <w:spacing w:after="0" w:line="200" w:lineRule="exact"/>
        <w:rPr>
          <w:sz w:val="20"/>
          <w:szCs w:val="20"/>
          <w:color w:val="auto"/>
        </w:rPr>
      </w:pPr>
    </w:p>
    <w:p>
      <w:pPr>
        <w:spacing w:after="0" w:line="30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/s/ C. David Allman</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Title: Vice President</w:t>
      </w:r>
    </w:p>
    <w:p>
      <w:pPr>
        <w:spacing w:after="0" w:line="14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THE BANK OF NOVA SCOTIA</w:t>
      </w:r>
    </w:p>
    <w:p>
      <w:pPr>
        <w:spacing w:after="0" w:line="200" w:lineRule="exact"/>
        <w:rPr>
          <w:sz w:val="20"/>
          <w:szCs w:val="20"/>
          <w:color w:val="auto"/>
        </w:rPr>
      </w:pPr>
    </w:p>
    <w:p>
      <w:pPr>
        <w:spacing w:after="0" w:line="33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/s/ N. Bell</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780"/>
        <w:spacing w:after="0"/>
        <w:tabs>
          <w:tab w:leader="none" w:pos="35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Assistant Agent</w:t>
      </w:r>
    </w:p>
    <w:p>
      <w:pPr>
        <w:spacing w:after="0" w:line="14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BARCLAYS BANK PLC</w:t>
      </w:r>
    </w:p>
    <w:p>
      <w:pPr>
        <w:spacing w:after="0" w:line="200" w:lineRule="exact"/>
        <w:rPr>
          <w:sz w:val="20"/>
          <w:szCs w:val="20"/>
          <w:color w:val="auto"/>
        </w:rPr>
      </w:pPr>
    </w:p>
    <w:p>
      <w:pPr>
        <w:spacing w:after="0" w:line="33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By: /s/ L. Peter Yetman</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780"/>
        <w:spacing w:after="0"/>
        <w:tabs>
          <w:tab w:leader="none" w:pos="3500" w:val="left"/>
        </w:tabs>
        <w:rPr>
          <w:sz w:val="20"/>
          <w:szCs w:val="20"/>
          <w:color w:val="auto"/>
        </w:rPr>
      </w:pPr>
      <w:r>
        <w:rPr>
          <w:rFonts w:ascii="Courier New" w:cs="Courier New" w:eastAsia="Courier New" w:hAnsi="Courier New"/>
          <w:sz w:val="16"/>
          <w:szCs w:val="16"/>
          <w:color w:val="auto"/>
        </w:rPr>
        <w:t>Title:</w:t>
      </w:r>
      <w:r>
        <w:rPr>
          <w:sz w:val="20"/>
          <w:szCs w:val="20"/>
          <w:color w:val="auto"/>
        </w:rPr>
        <w:tab/>
      </w:r>
      <w:r>
        <w:rPr>
          <w:rFonts w:ascii="Courier New" w:cs="Courier New" w:eastAsia="Courier New" w:hAnsi="Courier New"/>
          <w:sz w:val="14"/>
          <w:szCs w:val="14"/>
          <w:color w:val="auto"/>
        </w:rPr>
        <w:t>Director</w:t>
      </w:r>
    </w:p>
    <w:p>
      <w:pPr>
        <w:sectPr>
          <w:pgSz w:w="11900" w:h="16838" w:orient="portrait"/>
          <w:cols w:equalWidth="0" w:num="1">
            <w:col w:w="9939"/>
          </w:cols>
          <w:pgMar w:left="520" w:top="269"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6"/>
          <w:szCs w:val="16"/>
          <w:color w:val="auto"/>
        </w:rPr>
        <w:t>88</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BNP PARIBAS</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Mike Shyrock</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0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John Stacy</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Managing Director</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CREDIT LYONNAIS NEW YORK BRANCH</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Attila Koc</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Senior Vice President</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PNC BANK, NATIONAL ASSOCIATION</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Philip K. Liebscher</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Managing Director</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ROYAL BANK OF CANADA</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Ritta Lee</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Senior Manager</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BANK ONE, N.A.</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John J. Zollinger, IV</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Associate Director</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WACHOVIA BANK, N.A.</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Bradford L. Watkins</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69"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6"/>
          <w:szCs w:val="16"/>
          <w:color w:val="auto"/>
        </w:rPr>
        <w:t>89</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TORONTO DOMINION (TEXAS), INC.</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Alva J. Jones</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WESTDEUTSCHE LANDESBANK</w:t>
      </w:r>
    </w:p>
    <w:p>
      <w:pPr>
        <w:spacing w:after="0" w:line="2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GIROZENTRALE, NEW YORK BRANCH</w:t>
      </w:r>
    </w:p>
    <w:p>
      <w:pPr>
        <w:spacing w:after="0" w:line="200" w:lineRule="exact"/>
        <w:rPr>
          <w:sz w:val="20"/>
          <w:szCs w:val="20"/>
          <w:color w:val="auto"/>
        </w:rPr>
      </w:pPr>
    </w:p>
    <w:p>
      <w:pPr>
        <w:spacing w:after="0" w:line="30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Walter T. Duffy III</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Associate Director</w:t>
      </w:r>
    </w:p>
    <w:p>
      <w:pPr>
        <w:spacing w:after="0" w:line="200" w:lineRule="exact"/>
        <w:rPr>
          <w:sz w:val="20"/>
          <w:szCs w:val="20"/>
          <w:color w:val="auto"/>
        </w:rPr>
      </w:pPr>
    </w:p>
    <w:p>
      <w:pPr>
        <w:spacing w:after="0" w:line="30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Anthony Alessandro</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Manager</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THE FUJI BANK, LIMITED</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Raymond Ventura</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Senior Vice President</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THE INDUSTRIAL BANK OF JAPAN,</w:t>
      </w:r>
    </w:p>
    <w:p>
      <w:pPr>
        <w:spacing w:after="0" w:line="2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LIMITED NEW YORK BRANCH</w:t>
      </w:r>
    </w:p>
    <w:p>
      <w:pPr>
        <w:spacing w:after="0" w:line="200" w:lineRule="exact"/>
        <w:rPr>
          <w:sz w:val="20"/>
          <w:szCs w:val="20"/>
          <w:color w:val="auto"/>
        </w:rPr>
      </w:pPr>
    </w:p>
    <w:p>
      <w:pPr>
        <w:spacing w:after="0" w:line="30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Michael N. Oakes</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Senior Vice President,</w:t>
      </w:r>
    </w:p>
    <w:p>
      <w:pPr>
        <w:ind w:left="2880"/>
        <w:spacing w:after="0"/>
        <w:rPr>
          <w:sz w:val="20"/>
          <w:szCs w:val="20"/>
          <w:color w:val="auto"/>
        </w:rPr>
      </w:pPr>
      <w:r>
        <w:rPr>
          <w:rFonts w:ascii="Courier New" w:cs="Courier New" w:eastAsia="Courier New" w:hAnsi="Courier New"/>
          <w:sz w:val="16"/>
          <w:szCs w:val="16"/>
          <w:color w:val="auto"/>
        </w:rPr>
        <w:t>Houston Office</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THE DAI-ICHI KANGYO BANK, LTD.,</w:t>
      </w:r>
    </w:p>
    <w:p>
      <w:pPr>
        <w:spacing w:after="0" w:line="2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NY BRANCH.</w:t>
      </w:r>
    </w:p>
    <w:p>
      <w:pPr>
        <w:spacing w:after="0" w:line="200" w:lineRule="exact"/>
        <w:rPr>
          <w:sz w:val="20"/>
          <w:szCs w:val="20"/>
          <w:color w:val="auto"/>
        </w:rPr>
      </w:pPr>
    </w:p>
    <w:p>
      <w:pPr>
        <w:spacing w:after="0" w:line="306"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Robert P. Gallagher</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pacing w:after="0" w:line="149"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COMERICA BANK</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By:/s/ Carol S. Geraghty</w:t>
      </w:r>
    </w:p>
    <w:p>
      <w:pPr>
        <w:spacing w:after="0" w:line="26"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69" w:right="1440" w:bottom="1440" w:gutter="0" w:footer="0" w:header="0"/>
        </w:sectPr>
      </w:pPr>
    </w:p>
    <w:bookmarkStart w:id="134" w:name="page135"/>
    <w:bookmarkEnd w:id="134"/>
    <w:p>
      <w:pPr>
        <w:spacing w:after="0"/>
        <w:rPr>
          <w:sz w:val="20"/>
          <w:szCs w:val="20"/>
          <w:color w:val="auto"/>
        </w:rPr>
      </w:pPr>
      <w:r>
        <w:rPr>
          <w:rFonts w:ascii="Courier New" w:cs="Courier New" w:eastAsia="Courier New" w:hAnsi="Courier New"/>
          <w:sz w:val="16"/>
          <w:szCs w:val="16"/>
          <w:color w:val="auto"/>
        </w:rPr>
        <w:t>90</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THE BANK OF NEW YORK</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By:/s/ David Sunderwirth</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Vice President</w:t>
      </w:r>
    </w:p>
    <w:p>
      <w:pPr>
        <w:spacing w:after="0" w:line="14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CREDIT SUISSE FIRST BOSTON</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By:/s/ Robert N. Finney</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Managing Director</w:t>
      </w:r>
    </w:p>
    <w:p>
      <w:pPr>
        <w:spacing w:after="0" w:line="200" w:lineRule="exact"/>
        <w:rPr>
          <w:sz w:val="20"/>
          <w:szCs w:val="20"/>
          <w:color w:val="auto"/>
        </w:rPr>
      </w:pPr>
    </w:p>
    <w:p>
      <w:pPr>
        <w:spacing w:after="0" w:line="306"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By:/s/ Mark Heron</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Asst. Vice President</w:t>
      </w:r>
    </w:p>
    <w:p>
      <w:pPr>
        <w:spacing w:after="0" w:line="14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LEHMAN COMMERCIAL PAPER INC</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By:/s/ Michael E. O'Brien</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Authorized Signatory</w:t>
      </w:r>
    </w:p>
    <w:p>
      <w:pPr>
        <w:spacing w:after="0" w:line="14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MELLON BANK, N.A.</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By:/s/ Louis E. Flori</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Vice President</w:t>
      </w:r>
    </w:p>
    <w:p>
      <w:pPr>
        <w:spacing w:after="0" w:line="14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MERRILL LYNCH BANK USA</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By:/s/ D. Kevin Imlay</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Senior Lending Officer</w:t>
      </w:r>
    </w:p>
    <w:p>
      <w:pPr>
        <w:spacing w:after="0" w:line="149"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SUNTRUST BANK</w:t>
      </w:r>
    </w:p>
    <w:p>
      <w:pPr>
        <w:spacing w:after="0" w:line="200" w:lineRule="exact"/>
        <w:rPr>
          <w:sz w:val="20"/>
          <w:szCs w:val="20"/>
          <w:color w:val="auto"/>
        </w:rPr>
      </w:pPr>
    </w:p>
    <w:p>
      <w:pPr>
        <w:spacing w:after="0" w:line="33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By:/s/ Frank A. Coe</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Title: Vice President</w:t>
      </w:r>
    </w:p>
    <w:p>
      <w:pPr>
        <w:sectPr>
          <w:pgSz w:w="11900" w:h="16838" w:orient="portrait"/>
          <w:cols w:equalWidth="0" w:num="1">
            <w:col w:w="9939"/>
          </w:cols>
          <w:pgMar w:left="520" w:top="269"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6"/>
          <w:szCs w:val="16"/>
          <w:color w:val="auto"/>
        </w:rPr>
        <w:t>91</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MITSUBISHI TRUST AND BANKING CORPORATION</w:t>
      </w:r>
    </w:p>
    <w:p>
      <w:pPr>
        <w:spacing w:after="0" w:line="200" w:lineRule="exact"/>
        <w:rPr>
          <w:sz w:val="20"/>
          <w:szCs w:val="20"/>
          <w:color w:val="auto"/>
        </w:rPr>
      </w:pPr>
    </w:p>
    <w:p>
      <w:pPr>
        <w:spacing w:after="0" w:line="33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By:/s/ Toshihiro Hayashi</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939"/>
          </w:cols>
          <w:pgMar w:left="520" w:top="269"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6"/>
          <w:szCs w:val="16"/>
          <w:color w:val="auto"/>
        </w:rPr>
        <w:t>92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-86-</w:t>
      </w:r>
    </w:p>
    <w:p>
      <w:pPr>
        <w:spacing w:after="0" w:line="200" w:lineRule="exact"/>
        <w:rPr>
          <w:sz w:val="20"/>
          <w:szCs w:val="20"/>
          <w:color w:val="auto"/>
        </w:rPr>
      </w:pPr>
    </w:p>
    <w:p>
      <w:pPr>
        <w:spacing w:after="0" w:line="306"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A</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FORM OF</w:t>
      </w:r>
    </w:p>
    <w:p>
      <w:pPr>
        <w:spacing w:after="0" w:line="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SYNDICATED NOTE</w:t>
      </w:r>
    </w:p>
    <w:p>
      <w:pPr>
        <w:spacing w:after="0" w:line="149"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4"/>
          <w:szCs w:val="14"/>
          <w:color w:val="auto"/>
        </w:rPr>
        <w:t>as of June 29, 2001</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FOR VALUE RECEIVED, the undersigned, WASTE MANAGEMENT, INC., a Delaware corporation (the "Borrower"), hereby absolutely and unconditionally promises to pay to the order of [INSERT NAME OF PAYEE BANK] (the "Bank") at the office of Fleet National Bank, as Administrative Agent for the Banks, at 100 Federal Street, Boston, Massachusetts 02110:</w:t>
      </w:r>
    </w:p>
    <w:p>
      <w:pPr>
        <w:spacing w:after="0" w:line="80" w:lineRule="exact"/>
        <w:rPr>
          <w:sz w:val="20"/>
          <w:szCs w:val="20"/>
          <w:color w:val="auto"/>
        </w:rPr>
      </w:pPr>
    </w:p>
    <w:p>
      <w:pPr>
        <w:ind w:left="1200" w:hanging="367"/>
        <w:spacing w:after="0"/>
        <w:tabs>
          <w:tab w:leader="none" w:pos="120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Maturity Date, the principal amount of ___________________</w:t>
      </w:r>
    </w:p>
    <w:p>
      <w:pPr>
        <w:spacing w:after="0" w:line="48" w:lineRule="exact"/>
        <w:rPr>
          <w:rFonts w:ascii="Courier New" w:cs="Courier New" w:eastAsia="Courier New" w:hAnsi="Courier New"/>
          <w:sz w:val="14"/>
          <w:szCs w:val="14"/>
          <w:color w:val="auto"/>
        </w:rPr>
      </w:pPr>
    </w:p>
    <w:p>
      <w:pPr>
        <w:ind w:right="2779"/>
        <w:spacing w:after="0" w:line="24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DOLLARS ($_________) or, if less, the then outstanding aggregate unpaid principal amount of Syndicated Loans made by the Bank to the Borrower pursuant to the Revolving Credit Agreement, dated as of June 29, 2001 (as amended, modified, supplemented or restated and in effect from time to time, the "Credit Agreement"), by and among the Borrower, the Guarantor, the Bank, the Administrative Agent, and such other banks or financial institutions that are or may become parties to the Credit Agreement from time to time in accordance with the provisions thereof; and</w:t>
      </w:r>
    </w:p>
    <w:p>
      <w:pPr>
        <w:spacing w:after="0" w:line="95" w:lineRule="exact"/>
        <w:rPr>
          <w:rFonts w:ascii="Courier New" w:cs="Courier New" w:eastAsia="Courier New" w:hAnsi="Courier New"/>
          <w:sz w:val="14"/>
          <w:szCs w:val="14"/>
          <w:color w:val="auto"/>
        </w:rPr>
      </w:pPr>
    </w:p>
    <w:p>
      <w:pPr>
        <w:ind w:right="2879" w:firstLine="833"/>
        <w:spacing w:after="0" w:line="263" w:lineRule="auto"/>
        <w:tabs>
          <w:tab w:leader="none" w:pos="1209"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the principal balance hereof from time to time outstanding from the date hereof through and including the date on which such principal amount is paid in full, at the times and at the rates provided in the Credit Agreement, subject however to the provisions of Section 5.10 of the Credit Agreement.</w:t>
      </w:r>
    </w:p>
    <w:p>
      <w:pPr>
        <w:spacing w:after="0" w:line="80" w:lineRule="exact"/>
        <w:rPr>
          <w:sz w:val="20"/>
          <w:szCs w:val="20"/>
          <w:color w:val="auto"/>
        </w:rPr>
      </w:pPr>
    </w:p>
    <w:p>
      <w:pPr>
        <w:ind w:right="2779" w:firstLine="837"/>
        <w:spacing w:after="0" w:line="290" w:lineRule="auto"/>
        <w:rPr>
          <w:sz w:val="20"/>
          <w:szCs w:val="20"/>
          <w:color w:val="auto"/>
        </w:rPr>
      </w:pPr>
      <w:r>
        <w:rPr>
          <w:rFonts w:ascii="Courier New" w:cs="Courier New" w:eastAsia="Courier New" w:hAnsi="Courier New"/>
          <w:sz w:val="14"/>
          <w:szCs w:val="14"/>
          <w:color w:val="auto"/>
        </w:rPr>
        <w:t>This Syndicated Note evidences borrowings under, is subject to the terms and conditions of, and has been issued by the Borrower in accordance with, the Credit Agreement and is one of the Syndicated Notes referred to therein. The Bank and any holder hereof are entitled to the benefits of the Credit Agreement and may enforce the agreements of the Borrower contained therein, and any holder hereof may exercise the respective remedies provided for thereby or otherwise available in respect thereof, all in accordance with the respective terms thereof. All capitalized terms used in this Syndicated Note and not otherwise defined herein shall have the same meanings herein as in the Credit Agreement.</w:t>
      </w:r>
    </w:p>
    <w:p>
      <w:pPr>
        <w:spacing w:after="0" w:line="64" w:lineRule="exact"/>
        <w:rPr>
          <w:sz w:val="20"/>
          <w:szCs w:val="20"/>
          <w:color w:val="auto"/>
        </w:rPr>
      </w:pPr>
    </w:p>
    <w:p>
      <w:pPr>
        <w:ind w:right="3059" w:firstLine="837"/>
        <w:spacing w:after="0" w:line="296" w:lineRule="auto"/>
        <w:rPr>
          <w:sz w:val="20"/>
          <w:szCs w:val="20"/>
          <w:color w:val="auto"/>
        </w:rPr>
      </w:pPr>
      <w:r>
        <w:rPr>
          <w:rFonts w:ascii="Courier New" w:cs="Courier New" w:eastAsia="Courier New" w:hAnsi="Courier New"/>
          <w:sz w:val="14"/>
          <w:szCs w:val="14"/>
          <w:color w:val="auto"/>
        </w:rPr>
        <w:t>The Bank shall endorse, and is hereby irrevocably authorized by the Borrower to endorse, on the schedule attached to this Syndicated Note or a continuation of such schedule attached hereto and made a part hereof, an appropriate notation evidencing advances and repayments of principal of this Syndicated Note, provided that failure by the Bank to make any such notations shall not affect any of the Borrower's obligations or the validity of any repayments made by the Borrower in respect of this Syndicated Note.</w:t>
      </w:r>
    </w:p>
    <w:p>
      <w:pPr>
        <w:sectPr>
          <w:pgSz w:w="11900" w:h="16838" w:orient="portrait"/>
          <w:cols w:equalWidth="0" w:num="1">
            <w:col w:w="10219"/>
          </w:cols>
          <w:pgMar w:left="240" w:top="269"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6"/>
          <w:szCs w:val="16"/>
          <w:color w:val="auto"/>
        </w:rPr>
        <w:t>93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-87-</w:t>
      </w:r>
    </w:p>
    <w:p>
      <w:pPr>
        <w:spacing w:after="0" w:line="327"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The Borrower has the right in certain circumstances and the obligation in certain other circumstances to prepay the whole or part of the principal of this Syndicated Note on the terms and conditions specified in the Credit Agreement.</w:t>
      </w:r>
    </w:p>
    <w:p>
      <w:pPr>
        <w:spacing w:after="0" w:line="73"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If any one or more Events of Default shall occur, the entire unpaid principal amount of this Syndicated Note and all of the unpaid interest accrued thereon may become or be declared due and payable in the manner and with the effect provided in the Credit Agreement.</w:t>
      </w:r>
    </w:p>
    <w:p>
      <w:pPr>
        <w:spacing w:after="0" w:line="73"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The Borrower and every endorser of this Syndicated Note or the obligation represented hereby waive presentment, demand, notice, protest, notice of intent to accelerate, notice of acceleration and all other demands and notices in connection with the delivery, acceptance, performance, default or enforcement of this Syndicated Note, assent to any extension or postponement of the time of payment or any other indulgence, to any substitution, exchange or release of collateral and to the addition or release of any other party or person primarily or secondarily liable.</w:t>
      </w:r>
    </w:p>
    <w:p>
      <w:pPr>
        <w:spacing w:after="0" w:line="94" w:lineRule="exact"/>
        <w:rPr>
          <w:sz w:val="20"/>
          <w:szCs w:val="20"/>
          <w:color w:val="auto"/>
        </w:rPr>
      </w:pPr>
    </w:p>
    <w:p>
      <w:pPr>
        <w:jc w:val="both"/>
        <w:ind w:right="2959" w:firstLine="837"/>
        <w:spacing w:after="0" w:line="272" w:lineRule="auto"/>
        <w:rPr>
          <w:sz w:val="20"/>
          <w:szCs w:val="20"/>
          <w:color w:val="auto"/>
        </w:rPr>
      </w:pPr>
      <w:r>
        <w:rPr>
          <w:rFonts w:ascii="Courier New" w:cs="Courier New" w:eastAsia="Courier New" w:hAnsi="Courier New"/>
          <w:sz w:val="16"/>
          <w:szCs w:val="16"/>
          <w:color w:val="auto"/>
        </w:rPr>
        <w:t>This Syndicated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73" w:lineRule="exact"/>
        <w:rPr>
          <w:sz w:val="20"/>
          <w:szCs w:val="20"/>
          <w:color w:val="auto"/>
        </w:rPr>
      </w:pPr>
    </w:p>
    <w:p>
      <w:pPr>
        <w:jc w:val="both"/>
        <w:ind w:right="2779" w:firstLine="837"/>
        <w:spacing w:after="0" w:line="289" w:lineRule="auto"/>
        <w:rPr>
          <w:sz w:val="20"/>
          <w:szCs w:val="20"/>
          <w:color w:val="auto"/>
        </w:rPr>
      </w:pPr>
      <w:r>
        <w:rPr>
          <w:rFonts w:ascii="Courier New" w:cs="Courier New" w:eastAsia="Courier New" w:hAnsi="Courier New"/>
          <w:sz w:val="16"/>
          <w:szCs w:val="16"/>
          <w:color w:val="auto"/>
        </w:rPr>
        <w:t>IN WITNESS WHEREOF, the Borrower has caused this Syndicated Note to be signed on its behalf by its duly authorized officer as of the day and year first above written.</w:t>
      </w:r>
    </w:p>
    <w:p>
      <w:pPr>
        <w:spacing w:after="0" w:line="6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ind w:left="32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69"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6"/>
          <w:szCs w:val="16"/>
          <w:color w:val="auto"/>
        </w:rPr>
        <w:t>94</w:t>
      </w:r>
    </w:p>
    <w:p>
      <w:pPr>
        <w:spacing w:after="0" w:line="26"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Amount</w:t>
      </w:r>
    </w:p>
    <w:p>
      <w:pPr>
        <w:spacing w:after="0" w:line="2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of</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Balance</w:t>
      </w:r>
    </w:p>
    <w:p>
      <w:pPr>
        <w:jc w:val="center"/>
        <w:ind w:right="9379"/>
        <w:spacing w:after="0" w:line="236" w:lineRule="auto"/>
        <w:rPr>
          <w:sz w:val="20"/>
          <w:szCs w:val="20"/>
          <w:color w:val="auto"/>
        </w:rPr>
      </w:pPr>
      <w:r>
        <w:rPr>
          <w:rFonts w:ascii="Courier New" w:cs="Courier New" w:eastAsia="Courier New" w:hAnsi="Courier New"/>
          <w:sz w:val="16"/>
          <w:szCs w:val="16"/>
          <w:color w:val="auto"/>
        </w:rPr>
        <w:t>of</w:t>
      </w:r>
    </w:p>
    <w:p>
      <w:pPr>
        <w:jc w:val="center"/>
        <w:ind w:right="9379"/>
        <w:spacing w:after="0" w:line="237" w:lineRule="auto"/>
        <w:rPr>
          <w:sz w:val="20"/>
          <w:szCs w:val="20"/>
          <w:color w:val="auto"/>
        </w:rPr>
      </w:pPr>
      <w:r>
        <w:rPr>
          <w:rFonts w:ascii="Courier New" w:cs="Courier New" w:eastAsia="Courier New" w:hAnsi="Courier New"/>
          <w:sz w:val="16"/>
          <w:szCs w:val="16"/>
          <w:color w:val="auto"/>
        </w:rPr>
        <w:t>Amount</w:t>
      </w:r>
    </w:p>
    <w:p>
      <w:pPr>
        <w:jc w:val="center"/>
        <w:ind w:right="9379"/>
        <w:spacing w:after="0" w:line="237" w:lineRule="auto"/>
        <w:rPr>
          <w:sz w:val="20"/>
          <w:szCs w:val="20"/>
          <w:color w:val="auto"/>
        </w:rPr>
      </w:pPr>
      <w:r>
        <w:rPr>
          <w:rFonts w:ascii="Courier New" w:cs="Courier New" w:eastAsia="Courier New" w:hAnsi="Courier New"/>
          <w:sz w:val="16"/>
          <w:szCs w:val="16"/>
          <w:color w:val="auto"/>
        </w:rPr>
        <w:t>of 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or</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Notation</w:t>
      </w:r>
    </w:p>
    <w:p>
      <w:pPr>
        <w:jc w:val="center"/>
        <w:ind w:right="9399"/>
        <w:spacing w:after="0" w:line="236" w:lineRule="auto"/>
        <w:rPr>
          <w:sz w:val="20"/>
          <w:szCs w:val="20"/>
          <w:color w:val="auto"/>
        </w:rPr>
      </w:pPr>
      <w:r>
        <w:rPr>
          <w:rFonts w:ascii="Courier New" w:cs="Courier New" w:eastAsia="Courier New" w:hAnsi="Courier New"/>
          <w:sz w:val="16"/>
          <w:szCs w:val="16"/>
          <w:color w:val="auto"/>
        </w:rPr>
        <w:t>Date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99"/>
        <w:spacing w:after="0" w:line="237" w:lineRule="auto"/>
        <w:rPr>
          <w:sz w:val="20"/>
          <w:szCs w:val="20"/>
          <w:color w:val="auto"/>
        </w:rPr>
      </w:pPr>
      <w:r>
        <w:rPr>
          <w:rFonts w:ascii="Courier New" w:cs="Courier New" w:eastAsia="Courier New" w:hAnsi="Courier New"/>
          <w:sz w:val="16"/>
          <w:szCs w:val="16"/>
          <w:color w:val="auto"/>
        </w:rPr>
        <w:t>Type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79"/>
        <w:spacing w:after="0" w:line="237" w:lineRule="auto"/>
        <w:rPr>
          <w:sz w:val="20"/>
          <w:szCs w:val="20"/>
          <w:color w:val="auto"/>
        </w:rPr>
      </w:pPr>
      <w:r>
        <w:rPr>
          <w:rFonts w:ascii="Courier New" w:cs="Courier New" w:eastAsia="Courier New" w:hAnsi="Courier New"/>
          <w:sz w:val="16"/>
          <w:szCs w:val="16"/>
          <w:color w:val="auto"/>
        </w:rPr>
        <w:t>Prepaid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Unpaid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Made By</w:t>
      </w:r>
    </w:p>
    <w:p>
      <w:pPr>
        <w:ind w:left="220" w:hanging="179"/>
        <w:spacing w:after="0" w:line="237" w:lineRule="auto"/>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0" w:hanging="553"/>
        <w:spacing w:after="0" w:line="236" w:lineRule="auto"/>
        <w:tabs>
          <w:tab w:leader="none" w:pos="640"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0" w:hanging="553"/>
        <w:spacing w:after="0" w:line="236" w:lineRule="auto"/>
        <w:tabs>
          <w:tab w:leader="none" w:pos="640"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69" w:right="1440" w:bottom="0" w:gutter="0" w:footer="0" w:header="0"/>
        </w:sectPr>
      </w:pPr>
    </w:p>
    <w:bookmarkStart w:id="139" w:name="page140"/>
    <w:bookmarkEnd w:id="139"/>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140" w:name="page141"/>
    <w:bookmarkEnd w:id="140"/>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141" w:name="page142"/>
    <w:bookmarkEnd w:id="141"/>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ectPr>
          <w:pgSz w:w="11900" w:h="16838" w:orient="portrait"/>
          <w:cols w:equalWidth="0" w:num="1">
            <w:col w:w="10179"/>
          </w:cols>
          <w:pgMar w:left="280" w:top="114"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B</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FORM OF</w:t>
      </w:r>
    </w:p>
    <w:p>
      <w:pPr>
        <w:spacing w:after="0" w:line="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SWING LINE NOTE</w:t>
      </w:r>
    </w:p>
    <w:p>
      <w:pPr>
        <w:spacing w:after="0" w:line="149"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6"/>
          <w:szCs w:val="16"/>
          <w:color w:val="auto"/>
        </w:rPr>
        <w:t>$10,000,000</w:t>
      </w:r>
      <w:r>
        <w:rPr>
          <w:sz w:val="20"/>
          <w:szCs w:val="20"/>
          <w:color w:val="auto"/>
        </w:rPr>
        <w:tab/>
      </w:r>
      <w:r>
        <w:rPr>
          <w:rFonts w:ascii="Courier New" w:cs="Courier New" w:eastAsia="Courier New" w:hAnsi="Courier New"/>
          <w:sz w:val="14"/>
          <w:szCs w:val="14"/>
          <w:color w:val="auto"/>
        </w:rPr>
        <w:t>as of June 29, 2001</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FOR VALUE RECEIVED, the undersigned, WASTE MANAGEMENT, INC., a Delaware corporation (the "Borrower"), hereby absolutely and unconditionally promises to pay to the order of FLEET NATIONAL BANK (the "Bank") at the office of Fleet National Bank, as Administrative Agent for the Banks, at 100 Federal Street, Boston, Massachusetts 02110:</w:t>
      </w:r>
    </w:p>
    <w:p>
      <w:pPr>
        <w:spacing w:after="0" w:line="80" w:lineRule="exact"/>
        <w:rPr>
          <w:sz w:val="20"/>
          <w:szCs w:val="20"/>
          <w:color w:val="auto"/>
        </w:rPr>
      </w:pPr>
    </w:p>
    <w:p>
      <w:pPr>
        <w:ind w:right="2779" w:firstLine="833"/>
        <w:spacing w:after="0" w:line="250" w:lineRule="auto"/>
        <w:tabs>
          <w:tab w:leader="none" w:pos="120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Maturity Date, the principal amount of TEN MILLION DOLLARS ($10,000,000) or, if less, the then outstanding aggregate unpaid principal amount of Swing Line Loans made by the Bank to the Borrower pursuant to the Revolving Credit Agreement, dated as of June 29, 2001 (as amended, modified, supplemented or restated and in effect from time to time, the "Credit Agreement"), by and among the Borrower, the Guarantor, the Bank, the Administrative Agent, and such other banks or financial institutions that are or may become parties to the Credit Agreement from time to time in accordance with the provisions thereof; and</w:t>
      </w:r>
    </w:p>
    <w:p>
      <w:pPr>
        <w:spacing w:after="0" w:line="89" w:lineRule="exact"/>
        <w:rPr>
          <w:rFonts w:ascii="Courier New" w:cs="Courier New" w:eastAsia="Courier New" w:hAnsi="Courier New"/>
          <w:sz w:val="16"/>
          <w:szCs w:val="16"/>
          <w:color w:val="auto"/>
        </w:rPr>
      </w:pPr>
    </w:p>
    <w:p>
      <w:pPr>
        <w:ind w:right="2879" w:firstLine="833"/>
        <w:spacing w:after="0" w:line="263" w:lineRule="auto"/>
        <w:tabs>
          <w:tab w:leader="none" w:pos="1209"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the principal balance hereof from time to time outstanding from the date hereof through and including the date on which such principal amount is paid in full, at the times and at the rates provided in the Credit Agreement, subject however to the provisions of Section 5.10 of the Credit Agreement.</w:t>
      </w:r>
    </w:p>
    <w:p>
      <w:pPr>
        <w:spacing w:after="0" w:line="80" w:lineRule="exact"/>
        <w:rPr>
          <w:sz w:val="20"/>
          <w:szCs w:val="20"/>
          <w:color w:val="auto"/>
        </w:rPr>
      </w:pPr>
    </w:p>
    <w:p>
      <w:pPr>
        <w:ind w:right="2879" w:firstLine="837"/>
        <w:spacing w:after="0" w:line="290" w:lineRule="auto"/>
        <w:rPr>
          <w:sz w:val="20"/>
          <w:szCs w:val="20"/>
          <w:color w:val="auto"/>
        </w:rPr>
      </w:pPr>
      <w:r>
        <w:rPr>
          <w:rFonts w:ascii="Courier New" w:cs="Courier New" w:eastAsia="Courier New" w:hAnsi="Courier New"/>
          <w:sz w:val="14"/>
          <w:szCs w:val="14"/>
          <w:color w:val="auto"/>
        </w:rPr>
        <w:t>This Swing Line Note evidences borrowings under, is subject to the terms and conditions of, and has been issued by the Borrower in accordance with the Credit Agreement and is the Swing Line Note referred to therein. The Bank and any holder hereof are entitled to the benefits of the Credit Agreement and may enforce the agreements of the Borrower contained therein, and any holder hereof may exercise the respective remedies provided for thereby or otherwise available in respect thereof, all in accordance with the respective terms thereof. All capitalized terms used in this Swing Line Note and not otherwise defined herein shall have the same meanings herein as in the Credit Agreement.</w:t>
      </w:r>
    </w:p>
    <w:p>
      <w:pPr>
        <w:spacing w:after="0" w:line="64" w:lineRule="exact"/>
        <w:rPr>
          <w:sz w:val="20"/>
          <w:szCs w:val="20"/>
          <w:color w:val="auto"/>
        </w:rPr>
      </w:pPr>
    </w:p>
    <w:p>
      <w:pPr>
        <w:ind w:right="3059" w:firstLine="837"/>
        <w:spacing w:after="0" w:line="296" w:lineRule="auto"/>
        <w:rPr>
          <w:sz w:val="20"/>
          <w:szCs w:val="20"/>
          <w:color w:val="auto"/>
        </w:rPr>
      </w:pPr>
      <w:r>
        <w:rPr>
          <w:rFonts w:ascii="Courier New" w:cs="Courier New" w:eastAsia="Courier New" w:hAnsi="Courier New"/>
          <w:sz w:val="14"/>
          <w:szCs w:val="14"/>
          <w:color w:val="auto"/>
        </w:rPr>
        <w:t>The Bank shall endorse, and is hereby irrevocably authorized by the Borrower to endorse, on the schedule attached to this Swing Line Note or a continuation of such schedule attached hereto and made a part hereof, an appropriate notation evidencing advances and repayments of principal of this Swing Line Note, provided that failure by the Bank to make any such notations shall not affect any of the Borrower's obligations or the validity of any repayments made by the Borrower in respect of this Swing Line Note.</w:t>
      </w:r>
    </w:p>
    <w:p>
      <w:pPr>
        <w:sectPr>
          <w:pgSz w:w="11900" w:h="16838" w:orient="portrait"/>
          <w:cols w:equalWidth="0" w:num="1">
            <w:col w:w="10219"/>
          </w:cols>
          <w:pgMar w:left="240" w:top="269"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96</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The Borrower has the right in certain circumstances and the obligation in certain other circumstances to prepay the whole or part of the principal of this Swing Line Note on the terms and conditions specified in the Credit Agreement.</w:t>
      </w:r>
    </w:p>
    <w:p>
      <w:pPr>
        <w:spacing w:after="0" w:line="73"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If any one or more Events of Default shall occur, the entire unpaid principal amount of this Swing Line Note and all of the unpaid interest accrued thereon may become or be declared due and payable in the manner and with the effect provided in the Credit Agreement.</w:t>
      </w:r>
    </w:p>
    <w:p>
      <w:pPr>
        <w:spacing w:after="0" w:line="73"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The Borrower and every endorser of this Swing Line Note or the obligation represented hereby waive presentment, demand, notice, protest, notice of intent to accelerate, notice of acceleration and all other demands and notices in connection with the delivery, acceptance, performance, default or enforcement of this Swing Line Note, assent to any extension or postponement of the time of payment or any other indulgence, to any substitution, exchange or release of collateral and to the addition or release of any other party or person primarily or secondarily liable.</w:t>
      </w:r>
    </w:p>
    <w:p>
      <w:pPr>
        <w:spacing w:after="0" w:line="94" w:lineRule="exact"/>
        <w:rPr>
          <w:sz w:val="20"/>
          <w:szCs w:val="20"/>
          <w:color w:val="auto"/>
        </w:rPr>
      </w:pPr>
    </w:p>
    <w:p>
      <w:pPr>
        <w:jc w:val="both"/>
        <w:ind w:right="2959" w:firstLine="837"/>
        <w:spacing w:after="0" w:line="272" w:lineRule="auto"/>
        <w:rPr>
          <w:sz w:val="20"/>
          <w:szCs w:val="20"/>
          <w:color w:val="auto"/>
        </w:rPr>
      </w:pPr>
      <w:r>
        <w:rPr>
          <w:rFonts w:ascii="Courier New" w:cs="Courier New" w:eastAsia="Courier New" w:hAnsi="Courier New"/>
          <w:sz w:val="16"/>
          <w:szCs w:val="16"/>
          <w:color w:val="auto"/>
        </w:rPr>
        <w:t>This Swing Line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73" w:lineRule="exact"/>
        <w:rPr>
          <w:sz w:val="20"/>
          <w:szCs w:val="20"/>
          <w:color w:val="auto"/>
        </w:rPr>
      </w:pPr>
    </w:p>
    <w:p>
      <w:pPr>
        <w:jc w:val="both"/>
        <w:ind w:right="2779" w:firstLine="837"/>
        <w:spacing w:after="0" w:line="289" w:lineRule="auto"/>
        <w:rPr>
          <w:sz w:val="20"/>
          <w:szCs w:val="20"/>
          <w:color w:val="auto"/>
        </w:rPr>
      </w:pPr>
      <w:r>
        <w:rPr>
          <w:rFonts w:ascii="Courier New" w:cs="Courier New" w:eastAsia="Courier New" w:hAnsi="Courier New"/>
          <w:sz w:val="16"/>
          <w:szCs w:val="16"/>
          <w:color w:val="auto"/>
        </w:rPr>
        <w:t>IN WITNESS WHEREOF, the Borrower has caused this Swing Line Note to be signed on its behalf by its duly authorized officer as of the day and year first above written.</w:t>
      </w:r>
    </w:p>
    <w:p>
      <w:pPr>
        <w:spacing w:after="0" w:line="6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ind w:left="32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69"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6"/>
          <w:szCs w:val="16"/>
          <w:color w:val="auto"/>
        </w:rPr>
        <w:t>97</w:t>
      </w:r>
    </w:p>
    <w:p>
      <w:pPr>
        <w:spacing w:after="0" w:line="26"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Amount</w:t>
      </w:r>
    </w:p>
    <w:p>
      <w:pPr>
        <w:spacing w:after="0" w:line="2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of</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Balance</w:t>
      </w:r>
    </w:p>
    <w:p>
      <w:pPr>
        <w:jc w:val="center"/>
        <w:ind w:right="9379"/>
        <w:spacing w:after="0" w:line="236" w:lineRule="auto"/>
        <w:rPr>
          <w:sz w:val="20"/>
          <w:szCs w:val="20"/>
          <w:color w:val="auto"/>
        </w:rPr>
      </w:pPr>
      <w:r>
        <w:rPr>
          <w:rFonts w:ascii="Courier New" w:cs="Courier New" w:eastAsia="Courier New" w:hAnsi="Courier New"/>
          <w:sz w:val="16"/>
          <w:szCs w:val="16"/>
          <w:color w:val="auto"/>
        </w:rPr>
        <w:t>of</w:t>
      </w:r>
    </w:p>
    <w:p>
      <w:pPr>
        <w:jc w:val="center"/>
        <w:ind w:right="9379"/>
        <w:spacing w:after="0" w:line="237" w:lineRule="auto"/>
        <w:rPr>
          <w:sz w:val="20"/>
          <w:szCs w:val="20"/>
          <w:color w:val="auto"/>
        </w:rPr>
      </w:pPr>
      <w:r>
        <w:rPr>
          <w:rFonts w:ascii="Courier New" w:cs="Courier New" w:eastAsia="Courier New" w:hAnsi="Courier New"/>
          <w:sz w:val="16"/>
          <w:szCs w:val="16"/>
          <w:color w:val="auto"/>
        </w:rPr>
        <w:t>Amount</w:t>
      </w:r>
    </w:p>
    <w:p>
      <w:pPr>
        <w:jc w:val="center"/>
        <w:ind w:right="9379"/>
        <w:spacing w:after="0" w:line="237" w:lineRule="auto"/>
        <w:rPr>
          <w:sz w:val="20"/>
          <w:szCs w:val="20"/>
          <w:color w:val="auto"/>
        </w:rPr>
      </w:pPr>
      <w:r>
        <w:rPr>
          <w:rFonts w:ascii="Courier New" w:cs="Courier New" w:eastAsia="Courier New" w:hAnsi="Courier New"/>
          <w:sz w:val="16"/>
          <w:szCs w:val="16"/>
          <w:color w:val="auto"/>
        </w:rPr>
        <w:t>of 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or</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Notation</w:t>
      </w:r>
    </w:p>
    <w:p>
      <w:pPr>
        <w:jc w:val="center"/>
        <w:ind w:right="9399"/>
        <w:spacing w:after="0" w:line="236" w:lineRule="auto"/>
        <w:rPr>
          <w:sz w:val="20"/>
          <w:szCs w:val="20"/>
          <w:color w:val="auto"/>
        </w:rPr>
      </w:pPr>
      <w:r>
        <w:rPr>
          <w:rFonts w:ascii="Courier New" w:cs="Courier New" w:eastAsia="Courier New" w:hAnsi="Courier New"/>
          <w:sz w:val="16"/>
          <w:szCs w:val="16"/>
          <w:color w:val="auto"/>
        </w:rPr>
        <w:t>Date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79"/>
        <w:spacing w:after="0" w:line="237" w:lineRule="auto"/>
        <w:rPr>
          <w:sz w:val="20"/>
          <w:szCs w:val="20"/>
          <w:color w:val="auto"/>
        </w:rPr>
      </w:pPr>
      <w:r>
        <w:rPr>
          <w:rFonts w:ascii="Courier New" w:cs="Courier New" w:eastAsia="Courier New" w:hAnsi="Courier New"/>
          <w:sz w:val="16"/>
          <w:szCs w:val="16"/>
          <w:color w:val="auto"/>
        </w:rPr>
        <w:t>Prepaid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Unpaid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Made By</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500" w:hanging="459"/>
        <w:spacing w:after="0" w:line="237" w:lineRule="auto"/>
        <w:tabs>
          <w:tab w:leader="none" w:pos="50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69" w:right="1440" w:bottom="0" w:gutter="0" w:footer="0" w:header="0"/>
        </w:sectPr>
      </w:pPr>
    </w:p>
    <w:bookmarkStart w:id="145" w:name="page146"/>
    <w:bookmarkEnd w:id="145"/>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60" w:hanging="459"/>
        <w:spacing w:after="0"/>
        <w:tabs>
          <w:tab w:leader="none" w:pos="4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3" w:right="1440" w:bottom="0" w:gutter="0" w:footer="0" w:header="0"/>
        </w:sectPr>
      </w:pPr>
    </w:p>
    <w:bookmarkStart w:id="146" w:name="page147"/>
    <w:bookmarkEnd w:id="146"/>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ind w:left="280" w:hanging="279"/>
        <w:spacing w:after="0"/>
        <w:tabs>
          <w:tab w:leader="none" w:pos="2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3" w:right="1440" w:bottom="0" w:gutter="0" w:footer="0" w:header="0"/>
        </w:sectPr>
      </w:pPr>
    </w:p>
    <w:bookmarkStart w:id="147" w:name="page148"/>
    <w:bookmarkEnd w:id="147"/>
    <w:p>
      <w:pPr>
        <w:ind w:left="460" w:hanging="459"/>
        <w:spacing w:after="0"/>
        <w:tabs>
          <w:tab w:leader="none" w:pos="46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6"/>
          <w:szCs w:val="16"/>
          <w:color w:val="auto"/>
        </w:rPr>
        <w:t>98</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C</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FORM OF</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COMPETITIVE BID NOTE</w:t>
      </w:r>
    </w:p>
    <w:p>
      <w:pPr>
        <w:spacing w:after="0" w:line="149"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6"/>
          <w:szCs w:val="16"/>
          <w:color w:val="auto"/>
        </w:rPr>
        <w:t>$1,750,000,000</w:t>
      </w:r>
      <w:r>
        <w:rPr>
          <w:sz w:val="20"/>
          <w:szCs w:val="20"/>
          <w:color w:val="auto"/>
        </w:rPr>
        <w:tab/>
      </w:r>
      <w:r>
        <w:rPr>
          <w:rFonts w:ascii="Courier New" w:cs="Courier New" w:eastAsia="Courier New" w:hAnsi="Courier New"/>
          <w:sz w:val="14"/>
          <w:szCs w:val="14"/>
          <w:color w:val="auto"/>
        </w:rPr>
        <w:t>as of June 29, 2001</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FOR VALUE RECEIVED, the undersigned, WASTE MANAGEMENT, INC., a Delaware corporation (the "Borrower"), hereby absolutely and unconditionally promises to pay to the order of [BANK NAME] (the "Bank") at the office of Fleet National Bank, as Administrative Agent for the Banks, at 100 Federal Street, Boston, Massachusetts 02110:</w:t>
      </w:r>
    </w:p>
    <w:p>
      <w:pPr>
        <w:spacing w:after="0" w:line="80" w:lineRule="exact"/>
        <w:rPr>
          <w:sz w:val="20"/>
          <w:szCs w:val="20"/>
          <w:color w:val="auto"/>
        </w:rPr>
      </w:pPr>
    </w:p>
    <w:p>
      <w:pPr>
        <w:ind w:right="2779" w:firstLine="833"/>
        <w:spacing w:after="0" w:line="248" w:lineRule="auto"/>
        <w:tabs>
          <w:tab w:leader="none" w:pos="1209"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last date of the relevant Interest Period(s), and on the Maturity Date, the principal amount of ONE BILLION SEVEN HUNDRED FIFTY MILLION DOLLARS ($1,750,000,000) or, if less, the aggregate unpaid principal amount of Competitive Bid Loans made by the Bank to the Borrower pursuant to the Revolving Credit Agreement, dated as of June 29, 2001 (as amended, modified, supplemented or restated and in effect from time to time, the "Credit Agreement"), by and among the Borrower, the Guarantor, the Bank, the Administrative Agent, and such other banks or financial institutions that are or may become parties to the Credit Agreement from time to time in accordance with the provisions thereof; and</w:t>
      </w:r>
    </w:p>
    <w:p>
      <w:pPr>
        <w:spacing w:after="0" w:line="94" w:lineRule="exact"/>
        <w:rPr>
          <w:rFonts w:ascii="Courier New" w:cs="Courier New" w:eastAsia="Courier New" w:hAnsi="Courier New"/>
          <w:sz w:val="16"/>
          <w:szCs w:val="16"/>
          <w:color w:val="auto"/>
        </w:rPr>
      </w:pPr>
    </w:p>
    <w:p>
      <w:pPr>
        <w:ind w:right="2879" w:firstLine="833"/>
        <w:spacing w:after="0" w:line="263" w:lineRule="auto"/>
        <w:tabs>
          <w:tab w:leader="none" w:pos="1209"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the principal balance hereof from time to time outstanding from the date hereof through and including the date on which such principal amount is paid in full, at the times and at the rates provided in the Credit Agreement, subject however to the provisions of Section 5.10 of the Credit Agreement.</w:t>
      </w:r>
    </w:p>
    <w:p>
      <w:pPr>
        <w:spacing w:after="0" w:line="80"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This Competitive Bid Note evidences borrowings under, is subject to the terms and conditions of, and has been issued by the Borrower in accordance with the terms of the Credit Agreement and is one of the Competitive Bid Notes referred to therein. The Bank and any holder hereof are entitled to the benefits of the Credit Agreement and may enforce the agreements of the Borrower contained therein, and any holder hereof may exercise the respective remedies provided for thereby or otherwise available in respect thereof, all in accordance with the respective terms thereof. All capitalized terms used in this Competitive Bid Note and not otherwise defined herein shall have the same meanings herein as in the Credit Agreement.</w:t>
      </w:r>
    </w:p>
    <w:p>
      <w:pPr>
        <w:spacing w:after="0" w:line="95" w:lineRule="exact"/>
        <w:rPr>
          <w:sz w:val="20"/>
          <w:szCs w:val="20"/>
          <w:color w:val="auto"/>
        </w:rPr>
      </w:pPr>
    </w:p>
    <w:p>
      <w:pPr>
        <w:ind w:right="2879" w:firstLine="837"/>
        <w:spacing w:after="0" w:line="296" w:lineRule="auto"/>
        <w:rPr>
          <w:sz w:val="20"/>
          <w:szCs w:val="20"/>
          <w:color w:val="auto"/>
        </w:rPr>
      </w:pPr>
      <w:r>
        <w:rPr>
          <w:rFonts w:ascii="Courier New" w:cs="Courier New" w:eastAsia="Courier New" w:hAnsi="Courier New"/>
          <w:sz w:val="14"/>
          <w:szCs w:val="14"/>
          <w:color w:val="auto"/>
        </w:rPr>
        <w:t>The Bank shall endorse, and is hereby irrevocably authorized by the Borrower to endorse, on the schedule attached to this Competitive Bid Note or a continuation of such schedule attached hereto and made a part hereof, an appropriate notation evidencing advances and repayments of principal of this Competitive Bid Note, provided that failure by the Bank to make any such notations shall not affect any of the Borrower's obligations or the validity of any repayments made by the Borrower in respect of this Competitive Bid Note.</w:t>
      </w:r>
    </w:p>
    <w:p>
      <w:pPr>
        <w:sectPr>
          <w:pgSz w:w="11900" w:h="16838" w:orient="portrait"/>
          <w:cols w:equalWidth="0" w:num="1">
            <w:col w:w="10219"/>
          </w:cols>
          <w:pgMar w:left="240" w:top="269"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6"/>
          <w:szCs w:val="16"/>
          <w:color w:val="auto"/>
        </w:rPr>
        <w:t>99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The Borrower has the obligation in certain circumstances to prepay the whole or part of the principal of this Competitive Bid Note on the terms and conditions specified in the Credit Agreement.</w:t>
      </w:r>
    </w:p>
    <w:p>
      <w:pPr>
        <w:spacing w:after="0" w:line="61"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If any one or more Events of Default shall occur, the entire unpaid principal amount of this Competitive Bid Note and all of the unpaid interest accrued thereon may become or be declared due and payable in the manner and with the effect provided in the Credit Agreement.</w:t>
      </w:r>
    </w:p>
    <w:p>
      <w:pPr>
        <w:spacing w:after="0" w:line="73"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The Borrower and every endorser of this Competitive Bid Note or the obligation represented hereby waive presentment, demand, notice, protest, notice of intent to accelerate, notice of acceleration and all other demands and notices in connection with the delivery, acceptance, performance, default or enforcement of this Competitive Bid Note, assent to any extension or postponement of the time of payment or any other indulgence, to any substitution, exchange or release of collateral and to the addition or release of any other party or person primarily or secondarily liable.</w:t>
      </w:r>
    </w:p>
    <w:p>
      <w:pPr>
        <w:spacing w:after="0" w:line="94"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This Competitive Bid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73"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IN WITNESS WHEREOF, the Borrower has caused this Competitive Bid Note to be signed on its behalf by its duly authorized officer as of the day and year first above written.</w:t>
      </w:r>
    </w:p>
    <w:p>
      <w:pPr>
        <w:spacing w:after="0" w:line="61"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ind w:left="334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68"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6"/>
          <w:szCs w:val="16"/>
          <w:color w:val="auto"/>
        </w:rPr>
        <w:t>100</w:t>
      </w:r>
    </w:p>
    <w:p>
      <w:pPr>
        <w:spacing w:after="0" w:line="355"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6"/>
          <w:szCs w:val="16"/>
          <w:color w:val="auto"/>
        </w:rPr>
        <w:t>-3-</w:t>
      </w:r>
    </w:p>
    <w:p>
      <w:pPr>
        <w:spacing w:after="0" w:line="35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Amount</w:t>
      </w:r>
    </w:p>
    <w:p>
      <w:pPr>
        <w:spacing w:after="0" w:line="2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of</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Balance</w:t>
      </w:r>
    </w:p>
    <w:p>
      <w:pPr>
        <w:jc w:val="center"/>
        <w:ind w:right="9379"/>
        <w:spacing w:after="0" w:line="236" w:lineRule="auto"/>
        <w:rPr>
          <w:sz w:val="20"/>
          <w:szCs w:val="20"/>
          <w:color w:val="auto"/>
        </w:rPr>
      </w:pPr>
      <w:r>
        <w:rPr>
          <w:rFonts w:ascii="Courier New" w:cs="Courier New" w:eastAsia="Courier New" w:hAnsi="Courier New"/>
          <w:sz w:val="16"/>
          <w:szCs w:val="16"/>
          <w:color w:val="auto"/>
        </w:rPr>
        <w:t>of</w:t>
      </w:r>
    </w:p>
    <w:p>
      <w:pPr>
        <w:jc w:val="center"/>
        <w:ind w:right="9379"/>
        <w:spacing w:after="0" w:line="237" w:lineRule="auto"/>
        <w:rPr>
          <w:sz w:val="20"/>
          <w:szCs w:val="20"/>
          <w:color w:val="auto"/>
        </w:rPr>
      </w:pPr>
      <w:r>
        <w:rPr>
          <w:rFonts w:ascii="Courier New" w:cs="Courier New" w:eastAsia="Courier New" w:hAnsi="Courier New"/>
          <w:sz w:val="16"/>
          <w:szCs w:val="16"/>
          <w:color w:val="auto"/>
        </w:rPr>
        <w:t>Amount</w:t>
      </w:r>
    </w:p>
    <w:p>
      <w:pPr>
        <w:jc w:val="center"/>
        <w:ind w:right="9379"/>
        <w:spacing w:after="0" w:line="237" w:lineRule="auto"/>
        <w:rPr>
          <w:sz w:val="20"/>
          <w:szCs w:val="20"/>
          <w:color w:val="auto"/>
        </w:rPr>
      </w:pPr>
      <w:r>
        <w:rPr>
          <w:rFonts w:ascii="Courier New" w:cs="Courier New" w:eastAsia="Courier New" w:hAnsi="Courier New"/>
          <w:sz w:val="16"/>
          <w:szCs w:val="16"/>
          <w:color w:val="auto"/>
        </w:rPr>
        <w:t>of 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or</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Notation</w:t>
      </w:r>
    </w:p>
    <w:p>
      <w:pPr>
        <w:jc w:val="center"/>
        <w:ind w:right="9399"/>
        <w:spacing w:after="0" w:line="236" w:lineRule="auto"/>
        <w:rPr>
          <w:sz w:val="20"/>
          <w:szCs w:val="20"/>
          <w:color w:val="auto"/>
        </w:rPr>
      </w:pPr>
      <w:r>
        <w:rPr>
          <w:rFonts w:ascii="Courier New" w:cs="Courier New" w:eastAsia="Courier New" w:hAnsi="Courier New"/>
          <w:sz w:val="16"/>
          <w:szCs w:val="16"/>
          <w:color w:val="auto"/>
        </w:rPr>
        <w:t>Date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99"/>
        <w:spacing w:after="0" w:line="237" w:lineRule="auto"/>
        <w:rPr>
          <w:sz w:val="20"/>
          <w:szCs w:val="20"/>
          <w:color w:val="auto"/>
        </w:rPr>
      </w:pPr>
      <w:r>
        <w:rPr>
          <w:rFonts w:ascii="Courier New" w:cs="Courier New" w:eastAsia="Courier New" w:hAnsi="Courier New"/>
          <w:sz w:val="16"/>
          <w:szCs w:val="16"/>
          <w:color w:val="auto"/>
        </w:rPr>
        <w:t>Type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79"/>
        <w:spacing w:after="0" w:line="237" w:lineRule="auto"/>
        <w:rPr>
          <w:sz w:val="20"/>
          <w:szCs w:val="20"/>
          <w:color w:val="auto"/>
        </w:rPr>
      </w:pPr>
      <w:r>
        <w:rPr>
          <w:rFonts w:ascii="Courier New" w:cs="Courier New" w:eastAsia="Courier New" w:hAnsi="Courier New"/>
          <w:sz w:val="16"/>
          <w:szCs w:val="16"/>
          <w:color w:val="auto"/>
        </w:rPr>
        <w:t>Prepaid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Unpaid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Made By</w:t>
      </w:r>
    </w:p>
    <w:p>
      <w:pPr>
        <w:ind w:left="220" w:hanging="179"/>
        <w:spacing w:after="0" w:line="237" w:lineRule="auto"/>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0" w:hanging="553"/>
        <w:spacing w:after="0" w:line="236" w:lineRule="auto"/>
        <w:tabs>
          <w:tab w:leader="none" w:pos="64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0" w:hanging="553"/>
        <w:spacing w:after="0" w:line="236" w:lineRule="auto"/>
        <w:tabs>
          <w:tab w:leader="none" w:pos="640"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69" w:right="1440" w:bottom="0" w:gutter="0" w:footer="0" w:header="0"/>
        </w:sectPr>
      </w:pPr>
    </w:p>
    <w:bookmarkStart w:id="151" w:name="page152"/>
    <w:bookmarkEnd w:id="151"/>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152" w:name="page153"/>
    <w:bookmarkEnd w:id="152"/>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153" w:name="page154"/>
    <w:bookmarkEnd w:id="153"/>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ectPr>
          <w:pgSz w:w="11900" w:h="16838" w:orient="portrait"/>
          <w:cols w:equalWidth="0" w:num="1">
            <w:col w:w="10179"/>
          </w:cols>
          <w:pgMar w:left="280" w:top="114"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6"/>
          <w:szCs w:val="16"/>
          <w:color w:val="auto"/>
        </w:rPr>
        <w:t>101</w:t>
      </w:r>
    </w:p>
    <w:p>
      <w:pPr>
        <w:spacing w:after="0" w:line="35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D</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FORM OF SYNDICATED LOAN REQUEST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Revolving Credit Agreement</w:t>
      </w:r>
    </w:p>
    <w:p>
      <w:pPr>
        <w:jc w:val="center"/>
        <w:ind w:right="2779"/>
        <w:spacing w:after="0"/>
        <w:rPr>
          <w:sz w:val="20"/>
          <w:szCs w:val="20"/>
          <w:color w:val="auto"/>
        </w:rPr>
      </w:pPr>
      <w:r>
        <w:rPr>
          <w:rFonts w:ascii="Courier New" w:cs="Courier New" w:eastAsia="Courier New" w:hAnsi="Courier New"/>
          <w:sz w:val="16"/>
          <w:szCs w:val="16"/>
          <w:color w:val="auto"/>
        </w:rPr>
        <w:t>(the "Credit Agreement") dated as of June 29, 2001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Syndicated Loan Request under Section 2.6(a)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Commitment</w:t>
      </w:r>
    </w:p>
    <w:p>
      <w:pPr>
        <w:spacing w:after="0" w:line="26"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 outstanding</w:t>
      </w:r>
    </w:p>
    <w:p>
      <w:pPr>
        <w:spacing w:after="0" w:line="26"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this Request</w:t>
      </w:r>
    </w:p>
    <w:p>
      <w:pPr>
        <w:ind w:left="51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Drawing Amount of</w:t>
      </w:r>
    </w:p>
    <w:p>
      <w:pPr>
        <w:ind w:left="840"/>
        <w:spacing w:after="0" w:line="236" w:lineRule="auto"/>
        <w:rPr>
          <w:sz w:val="20"/>
          <w:szCs w:val="20"/>
          <w:color w:val="auto"/>
        </w:rPr>
      </w:pPr>
      <w:r>
        <w:rPr>
          <w:rFonts w:ascii="Courier New" w:cs="Courier New" w:eastAsia="Courier New" w:hAnsi="Courier New"/>
          <w:sz w:val="16"/>
          <w:szCs w:val="16"/>
          <w:color w:val="auto"/>
        </w:rPr>
        <w:t>outstanding Letters of Credit</w:t>
      </w:r>
    </w:p>
    <w:p>
      <w:pPr>
        <w:spacing w:after="0" w:line="1"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of all outstanding and requested</w:t>
      </w:r>
    </w:p>
    <w:p>
      <w:pPr>
        <w:spacing w:after="0" w:line="26"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Loans plus Maximum Drawing</w:t>
      </w:r>
    </w:p>
    <w:p>
      <w:pPr>
        <w:ind w:left="920"/>
        <w:spacing w:after="0" w:line="236" w:lineRule="auto"/>
        <w:rPr>
          <w:sz w:val="20"/>
          <w:szCs w:val="20"/>
          <w:color w:val="auto"/>
        </w:rPr>
      </w:pPr>
      <w:r>
        <w:rPr>
          <w:rFonts w:ascii="Courier New" w:cs="Courier New" w:eastAsia="Courier New" w:hAnsi="Courier New"/>
          <w:sz w:val="16"/>
          <w:szCs w:val="16"/>
          <w:color w:val="auto"/>
        </w:rPr>
        <w:t>Amount of all outstanding Letters</w:t>
      </w:r>
    </w:p>
    <w:p>
      <w:pPr>
        <w:ind w:left="920"/>
        <w:spacing w:after="0" w:line="237" w:lineRule="auto"/>
        <w:rPr>
          <w:sz w:val="20"/>
          <w:szCs w:val="20"/>
          <w:color w:val="auto"/>
        </w:rPr>
      </w:pPr>
      <w:r>
        <w:rPr>
          <w:rFonts w:ascii="Courier New" w:cs="Courier New" w:eastAsia="Courier New" w:hAnsi="Courier New"/>
          <w:sz w:val="16"/>
          <w:szCs w:val="16"/>
          <w:color w:val="auto"/>
        </w:rPr>
        <w:t>of Credit plus Amount of this Request</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(must not exceed Total Commitment)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Drawdown Date</w:t>
      </w:r>
    </w:p>
    <w:p>
      <w:pPr>
        <w:spacing w:after="0" w:line="26"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Option (Base Rate or Eurodollar)</w:t>
      </w:r>
    </w:p>
    <w:p>
      <w:pPr>
        <w:ind w:left="51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 (if Eurodollar)</w:t>
      </w: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under Section 2.7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to be converted from</w:t>
      </w:r>
    </w:p>
    <w:p>
      <w:pPr>
        <w:spacing w:after="0" w:line="2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Eurodollar to Base Rate:</w:t>
      </w: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to be converted from</w:t>
      </w:r>
    </w:p>
    <w:p>
      <w:pPr>
        <w:spacing w:after="0" w:line="2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Base Rate to Eurodollar:</w:t>
      </w: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to be maintained as</w:t>
      </w:r>
    </w:p>
    <w:p>
      <w:pPr>
        <w:spacing w:after="0" w:line="2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Eurodollar Loan</w:t>
      </w: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Date</w:t>
      </w:r>
    </w:p>
    <w:p>
      <w:pPr>
        <w:spacing w:after="0" w:line="26"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 (if Eurodollar)</w:t>
      </w:r>
    </w:p>
    <w:p>
      <w:pPr>
        <w:spacing w:after="0" w:line="26"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I certify that the above is true and correct, and that all of the conditions set forth in Section 11 of the Credit Agreement have been satisfied as of the date hereof.</w:t>
      </w:r>
    </w:p>
    <w:p>
      <w:pPr>
        <w:spacing w:after="0" w:line="6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ind w:left="326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269"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102</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E</w:t>
      </w:r>
    </w:p>
    <w:p>
      <w:pPr>
        <w:spacing w:after="0" w:line="17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FORM OF LETTER OF CREDIT REQUEST</w:t>
      </w:r>
    </w:p>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Revolving Credit Agreement</w:t>
      </w:r>
    </w:p>
    <w:p>
      <w:pPr>
        <w:jc w:val="center"/>
        <w:ind w:right="2779"/>
        <w:spacing w:after="0"/>
        <w:rPr>
          <w:sz w:val="20"/>
          <w:szCs w:val="20"/>
          <w:color w:val="auto"/>
        </w:rPr>
      </w:pPr>
      <w:r>
        <w:rPr>
          <w:rFonts w:ascii="Courier New" w:cs="Courier New" w:eastAsia="Courier New" w:hAnsi="Courier New"/>
          <w:sz w:val="16"/>
          <w:szCs w:val="16"/>
          <w:color w:val="auto"/>
        </w:rPr>
        <w:t>(the "Credit Agreement") dated as of June 29, 2001</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Letter of Credit Request Under Section 3.1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Commitment</w:t>
      </w:r>
    </w:p>
    <w:p>
      <w:pPr>
        <w:spacing w:after="0" w:line="26"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Drawing Amount of</w:t>
      </w:r>
    </w:p>
    <w:p>
      <w:pPr>
        <w:spacing w:after="0" w:line="23"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Letters of Credit outstanding</w:t>
      </w: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this Request from Letter of Credit</w:t>
      </w:r>
    </w:p>
    <w:p>
      <w:pPr>
        <w:spacing w:after="0" w:line="23"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Application (attached)</w:t>
      </w:r>
    </w:p>
    <w:p>
      <w:pPr>
        <w:ind w:left="51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 outstanding</w:t>
      </w:r>
    </w:p>
    <w:p>
      <w:pPr>
        <w:ind w:left="51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Drawing Amount of all outstanding</w:t>
      </w:r>
    </w:p>
    <w:p>
      <w:pPr>
        <w:spacing w:after="0" w:line="23" w:lineRule="exact"/>
        <w:rPr>
          <w:sz w:val="20"/>
          <w:szCs w:val="20"/>
          <w:color w:val="auto"/>
        </w:rPr>
      </w:pPr>
    </w:p>
    <w:p>
      <w:pPr>
        <w:ind w:left="920"/>
        <w:spacing w:after="0"/>
        <w:tabs>
          <w:tab w:leader="none" w:pos="5100" w:val="left"/>
        </w:tabs>
        <w:rPr>
          <w:sz w:val="20"/>
          <w:szCs w:val="20"/>
          <w:color w:val="auto"/>
        </w:rPr>
      </w:pPr>
      <w:r>
        <w:rPr>
          <w:rFonts w:ascii="Courier New" w:cs="Courier New" w:eastAsia="Courier New" w:hAnsi="Courier New"/>
          <w:sz w:val="16"/>
          <w:szCs w:val="16"/>
          <w:color w:val="auto"/>
        </w:rPr>
        <w:t>and Requested Letters of Credit</w:t>
      </w:r>
      <w:r>
        <w:rPr>
          <w:sz w:val="20"/>
          <w:szCs w:val="20"/>
          <w:color w:val="auto"/>
        </w:rPr>
        <w:tab/>
      </w:r>
      <w:r>
        <w:rPr>
          <w:rFonts w:ascii="Courier New" w:cs="Courier New" w:eastAsia="Courier New" w:hAnsi="Courier New"/>
          <w:sz w:val="14"/>
          <w:szCs w:val="14"/>
          <w:color w:val="auto"/>
        </w:rPr>
        <w:t>-------------------------</w:t>
      </w:r>
    </w:p>
    <w:p>
      <w:pPr>
        <w:ind w:left="920"/>
        <w:spacing w:after="0" w:line="236" w:lineRule="auto"/>
        <w:rPr>
          <w:sz w:val="20"/>
          <w:szCs w:val="20"/>
          <w:color w:val="auto"/>
        </w:rPr>
      </w:pPr>
      <w:r>
        <w:rPr>
          <w:rFonts w:ascii="Courier New" w:cs="Courier New" w:eastAsia="Courier New" w:hAnsi="Courier New"/>
          <w:sz w:val="16"/>
          <w:szCs w:val="16"/>
          <w:color w:val="auto"/>
        </w:rPr>
        <w:t>(must not exceed the Total Commitment</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minus Total of all Loans outstanding)</w:t>
      </w:r>
    </w:p>
    <w:p>
      <w:pPr>
        <w:spacing w:after="0" w:line="149"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I certify that the above is true and correct, and that all of the conditions set forth in Section 11 of the Credit Agreement have been satisfied as of the date hereof.</w:t>
      </w:r>
    </w:p>
    <w:p>
      <w:pPr>
        <w:spacing w:after="0" w:line="6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ind w:left="326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Date</w:t>
      </w:r>
    </w:p>
    <w:p>
      <w:pPr>
        <w:spacing w:after="0" w:line="149" w:lineRule="exact"/>
        <w:rPr>
          <w:sz w:val="20"/>
          <w:szCs w:val="20"/>
          <w:color w:val="auto"/>
        </w:rPr>
      </w:pPr>
    </w:p>
    <w:p>
      <w:pPr>
        <w:spacing w:after="0"/>
        <w:tabs>
          <w:tab w:leader="none" w:pos="820" w:val="left"/>
          <w:tab w:leader="none" w:pos="2400" w:val="left"/>
        </w:tabs>
        <w:rPr>
          <w:sz w:val="20"/>
          <w:szCs w:val="20"/>
          <w:color w:val="auto"/>
        </w:rPr>
      </w:pPr>
      <w:r>
        <w:rPr>
          <w:rFonts w:ascii="Courier New" w:cs="Courier New" w:eastAsia="Courier New" w:hAnsi="Courier New"/>
          <w:sz w:val="16"/>
          <w:szCs w:val="16"/>
          <w:color w:val="auto"/>
        </w:rPr>
        <w:t>cc:</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19"/>
          </w:cols>
          <w:pgMar w:left="240" w:top="269"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6"/>
          <w:szCs w:val="16"/>
          <w:color w:val="auto"/>
        </w:rPr>
        <w:t>103</w:t>
      </w:r>
    </w:p>
    <w:p>
      <w:pPr>
        <w:spacing w:after="0" w:line="35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F</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OF COMPLIANCE CERTIFICATE</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6"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Compliance Certificate dated ______________________</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____________________________, [Chief Financial Officer][Chief Accounting</w:t>
      </w:r>
    </w:p>
    <w:p>
      <w:pPr>
        <w:spacing w:after="0" w:line="26" w:lineRule="exact"/>
        <w:rPr>
          <w:sz w:val="20"/>
          <w:szCs w:val="20"/>
          <w:color w:val="auto"/>
        </w:rPr>
      </w:pPr>
    </w:p>
    <w:p>
      <w:pPr>
        <w:ind w:right="2779"/>
        <w:spacing w:after="0" w:line="270" w:lineRule="auto"/>
        <w:rPr>
          <w:sz w:val="20"/>
          <w:szCs w:val="20"/>
          <w:color w:val="auto"/>
        </w:rPr>
      </w:pPr>
      <w:r>
        <w:rPr>
          <w:rFonts w:ascii="Courier New" w:cs="Courier New" w:eastAsia="Courier New" w:hAnsi="Courier New"/>
          <w:sz w:val="14"/>
          <w:szCs w:val="14"/>
          <w:color w:val="auto"/>
        </w:rPr>
        <w:t>Officer][Corporate Treasurer] of WASTE MANAGEMENT, INC. (the "Borrower") certify that no Default or Event of Default exists and that the Borrower is in compliance with Sections 7, 8 &amp; 9 of the Revolving Credit Agreement dated as of June 29, 2001 (as amended, modified, supplemented, restated and in effect from time to time, the "Credit Agreement"), [as of the end of the quarter ended</w:t>
      </w:r>
    </w:p>
    <w:p>
      <w:pPr>
        <w:spacing w:after="0"/>
        <w:rPr>
          <w:sz w:val="20"/>
          <w:szCs w:val="20"/>
          <w:color w:val="auto"/>
        </w:rPr>
      </w:pPr>
      <w:r>
        <w:rPr>
          <w:rFonts w:ascii="Courier New" w:cs="Courier New" w:eastAsia="Courier New" w:hAnsi="Courier New"/>
          <w:sz w:val="16"/>
          <w:szCs w:val="16"/>
          <w:color w:val="auto"/>
        </w:rPr>
        <w:t>__________]. Computations to evidence compliance with Section 9 of the Credit</w:t>
      </w:r>
    </w:p>
    <w:p>
      <w:pPr>
        <w:ind w:right="2959"/>
        <w:spacing w:after="0" w:line="383" w:lineRule="auto"/>
        <w:rPr>
          <w:sz w:val="20"/>
          <w:szCs w:val="20"/>
          <w:color w:val="auto"/>
        </w:rPr>
      </w:pPr>
      <w:r>
        <w:rPr>
          <w:rFonts w:ascii="Courier New" w:cs="Courier New" w:eastAsia="Courier New" w:hAnsi="Courier New"/>
          <w:sz w:val="14"/>
          <w:szCs w:val="14"/>
          <w:color w:val="auto"/>
        </w:rPr>
        <w:t>Agreement are detailed below. Capitalized terms used herein without definition shall have the meanings assigned to such terms in the Credit Agreement.</w:t>
      </w:r>
    </w:p>
    <w:p>
      <w:pPr>
        <w:spacing w:after="0" w:line="2"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w:t>
      </w:r>
    </w:p>
    <w:p>
      <w:pPr>
        <w:ind w:left="2600"/>
        <w:spacing w:after="0" w:line="236" w:lineRule="auto"/>
        <w:rPr>
          <w:sz w:val="20"/>
          <w:szCs w:val="20"/>
          <w:color w:val="auto"/>
        </w:rPr>
      </w:pPr>
      <w:r>
        <w:rPr>
          <w:rFonts w:ascii="Courier New" w:cs="Courier New" w:eastAsia="Courier New" w:hAnsi="Courier New"/>
          <w:sz w:val="16"/>
          <w:szCs w:val="16"/>
          <w:color w:val="auto"/>
        </w:rPr>
        <w:t>Name:</w:t>
      </w:r>
    </w:p>
    <w:p>
      <w:pPr>
        <w:ind w:left="3160"/>
        <w:spacing w:after="0" w:line="237" w:lineRule="auto"/>
        <w:rPr>
          <w:sz w:val="20"/>
          <w:szCs w:val="20"/>
          <w:color w:val="auto"/>
        </w:rPr>
      </w:pPr>
      <w:r>
        <w:rPr>
          <w:rFonts w:ascii="Courier New" w:cs="Courier New" w:eastAsia="Courier New" w:hAnsi="Courier New"/>
          <w:sz w:val="16"/>
          <w:szCs w:val="16"/>
          <w:color w:val="auto"/>
        </w:rPr>
        <w:t>--------------------------------------</w:t>
      </w:r>
    </w:p>
    <w:p>
      <w:pPr>
        <w:ind w:left="2600"/>
        <w:spacing w:after="0" w:line="237" w:lineRule="auto"/>
        <w:rPr>
          <w:sz w:val="20"/>
          <w:szCs w:val="20"/>
          <w:color w:val="auto"/>
        </w:rPr>
      </w:pPr>
      <w:r>
        <w:rPr>
          <w:rFonts w:ascii="Courier New" w:cs="Courier New" w:eastAsia="Courier New" w:hAnsi="Courier New"/>
          <w:sz w:val="16"/>
          <w:szCs w:val="16"/>
          <w:color w:val="auto"/>
        </w:rPr>
        <w:t>Title:</w:t>
      </w:r>
    </w:p>
    <w:tbl>
      <w:tblPr>
        <w:tblLayout w:type="fixed"/>
        <w:tblInd w:w="0" w:type="dxa"/>
        <w:tblCellMar>
          <w:top w:w="0" w:type="dxa"/>
          <w:left w:w="0" w:type="dxa"/>
          <w:bottom w:w="0" w:type="dxa"/>
          <w:right w:w="0" w:type="dxa"/>
        </w:tblCellMar>
      </w:tblPr>
      <w:tr>
        <w:trPr>
          <w:trHeight w:val="261"/>
        </w:trPr>
        <w:tc>
          <w:tcPr>
            <w:tcW w:w="7440" w:type="dxa"/>
            <w:vAlign w:val="bottom"/>
            <w:gridSpan w:val="2"/>
          </w:tcPr>
          <w:p>
            <w:pPr>
              <w:ind w:left="32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30"/>
        </w:trPr>
        <w:tc>
          <w:tcPr>
            <w:tcW w:w="5540" w:type="dxa"/>
            <w:vAlign w:val="bottom"/>
          </w:tcPr>
          <w:p>
            <w:pPr>
              <w:spacing w:after="0"/>
              <w:rPr>
                <w:sz w:val="20"/>
                <w:szCs w:val="20"/>
                <w:color w:val="auto"/>
              </w:rPr>
            </w:pPr>
            <w:r>
              <w:rPr>
                <w:rFonts w:ascii="Courier New" w:cs="Courier New" w:eastAsia="Courier New" w:hAnsi="Courier New"/>
                <w:sz w:val="16"/>
                <w:szCs w:val="16"/>
                <w:color w:val="auto"/>
              </w:rPr>
              <w:t>SECTION 9.1 INTEREST COVERAGE RATIO</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540" w:type="dxa"/>
            <w:vAlign w:val="bottom"/>
          </w:tcPr>
          <w:p>
            <w:pPr>
              <w:ind w:left="460"/>
              <w:spacing w:after="0"/>
              <w:rPr>
                <w:sz w:val="20"/>
                <w:szCs w:val="20"/>
                <w:color w:val="auto"/>
              </w:rPr>
            </w:pPr>
            <w:r>
              <w:rPr>
                <w:rFonts w:ascii="Courier New" w:cs="Courier New" w:eastAsia="Courier New" w:hAnsi="Courier New"/>
                <w:sz w:val="16"/>
                <w:szCs w:val="16"/>
                <w:color w:val="auto"/>
              </w:rPr>
              <w:t>Consolidated Net Income</w:t>
            </w:r>
          </w:p>
        </w:tc>
        <w:tc>
          <w:tcPr>
            <w:tcW w:w="1900" w:type="dxa"/>
            <w:vAlign w:val="bottom"/>
          </w:tcPr>
          <w:p>
            <w:pPr>
              <w:ind w:left="120"/>
              <w:spacing w:after="0"/>
              <w:rPr>
                <w:sz w:val="20"/>
                <w:szCs w:val="20"/>
                <w:color w:val="auto"/>
              </w:rPr>
            </w:pPr>
            <w:r>
              <w:rPr>
                <w:rFonts w:ascii="Courier New" w:cs="Courier New" w:eastAsia="Courier New" w:hAnsi="Courier New"/>
                <w:sz w:val="16"/>
                <w:szCs w:val="16"/>
                <w:color w:val="auto"/>
              </w:rPr>
              <w:t>$___________ (i)</w:t>
            </w:r>
          </w:p>
        </w:tc>
        <w:tc>
          <w:tcPr>
            <w:tcW w:w="0" w:type="dxa"/>
            <w:vAlign w:val="bottom"/>
          </w:tcPr>
          <w:p>
            <w:pPr>
              <w:spacing w:after="0"/>
              <w:rPr>
                <w:sz w:val="1"/>
                <w:szCs w:val="1"/>
                <w:color w:val="auto"/>
              </w:rPr>
            </w:pPr>
          </w:p>
        </w:tc>
      </w:tr>
      <w:tr>
        <w:trPr>
          <w:trHeight w:val="179"/>
        </w:trPr>
        <w:tc>
          <w:tcPr>
            <w:tcW w:w="554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Plus (without duplication):</w:t>
            </w:r>
          </w:p>
        </w:tc>
        <w:tc>
          <w:tcPr>
            <w:tcW w:w="1900" w:type="dxa"/>
            <w:vAlign w:val="bottom"/>
            <w:vMerge w:val="restart"/>
          </w:tcPr>
          <w:p>
            <w:pPr>
              <w:ind w:left="120"/>
              <w:spacing w:after="0"/>
              <w:rPr>
                <w:sz w:val="20"/>
                <w:szCs w:val="20"/>
                <w:color w:val="auto"/>
              </w:rPr>
            </w:pPr>
            <w:r>
              <w:rPr>
                <w:rFonts w:ascii="Courier New" w:cs="Courier New" w:eastAsia="Courier New" w:hAnsi="Courier New"/>
                <w:sz w:val="16"/>
                <w:szCs w:val="16"/>
                <w:color w:val="auto"/>
              </w:rPr>
              <w:t>$___________ (ii)</w:t>
            </w: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interest expense</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income tax expense</w:t>
            </w:r>
          </w:p>
        </w:tc>
        <w:tc>
          <w:tcPr>
            <w:tcW w:w="1900" w:type="dxa"/>
            <w:vAlign w:val="bottom"/>
          </w:tcPr>
          <w:p>
            <w:pPr>
              <w:ind w:left="120"/>
              <w:spacing w:after="0" w:line="179" w:lineRule="exact"/>
              <w:rPr>
                <w:sz w:val="20"/>
                <w:szCs w:val="20"/>
                <w:color w:val="auto"/>
              </w:rPr>
            </w:pPr>
            <w:r>
              <w:rPr>
                <w:rFonts w:ascii="Courier New" w:cs="Courier New" w:eastAsia="Courier New" w:hAnsi="Courier New"/>
                <w:sz w:val="16"/>
                <w:szCs w:val="16"/>
                <w:color w:val="auto"/>
              </w:rPr>
              <w:t>$___________ (iii)</w:t>
            </w: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one-time charges related to Terminated</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Plans taken in the fiscal quarter ending</w:t>
            </w:r>
          </w:p>
        </w:tc>
        <w:tc>
          <w:tcPr>
            <w:tcW w:w="1900" w:type="dxa"/>
            <w:vAlign w:val="bottom"/>
            <w:vMerge w:val="restart"/>
          </w:tcPr>
          <w:p>
            <w:pPr>
              <w:ind w:left="120"/>
              <w:spacing w:after="0"/>
              <w:rPr>
                <w:sz w:val="20"/>
                <w:szCs w:val="20"/>
                <w:color w:val="auto"/>
              </w:rPr>
            </w:pPr>
            <w:r>
              <w:rPr>
                <w:rFonts w:ascii="Courier New" w:cs="Courier New" w:eastAsia="Courier New" w:hAnsi="Courier New"/>
                <w:sz w:val="16"/>
                <w:szCs w:val="16"/>
                <w:color w:val="auto"/>
              </w:rPr>
              <w:t>$___________ (iv)</w:t>
            </w: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September 30, 2000 (maximum $80,231,000)</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one-time charges related to Terminated</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Plans taken in the fiscal quarter ending</w:t>
            </w:r>
          </w:p>
        </w:tc>
        <w:tc>
          <w:tcPr>
            <w:tcW w:w="1900" w:type="dxa"/>
            <w:vAlign w:val="bottom"/>
            <w:vMerge w:val="restart"/>
          </w:tcPr>
          <w:p>
            <w:pPr>
              <w:ind w:left="120"/>
              <w:spacing w:after="0"/>
              <w:rPr>
                <w:sz w:val="20"/>
                <w:szCs w:val="20"/>
                <w:color w:val="auto"/>
              </w:rPr>
            </w:pPr>
            <w:r>
              <w:rPr>
                <w:rFonts w:ascii="Courier New" w:cs="Courier New" w:eastAsia="Courier New" w:hAnsi="Courier New"/>
                <w:sz w:val="16"/>
                <w:szCs w:val="16"/>
                <w:color w:val="auto"/>
              </w:rPr>
              <w:t>$___________ (v)</w:t>
            </w: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December 31, 2000 (maximum $28,102,000)</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non-cash extraordinary non-recurring</w:t>
            </w:r>
          </w:p>
        </w:tc>
        <w:tc>
          <w:tcPr>
            <w:tcW w:w="1900" w:type="dxa"/>
            <w:vAlign w:val="bottom"/>
            <w:vMerge w:val="restart"/>
          </w:tcPr>
          <w:p>
            <w:pPr>
              <w:ind w:left="120"/>
              <w:spacing w:after="0"/>
              <w:rPr>
                <w:sz w:val="20"/>
                <w:szCs w:val="20"/>
                <w:color w:val="auto"/>
              </w:rPr>
            </w:pPr>
            <w:r>
              <w:rPr>
                <w:rFonts w:ascii="Courier New" w:cs="Courier New" w:eastAsia="Courier New" w:hAnsi="Courier New"/>
                <w:sz w:val="16"/>
                <w:szCs w:val="16"/>
                <w:color w:val="auto"/>
              </w:rPr>
              <w:t>$___________ (vi)</w:t>
            </w: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writedowns or writeoffs of assets</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non-recurring extraordinary charges for</w:t>
            </w: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w w:val="99"/>
              </w:rPr>
              <w:t>settlements or judgement costs with respect</w:t>
            </w:r>
          </w:p>
        </w:tc>
        <w:tc>
          <w:tcPr>
            <w:tcW w:w="1900" w:type="dxa"/>
            <w:vAlign w:val="bottom"/>
            <w:vMerge w:val="restart"/>
          </w:tcPr>
          <w:p>
            <w:pPr>
              <w:ind w:left="120"/>
              <w:spacing w:after="0"/>
              <w:rPr>
                <w:sz w:val="20"/>
                <w:szCs w:val="20"/>
                <w:color w:val="auto"/>
              </w:rPr>
            </w:pPr>
            <w:r>
              <w:rPr>
                <w:rFonts w:ascii="Courier New" w:cs="Courier New" w:eastAsia="Courier New" w:hAnsi="Courier New"/>
                <w:sz w:val="16"/>
                <w:szCs w:val="16"/>
                <w:color w:val="auto"/>
              </w:rPr>
              <w:t>$___________ (vii)</w:t>
            </w:r>
          </w:p>
        </w:tc>
        <w:tc>
          <w:tcPr>
            <w:tcW w:w="0" w:type="dxa"/>
            <w:vAlign w:val="bottom"/>
          </w:tcPr>
          <w:p>
            <w:pPr>
              <w:spacing w:after="0"/>
              <w:rPr>
                <w:sz w:val="1"/>
                <w:szCs w:val="1"/>
                <w:color w:val="auto"/>
              </w:rPr>
            </w:pPr>
          </w:p>
        </w:tc>
      </w:tr>
      <w:tr>
        <w:trPr>
          <w:trHeight w:val="179"/>
        </w:trPr>
        <w:tc>
          <w:tcPr>
            <w:tcW w:w="554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to Shareholder Suits</w:t>
            </w: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Minus non-cash extraordinary gains on the</w:t>
            </w:r>
          </w:p>
        </w:tc>
        <w:tc>
          <w:tcPr>
            <w:tcW w:w="1900" w:type="dxa"/>
            <w:vAlign w:val="bottom"/>
            <w:vMerge w:val="restart"/>
          </w:tcPr>
          <w:p>
            <w:pPr>
              <w:ind w:left="120"/>
              <w:spacing w:after="0"/>
              <w:rPr>
                <w:sz w:val="20"/>
                <w:szCs w:val="20"/>
                <w:color w:val="auto"/>
              </w:rPr>
            </w:pPr>
            <w:r>
              <w:rPr>
                <w:rFonts w:ascii="Courier New" w:cs="Courier New" w:eastAsia="Courier New" w:hAnsi="Courier New"/>
                <w:sz w:val="16"/>
                <w:szCs w:val="16"/>
                <w:color w:val="auto"/>
                <w:w w:val="96"/>
              </w:rPr>
              <w:t>$___________ (viii)</w:t>
            </w:r>
          </w:p>
        </w:tc>
        <w:tc>
          <w:tcPr>
            <w:tcW w:w="0" w:type="dxa"/>
            <w:vAlign w:val="bottom"/>
          </w:tcPr>
          <w:p>
            <w:pPr>
              <w:spacing w:after="0"/>
              <w:rPr>
                <w:sz w:val="1"/>
                <w:szCs w:val="1"/>
                <w:color w:val="auto"/>
              </w:rPr>
            </w:pPr>
          </w:p>
        </w:tc>
      </w:tr>
      <w:tr>
        <w:trPr>
          <w:trHeight w:val="261"/>
        </w:trPr>
        <w:tc>
          <w:tcPr>
            <w:tcW w:w="5540" w:type="dxa"/>
            <w:vAlign w:val="bottom"/>
          </w:tcPr>
          <w:p>
            <w:pPr>
              <w:ind w:left="1400"/>
              <w:spacing w:after="0"/>
              <w:rPr>
                <w:sz w:val="20"/>
                <w:szCs w:val="20"/>
                <w:color w:val="auto"/>
              </w:rPr>
            </w:pPr>
            <w:r>
              <w:rPr>
                <w:rFonts w:ascii="Courier New" w:cs="Courier New" w:eastAsia="Courier New" w:hAnsi="Courier New"/>
                <w:sz w:val="16"/>
                <w:szCs w:val="16"/>
                <w:color w:val="auto"/>
              </w:rPr>
              <w:t>sale of assets</w:t>
            </w:r>
          </w:p>
        </w:tc>
        <w:tc>
          <w:tcPr>
            <w:tcW w:w="1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6"/>
          <w:szCs w:val="16"/>
          <w:color w:val="auto"/>
        </w:rPr>
        <w:t>104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EBIT (sum of (i) through (viii))</w:t>
      </w:r>
    </w:p>
    <w:p>
      <w:pPr>
        <w:spacing w:after="0" w:line="26" w:lineRule="exact"/>
        <w:rPr>
          <w:sz w:val="20"/>
          <w:szCs w:val="20"/>
          <w:color w:val="auto"/>
        </w:rPr>
      </w:pPr>
    </w:p>
    <w:p>
      <w:pPr>
        <w:ind w:left="1120" w:right="560" w:hanging="464"/>
        <w:spacing w:after="0" w:line="236" w:lineRule="auto"/>
        <w:rPr>
          <w:sz w:val="20"/>
          <w:szCs w:val="20"/>
          <w:color w:val="auto"/>
        </w:rPr>
      </w:pPr>
      <w:r>
        <w:rPr>
          <w:rFonts w:ascii="Courier New" w:cs="Courier New" w:eastAsia="Courier New" w:hAnsi="Courier New"/>
          <w:sz w:val="16"/>
          <w:szCs w:val="16"/>
          <w:color w:val="auto"/>
        </w:rPr>
        <w:t>Consolidated Net Income of Acquired Businesses Plus (without duplication):</w:t>
      </w:r>
    </w:p>
    <w:p>
      <w:pPr>
        <w:ind w:left="2040"/>
        <w:spacing w:after="0" w:line="238" w:lineRule="auto"/>
        <w:rPr>
          <w:sz w:val="20"/>
          <w:szCs w:val="20"/>
          <w:color w:val="auto"/>
        </w:rPr>
      </w:pPr>
      <w:r>
        <w:rPr>
          <w:rFonts w:ascii="Courier New" w:cs="Courier New" w:eastAsia="Courier New" w:hAnsi="Courier New"/>
          <w:sz w:val="16"/>
          <w:szCs w:val="16"/>
          <w:color w:val="auto"/>
        </w:rPr>
        <w:t>interest expense</w:t>
      </w:r>
    </w:p>
    <w:p>
      <w:pPr>
        <w:ind w:left="2040"/>
        <w:spacing w:after="0" w:line="237" w:lineRule="auto"/>
        <w:rPr>
          <w:sz w:val="20"/>
          <w:szCs w:val="20"/>
          <w:color w:val="auto"/>
        </w:rPr>
      </w:pPr>
      <w:r>
        <w:rPr>
          <w:rFonts w:ascii="Courier New" w:cs="Courier New" w:eastAsia="Courier New" w:hAnsi="Courier New"/>
          <w:sz w:val="16"/>
          <w:szCs w:val="16"/>
          <w:color w:val="auto"/>
        </w:rPr>
        <w:t>income tax expense</w:t>
      </w:r>
    </w:p>
    <w:p>
      <w:pPr>
        <w:ind w:left="460"/>
        <w:spacing w:after="0"/>
        <w:rPr>
          <w:sz w:val="20"/>
          <w:szCs w:val="20"/>
          <w:color w:val="auto"/>
        </w:rPr>
      </w:pPr>
      <w:r>
        <w:rPr>
          <w:rFonts w:ascii="Courier New" w:cs="Courier New" w:eastAsia="Courier New" w:hAnsi="Courier New"/>
          <w:sz w:val="14"/>
          <w:szCs w:val="14"/>
          <w:color w:val="auto"/>
        </w:rPr>
        <w:t>EBIT of Acquired Businesses (sum of (i) through (iii))</w:t>
      </w:r>
    </w:p>
    <w:p>
      <w:pPr>
        <w:spacing w:after="0" w:line="1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Sum of (a) plus (b)</w:t>
      </w:r>
    </w:p>
    <w:p>
      <w:pPr>
        <w:ind w:left="460" w:right="1760"/>
        <w:spacing w:after="0" w:line="305" w:lineRule="auto"/>
        <w:rPr>
          <w:sz w:val="20"/>
          <w:szCs w:val="20"/>
          <w:color w:val="auto"/>
        </w:rPr>
      </w:pPr>
      <w:r>
        <w:rPr>
          <w:rFonts w:ascii="Courier New" w:cs="Courier New" w:eastAsia="Courier New" w:hAnsi="Courier New"/>
          <w:sz w:val="16"/>
          <w:szCs w:val="16"/>
          <w:color w:val="auto"/>
        </w:rPr>
        <w:t>Consolidated Total Interest Expense Ratio of (c) to (d)</w:t>
      </w:r>
    </w:p>
    <w:p>
      <w:pPr>
        <w:spacing w:after="0" w:line="4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Minimum ratio for the fiscal quarters ending:</w:t>
      </w:r>
    </w:p>
    <w:p>
      <w:pPr>
        <w:spacing w:after="0" w:line="23"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6/30/01 - 12/31/01</w:t>
      </w:r>
    </w:p>
    <w:p>
      <w:pPr>
        <w:ind w:left="1120"/>
        <w:spacing w:after="0" w:line="236" w:lineRule="auto"/>
        <w:rPr>
          <w:sz w:val="20"/>
          <w:szCs w:val="20"/>
          <w:color w:val="auto"/>
        </w:rPr>
      </w:pPr>
      <w:r>
        <w:rPr>
          <w:rFonts w:ascii="Courier New" w:cs="Courier New" w:eastAsia="Courier New" w:hAnsi="Courier New"/>
          <w:sz w:val="16"/>
          <w:szCs w:val="16"/>
          <w:color w:val="auto"/>
        </w:rPr>
        <w:t>3/31/02 - 12/31/02</w:t>
      </w:r>
    </w:p>
    <w:p>
      <w:pPr>
        <w:spacing w:after="0" w:line="1"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3/31/03 and thereafter</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9.2 TOTAL DEBT TO EBITDA</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EBIT (from Section 9.1 item (c) above)</w:t>
      </w:r>
    </w:p>
    <w:p>
      <w:pPr>
        <w:spacing w:after="0" w:line="23"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Plus:</w:t>
      </w:r>
    </w:p>
    <w:p>
      <w:pPr>
        <w:ind w:left="1580"/>
        <w:spacing w:after="0" w:line="236" w:lineRule="auto"/>
        <w:rPr>
          <w:sz w:val="20"/>
          <w:szCs w:val="20"/>
          <w:color w:val="auto"/>
        </w:rPr>
      </w:pPr>
      <w:r>
        <w:rPr>
          <w:rFonts w:ascii="Courier New" w:cs="Courier New" w:eastAsia="Courier New" w:hAnsi="Courier New"/>
          <w:sz w:val="16"/>
          <w:szCs w:val="16"/>
          <w:color w:val="auto"/>
        </w:rPr>
        <w:t>Depreciation expense</w:t>
      </w:r>
    </w:p>
    <w:p>
      <w:pPr>
        <w:ind w:left="1580"/>
        <w:spacing w:after="0" w:line="237" w:lineRule="auto"/>
        <w:rPr>
          <w:sz w:val="20"/>
          <w:szCs w:val="20"/>
          <w:color w:val="auto"/>
        </w:rPr>
      </w:pPr>
      <w:r>
        <w:rPr>
          <w:rFonts w:ascii="Courier New" w:cs="Courier New" w:eastAsia="Courier New" w:hAnsi="Courier New"/>
          <w:sz w:val="16"/>
          <w:szCs w:val="16"/>
          <w:color w:val="auto"/>
        </w:rPr>
        <w:t>Amortization expense</w:t>
      </w:r>
    </w:p>
    <w:p>
      <w:pPr>
        <w:ind w:left="1580"/>
        <w:spacing w:after="0" w:line="237" w:lineRule="auto"/>
        <w:rPr>
          <w:sz w:val="20"/>
          <w:szCs w:val="20"/>
          <w:color w:val="auto"/>
        </w:rPr>
      </w:pPr>
      <w:r>
        <w:rPr>
          <w:rFonts w:ascii="Courier New" w:cs="Courier New" w:eastAsia="Courier New" w:hAnsi="Courier New"/>
          <w:sz w:val="16"/>
          <w:szCs w:val="16"/>
          <w:color w:val="auto"/>
        </w:rPr>
        <w:t>EBITDA (sum of (i) through (iii))</w:t>
      </w:r>
    </w:p>
    <w:p>
      <w:pPr>
        <w:ind w:left="180" w:right="1480"/>
        <w:spacing w:after="0" w:line="236" w:lineRule="auto"/>
        <w:rPr>
          <w:sz w:val="20"/>
          <w:szCs w:val="20"/>
          <w:color w:val="auto"/>
        </w:rPr>
      </w:pPr>
      <w:r>
        <w:rPr>
          <w:rFonts w:ascii="Courier New" w:cs="Courier New" w:eastAsia="Courier New" w:hAnsi="Courier New"/>
          <w:sz w:val="16"/>
          <w:szCs w:val="16"/>
          <w:color w:val="auto"/>
        </w:rPr>
        <w:t>The sum of the following (calculated on a consolidated basis for the Borrower and its Subsidiaries):</w:t>
      </w:r>
    </w:p>
    <w:p>
      <w:pPr>
        <w:spacing w:after="0" w:line="2" w:lineRule="exact"/>
        <w:rPr>
          <w:sz w:val="20"/>
          <w:szCs w:val="20"/>
          <w:color w:val="auto"/>
        </w:rPr>
      </w:pPr>
    </w:p>
    <w:p>
      <w:pPr>
        <w:ind w:left="640" w:right="360"/>
        <w:spacing w:after="0" w:line="259" w:lineRule="auto"/>
        <w:rPr>
          <w:sz w:val="20"/>
          <w:szCs w:val="20"/>
          <w:color w:val="auto"/>
        </w:rPr>
      </w:pPr>
      <w:r>
        <w:rPr>
          <w:rFonts w:ascii="Courier New" w:cs="Courier New" w:eastAsia="Courier New" w:hAnsi="Courier New"/>
          <w:sz w:val="16"/>
          <w:szCs w:val="16"/>
          <w:color w:val="auto"/>
        </w:rPr>
        <w:t>Indebtedness for borrowed money Obligations for deferred purchase price of property or services (other than trade payables) Obligations evidenced by debt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(a)</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(i)</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(ii)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(iii)</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(b)</w:t>
      </w:r>
    </w:p>
    <w:p>
      <w:pPr>
        <w:spacing w:after="0" w:line="236" w:lineRule="auto"/>
        <w:rPr>
          <w:sz w:val="20"/>
          <w:szCs w:val="20"/>
          <w:color w:val="auto"/>
        </w:rPr>
      </w:pPr>
      <w:r>
        <w:rPr>
          <w:rFonts w:ascii="Courier New" w:cs="Courier New" w:eastAsia="Courier New" w:hAnsi="Courier New"/>
          <w:sz w:val="16"/>
          <w:szCs w:val="16"/>
          <w:color w:val="auto"/>
        </w:rPr>
        <w:t>$___________ (c)</w:t>
      </w:r>
    </w:p>
    <w:p>
      <w:pPr>
        <w:spacing w:after="0" w:line="237" w:lineRule="auto"/>
        <w:rPr>
          <w:sz w:val="20"/>
          <w:szCs w:val="20"/>
          <w:color w:val="auto"/>
        </w:rPr>
      </w:pPr>
      <w:r>
        <w:rPr>
          <w:rFonts w:ascii="Courier New" w:cs="Courier New" w:eastAsia="Courier New" w:hAnsi="Courier New"/>
          <w:sz w:val="16"/>
          <w:szCs w:val="16"/>
          <w:color w:val="auto"/>
        </w:rPr>
        <w:t>$___________ (d)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2.25:1</w:t>
      </w:r>
    </w:p>
    <w:p>
      <w:pPr>
        <w:spacing w:after="0" w:line="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2.50:1</w:t>
      </w:r>
    </w:p>
    <w:p>
      <w:pPr>
        <w:spacing w:after="0"/>
        <w:rPr>
          <w:sz w:val="20"/>
          <w:szCs w:val="20"/>
          <w:color w:val="auto"/>
        </w:rPr>
      </w:pPr>
      <w:r>
        <w:rPr>
          <w:rFonts w:ascii="Courier New" w:cs="Courier New" w:eastAsia="Courier New" w:hAnsi="Courier New"/>
          <w:sz w:val="16"/>
          <w:szCs w:val="16"/>
          <w:color w:val="auto"/>
        </w:rPr>
        <w:t>3.00:1</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(ii)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(iii)</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(iv)</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(vi)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(vii)</w:t>
      </w:r>
    </w:p>
    <w:p>
      <w:pPr>
        <w:sectPr>
          <w:pgSz w:w="11900" w:h="16838" w:orient="portrait"/>
          <w:cols w:equalWidth="0" w:num="2">
            <w:col w:w="5480" w:space="280"/>
            <w:col w:w="4459"/>
          </w:cols>
          <w:pgMar w:left="240" w:top="269"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6"/>
          <w:szCs w:val="16"/>
          <w:color w:val="auto"/>
        </w:rPr>
        <w:t>105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327" w:lineRule="exact"/>
        <w:rPr>
          <w:sz w:val="20"/>
          <w:szCs w:val="20"/>
          <w:color w:val="auto"/>
        </w:rPr>
      </w:pPr>
    </w:p>
    <w:p>
      <w:pPr>
        <w:ind w:left="840" w:right="760"/>
        <w:spacing w:after="0" w:line="249" w:lineRule="auto"/>
        <w:rPr>
          <w:sz w:val="20"/>
          <w:szCs w:val="20"/>
          <w:color w:val="auto"/>
        </w:rPr>
      </w:pPr>
      <w:r>
        <w:rPr>
          <w:rFonts w:ascii="Courier New" w:cs="Courier New" w:eastAsia="Courier New" w:hAnsi="Courier New"/>
          <w:sz w:val="16"/>
          <w:szCs w:val="16"/>
          <w:color w:val="auto"/>
        </w:rPr>
        <w:t>Obligations under conditional sales Obligations, liabilities and indebtedness under Capitalized Leases</w:t>
      </w:r>
    </w:p>
    <w:p>
      <w:pPr>
        <w:spacing w:after="0" w:line="1" w:lineRule="exact"/>
        <w:rPr>
          <w:sz w:val="20"/>
          <w:szCs w:val="20"/>
          <w:color w:val="auto"/>
        </w:rPr>
      </w:pPr>
    </w:p>
    <w:p>
      <w:pPr>
        <w:ind w:left="840" w:right="760"/>
        <w:spacing w:after="0" w:line="236" w:lineRule="auto"/>
        <w:rPr>
          <w:sz w:val="20"/>
          <w:szCs w:val="20"/>
          <w:color w:val="auto"/>
        </w:rPr>
      </w:pPr>
      <w:r>
        <w:rPr>
          <w:rFonts w:ascii="Courier New" w:cs="Courier New" w:eastAsia="Courier New" w:hAnsi="Courier New"/>
          <w:sz w:val="16"/>
          <w:szCs w:val="16"/>
          <w:color w:val="auto"/>
        </w:rPr>
        <w:t>Obligations, liabilities and indebtedness under bonding arrangements</w:t>
      </w:r>
    </w:p>
    <w:p>
      <w:pPr>
        <w:spacing w:after="0" w:line="1" w:lineRule="exact"/>
        <w:rPr>
          <w:sz w:val="20"/>
          <w:szCs w:val="20"/>
          <w:color w:val="auto"/>
        </w:rPr>
      </w:pPr>
    </w:p>
    <w:p>
      <w:pPr>
        <w:ind w:left="840"/>
        <w:spacing w:after="0" w:line="236" w:lineRule="auto"/>
        <w:rPr>
          <w:sz w:val="20"/>
          <w:szCs w:val="20"/>
          <w:color w:val="auto"/>
        </w:rPr>
      </w:pPr>
      <w:r>
        <w:rPr>
          <w:rFonts w:ascii="Courier New" w:cs="Courier New" w:eastAsia="Courier New" w:hAnsi="Courier New"/>
          <w:sz w:val="16"/>
          <w:szCs w:val="16"/>
          <w:color w:val="auto"/>
        </w:rPr>
        <w:t>(to the extent that a surety has been called upon to make payment on a bond)</w:t>
      </w:r>
    </w:p>
    <w:p>
      <w:pPr>
        <w:spacing w:after="0" w:line="1" w:lineRule="exact"/>
        <w:rPr>
          <w:sz w:val="20"/>
          <w:szCs w:val="20"/>
          <w:color w:val="auto"/>
        </w:rPr>
      </w:pPr>
    </w:p>
    <w:p>
      <w:pPr>
        <w:ind w:left="840" w:right="840"/>
        <w:spacing w:after="0" w:line="236" w:lineRule="auto"/>
        <w:rPr>
          <w:sz w:val="20"/>
          <w:szCs w:val="20"/>
          <w:color w:val="auto"/>
        </w:rPr>
      </w:pPr>
      <w:r>
        <w:rPr>
          <w:rFonts w:ascii="Courier New" w:cs="Courier New" w:eastAsia="Courier New" w:hAnsi="Courier New"/>
          <w:sz w:val="16"/>
          <w:szCs w:val="16"/>
          <w:color w:val="auto"/>
        </w:rPr>
        <w:t>Guaranties of the Indebtedness of others Indebtedness secured by liens or encumbrances on property Swap Obligations</w:t>
      </w:r>
    </w:p>
    <w:p>
      <w:pPr>
        <w:ind w:left="840"/>
        <w:spacing w:after="0"/>
        <w:rPr>
          <w:sz w:val="20"/>
          <w:szCs w:val="20"/>
          <w:color w:val="auto"/>
        </w:rPr>
      </w:pPr>
      <w:r>
        <w:rPr>
          <w:rFonts w:ascii="Courier New" w:cs="Courier New" w:eastAsia="Courier New" w:hAnsi="Courier New"/>
          <w:sz w:val="16"/>
          <w:szCs w:val="16"/>
          <w:color w:val="auto"/>
        </w:rPr>
        <w:t>Reimbursement obligations</w:t>
      </w:r>
    </w:p>
    <w:p>
      <w:pPr>
        <w:ind w:left="840"/>
        <w:spacing w:after="0"/>
        <w:rPr>
          <w:sz w:val="20"/>
          <w:szCs w:val="20"/>
          <w:color w:val="auto"/>
        </w:rPr>
      </w:pPr>
      <w:r>
        <w:rPr>
          <w:rFonts w:ascii="Courier New" w:cs="Courier New" w:eastAsia="Courier New" w:hAnsi="Courier New"/>
          <w:sz w:val="16"/>
          <w:szCs w:val="16"/>
          <w:color w:val="auto"/>
        </w:rPr>
        <w:t>with respect to letters of credit</w:t>
      </w:r>
    </w:p>
    <w:p>
      <w:pPr>
        <w:spacing w:after="0" w:line="14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Total Debt (sum of v - xiv)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of (xv) to (iv)</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Maximum ratio:</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 9.3 MINIMUM NET WORTH</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Consolidated Net Worth</w:t>
      </w:r>
    </w:p>
    <w:p>
      <w:pPr>
        <w:spacing w:after="0" w:line="177" w:lineRule="exact"/>
        <w:rPr>
          <w:sz w:val="20"/>
          <w:szCs w:val="20"/>
          <w:color w:val="auto"/>
        </w:rPr>
      </w:pPr>
    </w:p>
    <w:p>
      <w:pPr>
        <w:ind w:left="840"/>
        <w:spacing w:after="0" w:line="289" w:lineRule="auto"/>
        <w:rPr>
          <w:sz w:val="20"/>
          <w:szCs w:val="20"/>
          <w:color w:val="auto"/>
        </w:rPr>
      </w:pPr>
      <w:r>
        <w:rPr>
          <w:rFonts w:ascii="Courier New" w:cs="Courier New" w:eastAsia="Courier New" w:hAnsi="Courier New"/>
          <w:sz w:val="16"/>
          <w:szCs w:val="16"/>
          <w:color w:val="auto"/>
        </w:rPr>
        <w:t>Cumulative positive quarterly Consolidated Net Income (commencing with the fiscal quarter ending March 31, 2001)</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Item (b) multiplied by 0.75</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Sum of $3,500,000,000 plus item (c)</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Difference of (d) minus (a)</w:t>
      </w:r>
    </w:p>
    <w:p>
      <w:pPr>
        <w:spacing w:after="0" w:line="26"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(not to exceed zero at any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(viii)</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(ix)</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(x)</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(xi)</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(xii)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 (xiii)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(xiv)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(xv)</w:t>
      </w:r>
    </w:p>
    <w:p>
      <w:pPr>
        <w:spacing w:after="0" w:line="17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____:____</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3.00:1.00</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(b)</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(c)</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 (d)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ectPr>
          <w:pgSz w:w="11900" w:h="16838" w:orient="portrait"/>
          <w:cols w:equalWidth="0" w:num="2">
            <w:col w:w="5400" w:space="260"/>
            <w:col w:w="4559"/>
          </w:cols>
          <w:pgMar w:left="240" w:top="269"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6"/>
          <w:szCs w:val="16"/>
          <w:color w:val="auto"/>
        </w:rPr>
        <w:t>106</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G</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FORM OF ASSIGNMENT AND ACCEPTANCE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Dated as of _______ ___, ____</w:t>
      </w:r>
    </w:p>
    <w:p>
      <w:pPr>
        <w:spacing w:after="0" w:line="177" w:lineRule="exact"/>
        <w:rPr>
          <w:sz w:val="20"/>
          <w:szCs w:val="20"/>
          <w:color w:val="auto"/>
        </w:rPr>
      </w:pPr>
    </w:p>
    <w:p>
      <w:pPr>
        <w:ind w:right="2779" w:firstLine="837"/>
        <w:spacing w:after="0" w:line="285" w:lineRule="auto"/>
        <w:rPr>
          <w:sz w:val="20"/>
          <w:szCs w:val="20"/>
          <w:color w:val="auto"/>
        </w:rPr>
      </w:pPr>
      <w:r>
        <w:rPr>
          <w:rFonts w:ascii="Courier New" w:cs="Courier New" w:eastAsia="Courier New" w:hAnsi="Courier New"/>
          <w:sz w:val="14"/>
          <w:szCs w:val="14"/>
          <w:color w:val="auto"/>
        </w:rPr>
        <w:t>Reference is made to the REVOLVING CREDIT AGREEMENT dated as of June 29, 2001 (as amended and in effect from time to time, the "Credit Agreement"), by and among WASTE MANAGEMENT, INC., a Delaware corporation (the "Borrower"), WASTE MANAGEMENT HOLDINGS, INC., a wholly-owned Subsidiary of the Borrower (the "Guarantor"), FLEET NATIONAL BANK, a national banking association ("Fleet"), BANK OF AMERICA, N.A., a national banking association, THE CHASE MANHATTAN BANK, a national banking association, DEUTSCHE BANK AG, NEW YORK BRANCH, the duly licensed New York branch of a German corporation, CITIBANK, N.A., a national banking association, and the other financial institutions which become lenders thereunder (collectively, the "Banks"), and Fleet as administrative agent (the "Administrative Agent"). Capitalized terms used herein and not otherwise defined shall have the meanings assigned to such terms in the Credit Agreement.</w:t>
      </w:r>
    </w:p>
    <w:p>
      <w:pPr>
        <w:spacing w:after="0" w:line="254"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[___________________] (the "Assignor") and [_____________________] (the</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 hereby agree as follows:</w:t>
      </w:r>
    </w:p>
    <w:p>
      <w:pPr>
        <w:spacing w:after="0" w:line="149" w:lineRule="exact"/>
        <w:rPr>
          <w:sz w:val="20"/>
          <w:szCs w:val="20"/>
          <w:color w:val="auto"/>
        </w:rPr>
      </w:pPr>
    </w:p>
    <w:p>
      <w:pPr>
        <w:ind w:right="2879" w:firstLine="833"/>
        <w:spacing w:after="0" w:line="279" w:lineRule="auto"/>
        <w:tabs>
          <w:tab w:leader="none" w:pos="1209"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Subject to the terms and conditions of this Assignment and Acceptance, the Assignor hereby sells and assigns to the Assignee, and the Assignee hereby purchases and assumes without recourse to the Assignor, the rights, benefits, indemnities and obligations of the Assignor under the Credit Agreement equal to ________________% of its Commitment Percentage and</w:t>
      </w:r>
    </w:p>
    <w:p>
      <w:pPr>
        <w:ind w:right="3159"/>
        <w:spacing w:after="0" w:line="271"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___________% of its interest in and under the Loans and the risk relating to outstanding Letters of Credit, each as in effect immediately prior to the Effective Date (as hereinafter defined).</w:t>
      </w:r>
    </w:p>
    <w:p>
      <w:pPr>
        <w:spacing w:after="0" w:line="73" w:lineRule="exact"/>
        <w:rPr>
          <w:rFonts w:ascii="Courier New" w:cs="Courier New" w:eastAsia="Courier New" w:hAnsi="Courier New"/>
          <w:sz w:val="14"/>
          <w:szCs w:val="14"/>
          <w:color w:val="auto"/>
        </w:rPr>
      </w:pPr>
    </w:p>
    <w:p>
      <w:pPr>
        <w:ind w:right="2879" w:firstLine="833"/>
        <w:spacing w:after="0" w:line="290" w:lineRule="auto"/>
        <w:tabs>
          <w:tab w:leader="none" w:pos="1209"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ASSIGNOR'S REPRESENTATIONS. The Assignor (i) represents and warrants that (A) it is legally authorized to enter into this Assignment and Acceptance, (B) as of the date hereof, its Commitment is $_______________, its Commitment Percentage is ________________%, the aggregate outstanding principal balance of its Loans equals $_______________, and the aggregate outstanding amount of its participations in Letters of Credit equals $_______________ (in each case before giving effect to the assignment contemplated hereby or any contemplated assignments which have not yet become effective), and (C) immediately after giving effect to all assignments which have not yet</w:t>
      </w:r>
    </w:p>
    <w:p>
      <w:pPr>
        <w:sectPr>
          <w:pgSz w:w="11900" w:h="16838" w:orient="portrait"/>
          <w:cols w:equalWidth="0" w:num="1">
            <w:col w:w="10219"/>
          </w:cols>
          <w:pgMar w:left="240" w:top="269" w:right="1440" w:bottom="1440" w:gutter="0" w:footer="0" w:header="0"/>
        </w:sectPr>
      </w:pPr>
    </w:p>
    <w:bookmarkStart w:id="160" w:name="page161"/>
    <w:bookmarkEnd w:id="160"/>
    <w:p>
      <w:pPr>
        <w:ind w:left="285"/>
        <w:spacing w:after="0"/>
        <w:rPr>
          <w:sz w:val="20"/>
          <w:szCs w:val="20"/>
          <w:color w:val="auto"/>
        </w:rPr>
      </w:pPr>
      <w:r>
        <w:rPr>
          <w:rFonts w:ascii="Courier New" w:cs="Courier New" w:eastAsia="Courier New" w:hAnsi="Courier New"/>
          <w:sz w:val="16"/>
          <w:szCs w:val="16"/>
          <w:color w:val="auto"/>
        </w:rPr>
        <w:t>107</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 w:right="2779"/>
        <w:spacing w:after="0" w:line="279" w:lineRule="auto"/>
        <w:rPr>
          <w:sz w:val="20"/>
          <w:szCs w:val="20"/>
          <w:color w:val="auto"/>
        </w:rPr>
      </w:pPr>
      <w:r>
        <w:rPr>
          <w:rFonts w:ascii="Courier New" w:cs="Courier New" w:eastAsia="Courier New" w:hAnsi="Courier New"/>
          <w:sz w:val="14"/>
          <w:szCs w:val="14"/>
          <w:color w:val="auto"/>
        </w:rPr>
        <w:t>become effective, the Assignor's Commitment Percentage will be sufficient to give effect to this Assignment and Acceptance, (ii) makes no representation or warranty, express or implied, and assumes and shall have no responsibility with respect to any statements, warranties or representations made in or in connection with the Credit Agreement or any of the other Loan Documents or the execution, legality, validity, enforceability, genuineness, sufficiency or value of the Credit Agreement, the other Loan Documents or any other instrument or document furnished pursuant thereto or the attachment, perfection or priority of any security interest or mortgage, other than that it is the legal and beneficial owner of the interest being assigned by it hereunder free and clear of any claim or encumbrance; (iii) makes no representation or warranty and assumes and shall have no responsibility with respect to the financial condition of the Borrower or any of its Subsidiaries or any other Person primarily or secondarily liable in respect of any of the Obligations, or the performance or observance by the Borrower or any of its Subsidiaries or any other Person primarily or secondarily liable in respect of any of the Obligations of any of its obligations under the Credit Agreement or any of the other Loan Documents or any other instrument or document delivered or executed pursuant thereto; and (iv) attaches hereto the Notes delivered to it under the Credit Agreement.</w:t>
      </w:r>
    </w:p>
    <w:p>
      <w:pPr>
        <w:spacing w:after="0" w:line="200" w:lineRule="exact"/>
        <w:rPr>
          <w:sz w:val="20"/>
          <w:szCs w:val="20"/>
          <w:color w:val="auto"/>
        </w:rPr>
      </w:pPr>
    </w:p>
    <w:p>
      <w:pPr>
        <w:spacing w:after="0" w:line="244" w:lineRule="exact"/>
        <w:rPr>
          <w:sz w:val="20"/>
          <w:szCs w:val="20"/>
          <w:color w:val="auto"/>
        </w:rPr>
      </w:pPr>
    </w:p>
    <w:p>
      <w:pPr>
        <w:ind w:left="5" w:right="2959" w:firstLine="837"/>
        <w:spacing w:after="0" w:line="342" w:lineRule="auto"/>
        <w:rPr>
          <w:sz w:val="20"/>
          <w:szCs w:val="20"/>
          <w:color w:val="auto"/>
        </w:rPr>
      </w:pPr>
      <w:r>
        <w:rPr>
          <w:rFonts w:ascii="Courier New" w:cs="Courier New" w:eastAsia="Courier New" w:hAnsi="Courier New"/>
          <w:sz w:val="16"/>
          <w:szCs w:val="16"/>
          <w:color w:val="auto"/>
        </w:rPr>
        <w:t>The Assignor requests that the Borrower exchange the Assignor's Notes for new Notes payable to the Assignor and the Assignee as follows:</w:t>
      </w:r>
    </w:p>
    <w:p>
      <w:pPr>
        <w:spacing w:after="0" w:line="199"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6"/>
          <w:szCs w:val="16"/>
          <w:color w:val="auto"/>
        </w:rPr>
        <w:t>Payable to the Order</w:t>
      </w:r>
    </w:p>
    <w:p>
      <w:pPr>
        <w:spacing w:after="0" w:line="23"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6"/>
          <w:szCs w:val="16"/>
          <w:color w:val="auto"/>
        </w:rPr>
        <w:t>of: Type of Note</w:t>
      </w:r>
    </w:p>
    <w:p>
      <w:pPr>
        <w:ind w:left="45"/>
        <w:spacing w:after="0" w:line="236" w:lineRule="auto"/>
        <w:rPr>
          <w:sz w:val="20"/>
          <w:szCs w:val="20"/>
          <w:color w:val="auto"/>
        </w:rPr>
      </w:pPr>
      <w:r>
        <w:rPr>
          <w:rFonts w:ascii="Courier New" w:cs="Courier New" w:eastAsia="Courier New" w:hAnsi="Courier New"/>
          <w:sz w:val="16"/>
          <w:szCs w:val="16"/>
          <w:color w:val="auto"/>
        </w:rPr>
        <w:t>Amount of Note: -----</w:t>
      </w:r>
    </w:p>
    <w:p>
      <w:pPr>
        <w:ind w:left="45"/>
        <w:spacing w:after="0" w:line="237" w:lineRule="auto"/>
        <w:rPr>
          <w:sz w:val="20"/>
          <w:szCs w:val="20"/>
          <w:color w:val="auto"/>
        </w:rPr>
      </w:pPr>
      <w:r>
        <w:rPr>
          <w:rFonts w:ascii="Courier New" w:cs="Courier New" w:eastAsia="Courier New" w:hAnsi="Courier New"/>
          <w:sz w:val="16"/>
          <w:szCs w:val="16"/>
          <w:color w:val="auto"/>
        </w:rPr>
        <w:t>------------------- -</w:t>
      </w:r>
    </w:p>
    <w:p>
      <w:pPr>
        <w:ind w:left="45"/>
        <w:spacing w:after="0" w:line="237" w:lineRule="auto"/>
        <w:rPr>
          <w:sz w:val="20"/>
          <w:szCs w:val="20"/>
          <w:color w:val="auto"/>
        </w:rPr>
      </w:pPr>
      <w:r>
        <w:rPr>
          <w:rFonts w:ascii="Courier New" w:cs="Courier New" w:eastAsia="Courier New" w:hAnsi="Courier New"/>
          <w:sz w:val="16"/>
          <w:szCs w:val="16"/>
          <w:color w:val="auto"/>
        </w:rPr>
        <w:t>----------- ---------</w:t>
      </w:r>
    </w:p>
    <w:p>
      <w:pPr>
        <w:ind w:left="285"/>
        <w:spacing w:after="0" w:line="237" w:lineRule="auto"/>
        <w:rPr>
          <w:sz w:val="20"/>
          <w:szCs w:val="20"/>
          <w:color w:val="auto"/>
        </w:rPr>
      </w:pPr>
      <w:r>
        <w:rPr>
          <w:rFonts w:ascii="Courier New" w:cs="Courier New" w:eastAsia="Courier New" w:hAnsi="Courier New"/>
          <w:sz w:val="16"/>
          <w:szCs w:val="16"/>
          <w:color w:val="auto"/>
        </w:rPr>
        <w:t>------ [Assignor</w:t>
      </w:r>
    </w:p>
    <w:p>
      <w:pPr>
        <w:jc w:val="center"/>
        <w:ind w:right="8175"/>
        <w:spacing w:after="0" w:line="237" w:lineRule="auto"/>
        <w:rPr>
          <w:sz w:val="20"/>
          <w:szCs w:val="20"/>
          <w:color w:val="auto"/>
        </w:rPr>
      </w:pPr>
      <w:r>
        <w:rPr>
          <w:rFonts w:ascii="Courier New" w:cs="Courier New" w:eastAsia="Courier New" w:hAnsi="Courier New"/>
          <w:sz w:val="16"/>
          <w:szCs w:val="16"/>
          <w:color w:val="auto"/>
        </w:rPr>
        <w:t>Syndicated</w:t>
      </w:r>
    </w:p>
    <w:p>
      <w:pPr>
        <w:ind w:left="5"/>
        <w:spacing w:after="0" w:line="237" w:lineRule="auto"/>
        <w:rPr>
          <w:sz w:val="20"/>
          <w:szCs w:val="20"/>
          <w:color w:val="auto"/>
        </w:rPr>
      </w:pPr>
      <w:r>
        <w:rPr>
          <w:rFonts w:ascii="Courier New" w:cs="Courier New" w:eastAsia="Courier New" w:hAnsi="Courier New"/>
          <w:sz w:val="16"/>
          <w:szCs w:val="16"/>
          <w:color w:val="auto"/>
        </w:rPr>
        <w:t>$____________________]</w:t>
      </w:r>
    </w:p>
    <w:p>
      <w:pPr>
        <w:jc w:val="center"/>
        <w:ind w:right="8175"/>
        <w:spacing w:after="0" w:line="237" w:lineRule="auto"/>
        <w:rPr>
          <w:sz w:val="20"/>
          <w:szCs w:val="20"/>
          <w:color w:val="auto"/>
        </w:rPr>
      </w:pPr>
      <w:r>
        <w:rPr>
          <w:rFonts w:ascii="Courier New" w:cs="Courier New" w:eastAsia="Courier New" w:hAnsi="Courier New"/>
          <w:sz w:val="16"/>
          <w:szCs w:val="16"/>
          <w:color w:val="auto"/>
        </w:rPr>
        <w:t>[Assignee Syndicated</w:t>
      </w:r>
    </w:p>
    <w:p>
      <w:pPr>
        <w:jc w:val="center"/>
        <w:ind w:right="8175"/>
        <w:spacing w:after="0"/>
        <w:rPr>
          <w:sz w:val="20"/>
          <w:szCs w:val="20"/>
          <w:color w:val="auto"/>
        </w:rPr>
      </w:pPr>
      <w:r>
        <w:rPr>
          <w:rFonts w:ascii="Courier New" w:cs="Courier New" w:eastAsia="Courier New" w:hAnsi="Courier New"/>
          <w:sz w:val="14"/>
          <w:szCs w:val="14"/>
          <w:color w:val="auto"/>
        </w:rPr>
        <w:t>$____________________]</w:t>
      </w:r>
    </w:p>
    <w:p>
      <w:pPr>
        <w:spacing w:after="0" w:line="18"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6"/>
          <w:szCs w:val="16"/>
          <w:color w:val="auto"/>
        </w:rPr>
        <w:t>[Assignor Swing Line</w:t>
      </w:r>
    </w:p>
    <w:p>
      <w:pPr>
        <w:jc w:val="center"/>
        <w:ind w:right="8175"/>
        <w:spacing w:after="0"/>
        <w:rPr>
          <w:sz w:val="20"/>
          <w:szCs w:val="20"/>
          <w:color w:val="auto"/>
        </w:rPr>
      </w:pPr>
      <w:r>
        <w:rPr>
          <w:rFonts w:ascii="Courier New" w:cs="Courier New" w:eastAsia="Courier New" w:hAnsi="Courier New"/>
          <w:sz w:val="14"/>
          <w:szCs w:val="14"/>
          <w:color w:val="auto"/>
        </w:rPr>
        <w:t>$____________________]</w:t>
      </w:r>
    </w:p>
    <w:p>
      <w:pPr>
        <w:spacing w:after="0" w:line="18" w:lineRule="exact"/>
        <w:rPr>
          <w:sz w:val="20"/>
          <w:szCs w:val="20"/>
          <w:color w:val="auto"/>
        </w:rPr>
      </w:pPr>
    </w:p>
    <w:p>
      <w:pPr>
        <w:jc w:val="center"/>
        <w:ind w:right="8175"/>
        <w:spacing w:after="0"/>
        <w:rPr>
          <w:sz w:val="20"/>
          <w:szCs w:val="20"/>
          <w:color w:val="auto"/>
        </w:rPr>
      </w:pPr>
      <w:r>
        <w:rPr>
          <w:rFonts w:ascii="Courier New" w:cs="Courier New" w:eastAsia="Courier New" w:hAnsi="Courier New"/>
          <w:sz w:val="16"/>
          <w:szCs w:val="16"/>
          <w:color w:val="auto"/>
        </w:rPr>
        <w:t>[Assignee Swing Line</w:t>
      </w:r>
    </w:p>
    <w:p>
      <w:pPr>
        <w:jc w:val="center"/>
        <w:ind w:right="8175"/>
        <w:spacing w:after="0"/>
        <w:rPr>
          <w:sz w:val="20"/>
          <w:szCs w:val="20"/>
          <w:color w:val="auto"/>
        </w:rPr>
      </w:pPr>
      <w:r>
        <w:rPr>
          <w:rFonts w:ascii="Courier New" w:cs="Courier New" w:eastAsia="Courier New" w:hAnsi="Courier New"/>
          <w:sz w:val="14"/>
          <w:szCs w:val="14"/>
          <w:color w:val="auto"/>
        </w:rPr>
        <w:t>$____________________]</w:t>
      </w:r>
    </w:p>
    <w:p>
      <w:pPr>
        <w:spacing w:after="0" w:line="350" w:lineRule="exact"/>
        <w:rPr>
          <w:sz w:val="20"/>
          <w:szCs w:val="20"/>
          <w:color w:val="auto"/>
        </w:rPr>
      </w:pPr>
    </w:p>
    <w:p>
      <w:pPr>
        <w:ind w:left="5" w:right="2879" w:firstLine="837"/>
        <w:spacing w:after="0" w:line="272" w:lineRule="auto"/>
        <w:rPr>
          <w:sz w:val="20"/>
          <w:szCs w:val="20"/>
          <w:color w:val="auto"/>
        </w:rPr>
      </w:pPr>
      <w:r>
        <w:rPr>
          <w:rFonts w:ascii="Courier New" w:cs="Courier New" w:eastAsia="Courier New" w:hAnsi="Courier New"/>
          <w:sz w:val="16"/>
          <w:szCs w:val="16"/>
          <w:color w:val="auto"/>
        </w:rPr>
        <w:t>The Assignor requests that [the Borrower issue [a] new Competitive Bid Note[s] payable to the Assignee and/or Assignor] or [the Administrative Agent make the appropriate entries on the Competitive Bid Loan Accounts] to reflect the assignment of Competitive Bid Loans.(1)</w:t>
      </w:r>
    </w:p>
    <w:p>
      <w:pPr>
        <w:spacing w:after="0" w:line="73" w:lineRule="exact"/>
        <w:rPr>
          <w:sz w:val="20"/>
          <w:szCs w:val="20"/>
          <w:color w:val="auto"/>
        </w:rPr>
      </w:pPr>
    </w:p>
    <w:p>
      <w:pPr>
        <w:ind w:left="5" w:right="2959" w:firstLine="833"/>
        <w:spacing w:after="0" w:line="263" w:lineRule="auto"/>
        <w:tabs>
          <w:tab w:leader="none" w:pos="1214"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ASSIGNEE'S REPRESENTATIONS. The Assignee (i) represents and warrants that (A) it is duly and legally authorized to enter into this Assignment and Acceptance, (B) the execution, delivery and performance of this Assignment and Acceptance do not conflict with any provision of law or of the charter or by-laws of the Assignee, or of any</w:t>
      </w:r>
    </w:p>
    <w:p>
      <w:pPr>
        <w:spacing w:after="0" w:line="200" w:lineRule="exact"/>
        <w:rPr>
          <w:rFonts w:ascii="Courier New" w:cs="Courier New" w:eastAsia="Courier New" w:hAnsi="Courier New"/>
          <w:sz w:val="16"/>
          <w:szCs w:val="16"/>
          <w:color w:val="auto"/>
        </w:rPr>
      </w:pPr>
    </w:p>
    <w:p>
      <w:pPr>
        <w:spacing w:after="0" w:line="238"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(1) Elect applicable option.</w:t>
      </w:r>
    </w:p>
    <w:p>
      <w:pPr>
        <w:sectPr>
          <w:pgSz w:w="11900" w:h="16838" w:orient="portrait"/>
          <w:cols w:equalWidth="0" w:num="1">
            <w:col w:w="10224"/>
          </w:cols>
          <w:pgMar w:left="235" w:top="269"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6"/>
          <w:szCs w:val="16"/>
          <w:color w:val="auto"/>
        </w:rPr>
        <w:t>108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327" w:lineRule="exact"/>
        <w:rPr>
          <w:sz w:val="20"/>
          <w:szCs w:val="20"/>
          <w:color w:val="auto"/>
        </w:rPr>
      </w:pPr>
    </w:p>
    <w:p>
      <w:pPr>
        <w:ind w:right="2779"/>
        <w:spacing w:after="0" w:line="277" w:lineRule="auto"/>
        <w:rPr>
          <w:sz w:val="20"/>
          <w:szCs w:val="20"/>
          <w:color w:val="auto"/>
        </w:rPr>
      </w:pPr>
      <w:r>
        <w:rPr>
          <w:rFonts w:ascii="Courier New" w:cs="Courier New" w:eastAsia="Courier New" w:hAnsi="Courier New"/>
          <w:sz w:val="14"/>
          <w:szCs w:val="14"/>
          <w:color w:val="auto"/>
        </w:rPr>
        <w:t>agreement binding on the Assignee, (C) all acts, conditions and things required to be done and performed and to have occurred prior to the execution, delivery and performance of this Assignment and Acceptance, and to render the same the legal, valid and binding obligation of the Assignee, enforceable against it in accordance with its terms, have been done and performed and have occurred in due and strict compliance with all applicable laws, (ii) confirms that it has received a copy of the Credit Agreement and each of the other Loan Documents, together with copies of the most recent financial statements delivered pursuant to Sections 6.4 and 7.4 of the Credit Agreement and such other documents and information as it has deemed appropriate to make its own credit analysis and decision to enter into this Assignment and Acceptance; (iii) agrees that it will, independently and without reliance upon the Assignor, the Administrative Agent, or any other Bank and based on such documents and information as it shall deem appropriate at the time, continue to make its own credit decisions in taking or not taking action under the Credit Agreement and the other Loan Documents; (iv) appoints and authorizes the Administrative Agent to take such action as agent on its behalf and to exercise such powers under the Credit Agreement and the other Loan Documents as are delegated to the Administrative Agent by the terms thereof, together with such powers as are reasonably incidental thereto; (v) agrees that it will perform in accordance with their terms all the obligations which by the terms of the Credit Agreement are required to be performed by it as a Bank; and (vi) acknowledges that it has made arrangements with the Assignor satisfactory to the Assignee with respect to its pro rata share of Letter of Credit Fees in respect of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779" w:firstLine="833"/>
        <w:spacing w:after="0" w:line="258" w:lineRule="auto"/>
        <w:tabs>
          <w:tab w:leader="none" w:pos="120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effective date for this Assignment and Acceptance shall be _____________________ (the "Effective Date"). Following the execution of this Assignment and Acceptance, each party hereto shall deliver its duly executed counterpart hereof to the Administrative Agent for acceptance by the Administrative Agent. The Credit Agreement shall thereupon be amended to reflect the status and rights of the Banks thereunder.</w:t>
      </w:r>
    </w:p>
    <w:p>
      <w:pPr>
        <w:spacing w:after="0" w:line="83" w:lineRule="exact"/>
        <w:rPr>
          <w:rFonts w:ascii="Courier New" w:cs="Courier New" w:eastAsia="Courier New" w:hAnsi="Courier New"/>
          <w:sz w:val="16"/>
          <w:szCs w:val="16"/>
          <w:color w:val="auto"/>
        </w:rPr>
      </w:pPr>
    </w:p>
    <w:p>
      <w:pPr>
        <w:ind w:right="2779" w:firstLine="833"/>
        <w:spacing w:after="0" w:line="248" w:lineRule="auto"/>
        <w:tabs>
          <w:tab w:leader="none" w:pos="120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UNDER CREDIT AGREEMENT. Upon such acceptance and amendment, from and after the Effective Date, (i) the Assignee shall be a party to the Credit Agreement and, to the extent provided in this Assignment and Acceptance, have the rights and obligations of a Bank thereunder, and (ii) the Assignor shall, with respect to that portion of its interest under the Credit Agreement assigned hereunder, relinquish its rights and be released from its obligations under the Credit Agreement; provided, however, that the Assignor shall retain its rights to be indemnified pursuant to Section 16 of the Credit Agreement with respect to any claims or actions with reference to matters arising prior to the Effective Date.</w:t>
      </w:r>
    </w:p>
    <w:p>
      <w:pPr>
        <w:spacing w:after="0" w:line="94" w:lineRule="exact"/>
        <w:rPr>
          <w:rFonts w:ascii="Courier New" w:cs="Courier New" w:eastAsia="Courier New" w:hAnsi="Courier New"/>
          <w:sz w:val="16"/>
          <w:szCs w:val="16"/>
          <w:color w:val="auto"/>
        </w:rPr>
      </w:pPr>
    </w:p>
    <w:p>
      <w:pPr>
        <w:ind w:right="2779" w:firstLine="833"/>
        <w:spacing w:after="0" w:line="254" w:lineRule="auto"/>
        <w:tabs>
          <w:tab w:leader="none" w:pos="1209"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Upon such acceptance and amendment, from and after the Effective Date, the Administrative Agent shall make all payments in respect of the rights and interests assigned hereby (including payments of principal, interest, fees and other amounts) to the Assignee. The Assignor and the Assignee shall make any appropriate adjustments in payments for periods prior to the Effective Date by the Administrative Agent or with respect to the making of this assignment directly between themselves.</w:t>
      </w:r>
    </w:p>
    <w:p>
      <w:pPr>
        <w:sectPr>
          <w:pgSz w:w="11900" w:h="16838" w:orient="portrait"/>
          <w:cols w:equalWidth="0" w:num="1">
            <w:col w:w="10219"/>
          </w:cols>
          <w:pgMar w:left="240" w:top="269"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6"/>
          <w:szCs w:val="16"/>
          <w:color w:val="auto"/>
        </w:rPr>
        <w:t>109</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-4-</w:t>
      </w:r>
    </w:p>
    <w:p>
      <w:pPr>
        <w:spacing w:after="0" w:line="327" w:lineRule="exact"/>
        <w:rPr>
          <w:sz w:val="20"/>
          <w:szCs w:val="20"/>
          <w:color w:val="auto"/>
        </w:rPr>
      </w:pPr>
    </w:p>
    <w:p>
      <w:pPr>
        <w:ind w:left="-280" w:right="2879" w:firstLine="833"/>
        <w:spacing w:after="0" w:line="263" w:lineRule="auto"/>
        <w:tabs>
          <w:tab w:leader="none" w:pos="929"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ASSIGNMENT AND ACCEPTANCE IS A CONTRACT UNDER THE LAWS OF THE STATE OF NEW YORK AND SHALL, PURSUANT TO NEW YORK GENERAL OBLIGATIONS LAW SECTION 5-1401, BE CONSTRUED IN ACCORDANCE WITH AND GOVERNED BY THE LAW OF THE STATE OF NEW YORK (WITHOUT REFERENCE TO CONFLICT OF LAWS OR CHOICE OF LAW DOCTRINES).</w:t>
      </w:r>
    </w:p>
    <w:p>
      <w:pPr>
        <w:spacing w:after="0" w:line="80" w:lineRule="exact"/>
        <w:rPr>
          <w:rFonts w:ascii="Courier New" w:cs="Courier New" w:eastAsia="Courier New" w:hAnsi="Courier New"/>
          <w:sz w:val="16"/>
          <w:szCs w:val="16"/>
          <w:color w:val="auto"/>
        </w:rPr>
      </w:pPr>
    </w:p>
    <w:p>
      <w:pPr>
        <w:ind w:left="-280" w:right="2779" w:firstLine="833"/>
        <w:spacing w:after="0" w:line="289" w:lineRule="auto"/>
        <w:tabs>
          <w:tab w:leader="none" w:pos="929"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Assignment and Acceptance may be executed in any number of counterparts which shall together constitute but one and the same agreement.</w:t>
      </w:r>
    </w:p>
    <w:p>
      <w:pPr>
        <w:sectPr>
          <w:pgSz w:w="11900" w:h="16838" w:orient="portrait"/>
          <w:cols w:equalWidth="0" w:num="1">
            <w:col w:w="9939"/>
          </w:cols>
          <w:pgMar w:left="520" w:top="269"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6"/>
          <w:szCs w:val="16"/>
          <w:color w:val="auto"/>
        </w:rPr>
        <w:t>110</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239" w:firstLine="837"/>
        <w:spacing w:after="0" w:line="272" w:lineRule="auto"/>
        <w:rPr>
          <w:sz w:val="20"/>
          <w:szCs w:val="20"/>
          <w:color w:val="auto"/>
        </w:rPr>
      </w:pPr>
      <w:r>
        <w:rPr>
          <w:rFonts w:ascii="Courier New" w:cs="Courier New" w:eastAsia="Courier New" w:hAnsi="Courier New"/>
          <w:sz w:val="16"/>
          <w:szCs w:val="16"/>
          <w:color w:val="auto"/>
        </w:rPr>
        <w:t>IN WITNESS WHEREOF, intending to be legally bound, each of the undersigned has caused this Assignment and Acceptance to be executed on its behalf by its officer thereunto duly authorized, as of the date first above written.</w:t>
      </w:r>
    </w:p>
    <w:p>
      <w:pPr>
        <w:spacing w:after="0" w:line="73"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[ASSIGNOR]</w:t>
      </w:r>
    </w:p>
    <w:p>
      <w:pPr>
        <w:spacing w:after="0" w:line="200" w:lineRule="exact"/>
        <w:rPr>
          <w:sz w:val="20"/>
          <w:szCs w:val="20"/>
          <w:color w:val="auto"/>
        </w:rPr>
      </w:pP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w:t>
      </w:r>
    </w:p>
    <w:p>
      <w:pPr>
        <w:ind w:left="390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[ASSIGNEE]</w:t>
      </w:r>
    </w:p>
    <w:p>
      <w:pPr>
        <w:spacing w:after="0" w:line="200" w:lineRule="exact"/>
        <w:rPr>
          <w:sz w:val="20"/>
          <w:szCs w:val="20"/>
          <w:color w:val="auto"/>
        </w:rPr>
      </w:pPr>
    </w:p>
    <w:p>
      <w:pPr>
        <w:spacing w:after="0" w:line="334"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w:t>
      </w:r>
    </w:p>
    <w:p>
      <w:pPr>
        <w:ind w:left="3900"/>
        <w:spacing w:after="0" w:line="236" w:lineRule="auto"/>
        <w:rPr>
          <w:sz w:val="20"/>
          <w:szCs w:val="20"/>
          <w:color w:val="auto"/>
        </w:rPr>
      </w:pPr>
      <w:r>
        <w:rPr>
          <w:rFonts w:ascii="Courier New" w:cs="Courier New" w:eastAsia="Courier New" w:hAnsi="Courier New"/>
          <w:sz w:val="16"/>
          <w:szCs w:val="16"/>
          <w:color w:val="auto"/>
        </w:rPr>
        <w:t>Name:</w:t>
      </w:r>
    </w:p>
    <w:p>
      <w:pPr>
        <w:ind w:left="3900"/>
        <w:spacing w:after="0" w:line="237" w:lineRule="auto"/>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CONSENTED TO:</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NATIONAL BANK,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Administrative Agent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ind w:left="56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ind w:left="56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Waste Management Holdings, Inc. executes this Assignment and Acceptance solely for purposes of ratifying their guaranty under Section 28 of the Credit Agreement.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HOLDINGS, INC.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ind w:left="560"/>
        <w:spacing w:after="0"/>
        <w:rPr>
          <w:sz w:val="20"/>
          <w:szCs w:val="20"/>
          <w:color w:val="auto"/>
        </w:rPr>
      </w:pPr>
      <w:r>
        <w:rPr>
          <w:rFonts w:ascii="Courier New" w:cs="Courier New" w:eastAsia="Courier New" w:hAnsi="Courier New"/>
          <w:sz w:val="16"/>
          <w:szCs w:val="16"/>
          <w:color w:val="auto"/>
        </w:rPr>
        <w:t>Name:</w:t>
      </w:r>
    </w:p>
    <w:p>
      <w:pPr>
        <w:sectPr>
          <w:pgSz w:w="11900" w:h="16838" w:orient="portrait"/>
          <w:cols w:equalWidth="0" w:num="1">
            <w:col w:w="10219"/>
          </w:cols>
          <w:pgMar w:left="240" w:top="269"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6"/>
          <w:szCs w:val="16"/>
          <w:color w:val="auto"/>
        </w:rPr>
        <w:t>111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pacing w:after="0" w:line="32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H</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FORM OF COMPETITIVE BID QUOTE REQUEST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Revolving Credit Agreement</w:t>
      </w:r>
    </w:p>
    <w:p>
      <w:pPr>
        <w:jc w:val="center"/>
        <w:ind w:right="2779"/>
        <w:spacing w:after="0"/>
        <w:rPr>
          <w:sz w:val="20"/>
          <w:szCs w:val="20"/>
          <w:color w:val="auto"/>
        </w:rPr>
      </w:pPr>
      <w:r>
        <w:rPr>
          <w:rFonts w:ascii="Courier New" w:cs="Courier New" w:eastAsia="Courier New" w:hAnsi="Courier New"/>
          <w:sz w:val="16"/>
          <w:szCs w:val="16"/>
          <w:color w:val="auto"/>
        </w:rPr>
        <w:t>(the "Credit Agreement") dated as of June 29, 2001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Competitive Bid Quote Request under Section 4.3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Commitment</w:t>
      </w:r>
    </w:p>
    <w:p>
      <w:pPr>
        <w:spacing w:after="0" w:line="26"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Competitive Bid Loans outstanding</w:t>
      </w:r>
    </w:p>
    <w:p>
      <w:pPr>
        <w:spacing w:after="0" w:line="23"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Competitive Bid Loans Requested</w:t>
      </w:r>
    </w:p>
    <w:p>
      <w:pPr>
        <w:ind w:left="5660"/>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Maximum Drawing Amount of</w:t>
      </w:r>
    </w:p>
    <w:p>
      <w:pPr>
        <w:ind w:left="840"/>
        <w:spacing w:after="0" w:line="237" w:lineRule="auto"/>
        <w:rPr>
          <w:sz w:val="20"/>
          <w:szCs w:val="20"/>
          <w:color w:val="auto"/>
        </w:rPr>
      </w:pPr>
      <w:r>
        <w:rPr>
          <w:rFonts w:ascii="Courier New" w:cs="Courier New" w:eastAsia="Courier New" w:hAnsi="Courier New"/>
          <w:sz w:val="16"/>
          <w:szCs w:val="16"/>
          <w:color w:val="auto"/>
        </w:rPr>
        <w:t>outstanding Letters of Credit</w:t>
      </w:r>
    </w:p>
    <w:p>
      <w:pPr>
        <w:ind w:left="5660"/>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Syndicated Loans (including Swing Line Loans) outstanding</w:t>
      </w:r>
    </w:p>
    <w:p>
      <w:pPr>
        <w:ind w:left="5660"/>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of all outstanding and Requested</w:t>
      </w:r>
    </w:p>
    <w:p>
      <w:pPr>
        <w:spacing w:after="0" w:line="23" w:lineRule="exact"/>
        <w:rPr>
          <w:sz w:val="20"/>
          <w:szCs w:val="20"/>
          <w:color w:val="auto"/>
        </w:rPr>
      </w:pPr>
    </w:p>
    <w:p>
      <w:pPr>
        <w:ind w:left="5660"/>
        <w:spacing w:after="0"/>
        <w:rPr>
          <w:sz w:val="20"/>
          <w:szCs w:val="20"/>
          <w:color w:val="auto"/>
        </w:rPr>
      </w:pPr>
      <w:r>
        <w:rPr>
          <w:rFonts w:ascii="Courier New" w:cs="Courier New" w:eastAsia="Courier New" w:hAnsi="Courier New"/>
          <w:sz w:val="16"/>
          <w:szCs w:val="16"/>
          <w:color w:val="auto"/>
        </w:rPr>
        <w:t>------------------</w:t>
      </w:r>
    </w:p>
    <w:p>
      <w:pPr>
        <w:ind w:left="840"/>
        <w:spacing w:after="0" w:line="236" w:lineRule="auto"/>
        <w:rPr>
          <w:sz w:val="20"/>
          <w:szCs w:val="20"/>
          <w:color w:val="auto"/>
        </w:rPr>
      </w:pPr>
      <w:r>
        <w:rPr>
          <w:rFonts w:ascii="Courier New" w:cs="Courier New" w:eastAsia="Courier New" w:hAnsi="Courier New"/>
          <w:sz w:val="16"/>
          <w:szCs w:val="16"/>
          <w:color w:val="auto"/>
        </w:rPr>
        <w:t>Competitive Bid Loans</w:t>
      </w:r>
    </w:p>
    <w:p>
      <w:pPr>
        <w:ind w:left="840"/>
        <w:spacing w:after="0" w:line="237" w:lineRule="auto"/>
        <w:rPr>
          <w:sz w:val="20"/>
          <w:szCs w:val="20"/>
          <w:color w:val="auto"/>
        </w:rPr>
      </w:pPr>
      <w:r>
        <w:rPr>
          <w:rFonts w:ascii="Courier New" w:cs="Courier New" w:eastAsia="Courier New" w:hAnsi="Courier New"/>
          <w:sz w:val="16"/>
          <w:szCs w:val="16"/>
          <w:color w:val="auto"/>
        </w:rPr>
        <w:t>(must not exceed the lesser of the Total Commitment</w:t>
      </w:r>
    </w:p>
    <w:p>
      <w:pPr>
        <w:ind w:left="840"/>
        <w:spacing w:after="0" w:line="237" w:lineRule="auto"/>
        <w:rPr>
          <w:sz w:val="20"/>
          <w:szCs w:val="20"/>
          <w:color w:val="auto"/>
        </w:rPr>
      </w:pPr>
      <w:r>
        <w:rPr>
          <w:rFonts w:ascii="Courier New" w:cs="Courier New" w:eastAsia="Courier New" w:hAnsi="Courier New"/>
          <w:sz w:val="16"/>
          <w:szCs w:val="16"/>
          <w:color w:val="auto"/>
        </w:rPr>
        <w:t>minus Total of all Syndicated Loans outstanding</w:t>
      </w:r>
    </w:p>
    <w:p>
      <w:pPr>
        <w:ind w:left="840"/>
        <w:spacing w:after="0" w:line="237" w:lineRule="auto"/>
        <w:rPr>
          <w:sz w:val="20"/>
          <w:szCs w:val="20"/>
          <w:color w:val="auto"/>
        </w:rPr>
      </w:pPr>
      <w:r>
        <w:rPr>
          <w:rFonts w:ascii="Courier New" w:cs="Courier New" w:eastAsia="Courier New" w:hAnsi="Courier New"/>
          <w:sz w:val="16"/>
          <w:szCs w:val="16"/>
          <w:color w:val="auto"/>
        </w:rPr>
        <w:t>(including Swing Line Loans) and Maximum</w:t>
      </w:r>
    </w:p>
    <w:p>
      <w:pPr>
        <w:ind w:left="840"/>
        <w:spacing w:after="0"/>
        <w:rPr>
          <w:sz w:val="20"/>
          <w:szCs w:val="20"/>
          <w:color w:val="auto"/>
        </w:rPr>
      </w:pPr>
      <w:r>
        <w:rPr>
          <w:rFonts w:ascii="Courier New" w:cs="Courier New" w:eastAsia="Courier New" w:hAnsi="Courier New"/>
          <w:sz w:val="16"/>
          <w:szCs w:val="16"/>
          <w:color w:val="auto"/>
        </w:rPr>
        <w:t>Drawing Amount of outstanding Letters of Credit)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500" w:type="dxa"/>
            <w:vAlign w:val="bottom"/>
          </w:tcPr>
          <w:p>
            <w:pPr>
              <w:spacing w:after="0"/>
              <w:rPr>
                <w:sz w:val="20"/>
                <w:szCs w:val="20"/>
                <w:color w:val="auto"/>
              </w:rPr>
            </w:pPr>
            <w:r>
              <w:rPr>
                <w:rFonts w:ascii="Courier New" w:cs="Courier New" w:eastAsia="Courier New" w:hAnsi="Courier New"/>
                <w:sz w:val="16"/>
                <w:szCs w:val="16"/>
                <w:color w:val="auto"/>
              </w:rPr>
              <w:t>Type of Competitive Bid Loans Requested</w:t>
            </w:r>
          </w:p>
        </w:tc>
        <w:tc>
          <w:tcPr>
            <w:tcW w:w="2840" w:type="dxa"/>
            <w:vAlign w:val="bottom"/>
          </w:tcPr>
          <w:p>
            <w:pPr>
              <w:jc w:val="right"/>
              <w:spacing w:after="0"/>
              <w:rPr>
                <w:sz w:val="20"/>
                <w:szCs w:val="20"/>
                <w:color w:val="auto"/>
              </w:rPr>
            </w:pPr>
            <w:r>
              <w:rPr>
                <w:rFonts w:ascii="Courier New" w:cs="Courier New" w:eastAsia="Courier New" w:hAnsi="Courier New"/>
                <w:sz w:val="16"/>
                <w:szCs w:val="16"/>
                <w:color w:val="auto"/>
              </w:rPr>
              <w:t>Eurodollar / Absolute</w:t>
            </w:r>
          </w:p>
        </w:tc>
        <w:tc>
          <w:tcPr>
            <w:tcW w:w="0" w:type="dxa"/>
            <w:vAlign w:val="bottom"/>
          </w:tcPr>
          <w:p>
            <w:pPr>
              <w:spacing w:after="0"/>
              <w:rPr>
                <w:sz w:val="1"/>
                <w:szCs w:val="1"/>
                <w:color w:val="auto"/>
              </w:rPr>
            </w:pPr>
          </w:p>
        </w:tc>
      </w:tr>
      <w:tr>
        <w:trPr>
          <w:trHeight w:val="358"/>
        </w:trPr>
        <w:tc>
          <w:tcPr>
            <w:tcW w:w="4500" w:type="dxa"/>
            <w:vAlign w:val="bottom"/>
          </w:tcPr>
          <w:p>
            <w:pPr>
              <w:spacing w:after="0"/>
              <w:rPr>
                <w:sz w:val="20"/>
                <w:szCs w:val="20"/>
                <w:color w:val="auto"/>
              </w:rPr>
            </w:pPr>
            <w:r>
              <w:rPr>
                <w:rFonts w:ascii="Courier New" w:cs="Courier New" w:eastAsia="Courier New" w:hAnsi="Courier New"/>
                <w:sz w:val="16"/>
                <w:szCs w:val="16"/>
                <w:color w:val="auto"/>
              </w:rPr>
              <w:t>Requested Drawdown Date</w:t>
            </w:r>
          </w:p>
        </w:tc>
        <w:tc>
          <w:tcPr>
            <w:tcW w:w="284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2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4"/>
        </w:trPr>
        <w:tc>
          <w:tcPr>
            <w:tcW w:w="4500" w:type="dxa"/>
            <w:vAlign w:val="bottom"/>
          </w:tcPr>
          <w:p>
            <w:pPr>
              <w:ind w:left="840"/>
              <w:spacing w:after="0"/>
              <w:rPr>
                <w:sz w:val="20"/>
                <w:szCs w:val="20"/>
                <w:color w:val="auto"/>
              </w:rPr>
            </w:pPr>
            <w:r>
              <w:rPr>
                <w:rFonts w:ascii="Courier New" w:cs="Courier New" w:eastAsia="Courier New" w:hAnsi="Courier New"/>
                <w:sz w:val="16"/>
                <w:szCs w:val="16"/>
                <w:color w:val="auto"/>
              </w:rPr>
              <w:t>Principal Amount of</w:t>
            </w:r>
          </w:p>
        </w:tc>
        <w:tc>
          <w:tcPr>
            <w:tcW w:w="28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Requested</w:t>
            </w:r>
          </w:p>
        </w:tc>
        <w:tc>
          <w:tcPr>
            <w:tcW w:w="0" w:type="dxa"/>
            <w:vAlign w:val="bottom"/>
          </w:tcPr>
          <w:p>
            <w:pPr>
              <w:spacing w:after="0"/>
              <w:rPr>
                <w:sz w:val="1"/>
                <w:szCs w:val="1"/>
                <w:color w:val="auto"/>
              </w:rPr>
            </w:pPr>
          </w:p>
        </w:tc>
      </w:tr>
      <w:tr>
        <w:trPr>
          <w:trHeight w:val="179"/>
        </w:trPr>
        <w:tc>
          <w:tcPr>
            <w:tcW w:w="45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Competitive Bid Loan Requested</w:t>
            </w:r>
          </w:p>
        </w:tc>
        <w:tc>
          <w:tcPr>
            <w:tcW w:w="2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Interest Period(s)</w:t>
            </w:r>
          </w:p>
        </w:tc>
        <w:tc>
          <w:tcPr>
            <w:tcW w:w="0" w:type="dxa"/>
            <w:vAlign w:val="bottom"/>
          </w:tcPr>
          <w:p>
            <w:pPr>
              <w:spacing w:after="0"/>
              <w:rPr>
                <w:sz w:val="1"/>
                <w:szCs w:val="1"/>
                <w:color w:val="auto"/>
              </w:rPr>
            </w:pPr>
          </w:p>
        </w:tc>
      </w:tr>
      <w:tr>
        <w:trPr>
          <w:trHeight w:val="261"/>
        </w:trPr>
        <w:tc>
          <w:tcPr>
            <w:tcW w:w="450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2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779"/>
        <w:spacing w:after="0" w:line="289" w:lineRule="auto"/>
        <w:rPr>
          <w:sz w:val="20"/>
          <w:szCs w:val="20"/>
          <w:color w:val="auto"/>
        </w:rPr>
      </w:pPr>
      <w:r>
        <w:rPr>
          <w:rFonts w:ascii="Courier New" w:cs="Courier New" w:eastAsia="Courier New" w:hAnsi="Courier New"/>
          <w:sz w:val="16"/>
          <w:szCs w:val="16"/>
          <w:color w:val="auto"/>
        </w:rPr>
        <w:t>I certify that the above is true and correct, and that all of the conditions set forth in Section 11 of the Credit Agreement have been satisfied as of the date hereof.</w:t>
      </w:r>
    </w:p>
    <w:p>
      <w:pPr>
        <w:spacing w:after="0" w:line="61"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ind w:left="326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269" w:right="1440"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261"/>
        </w:trPr>
        <w:tc>
          <w:tcPr>
            <w:tcW w:w="980" w:type="dxa"/>
            <w:vAlign w:val="bottom"/>
          </w:tcPr>
          <w:p>
            <w:pPr>
              <w:ind w:left="280"/>
              <w:spacing w:after="0"/>
              <w:rPr>
                <w:sz w:val="20"/>
                <w:szCs w:val="20"/>
                <w:color w:val="auto"/>
              </w:rPr>
            </w:pPr>
            <w:r>
              <w:rPr>
                <w:rFonts w:ascii="Courier New" w:cs="Courier New" w:eastAsia="Courier New" w:hAnsi="Courier New"/>
                <w:sz w:val="16"/>
                <w:szCs w:val="16"/>
                <w:color w:val="auto"/>
              </w:rPr>
              <w:t>112</w:t>
            </w:r>
          </w:p>
        </w:tc>
        <w:tc>
          <w:tcPr>
            <w:tcW w:w="3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6"/>
        </w:trPr>
        <w:tc>
          <w:tcPr>
            <w:tcW w:w="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EXHIBIT I</w:t>
            </w:r>
          </w:p>
        </w:tc>
        <w:tc>
          <w:tcPr>
            <w:tcW w:w="0" w:type="dxa"/>
            <w:vAlign w:val="bottom"/>
          </w:tcPr>
          <w:p>
            <w:pPr>
              <w:spacing w:after="0"/>
              <w:rPr>
                <w:sz w:val="1"/>
                <w:szCs w:val="1"/>
                <w:color w:val="auto"/>
              </w:rPr>
            </w:pPr>
          </w:p>
        </w:tc>
      </w:tr>
      <w:tr>
        <w:trPr>
          <w:trHeight w:val="276"/>
        </w:trPr>
        <w:tc>
          <w:tcPr>
            <w:tcW w:w="980" w:type="dxa"/>
            <w:vAlign w:val="bottom"/>
          </w:tcPr>
          <w:p>
            <w:pPr>
              <w:spacing w:after="0"/>
              <w:rPr>
                <w:sz w:val="23"/>
                <w:szCs w:val="23"/>
                <w:color w:val="auto"/>
              </w:rPr>
            </w:pPr>
          </w:p>
        </w:tc>
        <w:tc>
          <w:tcPr>
            <w:tcW w:w="3940" w:type="dxa"/>
            <w:vAlign w:val="bottom"/>
            <w:gridSpan w:val="2"/>
          </w:tcPr>
          <w:p>
            <w:pPr>
              <w:jc w:val="center"/>
              <w:ind w:left="1462"/>
              <w:spacing w:after="0"/>
              <w:rPr>
                <w:sz w:val="20"/>
                <w:szCs w:val="20"/>
                <w:color w:val="auto"/>
              </w:rPr>
            </w:pPr>
            <w:r>
              <w:rPr>
                <w:rFonts w:ascii="Courier New" w:cs="Courier New" w:eastAsia="Courier New" w:hAnsi="Courier New"/>
                <w:sz w:val="16"/>
                <w:szCs w:val="16"/>
                <w:color w:val="auto"/>
                <w:w w:val="96"/>
              </w:rPr>
              <w:t>WASTE MANAGEMENT, INC.</w:t>
            </w:r>
          </w:p>
        </w:tc>
        <w:tc>
          <w:tcPr>
            <w:tcW w:w="15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980" w:type="dxa"/>
            <w:vAlign w:val="bottom"/>
          </w:tcPr>
          <w:p>
            <w:pPr>
              <w:spacing w:after="0"/>
              <w:rPr>
                <w:sz w:val="15"/>
                <w:szCs w:val="15"/>
                <w:color w:val="auto"/>
              </w:rPr>
            </w:pPr>
          </w:p>
        </w:tc>
        <w:tc>
          <w:tcPr>
            <w:tcW w:w="3480" w:type="dxa"/>
            <w:vAlign w:val="bottom"/>
          </w:tcPr>
          <w:p>
            <w:pPr>
              <w:jc w:val="center"/>
              <w:ind w:left="1922"/>
              <w:spacing w:after="0" w:line="179" w:lineRule="exact"/>
              <w:rPr>
                <w:sz w:val="20"/>
                <w:szCs w:val="20"/>
                <w:color w:val="auto"/>
              </w:rPr>
            </w:pPr>
            <w:r>
              <w:rPr>
                <w:rFonts w:ascii="Courier New" w:cs="Courier New" w:eastAsia="Courier New" w:hAnsi="Courier New"/>
                <w:sz w:val="16"/>
                <w:szCs w:val="16"/>
                <w:color w:val="auto"/>
                <w:w w:val="96"/>
              </w:rPr>
              <w:t>(the "Borrower")</w:t>
            </w:r>
          </w:p>
        </w:tc>
        <w:tc>
          <w:tcPr>
            <w:tcW w:w="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80" w:type="dxa"/>
            <w:vAlign w:val="bottom"/>
          </w:tcPr>
          <w:p>
            <w:pPr>
              <w:spacing w:after="0"/>
              <w:rPr>
                <w:sz w:val="15"/>
                <w:szCs w:val="15"/>
                <w:color w:val="auto"/>
              </w:rPr>
            </w:pPr>
          </w:p>
        </w:tc>
        <w:tc>
          <w:tcPr>
            <w:tcW w:w="3940" w:type="dxa"/>
            <w:vAlign w:val="bottom"/>
            <w:gridSpan w:val="2"/>
          </w:tcPr>
          <w:p>
            <w:pPr>
              <w:jc w:val="center"/>
              <w:ind w:left="1442"/>
              <w:spacing w:after="0" w:line="179" w:lineRule="exact"/>
              <w:rPr>
                <w:sz w:val="20"/>
                <w:szCs w:val="20"/>
                <w:color w:val="auto"/>
              </w:rPr>
            </w:pPr>
            <w:r>
              <w:rPr>
                <w:rFonts w:ascii="Courier New" w:cs="Courier New" w:eastAsia="Courier New" w:hAnsi="Courier New"/>
                <w:sz w:val="16"/>
                <w:szCs w:val="16"/>
                <w:color w:val="auto"/>
                <w:w w:val="96"/>
              </w:rPr>
              <w:t>Revolving Credit Agreement</w:t>
            </w:r>
          </w:p>
        </w:tc>
        <w:tc>
          <w:tcPr>
            <w:tcW w:w="15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5520" w:type="dxa"/>
            <w:vAlign w:val="bottom"/>
            <w:gridSpan w:val="3"/>
          </w:tcPr>
          <w:p>
            <w:pPr>
              <w:jc w:val="center"/>
              <w:spacing w:after="0"/>
              <w:rPr>
                <w:sz w:val="20"/>
                <w:szCs w:val="20"/>
                <w:color w:val="auto"/>
              </w:rPr>
            </w:pPr>
            <w:r>
              <w:rPr>
                <w:rFonts w:ascii="Courier New" w:cs="Courier New" w:eastAsia="Courier New" w:hAnsi="Courier New"/>
                <w:sz w:val="16"/>
                <w:szCs w:val="16"/>
                <w:color w:val="auto"/>
                <w:w w:val="96"/>
              </w:rPr>
              <w:t>(the "Credit Agreement") dated as of June 29, 2001</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4"/>
                <w:szCs w:val="24"/>
                <w:color w:val="auto"/>
              </w:rPr>
            </w:pPr>
          </w:p>
        </w:tc>
        <w:tc>
          <w:tcPr>
            <w:tcW w:w="552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FORM OF INVITATION FOR COMPETITIVE BID QUOTES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ATTN:</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REF:</w:t>
            </w:r>
          </w:p>
        </w:tc>
        <w:tc>
          <w:tcPr>
            <w:tcW w:w="3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80" w:type="dxa"/>
            <w:vAlign w:val="bottom"/>
          </w:tcPr>
          <w:p>
            <w:pPr>
              <w:spacing w:after="0"/>
              <w:rPr>
                <w:sz w:val="20"/>
                <w:szCs w:val="20"/>
                <w:color w:val="auto"/>
              </w:rPr>
            </w:pPr>
            <w:r>
              <w:rPr>
                <w:rFonts w:ascii="Courier New" w:cs="Courier New" w:eastAsia="Courier New" w:hAnsi="Courier New"/>
                <w:sz w:val="16"/>
                <w:szCs w:val="16"/>
                <w:color w:val="auto"/>
              </w:rPr>
              <w:t>RE:</w:t>
            </w:r>
          </w:p>
        </w:tc>
        <w:tc>
          <w:tcPr>
            <w:tcW w:w="5520" w:type="dxa"/>
            <w:vAlign w:val="bottom"/>
            <w:gridSpan w:val="3"/>
          </w:tcPr>
          <w:p>
            <w:pPr>
              <w:ind w:left="680"/>
              <w:spacing w:after="0"/>
              <w:rPr>
                <w:sz w:val="20"/>
                <w:szCs w:val="20"/>
                <w:color w:val="auto"/>
              </w:rPr>
            </w:pPr>
            <w:r>
              <w:rPr>
                <w:rFonts w:ascii="Courier New" w:cs="Courier New" w:eastAsia="Courier New" w:hAnsi="Courier New"/>
                <w:sz w:val="16"/>
                <w:szCs w:val="16"/>
                <w:color w:val="auto"/>
              </w:rPr>
              <w:t>INVITATION FOR COMPETITIVE BID QUOTES</w:t>
            </w:r>
          </w:p>
        </w:tc>
        <w:tc>
          <w:tcPr>
            <w:tcW w:w="94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61"/>
        </w:trPr>
        <w:tc>
          <w:tcPr>
            <w:tcW w:w="9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jc w:val="right"/>
              <w:ind w:right="2"/>
              <w:spacing w:after="0"/>
              <w:rPr>
                <w:sz w:val="20"/>
                <w:szCs w:val="20"/>
                <w:color w:val="auto"/>
              </w:rPr>
            </w:pPr>
            <w:r>
              <w:rPr>
                <w:rFonts w:ascii="Courier New" w:cs="Courier New" w:eastAsia="Courier New" w:hAnsi="Courier New"/>
                <w:sz w:val="16"/>
                <w:szCs w:val="16"/>
                <w:color w:val="auto"/>
              </w:rPr>
              <w:t>AGT DTD</w:t>
            </w: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FLEET NATIONAL BANK AS ADMINISTRATIVE AGENT</w:t>
            </w:r>
          </w:p>
        </w:tc>
        <w:tc>
          <w:tcPr>
            <w:tcW w:w="460" w:type="dxa"/>
            <w:vAlign w:val="bottom"/>
            <w:vMerge w:val="restart"/>
          </w:tcPr>
          <w:p>
            <w:pPr>
              <w:jc w:val="right"/>
              <w:ind w:right="282"/>
              <w:spacing w:after="0"/>
              <w:rPr>
                <w:sz w:val="20"/>
                <w:szCs w:val="20"/>
                <w:color w:val="auto"/>
              </w:rPr>
            </w:pPr>
            <w:r>
              <w:rPr>
                <w:rFonts w:ascii="Courier New" w:cs="Courier New" w:eastAsia="Courier New" w:hAnsi="Courier New"/>
                <w:sz w:val="16"/>
                <w:szCs w:val="16"/>
                <w:color w:val="auto"/>
                <w:w w:val="82"/>
              </w:rPr>
              <w:t>/</w:t>
            </w:r>
          </w:p>
        </w:tc>
        <w:tc>
          <w:tcPr>
            <w:tcW w:w="1580" w:type="dxa"/>
            <w:vAlign w:val="bottom"/>
            <w:vMerge w:val="restart"/>
          </w:tcPr>
          <w:p>
            <w:pPr>
              <w:jc w:val="right"/>
              <w:ind w:right="1402"/>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460" w:type="dxa"/>
            <w:vAlign w:val="bottom"/>
            <w:gridSpan w:val="2"/>
          </w:tcPr>
          <w:p>
            <w:pPr>
              <w:spacing w:after="0"/>
              <w:rPr>
                <w:sz w:val="20"/>
                <w:szCs w:val="20"/>
                <w:color w:val="auto"/>
              </w:rPr>
            </w:pPr>
            <w:r>
              <w:rPr>
                <w:rFonts w:ascii="Courier New" w:cs="Courier New" w:eastAsia="Courier New" w:hAnsi="Courier New"/>
                <w:sz w:val="16"/>
                <w:szCs w:val="16"/>
                <w:color w:val="auto"/>
              </w:rPr>
              <w:t>INVITATION FOR COMPETITIVE BID QUOTES DATED</w:t>
            </w:r>
          </w:p>
        </w:tc>
        <w:tc>
          <w:tcPr>
            <w:tcW w:w="460" w:type="dxa"/>
            <w:vAlign w:val="bottom"/>
            <w:vMerge w:val="continue"/>
          </w:tcPr>
          <w:p>
            <w:pPr>
              <w:spacing w:after="0"/>
              <w:rPr>
                <w:sz w:val="22"/>
                <w:szCs w:val="22"/>
                <w:color w:val="auto"/>
              </w:rPr>
            </w:pPr>
          </w:p>
        </w:tc>
        <w:tc>
          <w:tcPr>
            <w:tcW w:w="158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3239"/>
        <w:spacing w:after="0" w:line="289" w:lineRule="auto"/>
        <w:rPr>
          <w:sz w:val="20"/>
          <w:szCs w:val="20"/>
          <w:color w:val="auto"/>
        </w:rPr>
      </w:pPr>
      <w:r>
        <w:rPr>
          <w:rFonts w:ascii="Courier New" w:cs="Courier New" w:eastAsia="Courier New" w:hAnsi="Courier New"/>
          <w:sz w:val="16"/>
          <w:szCs w:val="16"/>
          <w:color w:val="auto"/>
        </w:rPr>
        <w:t>PURSUANT TO SECTION 4.3 OF THE ABOVE REFERENCED CREDIT AGREEMENT, YOU ARE INVITED TO SUBMIT A COMPETITIVE BID QUOTE TO THE BORROWER FOR THE FOLLOWING PROPOSED COMPETITIVE BID LOAN(S):</w:t>
      </w:r>
    </w:p>
    <w:p>
      <w:pPr>
        <w:spacing w:after="0" w:line="61" w:lineRule="exact"/>
        <w:rPr>
          <w:sz w:val="20"/>
          <w:szCs w:val="20"/>
          <w:color w:val="auto"/>
        </w:rPr>
      </w:pPr>
    </w:p>
    <w:p>
      <w:pPr>
        <w:spacing w:after="0"/>
        <w:tabs>
          <w:tab w:leader="none" w:pos="2020" w:val="left"/>
          <w:tab w:leader="none" w:pos="2400" w:val="left"/>
        </w:tabs>
        <w:rPr>
          <w:sz w:val="20"/>
          <w:szCs w:val="20"/>
          <w:color w:val="auto"/>
        </w:rPr>
      </w:pPr>
      <w:r>
        <w:rPr>
          <w:rFonts w:ascii="Courier New" w:cs="Courier New" w:eastAsia="Courier New" w:hAnsi="Courier New"/>
          <w:sz w:val="16"/>
          <w:szCs w:val="16"/>
          <w:color w:val="auto"/>
        </w:rPr>
        <w:t>DATE OF BORROWING:</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REQUESTED:</w:t>
      </w:r>
    </w:p>
    <w:p>
      <w:pPr>
        <w:sectPr>
          <w:pgSz w:w="11900" w:h="16838" w:orient="portrait"/>
          <w:cols w:equalWidth="0" w:num="1">
            <w:col w:w="10219"/>
          </w:cols>
          <w:pgMar w:left="240" w:top="269" w:right="1440" w:bottom="1440" w:gutter="0" w:footer="0" w:header="0"/>
        </w:sectPr>
      </w:pPr>
    </w:p>
    <w:p>
      <w:pPr>
        <w:spacing w:after="0" w:line="149" w:lineRule="exact"/>
        <w:rPr>
          <w:sz w:val="20"/>
          <w:szCs w:val="20"/>
          <w:color w:val="auto"/>
        </w:rPr>
      </w:pPr>
    </w:p>
    <w:p>
      <w:pPr>
        <w:ind w:right="960"/>
        <w:spacing w:after="0" w:line="406" w:lineRule="auto"/>
        <w:rPr>
          <w:sz w:val="20"/>
          <w:szCs w:val="20"/>
          <w:color w:val="auto"/>
        </w:rPr>
      </w:pPr>
      <w:r>
        <w:rPr>
          <w:rFonts w:ascii="Courier New" w:cs="Courier New" w:eastAsia="Courier New" w:hAnsi="Courier New"/>
          <w:sz w:val="14"/>
          <w:szCs w:val="14"/>
          <w:color w:val="auto"/>
        </w:rPr>
        <w:t>PRINCIPAL AMOUNT - ----------------</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w:t>
      </w:r>
    </w:p>
    <w:p>
      <w:pPr>
        <w:spacing w:after="0" w:line="26" w:lineRule="exact"/>
        <w:rPr>
          <w:sz w:val="20"/>
          <w:szCs w:val="20"/>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2">
            <w:col w:w="2620" w:space="720"/>
            <w:col w:w="6879"/>
          </w:cols>
          <w:pgMar w:left="240" w:top="2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SUCH COMPETITIVE BID QUOTES SHOULD OFFER COMPETITIVE BID RATE(S)/MARGIN(S).</w:t>
      </w:r>
    </w:p>
    <w:p>
      <w:pPr>
        <w:sectPr>
          <w:pgSz w:w="11900" w:h="16838" w:orient="portrait"/>
          <w:cols w:equalWidth="0" w:num="1">
            <w:col w:w="10219"/>
          </w:cols>
          <w:pgMar w:left="240" w:top="269" w:right="1440" w:bottom="1440" w:gutter="0" w:footer="0" w:header="0"/>
          <w:type w:val="continuous"/>
        </w:sectPr>
      </w:pPr>
    </w:p>
    <w:p>
      <w:pPr>
        <w:spacing w:after="0" w:line="199" w:lineRule="exact"/>
        <w:rPr>
          <w:sz w:val="20"/>
          <w:szCs w:val="20"/>
          <w:color w:val="auto"/>
        </w:rPr>
      </w:pPr>
    </w:p>
    <w:p>
      <w:pPr>
        <w:spacing w:after="0" w:line="342" w:lineRule="auto"/>
        <w:rPr>
          <w:sz w:val="20"/>
          <w:szCs w:val="20"/>
          <w:color w:val="auto"/>
        </w:rPr>
      </w:pPr>
      <w:r>
        <w:rPr>
          <w:rFonts w:ascii="Courier New" w:cs="Courier New" w:eastAsia="Courier New" w:hAnsi="Courier New"/>
          <w:sz w:val="16"/>
          <w:szCs w:val="16"/>
          <w:color w:val="auto"/>
        </w:rPr>
        <w:t>PLEASE RESPOND IN WRITING TO THIS INVITATION BY NO LATER THAN YORK TIME ON / / TO ONE OF THE FOLLOWING:</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A.M./P.M. (NEW</w:t>
      </w:r>
    </w:p>
    <w:p>
      <w:pPr>
        <w:spacing w:after="0" w:line="377" w:lineRule="exact"/>
        <w:rPr>
          <w:sz w:val="20"/>
          <w:szCs w:val="20"/>
          <w:color w:val="auto"/>
        </w:rPr>
      </w:pPr>
    </w:p>
    <w:p>
      <w:pPr>
        <w:sectPr>
          <w:pgSz w:w="11900" w:h="16838" w:orient="portrait"/>
          <w:cols w:equalWidth="0" w:num="2">
            <w:col w:w="5660" w:space="380"/>
            <w:col w:w="4179"/>
          </w:cols>
          <w:pgMar w:left="240" w:top="26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PRIMARY FAX NO. 212-819-5897 (Attn: Ellie Awad)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ALTERNATE FAX NO. 212-819-5898 (Attn: DawnMarie Matos)</w:t>
      </w:r>
    </w:p>
    <w:p>
      <w:pPr>
        <w:spacing w:after="0" w:line="149" w:lineRule="exact"/>
        <w:rPr>
          <w:sz w:val="20"/>
          <w:szCs w:val="20"/>
          <w:color w:val="auto"/>
        </w:rPr>
      </w:pPr>
    </w:p>
    <w:p>
      <w:pPr>
        <w:ind w:right="2879"/>
        <w:spacing w:after="0" w:line="291" w:lineRule="auto"/>
        <w:rPr>
          <w:sz w:val="20"/>
          <w:szCs w:val="20"/>
          <w:color w:val="auto"/>
        </w:rPr>
      </w:pPr>
      <w:r>
        <w:rPr>
          <w:rFonts w:ascii="Courier New" w:cs="Courier New" w:eastAsia="Courier New" w:hAnsi="Courier New"/>
          <w:sz w:val="14"/>
          <w:szCs w:val="14"/>
          <w:color w:val="auto"/>
        </w:rPr>
        <w:t>NOTE: PLEASE FOLLOW-UP YOUR SUBMITTED WRITTEN BID(S) WITH PHONE VERIFICATION TO CONFIRM. IF YOU ARE UNABLE TO SEND YOUR FAX DUE TO AN OCCUPIED FAX LINE, PLEASE</w:t>
      </w:r>
    </w:p>
    <w:p>
      <w:pPr>
        <w:spacing w:after="0" w:line="1" w:lineRule="exact"/>
        <w:rPr>
          <w:sz w:val="20"/>
          <w:szCs w:val="20"/>
          <w:color w:val="auto"/>
        </w:rPr>
      </w:pPr>
    </w:p>
    <w:p>
      <w:pPr>
        <w:ind w:right="3059"/>
        <w:spacing w:after="0" w:line="305" w:lineRule="auto"/>
        <w:rPr>
          <w:sz w:val="20"/>
          <w:szCs w:val="20"/>
          <w:color w:val="auto"/>
        </w:rPr>
      </w:pPr>
      <w:r>
        <w:rPr>
          <w:rFonts w:ascii="Courier New" w:cs="Courier New" w:eastAsia="Courier New" w:hAnsi="Courier New"/>
          <w:sz w:val="16"/>
          <w:szCs w:val="16"/>
          <w:color w:val="auto"/>
        </w:rPr>
        <w:t>CALL BY A.M./P.M. IN ADDITION, PLEASE SUBMIT YOUR BID(S) IN SUBSTANTIALLY THE FORM OF "EXHIBIT J" TO THE CREDIT AGREEMENT.</w:t>
      </w:r>
    </w:p>
    <w:p>
      <w:pPr>
        <w:sectPr>
          <w:pgSz w:w="11900" w:h="16838" w:orient="portrait"/>
          <w:cols w:equalWidth="0" w:num="1">
            <w:col w:w="10219"/>
          </w:cols>
          <w:pgMar w:left="240" w:top="269" w:right="1440" w:bottom="1440" w:gutter="0" w:footer="0" w:header="0"/>
          <w:type w:val="continuous"/>
        </w:sectPr>
      </w:pPr>
    </w:p>
    <w:p>
      <w:pPr>
        <w:spacing w:after="0" w:line="48" w:lineRule="exact"/>
        <w:rPr>
          <w:sz w:val="20"/>
          <w:szCs w:val="20"/>
          <w:color w:val="auto"/>
        </w:rPr>
      </w:pPr>
    </w:p>
    <w:p>
      <w:pPr>
        <w:spacing w:after="0" w:line="342" w:lineRule="auto"/>
        <w:rPr>
          <w:sz w:val="20"/>
          <w:szCs w:val="20"/>
          <w:color w:val="auto"/>
        </w:rPr>
      </w:pPr>
      <w:r>
        <w:rPr>
          <w:rFonts w:ascii="Courier New" w:cs="Courier New" w:eastAsia="Courier New" w:hAnsi="Courier New"/>
          <w:sz w:val="16"/>
          <w:szCs w:val="16"/>
          <w:color w:val="auto"/>
        </w:rPr>
        <w:t>QUOTES RECEIVED AFTER THE BORROWER.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A.M./P.M. (NEW YORK TIME) WILL NOT BE FORWARDED TO</w:t>
      </w:r>
    </w:p>
    <w:p>
      <w:pPr>
        <w:sectPr>
          <w:pgSz w:w="11900" w:h="16838" w:orient="portrait"/>
          <w:cols w:equalWidth="0" w:num="2">
            <w:col w:w="1940" w:space="560"/>
            <w:col w:w="7719"/>
          </w:cols>
          <w:pgMar w:left="240" w:top="269" w:right="1440" w:bottom="1440" w:gutter="0" w:footer="0" w:header="0"/>
          <w:type w:val="continuous"/>
        </w:sectPr>
      </w:pPr>
    </w:p>
    <w:bookmarkStart w:id="166" w:name="page167"/>
    <w:bookmarkEnd w:id="166"/>
    <w:p>
      <w:pPr>
        <w:ind w:left="280"/>
        <w:spacing w:after="0"/>
        <w:rPr>
          <w:sz w:val="20"/>
          <w:szCs w:val="20"/>
          <w:color w:val="auto"/>
        </w:rPr>
      </w:pPr>
      <w:r>
        <w:rPr>
          <w:rFonts w:ascii="Courier New" w:cs="Courier New" w:eastAsia="Courier New" w:hAnsi="Courier New"/>
          <w:sz w:val="16"/>
          <w:szCs w:val="16"/>
          <w:color w:val="auto"/>
        </w:rPr>
        <w:t>113</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55" w:lineRule="exact"/>
        <w:rPr>
          <w:sz w:val="20"/>
          <w:szCs w:val="20"/>
          <w:color w:val="auto"/>
        </w:rPr>
      </w:pPr>
    </w:p>
    <w:p>
      <w:pPr>
        <w:ind w:right="3159"/>
        <w:spacing w:after="0" w:line="342" w:lineRule="auto"/>
        <w:rPr>
          <w:sz w:val="20"/>
          <w:szCs w:val="20"/>
          <w:color w:val="auto"/>
        </w:rPr>
      </w:pPr>
      <w:r>
        <w:rPr>
          <w:rFonts w:ascii="Courier New" w:cs="Courier New" w:eastAsia="Courier New" w:hAnsi="Courier New"/>
          <w:sz w:val="16"/>
          <w:szCs w:val="16"/>
          <w:color w:val="auto"/>
        </w:rPr>
        <w:t>SUBMITTED BIDS MUST BE TEN MILLION DOLLARS OR LARGER MULTIPLE OF ONE MILLION DOLLARS. ALSO, PLEASE SPECIFY LIMITATION AMOUNTS, IF APPLICABLE.</w:t>
      </w:r>
    </w:p>
    <w:p>
      <w:pPr>
        <w:spacing w:after="0" w:line="2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FLEET NATIONAL BANK,</w:t>
      </w:r>
    </w:p>
    <w:p>
      <w:pPr>
        <w:spacing w:after="0" w:line="2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as Administrative Agent</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Name:</w:t>
      </w:r>
    </w:p>
    <w:p>
      <w:pPr>
        <w:ind w:left="33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Title:</w:t>
      </w:r>
    </w:p>
    <w:p>
      <w:pPr>
        <w:ind w:left="33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Date:</w:t>
      </w:r>
    </w:p>
    <w:p>
      <w:pPr>
        <w:ind w:left="3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69"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6"/>
          <w:szCs w:val="16"/>
          <w:color w:val="auto"/>
        </w:rPr>
        <w:t>114</w:t>
      </w:r>
    </w:p>
    <w:p>
      <w:pPr>
        <w:spacing w:after="0" w:line="355" w:lineRule="exact"/>
        <w:rPr>
          <w:sz w:val="20"/>
          <w:szCs w:val="20"/>
          <w:color w:val="auto"/>
        </w:rPr>
      </w:pPr>
    </w:p>
    <w:p>
      <w:pPr>
        <w:ind w:left="6600"/>
        <w:spacing w:after="0"/>
        <w:rPr>
          <w:sz w:val="20"/>
          <w:szCs w:val="20"/>
          <w:color w:val="auto"/>
        </w:rPr>
      </w:pPr>
      <w:r>
        <w:rPr>
          <w:rFonts w:ascii="Courier New" w:cs="Courier New" w:eastAsia="Courier New" w:hAnsi="Courier New"/>
          <w:sz w:val="16"/>
          <w:szCs w:val="16"/>
          <w:color w:val="auto"/>
        </w:rPr>
        <w:t>EXHIBIT J</w:t>
      </w:r>
    </w:p>
    <w:p>
      <w:pPr>
        <w:spacing w:after="0" w:line="200" w:lineRule="exact"/>
        <w:rPr>
          <w:sz w:val="20"/>
          <w:szCs w:val="20"/>
          <w:color w:val="auto"/>
        </w:rPr>
      </w:pPr>
    </w:p>
    <w:p>
      <w:pPr>
        <w:spacing w:after="0" w:line="33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FORM OF COMPETITIVE BID QUOTE</w:t>
      </w:r>
    </w:p>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Revolving Credit Agreement</w:t>
      </w:r>
    </w:p>
    <w:p>
      <w:pPr>
        <w:jc w:val="center"/>
        <w:ind w:right="2779"/>
        <w:spacing w:after="0"/>
        <w:rPr>
          <w:sz w:val="20"/>
          <w:szCs w:val="20"/>
          <w:color w:val="auto"/>
        </w:rPr>
      </w:pPr>
      <w:r>
        <w:rPr>
          <w:rFonts w:ascii="Courier New" w:cs="Courier New" w:eastAsia="Courier New" w:hAnsi="Courier New"/>
          <w:sz w:val="16"/>
          <w:szCs w:val="16"/>
          <w:color w:val="auto"/>
        </w:rPr>
        <w:t>(the "Credit Agreement") dated as of June 29, 2001</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880" w:type="dxa"/>
            <w:vAlign w:val="bottom"/>
            <w:gridSpan w:val="2"/>
          </w:tcPr>
          <w:p>
            <w:pPr>
              <w:spacing w:after="0"/>
              <w:rPr>
                <w:sz w:val="20"/>
                <w:szCs w:val="20"/>
                <w:color w:val="auto"/>
              </w:rPr>
            </w:pPr>
            <w:r>
              <w:rPr>
                <w:rFonts w:ascii="Courier New" w:cs="Courier New" w:eastAsia="Courier New" w:hAnsi="Courier New"/>
                <w:sz w:val="16"/>
                <w:szCs w:val="16"/>
                <w:color w:val="auto"/>
              </w:rPr>
              <w:t>Competitive Bid Quote under Section 4.5</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2320" w:type="dxa"/>
            <w:vAlign w:val="bottom"/>
          </w:tcPr>
          <w:p>
            <w:pPr>
              <w:spacing w:after="0"/>
              <w:rPr>
                <w:sz w:val="20"/>
                <w:szCs w:val="20"/>
                <w:color w:val="auto"/>
              </w:rPr>
            </w:pPr>
            <w:r>
              <w:rPr>
                <w:rFonts w:ascii="Courier New" w:cs="Courier New" w:eastAsia="Courier New" w:hAnsi="Courier New"/>
                <w:sz w:val="16"/>
                <w:szCs w:val="16"/>
                <w:color w:val="auto"/>
              </w:rPr>
              <w:t>Bank</w:t>
            </w:r>
          </w:p>
        </w:tc>
        <w:tc>
          <w:tcPr>
            <w:tcW w:w="2560" w:type="dxa"/>
            <w:vAlign w:val="bottom"/>
          </w:tcPr>
          <w:p>
            <w:pPr>
              <w:spacing w:after="0"/>
              <w:rPr>
                <w:sz w:val="24"/>
                <w:szCs w:val="24"/>
                <w:color w:val="auto"/>
              </w:rPr>
            </w:pPr>
          </w:p>
        </w:tc>
        <w:tc>
          <w:tcPr>
            <w:tcW w:w="26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2320" w:type="dxa"/>
            <w:vAlign w:val="bottom"/>
            <w:vMerge w:val="restart"/>
          </w:tcPr>
          <w:p>
            <w:pPr>
              <w:spacing w:after="0"/>
              <w:rPr>
                <w:sz w:val="20"/>
                <w:szCs w:val="20"/>
                <w:color w:val="auto"/>
              </w:rPr>
            </w:pPr>
            <w:r>
              <w:rPr>
                <w:rFonts w:ascii="Courier New" w:cs="Courier New" w:eastAsia="Courier New" w:hAnsi="Courier New"/>
                <w:sz w:val="16"/>
                <w:szCs w:val="16"/>
                <w:color w:val="auto"/>
              </w:rPr>
              <w:t>Person to Contact</w:t>
            </w:r>
          </w:p>
        </w:tc>
        <w:tc>
          <w:tcPr>
            <w:tcW w:w="256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320" w:type="dxa"/>
            <w:vAlign w:val="bottom"/>
            <w:vMerge w:val="continue"/>
          </w:tcPr>
          <w:p>
            <w:pPr>
              <w:spacing w:after="0"/>
              <w:rPr>
                <w:sz w:val="15"/>
                <w:szCs w:val="15"/>
                <w:color w:val="auto"/>
              </w:rPr>
            </w:pPr>
          </w:p>
        </w:tc>
        <w:tc>
          <w:tcPr>
            <w:tcW w:w="2560" w:type="dxa"/>
            <w:vAlign w:val="bottom"/>
          </w:tcPr>
          <w:p>
            <w:pPr>
              <w:spacing w:after="0"/>
              <w:rPr>
                <w:sz w:val="15"/>
                <w:szCs w:val="15"/>
                <w:color w:val="auto"/>
              </w:rPr>
            </w:pPr>
          </w:p>
        </w:tc>
        <w:tc>
          <w:tcPr>
            <w:tcW w:w="26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23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880" w:type="dxa"/>
            <w:vAlign w:val="bottom"/>
            <w:gridSpan w:val="2"/>
          </w:tcPr>
          <w:p>
            <w:pPr>
              <w:spacing w:after="0"/>
              <w:rPr>
                <w:sz w:val="20"/>
                <w:szCs w:val="20"/>
                <w:color w:val="auto"/>
              </w:rPr>
            </w:pPr>
            <w:r>
              <w:rPr>
                <w:rFonts w:ascii="Courier New" w:cs="Courier New" w:eastAsia="Courier New" w:hAnsi="Courier New"/>
                <w:sz w:val="16"/>
                <w:szCs w:val="16"/>
                <w:color w:val="auto"/>
              </w:rPr>
              <w:t>Date of Competitive Bid Quote Request</w:t>
            </w:r>
          </w:p>
        </w:tc>
        <w:tc>
          <w:tcPr>
            <w:tcW w:w="26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7"/>
        </w:trPr>
        <w:tc>
          <w:tcPr>
            <w:tcW w:w="488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Type of Competitive Bid Loans Requested</w:t>
            </w:r>
          </w:p>
        </w:tc>
        <w:tc>
          <w:tcPr>
            <w:tcW w:w="2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880" w:type="dxa"/>
            <w:vAlign w:val="bottom"/>
            <w:gridSpan w:val="2"/>
            <w:vMerge w:val="continue"/>
          </w:tcPr>
          <w:p>
            <w:pPr>
              <w:spacing w:after="0"/>
              <w:rPr>
                <w:sz w:val="15"/>
                <w:szCs w:val="15"/>
                <w:color w:val="auto"/>
              </w:rPr>
            </w:pPr>
          </w:p>
        </w:tc>
        <w:tc>
          <w:tcPr>
            <w:tcW w:w="2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Eurodollar / Absolute</w:t>
            </w:r>
          </w:p>
        </w:tc>
        <w:tc>
          <w:tcPr>
            <w:tcW w:w="0" w:type="dxa"/>
            <w:vAlign w:val="bottom"/>
          </w:tcPr>
          <w:p>
            <w:pPr>
              <w:spacing w:after="0"/>
              <w:rPr>
                <w:sz w:val="1"/>
                <w:szCs w:val="1"/>
                <w:color w:val="auto"/>
              </w:rPr>
            </w:pPr>
          </w:p>
        </w:tc>
      </w:tr>
      <w:tr>
        <w:trPr>
          <w:trHeight w:val="261"/>
        </w:trPr>
        <w:tc>
          <w:tcPr>
            <w:tcW w:w="2320" w:type="dxa"/>
            <w:vAlign w:val="bottom"/>
          </w:tcPr>
          <w:p>
            <w:pPr>
              <w:spacing w:after="0"/>
              <w:rPr>
                <w:sz w:val="20"/>
                <w:szCs w:val="20"/>
                <w:color w:val="auto"/>
              </w:rPr>
            </w:pPr>
            <w:r>
              <w:rPr>
                <w:rFonts w:ascii="Courier New" w:cs="Courier New" w:eastAsia="Courier New" w:hAnsi="Courier New"/>
                <w:sz w:val="16"/>
                <w:szCs w:val="16"/>
                <w:color w:val="auto"/>
              </w:rPr>
              <w:t>Requested Drawdown Date</w:t>
            </w:r>
          </w:p>
        </w:tc>
        <w:tc>
          <w:tcPr>
            <w:tcW w:w="2560" w:type="dxa"/>
            <w:vAlign w:val="bottom"/>
          </w:tcPr>
          <w:p>
            <w:pPr>
              <w:spacing w:after="0"/>
              <w:rPr>
                <w:sz w:val="22"/>
                <w:szCs w:val="22"/>
                <w:color w:val="auto"/>
              </w:rPr>
            </w:pPr>
          </w:p>
        </w:tc>
        <w:tc>
          <w:tcPr>
            <w:tcW w:w="26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23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320" w:type="dxa"/>
            <w:vAlign w:val="bottom"/>
          </w:tcPr>
          <w:p>
            <w:pPr>
              <w:spacing w:after="0"/>
              <w:rPr>
                <w:sz w:val="20"/>
                <w:szCs w:val="20"/>
                <w:color w:val="auto"/>
              </w:rPr>
            </w:pPr>
            <w:r>
              <w:rPr>
                <w:rFonts w:ascii="Courier New" w:cs="Courier New" w:eastAsia="Courier New" w:hAnsi="Courier New"/>
                <w:sz w:val="16"/>
                <w:szCs w:val="16"/>
                <w:color w:val="auto"/>
              </w:rPr>
              <w:t>Principal Amount</w:t>
            </w:r>
          </w:p>
        </w:tc>
        <w:tc>
          <w:tcPr>
            <w:tcW w:w="2560" w:type="dxa"/>
            <w:vAlign w:val="bottom"/>
            <w:vMerge w:val="restart"/>
          </w:tcPr>
          <w:p>
            <w:pPr>
              <w:jc w:val="right"/>
              <w:ind w:right="1082"/>
              <w:spacing w:after="0"/>
              <w:rPr>
                <w:sz w:val="20"/>
                <w:szCs w:val="20"/>
                <w:color w:val="auto"/>
              </w:rPr>
            </w:pPr>
            <w:r>
              <w:rPr>
                <w:rFonts w:ascii="Courier New" w:cs="Courier New" w:eastAsia="Courier New" w:hAnsi="Courier New"/>
                <w:sz w:val="16"/>
                <w:szCs w:val="16"/>
                <w:color w:val="auto"/>
              </w:rPr>
              <w:t>Requested</w:t>
            </w:r>
          </w:p>
        </w:tc>
        <w:tc>
          <w:tcPr>
            <w:tcW w:w="2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Proposed Competitive</w:t>
            </w:r>
          </w:p>
        </w:tc>
        <w:tc>
          <w:tcPr>
            <w:tcW w:w="0" w:type="dxa"/>
            <w:vAlign w:val="bottom"/>
          </w:tcPr>
          <w:p>
            <w:pPr>
              <w:spacing w:after="0"/>
              <w:rPr>
                <w:sz w:val="1"/>
                <w:szCs w:val="1"/>
                <w:color w:val="auto"/>
              </w:rPr>
            </w:pPr>
          </w:p>
        </w:tc>
      </w:tr>
      <w:tr>
        <w:trPr>
          <w:trHeight w:val="179"/>
        </w:trPr>
        <w:tc>
          <w:tcPr>
            <w:tcW w:w="23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Competitive</w:t>
            </w:r>
          </w:p>
        </w:tc>
        <w:tc>
          <w:tcPr>
            <w:tcW w:w="2560" w:type="dxa"/>
            <w:vAlign w:val="bottom"/>
            <w:vMerge w:val="continue"/>
          </w:tcPr>
          <w:p>
            <w:pPr>
              <w:spacing w:after="0"/>
              <w:rPr>
                <w:sz w:val="15"/>
                <w:szCs w:val="15"/>
                <w:color w:val="auto"/>
              </w:rPr>
            </w:pPr>
          </w:p>
        </w:tc>
        <w:tc>
          <w:tcPr>
            <w:tcW w:w="266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Bid Rate/Competitive</w:t>
            </w:r>
          </w:p>
        </w:tc>
        <w:tc>
          <w:tcPr>
            <w:tcW w:w="0" w:type="dxa"/>
            <w:vAlign w:val="bottom"/>
          </w:tcPr>
          <w:p>
            <w:pPr>
              <w:spacing w:after="0"/>
              <w:rPr>
                <w:sz w:val="1"/>
                <w:szCs w:val="1"/>
                <w:color w:val="auto"/>
              </w:rPr>
            </w:pPr>
          </w:p>
        </w:tc>
      </w:tr>
      <w:tr>
        <w:trPr>
          <w:trHeight w:val="179"/>
        </w:trPr>
        <w:tc>
          <w:tcPr>
            <w:tcW w:w="2320" w:type="dxa"/>
            <w:vAlign w:val="bottom"/>
          </w:tcPr>
          <w:p>
            <w:pPr>
              <w:spacing w:after="0" w:line="179" w:lineRule="exact"/>
              <w:rPr>
                <w:sz w:val="20"/>
                <w:szCs w:val="20"/>
                <w:color w:val="auto"/>
              </w:rPr>
            </w:pPr>
            <w:r>
              <w:rPr>
                <w:rFonts w:ascii="Courier New" w:cs="Courier New" w:eastAsia="Courier New" w:hAnsi="Courier New"/>
                <w:sz w:val="16"/>
                <w:szCs w:val="16"/>
                <w:color w:val="auto"/>
              </w:rPr>
              <w:t>Bid Loan Offered</w:t>
            </w:r>
          </w:p>
        </w:tc>
        <w:tc>
          <w:tcPr>
            <w:tcW w:w="256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rPr>
              <w:t>Interest Period(s)</w:t>
            </w:r>
          </w:p>
        </w:tc>
        <w:tc>
          <w:tcPr>
            <w:tcW w:w="266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rPr>
              <w:t>Bid Margin</w:t>
            </w:r>
          </w:p>
        </w:tc>
        <w:tc>
          <w:tcPr>
            <w:tcW w:w="0" w:type="dxa"/>
            <w:vAlign w:val="bottom"/>
          </w:tcPr>
          <w:p>
            <w:pPr>
              <w:spacing w:after="0"/>
              <w:rPr>
                <w:sz w:val="1"/>
                <w:szCs w:val="1"/>
                <w:color w:val="auto"/>
              </w:rPr>
            </w:pPr>
          </w:p>
        </w:tc>
      </w:tr>
      <w:tr>
        <w:trPr>
          <w:trHeight w:val="261"/>
        </w:trPr>
        <w:tc>
          <w:tcPr>
            <w:tcW w:w="23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5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2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79"/>
        <w:spacing w:after="0" w:line="263" w:lineRule="auto"/>
        <w:rPr>
          <w:sz w:val="20"/>
          <w:szCs w:val="20"/>
          <w:color w:val="auto"/>
        </w:rPr>
      </w:pPr>
      <w:r>
        <w:rPr>
          <w:rFonts w:ascii="Courier New" w:cs="Courier New" w:eastAsia="Courier New" w:hAnsi="Courier New"/>
          <w:sz w:val="16"/>
          <w:szCs w:val="16"/>
          <w:color w:val="auto"/>
        </w:rPr>
        <w:t>I certify that the above is true and correct, and that the offer(s) set forth above irrevocably obligates us to make such Competitive Bid Loan(s) if such offer(s) is/are accepted by the Borrower and all of the conditions set forth in Section 11 of the Credit Agreement have been satisfied as of the requested Drawdown Date.</w:t>
      </w:r>
    </w:p>
    <w:p>
      <w:pPr>
        <w:spacing w:after="0" w:line="80"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[NAME OF BANK]</w:t>
      </w:r>
    </w:p>
    <w:p>
      <w:pPr>
        <w:spacing w:after="0" w:line="35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ind w:left="3260"/>
        <w:spacing w:after="0" w:line="236" w:lineRule="auto"/>
        <w:rPr>
          <w:sz w:val="20"/>
          <w:szCs w:val="20"/>
          <w:color w:val="auto"/>
        </w:rPr>
      </w:pPr>
      <w:r>
        <w:rPr>
          <w:rFonts w:ascii="Courier New" w:cs="Courier New" w:eastAsia="Courier New" w:hAnsi="Courier New"/>
          <w:sz w:val="16"/>
          <w:szCs w:val="16"/>
          <w:color w:val="auto"/>
        </w:rPr>
        <w:t>Name:</w:t>
      </w:r>
    </w:p>
    <w:p>
      <w:pPr>
        <w:ind w:left="3800"/>
        <w:spacing w:after="0" w:line="237"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Title:</w:t>
      </w:r>
    </w:p>
    <w:p>
      <w:pPr>
        <w:ind w:left="3900"/>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269"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6"/>
          <w:szCs w:val="16"/>
          <w:color w:val="auto"/>
        </w:rPr>
        <w:t>115</w:t>
      </w:r>
    </w:p>
    <w:p>
      <w:pPr>
        <w:spacing w:after="0" w:line="35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K</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FORM OF NOTICE</w:t>
      </w:r>
    </w:p>
    <w:p>
      <w:pPr>
        <w:spacing w:after="0" w:line="23"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OF ACCEPTANCE / REJECTION</w:t>
      </w:r>
    </w:p>
    <w:p>
      <w:pPr>
        <w:ind w:left="2500"/>
        <w:spacing w:after="0"/>
        <w:rPr>
          <w:sz w:val="20"/>
          <w:szCs w:val="20"/>
          <w:color w:val="auto"/>
        </w:rPr>
      </w:pPr>
      <w:r>
        <w:rPr>
          <w:rFonts w:ascii="Courier New" w:cs="Courier New" w:eastAsia="Courier New" w:hAnsi="Courier New"/>
          <w:sz w:val="16"/>
          <w:szCs w:val="16"/>
          <w:color w:val="auto"/>
        </w:rPr>
        <w:t>OF COMPETITIVE BID QUOTE(S)</w:t>
      </w:r>
    </w:p>
    <w:p>
      <w:pPr>
        <w:spacing w:after="0" w:line="14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Revolving Credit Agreement</w:t>
      </w:r>
    </w:p>
    <w:p>
      <w:pPr>
        <w:jc w:val="center"/>
        <w:ind w:right="2779"/>
        <w:spacing w:after="0"/>
        <w:rPr>
          <w:sz w:val="20"/>
          <w:szCs w:val="20"/>
          <w:color w:val="auto"/>
        </w:rPr>
      </w:pPr>
      <w:r>
        <w:rPr>
          <w:rFonts w:ascii="Courier New" w:cs="Courier New" w:eastAsia="Courier New" w:hAnsi="Courier New"/>
          <w:sz w:val="16"/>
          <w:szCs w:val="16"/>
          <w:color w:val="auto"/>
        </w:rPr>
        <w:t>(the "Credit Agreement") dated as of June 29, 2001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920" w:type="dxa"/>
            <w:vAlign w:val="bottom"/>
          </w:tcPr>
          <w:p>
            <w:pPr>
              <w:spacing w:after="0"/>
              <w:rPr>
                <w:sz w:val="20"/>
                <w:szCs w:val="20"/>
                <w:color w:val="auto"/>
              </w:rPr>
            </w:pPr>
            <w:r>
              <w:rPr>
                <w:rFonts w:ascii="Courier New" w:cs="Courier New" w:eastAsia="Courier New" w:hAnsi="Courier New"/>
                <w:sz w:val="16"/>
                <w:szCs w:val="16"/>
                <w:color w:val="auto"/>
                <w:w w:val="98"/>
              </w:rPr>
              <w:t>Notice of Competitive Bid Quote(s) under Section 4.7</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4920" w:type="dxa"/>
            <w:vAlign w:val="bottom"/>
          </w:tcPr>
          <w:p>
            <w:pPr>
              <w:spacing w:after="0"/>
              <w:rPr>
                <w:sz w:val="20"/>
                <w:szCs w:val="20"/>
                <w:color w:val="auto"/>
              </w:rPr>
            </w:pPr>
            <w:r>
              <w:rPr>
                <w:rFonts w:ascii="Courier New" w:cs="Courier New" w:eastAsia="Courier New" w:hAnsi="Courier New"/>
                <w:sz w:val="16"/>
                <w:szCs w:val="16"/>
                <w:color w:val="auto"/>
              </w:rPr>
              <w:t>Date of Competitive Bid Quote(s)</w:t>
            </w:r>
          </w:p>
        </w:tc>
        <w:tc>
          <w:tcPr>
            <w:tcW w:w="24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97"/>
        </w:trPr>
        <w:tc>
          <w:tcPr>
            <w:tcW w:w="4920" w:type="dxa"/>
            <w:vAlign w:val="bottom"/>
            <w:vMerge w:val="restart"/>
          </w:tcPr>
          <w:p>
            <w:pPr>
              <w:spacing w:after="0"/>
              <w:rPr>
                <w:sz w:val="20"/>
                <w:szCs w:val="20"/>
                <w:color w:val="auto"/>
              </w:rPr>
            </w:pPr>
            <w:r>
              <w:rPr>
                <w:rFonts w:ascii="Courier New" w:cs="Courier New" w:eastAsia="Courier New" w:hAnsi="Courier New"/>
                <w:sz w:val="16"/>
                <w:szCs w:val="16"/>
                <w:color w:val="auto"/>
              </w:rPr>
              <w:t>Type of Competitive Bid Loans Requested</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920" w:type="dxa"/>
            <w:vAlign w:val="bottom"/>
            <w:vMerge w:val="continue"/>
          </w:tcPr>
          <w:p>
            <w:pPr>
              <w:spacing w:after="0"/>
              <w:rPr>
                <w:sz w:val="15"/>
                <w:szCs w:val="15"/>
                <w:color w:val="auto"/>
              </w:rPr>
            </w:pPr>
          </w:p>
        </w:tc>
        <w:tc>
          <w:tcPr>
            <w:tcW w:w="242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Eurodollar / Absolute</w:t>
            </w:r>
          </w:p>
        </w:tc>
        <w:tc>
          <w:tcPr>
            <w:tcW w:w="0" w:type="dxa"/>
            <w:vAlign w:val="bottom"/>
          </w:tcPr>
          <w:p>
            <w:pPr>
              <w:spacing w:after="0"/>
              <w:rPr>
                <w:sz w:val="1"/>
                <w:szCs w:val="1"/>
                <w:color w:val="auto"/>
              </w:rPr>
            </w:pPr>
          </w:p>
        </w:tc>
      </w:tr>
      <w:tr>
        <w:trPr>
          <w:trHeight w:val="261"/>
        </w:trPr>
        <w:tc>
          <w:tcPr>
            <w:tcW w:w="4920" w:type="dxa"/>
            <w:vAlign w:val="bottom"/>
          </w:tcPr>
          <w:p>
            <w:pPr>
              <w:spacing w:after="0"/>
              <w:rPr>
                <w:sz w:val="20"/>
                <w:szCs w:val="20"/>
                <w:color w:val="auto"/>
              </w:rPr>
            </w:pPr>
            <w:r>
              <w:rPr>
                <w:rFonts w:ascii="Courier New" w:cs="Courier New" w:eastAsia="Courier New" w:hAnsi="Courier New"/>
                <w:sz w:val="16"/>
                <w:szCs w:val="16"/>
                <w:color w:val="auto"/>
              </w:rPr>
              <w:t>Requested Drawdown Date</w:t>
            </w:r>
          </w:p>
        </w:tc>
        <w:tc>
          <w:tcPr>
            <w:tcW w:w="24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179"/>
        </w:trPr>
        <w:tc>
          <w:tcPr>
            <w:tcW w:w="49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hereby ACCEPT the following Competitive Bid Quote(s):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Principal</w:t>
            </w:r>
          </w:p>
        </w:tc>
        <w:tc>
          <w:tcPr>
            <w:tcW w:w="2380" w:type="dxa"/>
            <w:vAlign w:val="bottom"/>
          </w:tcPr>
          <w:p>
            <w:pPr>
              <w:spacing w:after="0"/>
              <w:rPr>
                <w:sz w:val="15"/>
                <w:szCs w:val="15"/>
                <w:color w:val="auto"/>
              </w:rPr>
            </w:pPr>
          </w:p>
        </w:tc>
        <w:tc>
          <w:tcPr>
            <w:tcW w:w="2280" w:type="dxa"/>
            <w:vAlign w:val="bottom"/>
          </w:tcPr>
          <w:p>
            <w:pPr>
              <w:ind w:left="180"/>
              <w:spacing w:after="0"/>
              <w:rPr>
                <w:sz w:val="20"/>
                <w:szCs w:val="20"/>
                <w:color w:val="auto"/>
              </w:rPr>
            </w:pPr>
            <w:r>
              <w:rPr>
                <w:rFonts w:ascii="Courier New" w:cs="Courier New" w:eastAsia="Courier New" w:hAnsi="Courier New"/>
                <w:sz w:val="16"/>
                <w:szCs w:val="16"/>
                <w:color w:val="auto"/>
              </w:rPr>
              <w:t>Competitive Bid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00" w:type="dxa"/>
            <w:vAlign w:val="bottom"/>
            <w:vMerge w:val="continue"/>
          </w:tcPr>
          <w:p>
            <w:pPr>
              <w:spacing w:after="0"/>
              <w:rPr>
                <w:sz w:val="15"/>
                <w:szCs w:val="15"/>
                <w:color w:val="auto"/>
              </w:rPr>
            </w:pPr>
          </w:p>
        </w:tc>
        <w:tc>
          <w:tcPr>
            <w:tcW w:w="23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Interest Period(s)</w:t>
            </w:r>
          </w:p>
        </w:tc>
        <w:tc>
          <w:tcPr>
            <w:tcW w:w="22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Rate/Competitive</w:t>
            </w:r>
          </w:p>
        </w:tc>
        <w:tc>
          <w:tcPr>
            <w:tcW w:w="98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Bank</w:t>
            </w:r>
          </w:p>
        </w:tc>
        <w:tc>
          <w:tcPr>
            <w:tcW w:w="0" w:type="dxa"/>
            <w:vAlign w:val="bottom"/>
          </w:tcPr>
          <w:p>
            <w:pPr>
              <w:spacing w:after="0"/>
              <w:rPr>
                <w:sz w:val="1"/>
                <w:szCs w:val="1"/>
                <w:color w:val="auto"/>
              </w:rPr>
            </w:pPr>
          </w:p>
        </w:tc>
      </w:tr>
      <w:tr>
        <w:trPr>
          <w:trHeight w:val="179"/>
        </w:trPr>
        <w:tc>
          <w:tcPr>
            <w:tcW w:w="1900" w:type="dxa"/>
            <w:vAlign w:val="bottom"/>
          </w:tcPr>
          <w:p>
            <w:pPr>
              <w:spacing w:after="0" w:line="179" w:lineRule="exact"/>
              <w:rPr>
                <w:sz w:val="20"/>
                <w:szCs w:val="20"/>
                <w:color w:val="auto"/>
              </w:rPr>
            </w:pPr>
            <w:r>
              <w:rPr>
                <w:rFonts w:ascii="Courier New" w:cs="Courier New" w:eastAsia="Courier New" w:hAnsi="Courier New"/>
                <w:sz w:val="16"/>
                <w:szCs w:val="16"/>
                <w:color w:val="auto"/>
              </w:rPr>
              <w:t>Amount of Quote</w:t>
            </w:r>
          </w:p>
        </w:tc>
        <w:tc>
          <w:tcPr>
            <w:tcW w:w="2380" w:type="dxa"/>
            <w:vAlign w:val="bottom"/>
            <w:vMerge w:val="continue"/>
          </w:tcPr>
          <w:p>
            <w:pPr>
              <w:spacing w:after="0"/>
              <w:rPr>
                <w:sz w:val="15"/>
                <w:szCs w:val="15"/>
                <w:color w:val="auto"/>
              </w:rPr>
            </w:pPr>
          </w:p>
        </w:tc>
        <w:tc>
          <w:tcPr>
            <w:tcW w:w="228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Bid Margin</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9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hereby REJECT the following Competitive Bid Quote(s):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vMerge w:val="restart"/>
          </w:tcPr>
          <w:p>
            <w:pPr>
              <w:jc w:val="right"/>
              <w:ind w:right="2"/>
              <w:spacing w:after="0"/>
              <w:rPr>
                <w:sz w:val="20"/>
                <w:szCs w:val="20"/>
                <w:color w:val="auto"/>
              </w:rPr>
            </w:pPr>
            <w:r>
              <w:rPr>
                <w:rFonts w:ascii="Courier New" w:cs="Courier New" w:eastAsia="Courier New" w:hAnsi="Courier New"/>
                <w:sz w:val="16"/>
                <w:szCs w:val="16"/>
                <w:color w:val="auto"/>
              </w:rPr>
              <w:t>Principal</w:t>
            </w:r>
          </w:p>
        </w:tc>
        <w:tc>
          <w:tcPr>
            <w:tcW w:w="6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6"/>
                <w:szCs w:val="16"/>
                <w:color w:val="auto"/>
              </w:rPr>
              <w:t>Competitive Bid</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20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2480" w:type="dxa"/>
            <w:vAlign w:val="bottom"/>
            <w:vMerge w:val="restart"/>
          </w:tcPr>
          <w:p>
            <w:pPr>
              <w:jc w:val="right"/>
              <w:ind w:right="302"/>
              <w:spacing w:after="0"/>
              <w:rPr>
                <w:sz w:val="20"/>
                <w:szCs w:val="20"/>
                <w:color w:val="auto"/>
              </w:rPr>
            </w:pPr>
            <w:r>
              <w:rPr>
                <w:rFonts w:ascii="Courier New" w:cs="Courier New" w:eastAsia="Courier New" w:hAnsi="Courier New"/>
                <w:sz w:val="16"/>
                <w:szCs w:val="16"/>
                <w:color w:val="auto"/>
              </w:rPr>
              <w:t>Interest Period(s)</w:t>
            </w:r>
          </w:p>
        </w:tc>
        <w:tc>
          <w:tcPr>
            <w:tcW w:w="26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Rate/Competitive</w:t>
            </w:r>
          </w:p>
        </w:tc>
        <w:tc>
          <w:tcPr>
            <w:tcW w:w="660" w:type="dxa"/>
            <w:vAlign w:val="bottom"/>
            <w:vMerge w:val="restart"/>
          </w:tcPr>
          <w:p>
            <w:pPr>
              <w:jc w:val="right"/>
              <w:ind w:right="122"/>
              <w:spacing w:after="0"/>
              <w:rPr>
                <w:sz w:val="20"/>
                <w:szCs w:val="20"/>
                <w:color w:val="auto"/>
              </w:rPr>
            </w:pPr>
            <w:r>
              <w:rPr>
                <w:rFonts w:ascii="Courier New" w:cs="Courier New" w:eastAsia="Courier New" w:hAnsi="Courier New"/>
                <w:sz w:val="16"/>
                <w:szCs w:val="16"/>
                <w:color w:val="auto"/>
              </w:rPr>
              <w:t>Bank</w:t>
            </w:r>
          </w:p>
        </w:tc>
        <w:tc>
          <w:tcPr>
            <w:tcW w:w="0" w:type="dxa"/>
            <w:vAlign w:val="bottom"/>
          </w:tcPr>
          <w:p>
            <w:pPr>
              <w:spacing w:after="0"/>
              <w:rPr>
                <w:sz w:val="1"/>
                <w:szCs w:val="1"/>
                <w:color w:val="auto"/>
              </w:rPr>
            </w:pPr>
          </w:p>
        </w:tc>
      </w:tr>
      <w:tr>
        <w:trPr>
          <w:trHeight w:val="179"/>
        </w:trPr>
        <w:tc>
          <w:tcPr>
            <w:tcW w:w="180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Amount of Quote</w:t>
            </w:r>
          </w:p>
        </w:tc>
        <w:tc>
          <w:tcPr>
            <w:tcW w:w="2480" w:type="dxa"/>
            <w:vAlign w:val="bottom"/>
            <w:vMerge w:val="continue"/>
          </w:tcPr>
          <w:p>
            <w:pPr>
              <w:spacing w:after="0"/>
              <w:rPr>
                <w:sz w:val="15"/>
                <w:szCs w:val="15"/>
                <w:color w:val="auto"/>
              </w:rPr>
            </w:pPr>
          </w:p>
        </w:tc>
        <w:tc>
          <w:tcPr>
            <w:tcW w:w="260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Bid Margin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800" w:type="dxa"/>
            <w:vAlign w:val="bottom"/>
            <w:gridSpan w:val="2"/>
          </w:tcPr>
          <w:p>
            <w:pPr>
              <w:spacing w:after="0"/>
              <w:rPr>
                <w:sz w:val="20"/>
                <w:szCs w:val="20"/>
                <w:color w:val="auto"/>
              </w:rPr>
            </w:pPr>
            <w:r>
              <w:rPr>
                <w:rFonts w:ascii="Courier New" w:cs="Courier New" w:eastAsia="Courier New" w:hAnsi="Courier New"/>
                <w:sz w:val="16"/>
                <w:szCs w:val="16"/>
                <w:color w:val="auto"/>
              </w:rPr>
              <w:t>- ---------------</w:t>
            </w:r>
          </w:p>
        </w:tc>
        <w:tc>
          <w:tcPr>
            <w:tcW w:w="2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60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661"/>
        </w:trPr>
        <w:tc>
          <w:tcPr>
            <w:tcW w:w="1200" w:type="dxa"/>
            <w:vAlign w:val="bottom"/>
          </w:tcPr>
          <w:p>
            <w:pPr>
              <w:jc w:val="right"/>
              <w:ind w:right="2"/>
              <w:spacing w:after="0"/>
              <w:rPr>
                <w:sz w:val="20"/>
                <w:szCs w:val="20"/>
                <w:color w:val="auto"/>
              </w:rPr>
            </w:pPr>
            <w:r>
              <w:rPr>
                <w:rFonts w:ascii="Courier New" w:cs="Courier New" w:eastAsia="Courier New" w:hAnsi="Courier New"/>
                <w:sz w:val="16"/>
                <w:szCs w:val="16"/>
                <w:color w:val="auto"/>
              </w:rPr>
              <w:t>The</w:t>
            </w:r>
          </w:p>
        </w:tc>
        <w:tc>
          <w:tcPr>
            <w:tcW w:w="568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w w:val="96"/>
              </w:rPr>
              <w:t>accepted and rejected Competitive Bid Quotes described above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right="2879"/>
        <w:spacing w:after="0" w:line="305" w:lineRule="auto"/>
        <w:rPr>
          <w:sz w:val="20"/>
          <w:szCs w:val="20"/>
          <w:color w:val="auto"/>
        </w:rPr>
      </w:pPr>
      <w:r>
        <w:rPr>
          <w:rFonts w:ascii="Courier New" w:cs="Courier New" w:eastAsia="Courier New" w:hAnsi="Courier New"/>
          <w:sz w:val="16"/>
          <w:szCs w:val="16"/>
          <w:color w:val="auto"/>
        </w:rPr>
        <w:t>constitute all Competitive Bid Quotes submitted by the Banks in accordance with Section 4.5 of the Credit Agreement.</w:t>
      </w:r>
    </w:p>
    <w:p>
      <w:pPr>
        <w:spacing w:after="0" w:line="4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ind w:left="3260"/>
        <w:spacing w:after="0" w:line="236" w:lineRule="auto"/>
        <w:rPr>
          <w:sz w:val="20"/>
          <w:szCs w:val="20"/>
          <w:color w:val="auto"/>
        </w:rPr>
      </w:pPr>
      <w:r>
        <w:rPr>
          <w:rFonts w:ascii="Courier New" w:cs="Courier New" w:eastAsia="Courier New" w:hAnsi="Courier New"/>
          <w:sz w:val="16"/>
          <w:szCs w:val="16"/>
          <w:color w:val="auto"/>
        </w:rPr>
        <w:t>Name:</w:t>
      </w:r>
    </w:p>
    <w:p>
      <w:pPr>
        <w:ind w:left="3800"/>
        <w:spacing w:after="0" w:line="237"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Title:</w:t>
      </w:r>
    </w:p>
    <w:p>
      <w:pPr>
        <w:ind w:left="3900"/>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269" w:right="1440" w:bottom="1440" w:gutter="0" w:footer="0" w:header="0"/>
        </w:sectPr>
      </w:pPr>
    </w:p>
    <w:bookmarkStart w:id="169" w:name="page170"/>
    <w:bookmarkEnd w:id="169"/>
    <w:p>
      <w:pPr>
        <w:ind w:left="285"/>
        <w:spacing w:after="0"/>
        <w:rPr>
          <w:sz w:val="20"/>
          <w:szCs w:val="20"/>
          <w:color w:val="auto"/>
        </w:rPr>
      </w:pPr>
      <w:r>
        <w:rPr>
          <w:rFonts w:ascii="Courier New" w:cs="Courier New" w:eastAsia="Courier New" w:hAnsi="Courier New"/>
          <w:sz w:val="16"/>
          <w:szCs w:val="16"/>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APPLICATION AND AGREEMENT</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FOR STANDBY LETTER OF CREDIT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5" w:hanging="185"/>
        <w:spacing w:after="0"/>
        <w:tabs>
          <w:tab w:leader="none" w:pos="18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8"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To:  (Please Check One Issuing "Bank.</w:t>
      </w:r>
    </w:p>
    <w:p>
      <w:pPr>
        <w:spacing w:after="0" w:line="149" w:lineRule="exact"/>
        <w:rPr>
          <w:sz w:val="20"/>
          <w:szCs w:val="20"/>
          <w:color w:val="auto"/>
        </w:rPr>
      </w:pPr>
    </w:p>
    <w:p>
      <w:pPr>
        <w:ind w:left="5" w:right="2880"/>
        <w:spacing w:after="0" w:line="342" w:lineRule="auto"/>
        <w:rPr>
          <w:sz w:val="20"/>
          <w:szCs w:val="20"/>
          <w:color w:val="auto"/>
        </w:rPr>
      </w:pPr>
      <w:r>
        <w:rPr>
          <w:rFonts w:ascii="Courier New" w:cs="Courier New" w:eastAsia="Courier New" w:hAnsi="Courier New"/>
          <w:sz w:val="16"/>
          <w:szCs w:val="16"/>
          <w:color w:val="auto"/>
        </w:rPr>
        <w:t>Please issue an irrevocable Standby Letter of Credit substantially in accordance with this application.</w:t>
      </w:r>
    </w:p>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94"/>
        </w:trPr>
        <w:tc>
          <w:tcPr>
            <w:tcW w:w="5120" w:type="dxa"/>
            <w:vAlign w:val="bottom"/>
            <w:gridSpan w:val="2"/>
            <w:vMerge w:val="restart"/>
          </w:tcPr>
          <w:p>
            <w:pPr>
              <w:spacing w:after="0"/>
              <w:rPr>
                <w:sz w:val="20"/>
                <w:szCs w:val="20"/>
                <w:color w:val="auto"/>
              </w:rPr>
            </w:pPr>
            <w:r>
              <w:rPr>
                <w:rFonts w:ascii="Courier New" w:cs="Courier New" w:eastAsia="Courier New" w:hAnsi="Courier New"/>
                <w:sz w:val="22"/>
                <w:szCs w:val="22"/>
                <w:color w:val="auto"/>
                <w:w w:val="72"/>
                <w:vertAlign w:val="subscript"/>
              </w:rPr>
              <w:t>Deliver</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theLetterofCredit:</w:t>
            </w:r>
          </w:p>
        </w:tc>
        <w:tc>
          <w:tcPr>
            <w:tcW w:w="25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3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25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w w:val="95"/>
              </w:rPr>
              <w:t>_____________________</w:t>
            </w:r>
          </w:p>
        </w:tc>
        <w:tc>
          <w:tcPr>
            <w:tcW w:w="2700" w:type="dxa"/>
            <w:vAlign w:val="bottom"/>
          </w:tcPr>
          <w:p>
            <w:pPr>
              <w:jc w:val="right"/>
              <w:ind w:right="483"/>
              <w:spacing w:after="0" w:line="179" w:lineRule="exact"/>
              <w:rPr>
                <w:sz w:val="20"/>
                <w:szCs w:val="20"/>
                <w:color w:val="auto"/>
              </w:rPr>
            </w:pPr>
            <w:r>
              <w:rPr>
                <w:rFonts w:ascii="Courier New" w:cs="Courier New" w:eastAsia="Courier New" w:hAnsi="Courier New"/>
                <w:sz w:val="16"/>
                <w:szCs w:val="16"/>
                <w:color w:val="auto"/>
              </w:rPr>
              <w:t>(For Bank Use Only)</w:t>
            </w:r>
          </w:p>
        </w:tc>
        <w:tc>
          <w:tcPr>
            <w:tcW w:w="0" w:type="dxa"/>
            <w:vAlign w:val="bottom"/>
          </w:tcPr>
          <w:p>
            <w:pPr>
              <w:spacing w:after="0"/>
              <w:rPr>
                <w:sz w:val="1"/>
                <w:szCs w:val="1"/>
                <w:color w:val="auto"/>
              </w:rPr>
            </w:pPr>
          </w:p>
        </w:tc>
      </w:tr>
      <w:tr>
        <w:trPr>
          <w:trHeight w:val="179"/>
        </w:trPr>
        <w:tc>
          <w:tcPr>
            <w:tcW w:w="5120" w:type="dxa"/>
            <w:vAlign w:val="bottom"/>
            <w:gridSpan w:val="2"/>
          </w:tcPr>
          <w:p>
            <w:pPr>
              <w:ind w:left="740"/>
              <w:spacing w:after="0" w:line="179" w:lineRule="exact"/>
              <w:rPr>
                <w:sz w:val="20"/>
                <w:szCs w:val="20"/>
                <w:color w:val="auto"/>
              </w:rPr>
            </w:pPr>
            <w:r>
              <w:rPr>
                <w:rFonts w:ascii="Courier New" w:cs="Courier New" w:eastAsia="Courier New" w:hAnsi="Courier New"/>
                <w:sz w:val="16"/>
                <w:szCs w:val="16"/>
                <w:color w:val="auto"/>
              </w:rPr>
              <w:t>Directly to the beneficiary by courier, Attn:</w:t>
            </w:r>
          </w:p>
        </w:tc>
        <w:tc>
          <w:tcPr>
            <w:tcW w:w="2500" w:type="dxa"/>
            <w:vAlign w:val="bottom"/>
            <w:vMerge w:val="continue"/>
          </w:tcPr>
          <w:p>
            <w:pPr>
              <w:spacing w:after="0"/>
              <w:rPr>
                <w:sz w:val="15"/>
                <w:szCs w:val="15"/>
                <w:color w:val="auto"/>
              </w:rPr>
            </w:pPr>
          </w:p>
        </w:tc>
        <w:tc>
          <w:tcPr>
            <w:tcW w:w="2700" w:type="dxa"/>
            <w:vAlign w:val="bottom"/>
          </w:tcPr>
          <w:p>
            <w:pPr>
              <w:jc w:val="right"/>
              <w:ind w:right="1683"/>
              <w:spacing w:after="0" w:line="179" w:lineRule="exact"/>
              <w:rPr>
                <w:sz w:val="20"/>
                <w:szCs w:val="20"/>
                <w:color w:val="auto"/>
              </w:rPr>
            </w:pPr>
            <w:r>
              <w:rPr>
                <w:rFonts w:ascii="Courier New" w:cs="Courier New" w:eastAsia="Courier New" w:hAnsi="Courier New"/>
                <w:sz w:val="16"/>
                <w:szCs w:val="16"/>
                <w:color w:val="auto"/>
              </w:rPr>
              <w:t>L/C No.</w:t>
            </w:r>
          </w:p>
        </w:tc>
        <w:tc>
          <w:tcPr>
            <w:tcW w:w="0" w:type="dxa"/>
            <w:vAlign w:val="bottom"/>
          </w:tcPr>
          <w:p>
            <w:pPr>
              <w:spacing w:after="0"/>
              <w:rPr>
                <w:sz w:val="1"/>
                <w:szCs w:val="1"/>
                <w:color w:val="auto"/>
              </w:rPr>
            </w:pPr>
          </w:p>
        </w:tc>
      </w:tr>
      <w:tr>
        <w:trPr>
          <w:trHeight w:val="179"/>
        </w:trPr>
        <w:tc>
          <w:tcPr>
            <w:tcW w:w="436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Through your correspondent by</w:t>
            </w:r>
          </w:p>
        </w:tc>
        <w:tc>
          <w:tcPr>
            <w:tcW w:w="760" w:type="dxa"/>
            <w:vAlign w:val="bottom"/>
            <w:vMerge w:val="restart"/>
          </w:tcPr>
          <w:p>
            <w:pPr>
              <w:spacing w:after="0"/>
              <w:rPr>
                <w:sz w:val="20"/>
                <w:szCs w:val="20"/>
                <w:color w:val="auto"/>
              </w:rPr>
            </w:pPr>
            <w:r>
              <w:rPr>
                <w:rFonts w:ascii="Courier New" w:cs="Courier New" w:eastAsia="Courier New" w:hAnsi="Courier New"/>
                <w:sz w:val="16"/>
                <w:szCs w:val="16"/>
                <w:color w:val="auto"/>
                <w:w w:val="96"/>
              </w:rPr>
              <w:t>courier,</w:t>
            </w:r>
          </w:p>
        </w:tc>
        <w:tc>
          <w:tcPr>
            <w:tcW w:w="2500" w:type="dxa"/>
            <w:vAlign w:val="bottom"/>
            <w:vMerge w:val="restart"/>
          </w:tcPr>
          <w:p>
            <w:pPr>
              <w:jc w:val="right"/>
              <w:ind w:right="482"/>
              <w:spacing w:after="0"/>
              <w:rPr>
                <w:sz w:val="20"/>
                <w:szCs w:val="20"/>
                <w:color w:val="auto"/>
              </w:rPr>
            </w:pPr>
            <w:r>
              <w:rPr>
                <w:rFonts w:ascii="Courier New" w:cs="Courier New" w:eastAsia="Courier New" w:hAnsi="Courier New"/>
                <w:sz w:val="16"/>
                <w:szCs w:val="16"/>
                <w:color w:val="auto"/>
              </w:rPr>
              <w:t>Swift/Telex</w:t>
            </w:r>
          </w:p>
        </w:tc>
        <w:tc>
          <w:tcPr>
            <w:tcW w:w="2700" w:type="dxa"/>
            <w:vAlign w:val="bottom"/>
          </w:tcPr>
          <w:p>
            <w:pPr>
              <w:jc w:val="right"/>
              <w:ind w:right="203"/>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3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2700" w:type="dxa"/>
            <w:vAlign w:val="bottom"/>
          </w:tcPr>
          <w:p>
            <w:pPr>
              <w:jc w:val="right"/>
              <w:ind w:right="1683"/>
              <w:spacing w:after="0" w:line="179" w:lineRule="exact"/>
              <w:rPr>
                <w:sz w:val="20"/>
                <w:szCs w:val="20"/>
                <w:color w:val="auto"/>
              </w:rPr>
            </w:pPr>
            <w:r>
              <w:rPr>
                <w:rFonts w:ascii="Courier New" w:cs="Courier New" w:eastAsia="Courier New" w:hAnsi="Courier New"/>
                <w:sz w:val="16"/>
                <w:szCs w:val="16"/>
                <w:color w:val="auto"/>
              </w:rPr>
              <w:t>D/T No.</w:t>
            </w:r>
          </w:p>
        </w:tc>
        <w:tc>
          <w:tcPr>
            <w:tcW w:w="0" w:type="dxa"/>
            <w:vAlign w:val="bottom"/>
          </w:tcPr>
          <w:p>
            <w:pPr>
              <w:spacing w:after="0"/>
              <w:rPr>
                <w:sz w:val="1"/>
                <w:szCs w:val="1"/>
                <w:color w:val="auto"/>
              </w:rPr>
            </w:pPr>
          </w:p>
        </w:tc>
      </w:tr>
      <w:tr>
        <w:trPr>
          <w:trHeight w:val="179"/>
        </w:trPr>
        <w:tc>
          <w:tcPr>
            <w:tcW w:w="436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for delivery to the beneficiary</w:t>
            </w:r>
          </w:p>
        </w:tc>
        <w:tc>
          <w:tcPr>
            <w:tcW w:w="7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7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perscript"/>
              </w:rPr>
              <w:t>----------------</w:t>
            </w:r>
          </w:p>
        </w:tc>
        <w:tc>
          <w:tcPr>
            <w:tcW w:w="0" w:type="dxa"/>
            <w:vAlign w:val="bottom"/>
          </w:tcPr>
          <w:p>
            <w:pPr>
              <w:spacing w:after="0"/>
              <w:rPr>
                <w:sz w:val="1"/>
                <w:szCs w:val="1"/>
                <w:color w:val="auto"/>
              </w:rPr>
            </w:pPr>
          </w:p>
        </w:tc>
      </w:tr>
      <w:tr>
        <w:trPr>
          <w:trHeight w:val="276"/>
        </w:trPr>
        <w:tc>
          <w:tcPr>
            <w:tcW w:w="5120" w:type="dxa"/>
            <w:vAlign w:val="bottom"/>
            <w:gridSpan w:val="2"/>
          </w:tcPr>
          <w:p>
            <w:pPr>
              <w:spacing w:after="0"/>
              <w:rPr>
                <w:sz w:val="20"/>
                <w:szCs w:val="20"/>
                <w:color w:val="auto"/>
              </w:rPr>
            </w:pPr>
            <w:r>
              <w:rPr>
                <w:rFonts w:ascii="Courier New" w:cs="Courier New" w:eastAsia="Courier New" w:hAnsi="Courier New"/>
                <w:sz w:val="14"/>
                <w:szCs w:val="14"/>
                <w:color w:val="auto"/>
                <w:w w:val="76"/>
              </w:rPr>
              <w:t>- -----------------------------------------------------------------------------</w:t>
            </w:r>
          </w:p>
        </w:tc>
        <w:tc>
          <w:tcPr>
            <w:tcW w:w="25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48" w:lineRule="exact"/>
        <w:rPr>
          <w:sz w:val="20"/>
          <w:szCs w:val="20"/>
          <w:color w:val="auto"/>
        </w:rPr>
      </w:pPr>
    </w:p>
    <w:p>
      <w:pPr>
        <w:ind w:left="5"/>
        <w:spacing w:after="0"/>
        <w:tabs>
          <w:tab w:leader="none" w:pos="6204" w:val="left"/>
        </w:tabs>
        <w:rPr>
          <w:sz w:val="20"/>
          <w:szCs w:val="20"/>
          <w:color w:val="auto"/>
        </w:rPr>
      </w:pPr>
      <w:r>
        <w:rPr>
          <w:rFonts w:ascii="Courier New" w:cs="Courier New" w:eastAsia="Courier New" w:hAnsi="Courier New"/>
          <w:sz w:val="16"/>
          <w:szCs w:val="16"/>
          <w:color w:val="auto"/>
        </w:rPr>
        <w:t>Advising Bank (Name and Address)</w:t>
      </w:r>
      <w:r>
        <w:rPr>
          <w:sz w:val="20"/>
          <w:szCs w:val="20"/>
          <w:color w:val="auto"/>
        </w:rPr>
        <w:tab/>
      </w:r>
      <w:r>
        <w:rPr>
          <w:rFonts w:ascii="Courier New" w:cs="Courier New" w:eastAsia="Courier New" w:hAnsi="Courier New"/>
          <w:sz w:val="14"/>
          <w:szCs w:val="14"/>
          <w:color w:val="auto"/>
        </w:rPr>
        <w:t>Applicant (Name and Address)</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46" w:lineRule="exact"/>
        <w:rPr>
          <w:sz w:val="20"/>
          <w:szCs w:val="20"/>
          <w:color w:val="auto"/>
        </w:rPr>
      </w:pPr>
    </w:p>
    <w:p>
      <w:pPr>
        <w:ind w:left="5"/>
        <w:spacing w:after="0"/>
        <w:tabs>
          <w:tab w:leader="none" w:pos="6204" w:val="left"/>
        </w:tabs>
        <w:rPr>
          <w:sz w:val="20"/>
          <w:szCs w:val="20"/>
          <w:color w:val="auto"/>
        </w:rPr>
      </w:pPr>
      <w:r>
        <w:rPr>
          <w:rFonts w:ascii="Courier New" w:cs="Courier New" w:eastAsia="Courier New" w:hAnsi="Courier New"/>
          <w:sz w:val="16"/>
          <w:szCs w:val="16"/>
          <w:color w:val="auto"/>
        </w:rPr>
        <w:t>Beneficiary (Name and Address:</w:t>
      </w:r>
      <w:r>
        <w:rPr>
          <w:sz w:val="20"/>
          <w:szCs w:val="20"/>
          <w:color w:val="auto"/>
        </w:rPr>
        <w:tab/>
      </w:r>
      <w:r>
        <w:rPr>
          <w:rFonts w:ascii="Courier New" w:cs="Courier New" w:eastAsia="Courier New" w:hAnsi="Courier New"/>
          <w:sz w:val="14"/>
          <w:szCs w:val="14"/>
          <w:color w:val="auto"/>
        </w:rPr>
        <w:t>Amount</w:t>
      </w:r>
    </w:p>
    <w:p>
      <w:pPr>
        <w:ind w:left="6785"/>
        <w:spacing w:after="0" w:line="236" w:lineRule="auto"/>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6785"/>
        <w:spacing w:after="0"/>
        <w:rPr>
          <w:sz w:val="20"/>
          <w:szCs w:val="20"/>
          <w:color w:val="auto"/>
        </w:rPr>
      </w:pPr>
      <w:r>
        <w:rPr>
          <w:rFonts w:ascii="Courier New" w:cs="Courier New" w:eastAsia="Courier New" w:hAnsi="Courier New"/>
          <w:sz w:val="16"/>
          <w:szCs w:val="16"/>
          <w:color w:val="auto"/>
        </w:rPr>
        <w:t>INCLUDE CURRENCY IN NOT U.S. DOLLARS</w:t>
      </w:r>
    </w:p>
    <w:p>
      <w:pPr>
        <w:spacing w:after="0" w:line="149" w:lineRule="exact"/>
        <w:rPr>
          <w:sz w:val="20"/>
          <w:szCs w:val="20"/>
          <w:color w:val="auto"/>
        </w:rPr>
      </w:pPr>
    </w:p>
    <w:p>
      <w:pPr>
        <w:ind w:left="6225"/>
        <w:spacing w:after="0"/>
        <w:rPr>
          <w:sz w:val="20"/>
          <w:szCs w:val="20"/>
          <w:color w:val="auto"/>
        </w:rPr>
      </w:pPr>
      <w:r>
        <w:rPr>
          <w:rFonts w:ascii="Courier New" w:cs="Courier New" w:eastAsia="Courier New" w:hAnsi="Courier New"/>
          <w:sz w:val="16"/>
          <w:szCs w:val="16"/>
          <w:color w:val="auto"/>
        </w:rPr>
        <w:t>Amount in Words:</w:t>
      </w:r>
    </w:p>
    <w:p>
      <w:pPr>
        <w:spacing w:after="0" w:line="23" w:lineRule="exact"/>
        <w:rPr>
          <w:sz w:val="20"/>
          <w:szCs w:val="20"/>
          <w:color w:val="auto"/>
        </w:rPr>
      </w:pPr>
    </w:p>
    <w:p>
      <w:pPr>
        <w:ind w:left="7725"/>
        <w:spacing w:after="0"/>
        <w:rPr>
          <w:sz w:val="20"/>
          <w:szCs w:val="20"/>
          <w:color w:val="auto"/>
        </w:rPr>
      </w:pPr>
      <w:r>
        <w:rPr>
          <w:rFonts w:ascii="Courier New" w:cs="Courier New" w:eastAsia="Courier New" w:hAnsi="Courier New"/>
          <w:sz w:val="16"/>
          <w:szCs w:val="16"/>
          <w:color w:val="auto"/>
        </w:rPr>
        <w:t>--------------------------</w:t>
      </w:r>
    </w:p>
    <w:p>
      <w:pPr>
        <w:ind w:left="622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48" w:lineRule="exact"/>
        <w:rPr>
          <w:sz w:val="20"/>
          <w:szCs w:val="20"/>
          <w:color w:val="auto"/>
        </w:rPr>
      </w:pPr>
    </w:p>
    <w:p>
      <w:pPr>
        <w:ind w:left="5"/>
        <w:spacing w:after="0"/>
        <w:tabs>
          <w:tab w:leader="none" w:pos="6204" w:val="left"/>
          <w:tab w:leader="none" w:pos="9184" w:val="left"/>
        </w:tabs>
        <w:rPr>
          <w:sz w:val="20"/>
          <w:szCs w:val="20"/>
          <w:color w:val="auto"/>
        </w:rPr>
      </w:pPr>
      <w:r>
        <w:rPr>
          <w:rFonts w:ascii="Courier New" w:cs="Courier New" w:eastAsia="Courier New" w:hAnsi="Courier New"/>
          <w:sz w:val="16"/>
          <w:szCs w:val="16"/>
          <w:color w:val="auto"/>
        </w:rPr>
        <w:t>This Letter of Credit is transferable.</w:t>
      </w:r>
      <w:r>
        <w:rPr>
          <w:sz w:val="20"/>
          <w:szCs w:val="20"/>
          <w:color w:val="auto"/>
        </w:rPr>
        <w:tab/>
      </w:r>
      <w:r>
        <w:rPr>
          <w:rFonts w:ascii="Courier New" w:cs="Courier New" w:eastAsia="Courier New" w:hAnsi="Courier New"/>
          <w:sz w:val="16"/>
          <w:szCs w:val="16"/>
          <w:color w:val="auto"/>
        </w:rPr>
        <w:t>Partial drawings are Permitted</w:t>
      </w:r>
      <w:r>
        <w:rPr>
          <w:sz w:val="20"/>
          <w:szCs w:val="20"/>
          <w:color w:val="auto"/>
        </w:rPr>
        <w:tab/>
      </w:r>
      <w:r>
        <w:rPr>
          <w:rFonts w:ascii="Courier New" w:cs="Courier New" w:eastAsia="Courier New" w:hAnsi="Courier New"/>
          <w:sz w:val="14"/>
          <w:szCs w:val="14"/>
          <w:color w:val="auto"/>
        </w:rPr>
        <w:t>Prohibited</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46" w:lineRule="exact"/>
        <w:rPr>
          <w:sz w:val="20"/>
          <w:szCs w:val="20"/>
          <w:color w:val="auto"/>
        </w:rPr>
      </w:pPr>
    </w:p>
    <w:p>
      <w:pPr>
        <w:ind w:left="5"/>
        <w:spacing w:after="0"/>
        <w:tabs>
          <w:tab w:leader="none" w:pos="6204" w:val="left"/>
        </w:tabs>
        <w:rPr>
          <w:sz w:val="20"/>
          <w:szCs w:val="20"/>
          <w:color w:val="auto"/>
        </w:rPr>
      </w:pPr>
      <w:r>
        <w:rPr>
          <w:rFonts w:ascii="Courier New" w:cs="Courier New" w:eastAsia="Courier New" w:hAnsi="Courier New"/>
          <w:sz w:val="16"/>
          <w:szCs w:val="16"/>
          <w:color w:val="auto"/>
        </w:rPr>
        <w:t>All bank charges, other than Bank's, are for</w:t>
      </w:r>
      <w:r>
        <w:rPr>
          <w:sz w:val="20"/>
          <w:szCs w:val="20"/>
          <w:color w:val="auto"/>
        </w:rPr>
        <w:tab/>
      </w:r>
      <w:r>
        <w:rPr>
          <w:rFonts w:ascii="Courier New" w:cs="Courier New" w:eastAsia="Courier New" w:hAnsi="Courier New"/>
          <w:sz w:val="14"/>
          <w:szCs w:val="14"/>
          <w:color w:val="auto"/>
        </w:rPr>
        <w:t>Expiry Date:</w:t>
      </w:r>
    </w:p>
    <w:p>
      <w:pPr>
        <w:ind w:left="5"/>
        <w:spacing w:after="0"/>
        <w:rPr>
          <w:sz w:val="20"/>
          <w:szCs w:val="20"/>
          <w:color w:val="auto"/>
        </w:rPr>
      </w:pPr>
      <w:r>
        <w:rPr>
          <w:rFonts w:ascii="Courier New" w:cs="Courier New" w:eastAsia="Courier New" w:hAnsi="Courier New"/>
          <w:sz w:val="16"/>
          <w:szCs w:val="16"/>
          <w:color w:val="auto"/>
        </w:rPr>
        <w:t>beneficiary's account.</w:t>
      </w:r>
    </w:p>
    <w:p>
      <w:pPr>
        <w:spacing w:after="0" w:line="327" w:lineRule="exact"/>
        <w:rPr>
          <w:sz w:val="20"/>
          <w:szCs w:val="20"/>
          <w:color w:val="auto"/>
        </w:rPr>
      </w:pPr>
    </w:p>
    <w:p>
      <w:pPr>
        <w:ind w:left="185" w:hanging="185"/>
        <w:spacing w:after="0"/>
        <w:tabs>
          <w:tab w:leader="none" w:pos="18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99"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Available by beneficiary's drafts at sight accompanied by the following:</w:t>
      </w:r>
    </w:p>
    <w:p>
      <w:pPr>
        <w:spacing w:after="0" w:line="149" w:lineRule="exact"/>
        <w:rPr>
          <w:sz w:val="20"/>
          <w:szCs w:val="20"/>
          <w:color w:val="auto"/>
        </w:rPr>
      </w:pPr>
    </w:p>
    <w:p>
      <w:pPr>
        <w:ind w:left="5" w:right="460"/>
        <w:spacing w:after="0" w:line="342" w:lineRule="auto"/>
        <w:rPr>
          <w:sz w:val="20"/>
          <w:szCs w:val="20"/>
          <w:color w:val="auto"/>
        </w:rPr>
      </w:pPr>
      <w:r>
        <w:rPr>
          <w:rFonts w:ascii="Courier New" w:cs="Courier New" w:eastAsia="Courier New" w:hAnsi="Courier New"/>
          <w:sz w:val="16"/>
          <w:szCs w:val="16"/>
          <w:color w:val="auto"/>
        </w:rPr>
        <w:t>A statement purportedly signed by an authorized officer of the beneficiary reading as follows: (Please use concise terms).</w:t>
      </w:r>
    </w:p>
    <w:p>
      <w:pPr>
        <w:spacing w:after="0" w:line="20" w:lineRule="exact"/>
        <w:rPr>
          <w:sz w:val="20"/>
          <w:szCs w:val="20"/>
          <w:color w:val="auto"/>
        </w:rPr>
      </w:pPr>
    </w:p>
    <w:p>
      <w:pPr>
        <w:ind w:left="185" w:hanging="185"/>
        <w:spacing w:after="0"/>
        <w:tabs>
          <w:tab w:leader="none" w:pos="18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Attached is a format which is an integral part of this application.</w:t>
      </w:r>
    </w:p>
    <w:p>
      <w:pPr>
        <w:spacing w:after="0" w:line="23" w:lineRule="exact"/>
        <w:rPr>
          <w:sz w:val="20"/>
          <w:szCs w:val="20"/>
          <w:color w:val="auto"/>
        </w:rPr>
      </w:pPr>
    </w:p>
    <w:p>
      <w:pPr>
        <w:ind w:left="745"/>
        <w:spacing w:after="0"/>
        <w:rPr>
          <w:sz w:val="20"/>
          <w:szCs w:val="20"/>
          <w:color w:val="auto"/>
        </w:rPr>
      </w:pPr>
      <w:r>
        <w:rPr>
          <w:rFonts w:ascii="Courier New" w:cs="Courier New" w:eastAsia="Courier New" w:hAnsi="Courier New"/>
          <w:sz w:val="16"/>
          <w:szCs w:val="16"/>
          <w:color w:val="auto"/>
        </w:rPr>
        <w:t>Special Instructions:</w:t>
      </w:r>
    </w:p>
    <w:p>
      <w:pPr>
        <w:ind w:left="185" w:hanging="185"/>
        <w:spacing w:after="0"/>
        <w:tabs>
          <w:tab w:leader="none" w:pos="18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ind w:left="185" w:hanging="185"/>
        <w:spacing w:after="0"/>
        <w:tabs>
          <w:tab w:leader="none" w:pos="185"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50" w:lineRule="exact"/>
        <w:rPr>
          <w:sz w:val="20"/>
          <w:szCs w:val="20"/>
          <w:color w:val="auto"/>
        </w:rPr>
      </w:pPr>
    </w:p>
    <w:p>
      <w:pPr>
        <w:ind w:left="5" w:right="2980"/>
        <w:spacing w:after="0" w:line="258" w:lineRule="auto"/>
        <w:rPr>
          <w:sz w:val="20"/>
          <w:szCs w:val="20"/>
          <w:color w:val="auto"/>
        </w:rPr>
      </w:pPr>
      <w:r>
        <w:rPr>
          <w:rFonts w:ascii="Courier New" w:cs="Courier New" w:eastAsia="Courier New" w:hAnsi="Courier New"/>
          <w:sz w:val="16"/>
          <w:szCs w:val="16"/>
          <w:color w:val="auto"/>
        </w:rPr>
        <w:t>We hereby certify that the transactions covered by this Application and Agreement are not prohibited under any existing Laws and regulations of the United States, including the Foreign Assets Control Regulations of the United States Treasury Department and that any transaction covered by this Application and Agreement complies in every respect with all existing United States Government Laws and Regulations.</w:t>
      </w:r>
    </w:p>
    <w:p>
      <w:pPr>
        <w:spacing w:after="0" w:line="83" w:lineRule="exact"/>
        <w:rPr>
          <w:sz w:val="20"/>
          <w:szCs w:val="20"/>
          <w:color w:val="auto"/>
        </w:rPr>
      </w:pPr>
    </w:p>
    <w:p>
      <w:pPr>
        <w:ind w:left="5" w:right="3620"/>
        <w:spacing w:after="0" w:line="348" w:lineRule="auto"/>
        <w:rPr>
          <w:sz w:val="20"/>
          <w:szCs w:val="20"/>
          <w:color w:val="auto"/>
        </w:rPr>
      </w:pPr>
      <w:r>
        <w:rPr>
          <w:rFonts w:ascii="Courier New" w:cs="Courier New" w:eastAsia="Courier New" w:hAnsi="Courier New"/>
          <w:sz w:val="14"/>
          <w:szCs w:val="14"/>
          <w:color w:val="auto"/>
        </w:rPr>
        <w:t>Reference to any document, instrument or agreement is for identification purposes only and such document, instrument or agreement will not be incorporated into the terms of the Letter of Credit.</w:t>
      </w:r>
    </w:p>
    <w:p>
      <w:pPr>
        <w:spacing w:after="0" w:line="26" w:lineRule="exact"/>
        <w:rPr>
          <w:sz w:val="20"/>
          <w:szCs w:val="20"/>
          <w:color w:val="auto"/>
        </w:rPr>
      </w:pPr>
    </w:p>
    <w:p>
      <w:pPr>
        <w:ind w:left="5" w:right="2980"/>
        <w:spacing w:after="0" w:line="425" w:lineRule="auto"/>
        <w:rPr>
          <w:sz w:val="20"/>
          <w:szCs w:val="20"/>
          <w:color w:val="auto"/>
        </w:rPr>
      </w:pPr>
      <w:r>
        <w:rPr>
          <w:rFonts w:ascii="Courier New" w:cs="Courier New" w:eastAsia="Courier New" w:hAnsi="Courier New"/>
          <w:sz w:val="14"/>
          <w:szCs w:val="14"/>
          <w:color w:val="auto"/>
        </w:rPr>
        <w:t>This credit will be subject to the Uniform Customs and Practice for Documentary Credits of the International Chamber of Commerce Currently in effect.</w:t>
      </w:r>
    </w:p>
    <w:p>
      <w:pPr>
        <w:spacing w:after="0" w:line="318" w:lineRule="exact"/>
        <w:rPr>
          <w:sz w:val="20"/>
          <w:szCs w:val="20"/>
          <w:color w:val="auto"/>
        </w:rPr>
      </w:pPr>
    </w:p>
    <w:tbl>
      <w:tblPr>
        <w:tblLayout w:type="fixed"/>
        <w:tblInd w:w="5" w:type="dxa"/>
        <w:tblCellMar>
          <w:top w:w="0" w:type="dxa"/>
          <w:left w:w="0" w:type="dxa"/>
          <w:bottom w:w="0" w:type="dxa"/>
          <w:right w:w="0" w:type="dxa"/>
        </w:tblCellMar>
      </w:tblPr>
      <w:tr>
        <w:trPr>
          <w:trHeight w:val="194"/>
        </w:trPr>
        <w:tc>
          <w:tcPr>
            <w:tcW w:w="4220" w:type="dxa"/>
            <w:vAlign w:val="bottom"/>
            <w:vMerge w:val="restart"/>
          </w:tcPr>
          <w:p>
            <w:pPr>
              <w:jc w:val="center"/>
              <w:ind w:right="144"/>
              <w:spacing w:after="0"/>
              <w:rPr>
                <w:sz w:val="20"/>
                <w:szCs w:val="20"/>
                <w:color w:val="auto"/>
              </w:rPr>
            </w:pPr>
            <w:r>
              <w:rPr>
                <w:rFonts w:ascii="Courier New" w:cs="Courier New" w:eastAsia="Courier New" w:hAnsi="Courier New"/>
                <w:sz w:val="14"/>
                <w:szCs w:val="14"/>
                <w:color w:val="auto"/>
                <w:w w:val="74"/>
              </w:rPr>
              <w:t>- -----------------------------------------</w:t>
            </w:r>
            <w:r>
              <w:rPr>
                <w:rFonts w:ascii="Courier New" w:cs="Courier New" w:eastAsia="Courier New" w:hAnsi="Courier New"/>
                <w:sz w:val="28"/>
                <w:szCs w:val="28"/>
                <w:color w:val="auto"/>
                <w:w w:val="74"/>
                <w:vertAlign w:val="subscript"/>
              </w:rPr>
              <w:t>(FORBANKUSEONLY)</w:t>
            </w:r>
          </w:p>
        </w:tc>
        <w:tc>
          <w:tcPr>
            <w:tcW w:w="6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220" w:type="dxa"/>
            <w:vAlign w:val="bottom"/>
            <w:vMerge w:val="continue"/>
          </w:tcPr>
          <w:p>
            <w:pPr>
              <w:spacing w:after="0"/>
              <w:rPr>
                <w:sz w:val="15"/>
                <w:szCs w:val="15"/>
                <w:color w:val="auto"/>
              </w:rPr>
            </w:pPr>
          </w:p>
        </w:tc>
        <w:tc>
          <w:tcPr>
            <w:tcW w:w="610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WE AGREE TO ALL THE TERMS AND CONDITIONS ON THE FACE AND</w:t>
            </w:r>
          </w:p>
        </w:tc>
        <w:tc>
          <w:tcPr>
            <w:tcW w:w="0" w:type="dxa"/>
            <w:vAlign w:val="bottom"/>
          </w:tcPr>
          <w:p>
            <w:pPr>
              <w:spacing w:after="0"/>
              <w:rPr>
                <w:sz w:val="1"/>
                <w:szCs w:val="1"/>
                <w:color w:val="auto"/>
              </w:rPr>
            </w:pPr>
          </w:p>
        </w:tc>
      </w:tr>
      <w:tr>
        <w:trPr>
          <w:trHeight w:val="179"/>
        </w:trPr>
        <w:tc>
          <w:tcPr>
            <w:tcW w:w="4220" w:type="dxa"/>
            <w:vAlign w:val="bottom"/>
          </w:tcPr>
          <w:p>
            <w:pPr>
              <w:jc w:val="center"/>
              <w:ind w:right="164"/>
              <w:spacing w:after="0" w:line="179" w:lineRule="exact"/>
              <w:rPr>
                <w:sz w:val="20"/>
                <w:szCs w:val="20"/>
                <w:color w:val="auto"/>
              </w:rPr>
            </w:pPr>
            <w:r>
              <w:rPr>
                <w:rFonts w:ascii="Courier New" w:cs="Courier New" w:eastAsia="Courier New" w:hAnsi="Courier New"/>
                <w:sz w:val="16"/>
                <w:szCs w:val="16"/>
                <w:color w:val="auto"/>
                <w:w w:val="96"/>
              </w:rPr>
              <w:t>Relationship Manager approval</w:t>
            </w:r>
          </w:p>
        </w:tc>
        <w:tc>
          <w:tcPr>
            <w:tcW w:w="6100" w:type="dxa"/>
            <w:vAlign w:val="bottom"/>
          </w:tcPr>
          <w:p>
            <w:pPr>
              <w:jc w:val="right"/>
              <w:ind w:right="2242"/>
              <w:spacing w:after="0" w:line="179" w:lineRule="exact"/>
              <w:rPr>
                <w:sz w:val="20"/>
                <w:szCs w:val="20"/>
                <w:color w:val="auto"/>
              </w:rPr>
            </w:pPr>
            <w:r>
              <w:rPr>
                <w:rFonts w:ascii="Courier New" w:cs="Courier New" w:eastAsia="Courier New" w:hAnsi="Courier New"/>
                <w:sz w:val="16"/>
                <w:szCs w:val="16"/>
                <w:color w:val="auto"/>
              </w:rPr>
              <w:t>REVERSE HEREOF.*</w:t>
            </w:r>
          </w:p>
        </w:tc>
        <w:tc>
          <w:tcPr>
            <w:tcW w:w="0" w:type="dxa"/>
            <w:vAlign w:val="bottom"/>
          </w:tcPr>
          <w:p>
            <w:pPr>
              <w:spacing w:after="0"/>
              <w:rPr>
                <w:sz w:val="1"/>
                <w:szCs w:val="1"/>
                <w:color w:val="auto"/>
              </w:rPr>
            </w:pPr>
          </w:p>
        </w:tc>
      </w:tr>
      <w:tr>
        <w:trPr>
          <w:trHeight w:val="179"/>
        </w:trPr>
        <w:tc>
          <w:tcPr>
            <w:tcW w:w="4220" w:type="dxa"/>
            <w:vAlign w:val="bottom"/>
          </w:tcPr>
          <w:p>
            <w:pPr>
              <w:jc w:val="center"/>
              <w:ind w:right="444"/>
              <w:spacing w:after="0" w:line="179" w:lineRule="exact"/>
              <w:rPr>
                <w:sz w:val="20"/>
                <w:szCs w:val="20"/>
                <w:color w:val="auto"/>
              </w:rPr>
            </w:pPr>
            <w:r>
              <w:rPr>
                <w:rFonts w:ascii="Courier New" w:cs="Courier New" w:eastAsia="Courier New" w:hAnsi="Courier New"/>
                <w:sz w:val="16"/>
                <w:szCs w:val="16"/>
                <w:color w:val="auto"/>
                <w:w w:val="97"/>
              </w:rPr>
              <w:t>(also indicate approval of applicant's</w:t>
            </w:r>
          </w:p>
        </w:tc>
        <w:tc>
          <w:tcPr>
            <w:tcW w:w="6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220" w:type="dxa"/>
            <w:vAlign w:val="bottom"/>
          </w:tcPr>
          <w:p>
            <w:pPr>
              <w:jc w:val="center"/>
              <w:ind w:right="424"/>
              <w:spacing w:after="0"/>
              <w:rPr>
                <w:sz w:val="20"/>
                <w:szCs w:val="20"/>
                <w:color w:val="auto"/>
              </w:rPr>
            </w:pPr>
            <w:r>
              <w:rPr>
                <w:rFonts w:ascii="Courier New" w:cs="Courier New" w:eastAsia="Courier New" w:hAnsi="Courier New"/>
                <w:sz w:val="16"/>
                <w:szCs w:val="16"/>
                <w:color w:val="auto"/>
                <w:w w:val="95"/>
              </w:rPr>
              <w:t>authority)</w:t>
            </w:r>
          </w:p>
        </w:tc>
        <w:tc>
          <w:tcPr>
            <w:tcW w:w="6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325"/>
          </w:cols>
          <w:pgMar w:left="235" w:top="269" w:right="1339" w:bottom="0" w:gutter="0" w:footer="0" w:header="0"/>
        </w:sectPr>
      </w:pPr>
    </w:p>
    <w:bookmarkStart w:id="170" w:name="page171"/>
    <w:bookmarkEnd w:id="1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49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COMPANY/</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tcPr>
          <w:p>
            <w:pPr>
              <w:ind w:left="920"/>
              <w:spacing w:after="0" w:line="179" w:lineRule="exact"/>
              <w:rPr>
                <w:sz w:val="20"/>
                <w:szCs w:val="20"/>
                <w:color w:val="auto"/>
              </w:rPr>
            </w:pPr>
            <w:r>
              <w:rPr>
                <w:rFonts w:ascii="Courier New" w:cs="Courier New" w:eastAsia="Courier New" w:hAnsi="Courier New"/>
                <w:sz w:val="16"/>
                <w:szCs w:val="16"/>
                <w:color w:val="auto"/>
              </w:rPr>
              <w:t>AUTHORIZED SIGNATURE</w:t>
            </w:r>
          </w:p>
        </w:tc>
        <w:tc>
          <w:tcPr>
            <w:tcW w:w="498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rPr>
                <w:sz w:val="15"/>
                <w:szCs w:val="15"/>
                <w:color w:val="auto"/>
              </w:rPr>
            </w:pPr>
          </w:p>
        </w:tc>
        <w:tc>
          <w:tcPr>
            <w:tcW w:w="49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BANK NAME:</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40" w:type="dxa"/>
            <w:vAlign w:val="bottom"/>
            <w:vMerge w:val="restart"/>
          </w:tcPr>
          <w:p>
            <w:pPr>
              <w:spacing w:after="0"/>
              <w:rPr>
                <w:sz w:val="20"/>
                <w:szCs w:val="20"/>
                <w:color w:val="auto"/>
              </w:rPr>
            </w:pPr>
            <w:r>
              <w:rPr>
                <w:rFonts w:ascii="Courier New" w:cs="Courier New" w:eastAsia="Courier New" w:hAnsi="Courier New"/>
                <w:sz w:val="16"/>
                <w:szCs w:val="16"/>
                <w:color w:val="auto"/>
                <w:w w:val="89"/>
              </w:rPr>
              <w:t>- -----------------------------------------</w:t>
            </w:r>
            <w:r>
              <w:rPr>
                <w:rFonts w:ascii="Courier New" w:cs="Courier New" w:eastAsia="Courier New" w:hAnsi="Courier New"/>
                <w:sz w:val="31"/>
                <w:szCs w:val="31"/>
                <w:color w:val="auto"/>
                <w:w w:val="89"/>
                <w:vertAlign w:val="subscript"/>
              </w:rPr>
              <w:t>DATE</w:t>
            </w:r>
          </w:p>
        </w:tc>
        <w:tc>
          <w:tcPr>
            <w:tcW w:w="61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94"/>
        </w:trPr>
        <w:tc>
          <w:tcPr>
            <w:tcW w:w="4140" w:type="dxa"/>
            <w:vAlign w:val="bottom"/>
            <w:vMerge w:val="continue"/>
          </w:tcPr>
          <w:p>
            <w:pPr>
              <w:spacing w:after="0"/>
              <w:rPr>
                <w:sz w:val="16"/>
                <w:szCs w:val="16"/>
                <w:color w:val="auto"/>
              </w:rPr>
            </w:pPr>
          </w:p>
        </w:tc>
        <w:tc>
          <w:tcPr>
            <w:tcW w:w="4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140" w:type="dxa"/>
            <w:vAlign w:val="bottom"/>
          </w:tcPr>
          <w:p>
            <w:pPr>
              <w:spacing w:after="0"/>
              <w:rPr>
                <w:sz w:val="20"/>
                <w:szCs w:val="20"/>
                <w:color w:val="auto"/>
              </w:rPr>
            </w:pPr>
            <w:r>
              <w:rPr>
                <w:rFonts w:ascii="Courier New" w:cs="Courier New" w:eastAsia="Courier New" w:hAnsi="Courier New"/>
                <w:sz w:val="16"/>
                <w:szCs w:val="16"/>
                <w:color w:val="auto"/>
              </w:rPr>
              <w:t>Internal Form #13429 "Standby LC</w:t>
            </w:r>
          </w:p>
        </w:tc>
        <w:tc>
          <w:tcPr>
            <w:tcW w:w="49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BY:</w:t>
            </w: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Set-Up/Change" is required with each</w:t>
            </w:r>
          </w:p>
        </w:tc>
        <w:tc>
          <w:tcPr>
            <w:tcW w:w="4980" w:type="dxa"/>
            <w:vAlign w:val="bottom"/>
            <w:vMerge w:val="continue"/>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140" w:type="dxa"/>
            <w:vAlign w:val="bottom"/>
          </w:tcPr>
          <w:p>
            <w:pPr>
              <w:spacing w:after="0"/>
              <w:rPr>
                <w:sz w:val="20"/>
                <w:szCs w:val="20"/>
                <w:color w:val="auto"/>
              </w:rPr>
            </w:pPr>
            <w:r>
              <w:rPr>
                <w:rFonts w:ascii="Courier New" w:cs="Courier New" w:eastAsia="Courier New" w:hAnsi="Courier New"/>
                <w:sz w:val="16"/>
                <w:szCs w:val="16"/>
                <w:color w:val="auto"/>
              </w:rPr>
              <w:t>application.</w:t>
            </w:r>
          </w:p>
        </w:tc>
        <w:tc>
          <w:tcPr>
            <w:tcW w:w="4980" w:type="dxa"/>
            <w:vAlign w:val="bottom"/>
            <w:vMerge w:val="restart"/>
          </w:tcPr>
          <w:p>
            <w:pPr>
              <w:ind w:left="140"/>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2"/>
                <w:szCs w:val="22"/>
                <w:color w:val="auto"/>
                <w:w w:val="71"/>
                <w:vertAlign w:val="subscript"/>
              </w:rPr>
              <w:t>AUTHORIZEDSIGNATURE-TITLE</w:t>
            </w:r>
          </w:p>
        </w:tc>
        <w:tc>
          <w:tcPr>
            <w:tcW w:w="1200" w:type="dxa"/>
            <w:vAlign w:val="bottom"/>
            <w:vMerge w:val="restart"/>
          </w:tcPr>
          <w:p>
            <w:pPr>
              <w:spacing w:after="0"/>
              <w:rPr>
                <w:sz w:val="20"/>
                <w:szCs w:val="20"/>
                <w:color w:val="auto"/>
              </w:rPr>
            </w:pPr>
            <w:r>
              <w:rPr>
                <w:rFonts w:ascii="Courier New" w:cs="Courier New" w:eastAsia="Courier New" w:hAnsi="Courier New"/>
                <w:sz w:val="16"/>
                <w:szCs w:val="16"/>
                <w:color w:val="auto"/>
              </w:rPr>
              <w:t>DATE</w:t>
            </w:r>
          </w:p>
        </w:tc>
        <w:tc>
          <w:tcPr>
            <w:tcW w:w="0" w:type="dxa"/>
            <w:vAlign w:val="bottom"/>
          </w:tcPr>
          <w:p>
            <w:pPr>
              <w:spacing w:after="0"/>
              <w:rPr>
                <w:sz w:val="1"/>
                <w:szCs w:val="1"/>
                <w:color w:val="auto"/>
              </w:rPr>
            </w:pPr>
          </w:p>
        </w:tc>
      </w:tr>
      <w:tr>
        <w:trPr>
          <w:trHeight w:val="97"/>
        </w:trPr>
        <w:tc>
          <w:tcPr>
            <w:tcW w:w="4140" w:type="dxa"/>
            <w:vAlign w:val="bottom"/>
          </w:tcPr>
          <w:p>
            <w:pPr>
              <w:spacing w:after="0"/>
              <w:rPr>
                <w:sz w:val="8"/>
                <w:szCs w:val="8"/>
                <w:color w:val="auto"/>
              </w:rPr>
            </w:pPr>
          </w:p>
        </w:tc>
        <w:tc>
          <w:tcPr>
            <w:tcW w:w="49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41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6180" w:type="dxa"/>
            <w:vAlign w:val="bottom"/>
            <w:gridSpan w:val="2"/>
          </w:tcPr>
          <w:p>
            <w:pPr>
              <w:ind w:left="32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13423 7/00 PKG 25 EA</w:t>
      </w:r>
    </w:p>
    <w:p>
      <w:pPr>
        <w:sectPr>
          <w:pgSz w:w="11900" w:h="16838" w:orient="portrait"/>
          <w:cols w:equalWidth="0" w:num="1">
            <w:col w:w="10320"/>
          </w:cols>
          <w:pgMar w:left="240" w:top="290" w:right="1339" w:bottom="1440" w:gutter="0" w:footer="0" w:header="0"/>
        </w:sectPr>
      </w:pPr>
    </w:p>
    <w:bookmarkStart w:id="171" w:name="page172"/>
    <w:bookmarkEnd w:id="171"/>
    <w:p>
      <w:pPr>
        <w:ind w:left="285"/>
        <w:spacing w:after="0"/>
        <w:rPr>
          <w:sz w:val="20"/>
          <w:szCs w:val="20"/>
          <w:color w:val="auto"/>
        </w:rPr>
      </w:pPr>
      <w:r>
        <w:rPr>
          <w:rFonts w:ascii="Courier New" w:cs="Courier New" w:eastAsia="Courier New" w:hAnsi="Courier New"/>
          <w:sz w:val="16"/>
          <w:szCs w:val="16"/>
          <w:color w:val="auto"/>
        </w:rPr>
        <w:t>117</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left="5" w:right="2879" w:hanging="5"/>
        <w:spacing w:after="0" w:line="296" w:lineRule="auto"/>
        <w:tabs>
          <w:tab w:leader="none" w:pos="191"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this Application and Agreement for Standby Letter of Credit ("LC Agreement") are superceded by that certain Revolving Credit Agreement dated June 29, 2001 by and among Waste Management, Inc., Waste Management Holdings, Inc., Fleet National Bank, as Administrative Agent, and other financial institutions (the "Credit Agreement"), and to the extent of any conflict or inconsistency between the terms and conditions of the LC Agreement and the Credit Agreement, the Credit Agreement shall control and prevail.</w:t>
      </w:r>
    </w:p>
    <w:p>
      <w:pPr>
        <w:spacing w:after="0" w:line="62" w:lineRule="exact"/>
        <w:rPr>
          <w:sz w:val="20"/>
          <w:szCs w:val="20"/>
          <w:color w:val="auto"/>
        </w:rPr>
      </w:pPr>
    </w:p>
    <w:p>
      <w:pPr>
        <w:ind w:left="5" w:right="2879" w:firstLine="837"/>
        <w:spacing w:after="0" w:line="342" w:lineRule="auto"/>
        <w:rPr>
          <w:sz w:val="20"/>
          <w:szCs w:val="20"/>
          <w:color w:val="auto"/>
        </w:rPr>
      </w:pPr>
      <w:r>
        <w:rPr>
          <w:rFonts w:ascii="Courier New" w:cs="Courier New" w:eastAsia="Courier New" w:hAnsi="Courier New"/>
          <w:sz w:val="16"/>
          <w:szCs w:val="16"/>
          <w:color w:val="auto"/>
        </w:rPr>
        <w:t>For good and valuable consideration, the receipt and adequacy of which is hereby acknowledged, the Bank and the customer agrees as follows:</w:t>
      </w:r>
    </w:p>
    <w:p>
      <w:pPr>
        <w:spacing w:after="0" w:line="20" w:lineRule="exact"/>
        <w:rPr>
          <w:sz w:val="20"/>
          <w:szCs w:val="20"/>
          <w:color w:val="auto"/>
        </w:rPr>
      </w:pPr>
    </w:p>
    <w:p>
      <w:pPr>
        <w:ind w:left="5" w:right="2779" w:firstLine="833"/>
        <w:spacing w:after="0" w:line="244" w:lineRule="auto"/>
        <w:tabs>
          <w:tab w:leader="none" w:pos="1121"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reference hereinafter contained to: (a) "Bank", "Bank's Address", "Customer", "Customer's Address", and "Expiry Date" shall be deemed to refer to the defined terms on Page 1 of this Agreement; (b) "Agreement" shall be deemed to refer to this Application and Agreement for Standby Letter of Credit, including without limitation the application portion on Page 1 hereof; (c) "Business Day" shall be deemed to refer to any day on which commercial banks located in the state of the Bank's Address are not required or authorized to remain closed and which is not a Saturday, Sunday or legal holiday; (d) "Credit" shall be deemed to refer to the letter of credit to be issued by the Bank substantially in the form set forth in the application portion of this Agreement, all amendments thereto, and any substitutions or replacements thereof; (e) "Events of Default" shall be deemed to refer to one or more of the events of default or defaults specified in Paragraph 6 of this Agreement; (f) "Prime Rate" shall be deemed to refer to the rate of interest designated by the Bank from time to time as being its prime rate of interest.</w:t>
      </w:r>
    </w:p>
    <w:p>
      <w:pPr>
        <w:spacing w:after="0" w:line="98" w:lineRule="exact"/>
        <w:rPr>
          <w:rFonts w:ascii="Courier New" w:cs="Courier New" w:eastAsia="Courier New" w:hAnsi="Courier New"/>
          <w:sz w:val="16"/>
          <w:szCs w:val="16"/>
          <w:color w:val="auto"/>
        </w:rPr>
      </w:pPr>
    </w:p>
    <w:p>
      <w:pPr>
        <w:ind w:left="5" w:right="3059" w:firstLine="833"/>
        <w:spacing w:after="0" w:line="309" w:lineRule="auto"/>
        <w:tabs>
          <w:tab w:leader="none" w:pos="1121"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instruments payable in U.S. Dollars, the Customer will: (a) pay the Bank in U.S. Dollars the amount paid on any sight draft or, at the Bank's option, pay the Bank in advance the amount required to pay such draft; and (b) pay the Bank in U.S. Dollars the amount of each acceptance on demand, but in any event not later than one Business Day prior to maturity.</w:t>
      </w:r>
    </w:p>
    <w:p>
      <w:pPr>
        <w:spacing w:after="0" w:line="52" w:lineRule="exact"/>
        <w:rPr>
          <w:rFonts w:ascii="Courier New" w:cs="Courier New" w:eastAsia="Courier New" w:hAnsi="Courier New"/>
          <w:sz w:val="14"/>
          <w:szCs w:val="14"/>
          <w:color w:val="auto"/>
        </w:rPr>
      </w:pPr>
    </w:p>
    <w:p>
      <w:pPr>
        <w:ind w:left="1125" w:hanging="287"/>
        <w:spacing w:after="0"/>
        <w:tabs>
          <w:tab w:leader="none" w:pos="1125" w:val="left"/>
        </w:tabs>
        <w:numPr>
          <w:ilvl w:val="1"/>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instruments payable in a foreign currency, the Customer will:</w:t>
      </w:r>
    </w:p>
    <w:p>
      <w:pPr>
        <w:spacing w:after="0" w:line="48" w:lineRule="exact"/>
        <w:rPr>
          <w:rFonts w:ascii="Courier New" w:cs="Courier New" w:eastAsia="Courier New" w:hAnsi="Courier New"/>
          <w:sz w:val="14"/>
          <w:szCs w:val="14"/>
          <w:color w:val="auto"/>
        </w:rPr>
      </w:pPr>
    </w:p>
    <w:p>
      <w:pPr>
        <w:ind w:left="5" w:right="2779" w:hanging="5"/>
        <w:spacing w:after="0" w:line="278" w:lineRule="auto"/>
        <w:tabs>
          <w:tab w:leader="none" w:pos="377"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the bank in U.S. Dollars, the equivalent of the amount paid on any sight draft, immediately upon such payment being made, at the Bank's then selling rate for cable transfers to the place of payment in the currency in which the draft is drawn; and (b) in the case of each acceptance pay the Bank in U.S. Dollars, on demand, but in any event in time to reach the place of payment by mail not later than one Business Day prior to maturity, the equivalent thereof at the Bank's then selling rate for the currency in which the acceptance is payable, or at the Bank's option pay the Bank on demand the equivalent of the acceptance in U.S. Dollars at the Bank's then selling rate for cable transfers to the place of payment in such currency. If for any reason there should exist at the time in question no rate of exchange generally current in the sate of the Bank's Address for effective cable transfers of the sort provided for, the Customer will pay the Bank on demand an amount in U.S. Dollars equivalent to the actual cost to the Bank of settlement of the Bank's obligations to the payor of the draft or acceptance or any holder thereof, as the case may be, however and whenever such settlement is made by the Bank.</w:t>
      </w:r>
    </w:p>
    <w:p>
      <w:pPr>
        <w:spacing w:after="0" w:line="257" w:lineRule="exact"/>
        <w:rPr>
          <w:rFonts w:ascii="Courier New" w:cs="Courier New" w:eastAsia="Courier New" w:hAnsi="Courier New"/>
          <w:sz w:val="14"/>
          <w:szCs w:val="14"/>
          <w:color w:val="auto"/>
        </w:rPr>
      </w:pPr>
    </w:p>
    <w:p>
      <w:pPr>
        <w:ind w:left="5" w:right="2779" w:firstLine="833"/>
        <w:spacing w:after="0" w:line="275" w:lineRule="auto"/>
        <w:tabs>
          <w:tab w:leader="none" w:pos="1121"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Customer will pay the Bank on demand a commission at such rate as the Bank may determine, plus interest where chargeable, and all fees, charges and expenses, including reasonable counsel fees, incurred or paid by the Bank in protecting or enforcing its rights under this Agreement, or in connection with the Credit issued pursuant hereto and any confirmation thereof, or arising or caused in any manner whatsoever in connection therewith, including without limitation reasonable counsel fees and expenses incurred in connection with the defense of all actions seeking to restrain or enjoin payment of the credit or any draft accepted under the Credit or attachment or garnishment proceedings involving any of the proceeds of the Credit or any such draft. In addition to commissions, fees, charges, expenses and amounts otherwise payable with respect to the issuance of the Credit, the customer shall pay to the Bank on demand such amounts as the Bank in its sole discretion determines are necessary to compensate the Bank for any costs attributable to the Bank's issuing or having outstanding or making payment under the Credit resulting from the application or any domestic or foreign law or regulation or the interpretation or administration thereof applicable to the Bank regarding any reserve, assessment, capitalization (including the cost of maintaining capital sufficient to permit issuance of the Credit, provided the cost attributed to the Credit is determined in good faith by any reasonable method) or similar requirement whether existing at the time of issuance of the Credit or adopted thereafter. All amounts not paid when due in accordance with this Agreement (including without limitation those set forth in paragraph 2, 3 and 4 hereof) shall bear interest until paid in full at a rate per annum equal to six percent (6%) above the Prime Rate, not to exceed the maximum rate of interest permitted by applicable law. Each change in such interest rate shall take effect simultaneously with the corresponding change in the Prime Rate. The bank is hereby irrevocably authorized to charge any one or more of the Customer's accounts with the Bank for payment in full or in part of any of the Customer's obligations to the Bank under this Agreement. At the option of the Bank, if there is a separate revolving line of credit, line or credit, or other credit facility existing between the Bank and the customer, the Bank is irrevocably authorized to satisfy the Customer's reimbursement obligation to the Bank, in whole or in part, by making an advance under such facility.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7" w:lineRule="exact"/>
        <w:rPr>
          <w:rFonts w:ascii="Courier New" w:cs="Courier New" w:eastAsia="Courier New" w:hAnsi="Courier New"/>
          <w:sz w:val="14"/>
          <w:szCs w:val="14"/>
          <w:color w:val="auto"/>
        </w:rPr>
      </w:pPr>
    </w:p>
    <w:p>
      <w:pPr>
        <w:ind w:left="1125" w:hanging="287"/>
        <w:spacing w:after="0"/>
        <w:tabs>
          <w:tab w:leader="none" w:pos="1125" w:val="left"/>
        </w:tabs>
        <w:numPr>
          <w:ilvl w:val="1"/>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users of the Credit shall be deemed the Customer's agents, and</w:t>
      </w:r>
    </w:p>
    <w:p>
      <w:pPr>
        <w:sectPr>
          <w:pgSz w:w="11900" w:h="16838" w:orient="portrait"/>
          <w:cols w:equalWidth="0" w:num="1">
            <w:col w:w="10224"/>
          </w:cols>
          <w:pgMar w:left="235" w:top="269" w:right="1440" w:bottom="0" w:gutter="0" w:footer="0" w:header="0"/>
        </w:sectPr>
      </w:pPr>
    </w:p>
    <w:bookmarkStart w:id="172" w:name="page173"/>
    <w:bookmarkEnd w:id="172"/>
    <w:p>
      <w:pPr>
        <w:ind w:right="2779"/>
        <w:spacing w:after="0" w:line="277" w:lineRule="auto"/>
        <w:rPr>
          <w:sz w:val="20"/>
          <w:szCs w:val="20"/>
          <w:color w:val="auto"/>
        </w:rPr>
      </w:pPr>
      <w:r>
        <w:rPr>
          <w:rFonts w:ascii="Courier New" w:cs="Courier New" w:eastAsia="Courier New" w:hAnsi="Courier New"/>
          <w:sz w:val="14"/>
          <w:szCs w:val="14"/>
          <w:color w:val="auto"/>
        </w:rPr>
        <w:t>the customer assumes all risks of their acts or omissions. The Customer's obligation to pay the Bank for all amounts due under this Agreement is absolute and unconditional. Such obligation of the Customer shall not be affected by, and the Bank shall not be responsible for, the validity, sufficiency, correctness or genuineness of documents, even if such documents should in fact prove to be in any or all respects incorrect, defective, invalid, insufficient, fraudulent or forged; any breach of contract or dispute between any beneficiary of the Credit and the Customer; the existence of any claim, setoff, defense or other right which the Customer may have at any time against the beneficiary or any other person or entity, whether in connection with this Agreement, the transaction contemplated herein or any unrelated transaction; the failure of any draft or certificate to bear reference or adequate reference to the Credit; errors, omissions, interruptions or delays in transmission or delivery of any messages by mail, telex, telecopy, or otherwise; the exchange, release or non-perfection of any collateral or the release of any guarantor; or any consequences arising from causes beyond the Bank's control; and none of the above shall affect, impair or prevent the fixing of any of the Bank's rights or powers hereunder. Any provision with respect to any of the foregoing matters which is contained in the Credit itself may be waived by the Bank. The Customer will hold the Bank harmless from all loss or damage in respect of any of the foregoing matters which is contained in the Credit itself may be waived by the Bank. The Customer will hold the Bank harmless from all loss or damage in respect of any of the foregoing matters, and from any and all damage and loss whatsoever suffered by the Bank by reason of any and all action taken by the Bank in good faith.</w:t>
      </w:r>
    </w:p>
    <w:p>
      <w:pPr>
        <w:spacing w:after="0" w:line="200" w:lineRule="exact"/>
        <w:rPr>
          <w:sz w:val="20"/>
          <w:szCs w:val="20"/>
          <w:color w:val="auto"/>
        </w:rPr>
      </w:pPr>
    </w:p>
    <w:p>
      <w:pPr>
        <w:spacing w:after="0" w:line="245" w:lineRule="exact"/>
        <w:rPr>
          <w:sz w:val="20"/>
          <w:szCs w:val="20"/>
          <w:color w:val="auto"/>
        </w:rPr>
      </w:pPr>
    </w:p>
    <w:p>
      <w:pPr>
        <w:ind w:right="2779" w:firstLine="833"/>
        <w:spacing w:after="0" w:line="273" w:lineRule="auto"/>
        <w:tabs>
          <w:tab w:leader="none" w:pos="1116"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Customer will deliver to the Bank on demand such additional security (including cash) as the Bank may from time to time require, to be held as general collateral for all the customer's liabilities to the Bank hereunder and for all other liabilities, absolute or contingent due or to become due, which may be at any time owing to Bank by the Customer. All property belonging to the Customer, including any collection items, now or hereafter handed to the Bank or for any purpose left in the Bank's possession by the Customer for the Customer's account, or in transit to or from the Bank, by mail or carriers, and all balances of any deposit accounts the customer may have with the Bank, are hereby made security, and the Bank is hereby granted a security interest therein, for all such liabilities and may be held or disposed of as the Bank may see fit, and applied toward any payment of any and all such liabilities, all of which shall become immediately due and payable upon an Event of Default. Each of the following events or actions by or affecting the Customer shall constitute an Event of Default; default in the performance of any undertaking to the Bank under this Agreement, any trust receipt, or under any other obligation to the Bank or agreement with the Bank; insolvency, or the filing by or against the Customer of any petition under the Bankruptcy Code or any similar Federal or state statute; the filing by or against the Customer of a petition for the appointment of a receiver; the making of an assignment for the benefit of creditors; the Customer's death, failure in business, dissolution, suspension or termination of existence; any seizure, vesting or intervention by or under authority in the conduct of its business is curtailed; or the attachment or distraint of any of the Customer's funds or other property which may be in, or come into, the Bank's possession or under the Bank's control, or that of any third party acting for the Bank, or of the same becoming subject at any time to any mandatory order of court or other legal process. The Bank may at any time transfer into the Bank's or its nominee's name all or any part of such security, before or after maturity of any of the customer's obligations and without any notice to the Customer or any other person. Whenever the Bank deems it necessary for the Bank's or the Customer's protection, or after an Event of Default specified herein, or other default, the Bank shall have the right to accelerate and make immediately due and payable all of the Customer's obligations to the Bank under the Credit and this Agreement and under any other document or agreement (including without limitation the obligations evidenced by the outstanding (but undrawn upon) Credit and/or by acceptances which have not matured). The Bank shall have, in addition to all other rights and remedies under applicable law, the rights and remedies of a secured party under the Uniform Commercial Code, and the Bank may, without regard to such maturity, realize upon (by sale, assignment, setoff, application or otherwise) all or any part of such security, in each case without advertisement, notice to, tender, demand or call of any kind upon the Customer or any other person, except that, unless such security is perishable or threatens to decline speedily in value or is of a type customarily sold on a recognized market, the Bank shall give the Customer three Business Days prior written notice of the time and place of any public sale thereof or of the time after which any private sale or other intended disposition thereof is to be made. Any such sale or assignment may be public, private or upon any broker's board or exchange, for cash, on credit or for future delivery, and as such price and upon such terms and conditions, as the Bank deems appropriate. For this purpose, the Bank may, so far as the Customer can give authority therefor, enter upon any premises on which such security or any proceeds thereof may be situated and remove the same therefrom, or require that such security or proceeds be made available tot he Bank at a place or places reasonably convenient to both the Bank and the Customer. The Bank may acquire all or any part of such security and any purchaser shall hold same free from any equity of redemption or other claim or right on the Customer's part, which are hereby specifically waiver specifically waived and released. The Bank may discount, settle compromise, or extend any obligations constituting such security, and sue thereon in the Bank's or the Customer's name. However, the Banks shall not be liable for failure to collect or demand payment of, or protest or give notice of non-payment of, any obligation included in such security or part thereof, or for any delay in so doing, nor shall the Bank be under any obligation to take any action whatever in respect to such security or any part thereof. No advertising, notice, tender, demand, or call at any time given or made shall be a waiver of the Bank's right to proceed in the same or other instances without any further action.</w:t>
      </w:r>
    </w:p>
    <w:p>
      <w:pPr>
        <w:sectPr>
          <w:pgSz w:w="11900" w:h="16838" w:orient="portrait"/>
          <w:cols w:equalWidth="0" w:num="1">
            <w:col w:w="10219"/>
          </w:cols>
          <w:pgMar w:left="240" w:top="114" w:right="1440" w:bottom="863" w:gutter="0" w:footer="0" w:header="0"/>
        </w:sectPr>
      </w:pPr>
    </w:p>
    <w:bookmarkStart w:id="173" w:name="page174"/>
    <w:bookmarkEnd w:id="173"/>
    <w:p>
      <w:pPr>
        <w:jc w:val="both"/>
        <w:ind w:left="5" w:right="2779" w:firstLine="833"/>
        <w:spacing w:after="0" w:line="289" w:lineRule="auto"/>
        <w:tabs>
          <w:tab w:leader="none" w:pos="1121"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Bank at any time or other collateral shall not be deemed a waiver of any of the Bank's rights or powers relating to any collateral which the Bank may hold at the time of such receipt.</w:t>
      </w:r>
    </w:p>
    <w:p>
      <w:pPr>
        <w:spacing w:after="0" w:line="60" w:lineRule="exact"/>
        <w:rPr>
          <w:rFonts w:ascii="Courier New" w:cs="Courier New" w:eastAsia="Courier New" w:hAnsi="Courier New"/>
          <w:sz w:val="16"/>
          <w:szCs w:val="16"/>
          <w:color w:val="auto"/>
        </w:rPr>
      </w:pPr>
    </w:p>
    <w:p>
      <w:pPr>
        <w:ind w:left="5" w:right="2779" w:firstLine="833"/>
        <w:spacing w:after="0" w:line="248" w:lineRule="auto"/>
        <w:tabs>
          <w:tab w:leader="none" w:pos="1121"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on the part of the Bank to exercise, and no delay in exercising, any right hereunder shall operate as a waiver thereto; nor shall any single or partial exercise of any right hereunder preclude any other further exercise thereof or the exercise of any right. The remedies herein provided are cumulative and not exclusive of any remedies provided by law. No amendment or waiver of any provision of this Agreement nor consent to any departure by the parties hereto shall in any event be effective unless the same shall be in writing and signed by such party, and then such waiver or consent shall be effective only in the specific instance and for the specific purpose for which given.</w:t>
      </w:r>
    </w:p>
    <w:p>
      <w:pPr>
        <w:spacing w:after="0" w:line="94" w:lineRule="exact"/>
        <w:rPr>
          <w:rFonts w:ascii="Courier New" w:cs="Courier New" w:eastAsia="Courier New" w:hAnsi="Courier New"/>
          <w:sz w:val="16"/>
          <w:szCs w:val="16"/>
          <w:color w:val="auto"/>
        </w:rPr>
      </w:pPr>
    </w:p>
    <w:p>
      <w:pPr>
        <w:jc w:val="both"/>
        <w:ind w:left="5" w:right="2779" w:firstLine="833"/>
        <w:spacing w:after="0" w:line="289" w:lineRule="auto"/>
        <w:tabs>
          <w:tab w:leader="none" w:pos="1121"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continue in force notwithstanding any change in the composition of firm or firms parties hereto, or drawers of drafts hereunder, or in the incorporation of any such firm.</w:t>
      </w:r>
    </w:p>
    <w:p>
      <w:pPr>
        <w:spacing w:after="0" w:line="60" w:lineRule="exact"/>
        <w:rPr>
          <w:rFonts w:ascii="Courier New" w:cs="Courier New" w:eastAsia="Courier New" w:hAnsi="Courier New"/>
          <w:sz w:val="16"/>
          <w:szCs w:val="16"/>
          <w:color w:val="auto"/>
        </w:rPr>
      </w:pPr>
    </w:p>
    <w:p>
      <w:pPr>
        <w:ind w:left="5" w:right="2879" w:firstLine="833"/>
        <w:spacing w:after="0" w:line="258" w:lineRule="auto"/>
        <w:tabs>
          <w:tab w:leader="none" w:pos="1214"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authorizes the Bank, without reference to or approval by the Customer, to set forth the terms of this Agreement in the Credit in such language as the Bank may deem appropriate with such variations from such terms as the Bank may in its discretion determine (which determination shall be conclusive and binding upon the Customer) are necessary and are not materially inconsistent with this Agreement.</w:t>
      </w:r>
    </w:p>
    <w:p>
      <w:pPr>
        <w:spacing w:after="0" w:line="83" w:lineRule="exact"/>
        <w:rPr>
          <w:rFonts w:ascii="Courier New" w:cs="Courier New" w:eastAsia="Courier New" w:hAnsi="Courier New"/>
          <w:sz w:val="16"/>
          <w:szCs w:val="16"/>
          <w:color w:val="auto"/>
        </w:rPr>
      </w:pPr>
    </w:p>
    <w:p>
      <w:pPr>
        <w:ind w:left="5" w:right="2779" w:firstLine="833"/>
        <w:spacing w:after="0" w:line="248" w:lineRule="auto"/>
        <w:tabs>
          <w:tab w:leader="none" w:pos="1214"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under the Credit and this Agreement (whether or not the Credit is documentary or non-documentary in nature) shall be determined by the Uniform Customs and Practice for Documentary Credits of the International Chamber of Commerce in effect (International Chamber of Commerce Publication No. 500 or the most recent revision or successor thereto which shall be in effect from time to time), the terms of which are known to the Customer and which are incorporated by reference herein, and all rights under the Credit and this Agreement, to the extent not inconsistent with said Uniform Customs and Practices, shall be construed in accordance with the local laws of the State of the Bank's Address.</w:t>
      </w:r>
    </w:p>
    <w:p>
      <w:pPr>
        <w:spacing w:after="0" w:line="94" w:lineRule="exact"/>
        <w:rPr>
          <w:rFonts w:ascii="Courier New" w:cs="Courier New" w:eastAsia="Courier New" w:hAnsi="Courier New"/>
          <w:sz w:val="16"/>
          <w:szCs w:val="16"/>
          <w:color w:val="auto"/>
        </w:rPr>
      </w:pPr>
    </w:p>
    <w:p>
      <w:pPr>
        <w:ind w:left="1205" w:hanging="367"/>
        <w:spacing w:after="0"/>
        <w:tabs>
          <w:tab w:leader="none" w:pos="1205" w:val="left"/>
        </w:tabs>
        <w:numPr>
          <w:ilvl w:val="1"/>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represents, warrants and covenants to the Bank that</w:t>
      </w:r>
    </w:p>
    <w:p>
      <w:pPr>
        <w:spacing w:after="0" w:line="25" w:lineRule="exact"/>
        <w:rPr>
          <w:rFonts w:ascii="Courier New" w:cs="Courier New" w:eastAsia="Courier New" w:hAnsi="Courier New"/>
          <w:sz w:val="16"/>
          <w:szCs w:val="16"/>
          <w:color w:val="auto"/>
        </w:rPr>
      </w:pPr>
    </w:p>
    <w:p>
      <w:pPr>
        <w:ind w:left="5" w:right="2779" w:hanging="5"/>
        <w:spacing w:after="0" w:line="239" w:lineRule="auto"/>
        <w:tabs>
          <w:tab w:leader="none" w:pos="377"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partnership or a corporation, it is duly organized, validly existing and in good standing; (b) it has the power to execute, deliver and perform this Agreement; (c) the execution, delivery and performance of this Agreement have been duly authorized by all requisite action; (d) the execution delivery and performance of this Agreement and the issuance of the Credit will not violate any provision of law, any order of any court or other agency of government, the Articles of Incorporation or By-Laws of a corporate Customer or the Partnership Agreement of a partnership Customer, or any indenture, agreement or other instrument of which it is a party, or by which it is bound, or be in conflict with result in a breach of or constitute (with the due notice or lapse of time or both) a default under any such indenture, agreement or other instrument, or result in the creation or imposition of any lien, charge or encumbrance of any nature whatsoever upon any of the property or assets of the Customer (other than in favor of the Bank) or the acceleration of any of the Customer's outstanding indebtedness; (e) the Customer has heretofore furnished to the Bank accurate and complete financial data and other information based on its operations in previous years, and said financial data furnished to the Bank is accurate and complete and fairly presents the financial position and the results of operations for the periods indicated therein; (f) there has been no material adverse change in the condition, financial or otherwise, of the Customer since the date of the most recent financial statement; and (g) the Customer shall furnish to the Bank periodically such financial statements, balance sheets and profit and loss statements, together with supporting schedules, tax returns, and such other information regarding the operations, assets, business, affairs and financial conditions of the Customer, as the Bank shall from time to time request.</w:t>
      </w:r>
    </w:p>
    <w:p>
      <w:pPr>
        <w:spacing w:after="0" w:line="109" w:lineRule="exact"/>
        <w:rPr>
          <w:rFonts w:ascii="Courier New" w:cs="Courier New" w:eastAsia="Courier New" w:hAnsi="Courier New"/>
          <w:sz w:val="16"/>
          <w:szCs w:val="16"/>
          <w:color w:val="auto"/>
        </w:rPr>
      </w:pPr>
    </w:p>
    <w:p>
      <w:pPr>
        <w:ind w:left="5" w:right="2959" w:firstLine="833"/>
        <w:spacing w:after="0" w:line="342" w:lineRule="auto"/>
        <w:tabs>
          <w:tab w:leader="none" w:pos="1214"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signed by two or more Customers, it shall be the joint and several agreement and obligation of such Customers.</w:t>
      </w:r>
    </w:p>
    <w:p>
      <w:pPr>
        <w:spacing w:after="0" w:line="20" w:lineRule="exact"/>
        <w:rPr>
          <w:rFonts w:ascii="Courier New" w:cs="Courier New" w:eastAsia="Courier New" w:hAnsi="Courier New"/>
          <w:sz w:val="16"/>
          <w:szCs w:val="16"/>
          <w:color w:val="auto"/>
        </w:rPr>
      </w:pPr>
    </w:p>
    <w:p>
      <w:pPr>
        <w:ind w:left="5" w:right="2779" w:firstLine="833"/>
        <w:spacing w:after="0" w:line="263" w:lineRule="auto"/>
        <w:tabs>
          <w:tab w:leader="none" w:pos="1214"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agrees that in the event of any extension of the maturity or time for presentation of drafts, acceptances or documents, or any other amendments or modification of the terms of the Credit, at the request of any single Customer, with or without notification to the others, or in the event of any increase in the amount of the Credit at any single</w:t>
      </w:r>
    </w:p>
    <w:p>
      <w:pPr>
        <w:sectPr>
          <w:pgSz w:w="11900" w:h="16838" w:orient="portrait"/>
          <w:cols w:equalWidth="0" w:num="1">
            <w:col w:w="10224"/>
          </w:cols>
          <w:pgMar w:left="235" w:top="114"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6"/>
          <w:szCs w:val="16"/>
          <w:color w:val="auto"/>
        </w:rPr>
        <w:t>118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327" w:lineRule="exact"/>
        <w:rPr>
          <w:sz w:val="20"/>
          <w:szCs w:val="20"/>
          <w:color w:val="auto"/>
        </w:rPr>
      </w:pPr>
    </w:p>
    <w:p>
      <w:pPr>
        <w:ind w:right="3159"/>
        <w:spacing w:after="0" w:line="309" w:lineRule="auto"/>
        <w:rPr>
          <w:sz w:val="20"/>
          <w:szCs w:val="20"/>
          <w:color w:val="auto"/>
        </w:rPr>
      </w:pPr>
      <w:r>
        <w:rPr>
          <w:rFonts w:ascii="Courier New" w:cs="Courier New" w:eastAsia="Courier New" w:hAnsi="Courier New"/>
          <w:sz w:val="14"/>
          <w:szCs w:val="14"/>
          <w:color w:val="auto"/>
        </w:rPr>
        <w:t>Customer's request, with or without notification to the others, this amount shall be binding upon the Customer with regard to the Credit so increased or otherwise amended or modified, to drafts, documents and property covered thereby, and to any action taken by the Bank or any of its corespondents in accordance with such extension, increase or other modification.</w:t>
      </w:r>
    </w:p>
    <w:p>
      <w:pPr>
        <w:spacing w:after="0" w:line="52" w:lineRule="exact"/>
        <w:rPr>
          <w:sz w:val="20"/>
          <w:szCs w:val="20"/>
          <w:color w:val="auto"/>
        </w:rPr>
      </w:pPr>
    </w:p>
    <w:p>
      <w:pPr>
        <w:ind w:right="2959" w:firstLine="833"/>
        <w:spacing w:after="0" w:line="289"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is authorized to interpret the Credit in accordance with rules, regulations, and customs prevailing at the place and time during which the Credit is available or the drafts are drawn or negotiated.</w:t>
      </w:r>
    </w:p>
    <w:p>
      <w:pPr>
        <w:spacing w:after="0" w:line="60" w:lineRule="exact"/>
        <w:rPr>
          <w:rFonts w:ascii="Courier New" w:cs="Courier New" w:eastAsia="Courier New" w:hAnsi="Courier New"/>
          <w:sz w:val="16"/>
          <w:szCs w:val="16"/>
          <w:color w:val="auto"/>
        </w:rPr>
      </w:pPr>
    </w:p>
    <w:p>
      <w:pPr>
        <w:ind w:right="2879" w:firstLine="833"/>
        <w:spacing w:after="0" w:line="272"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is authorized to pay conforming drawings submitted by an administrator, trustee in bankruptcy, debtor-in-possession, assignee for the benefit of creditors, liquidator, receiver or other legal representative of the party who is authorized to draw.</w:t>
      </w:r>
    </w:p>
    <w:p>
      <w:pPr>
        <w:spacing w:after="0" w:line="72" w:lineRule="exact"/>
        <w:rPr>
          <w:rFonts w:ascii="Courier New" w:cs="Courier New" w:eastAsia="Courier New" w:hAnsi="Courier New"/>
          <w:sz w:val="16"/>
          <w:szCs w:val="16"/>
          <w:color w:val="auto"/>
        </w:rPr>
      </w:pPr>
    </w:p>
    <w:p>
      <w:pPr>
        <w:ind w:right="2959" w:firstLine="833"/>
        <w:spacing w:after="0" w:line="342"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available amount of the Credit shall be reduced by the amount of any conforming drawing made thereunder.</w:t>
      </w:r>
    </w:p>
    <w:p>
      <w:pPr>
        <w:spacing w:after="0" w:line="20" w:lineRule="exact"/>
        <w:rPr>
          <w:rFonts w:ascii="Courier New" w:cs="Courier New" w:eastAsia="Courier New" w:hAnsi="Courier New"/>
          <w:sz w:val="16"/>
          <w:szCs w:val="16"/>
          <w:color w:val="auto"/>
        </w:rPr>
      </w:pPr>
    </w:p>
    <w:p>
      <w:pPr>
        <w:ind w:right="2779" w:firstLine="833"/>
        <w:spacing w:after="0" w:line="279" w:lineRule="auto"/>
        <w:tabs>
          <w:tab w:leader="none" w:pos="120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provided hereunder shall be in writing and shall be personally delivered or sent by certified first class mail, return receipt requested, or by telex or telecopy. Unless otherwise specified in this Agreement, all such notices and other communications to the Bank shall be mailed, telexed, telecopied or delivered to it, addressed to the Bank, c/o</w:t>
      </w:r>
    </w:p>
    <w:p>
      <w:pPr>
        <w:ind w:right="2779"/>
        <w:spacing w:after="0" w:line="24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____________________________________________________________________, and all such notices and other communications to the Customer shall be mailed, telexed, telecopied or delivered to the Customer, at the Customer's Address. The Bank and the Customer reserve the right to change such address, telex number and/or telecopy number in a written notice to the other party. All such notices and other communications shall, when mailed certified or registered mail, be effective three days after the date of deposit in the mails, addressed as aforesaid; when personally delivered, when received a the address aforesaid; and, when sent by telex or telecopy when received at the then current telex or telecopy number.</w:t>
      </w:r>
    </w:p>
    <w:p>
      <w:pPr>
        <w:spacing w:after="0" w:line="97" w:lineRule="exact"/>
        <w:rPr>
          <w:rFonts w:ascii="Courier New" w:cs="Courier New" w:eastAsia="Courier New" w:hAnsi="Courier New"/>
          <w:sz w:val="14"/>
          <w:szCs w:val="14"/>
          <w:color w:val="auto"/>
        </w:rPr>
      </w:pPr>
    </w:p>
    <w:p>
      <w:pPr>
        <w:ind w:right="2879" w:firstLine="833"/>
        <w:spacing w:after="0" w:line="258"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this Agreement which is prohibited, unenforceable or not authorized in any jurisdiction shall, as to such jurisdiction, be ineffective to the extent of such prohibition, unenforceability or non-authorization without invalidating the remaining provisions hereof or affecting the validity, enforceability or legality of such provision in any other jurisdiction.</w:t>
      </w:r>
    </w:p>
    <w:p>
      <w:pPr>
        <w:spacing w:after="0" w:line="83" w:lineRule="exact"/>
        <w:rPr>
          <w:rFonts w:ascii="Courier New" w:cs="Courier New" w:eastAsia="Courier New" w:hAnsi="Courier New"/>
          <w:sz w:val="16"/>
          <w:szCs w:val="16"/>
          <w:color w:val="auto"/>
        </w:rPr>
      </w:pPr>
    </w:p>
    <w:p>
      <w:pPr>
        <w:ind w:right="2779" w:firstLine="833"/>
        <w:spacing w:after="0" w:line="263"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tow or more counterparts, each of which shall constitute an original, but both or all of which, when taken together, shall constitute but one instrument, and shall become effective when copies hereof which, when taken together, bear the signatures of each of the parties, hereto shall be delivered to the Bank.</w:t>
      </w:r>
    </w:p>
    <w:p>
      <w:pPr>
        <w:spacing w:after="0" w:line="80" w:lineRule="exact"/>
        <w:rPr>
          <w:rFonts w:ascii="Courier New" w:cs="Courier New" w:eastAsia="Courier New" w:hAnsi="Courier New"/>
          <w:sz w:val="16"/>
          <w:szCs w:val="16"/>
          <w:color w:val="auto"/>
        </w:rPr>
      </w:pPr>
    </w:p>
    <w:p>
      <w:pPr>
        <w:ind w:right="2779" w:firstLine="833"/>
        <w:spacing w:after="0" w:line="281" w:lineRule="auto"/>
        <w:tabs>
          <w:tab w:leader="none" w:pos="1209"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Customer hereby expressly submits to the non-exclusive jurisdiction of all federal and state courts sitting in the state of the Bank's Address, and agrees that any processor notice of motion or other application to any of said courts or a judge thereof may be served upon the Customer within or without such court's jurisdiction by registered or certified mail, return receipt requested, or by personal service, at the Customer's Address (or at such other address as the Customer shall specify by a prior notice in writing to the Bank), provided reasonable time for appearance is allowed. The Customer hereby irrevocably waives any objection which it may now or hereafter have to the laying of venue to any suit, action or proceeding arising out of or relating to this Agreement brought in any federal or state courts sitting in the Bank's location and hereby further irrevocably waives any claim that any such suit, action or proceeding brought in any such court has been brought in any inconvenient forum. Notwithstanding the foregoing, the Bank may sue the Customer in any jurisdiction where the Customer or any of its assets may be found and may serve legal process upon the Customer in any other manner permitted by law.</w:t>
      </w:r>
    </w:p>
    <w:p>
      <w:pPr>
        <w:spacing w:after="0" w:line="255" w:lineRule="exact"/>
        <w:rPr>
          <w:rFonts w:ascii="Courier New" w:cs="Courier New" w:eastAsia="Courier New" w:hAnsi="Courier New"/>
          <w:sz w:val="14"/>
          <w:szCs w:val="14"/>
          <w:color w:val="auto"/>
        </w:rPr>
      </w:pPr>
    </w:p>
    <w:p>
      <w:pPr>
        <w:ind w:right="2779" w:firstLine="833"/>
        <w:spacing w:after="0" w:line="272"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HEREBY WAIVES ANY RIGHTS IT MAY HAVE TO A TRIAL BY JURY OF ANY DISPUTE ARISING UNDER OR RELATING TO THIS AGREEMENT OR THE CREDIT, AND AGREES THAT ANY SUCH DISPUTE SHALL BE TRIED BEFORE A JUDGE SITTING WITHOUT A JURY.</w:t>
      </w:r>
    </w:p>
    <w:p>
      <w:pPr>
        <w:spacing w:after="0" w:line="72" w:lineRule="exact"/>
        <w:rPr>
          <w:rFonts w:ascii="Courier New" w:cs="Courier New" w:eastAsia="Courier New" w:hAnsi="Courier New"/>
          <w:sz w:val="16"/>
          <w:szCs w:val="16"/>
          <w:color w:val="auto"/>
        </w:rPr>
      </w:pPr>
    </w:p>
    <w:p>
      <w:pPr>
        <w:ind w:right="2779" w:firstLine="833"/>
        <w:spacing w:after="0" w:line="251"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reserves the right to sell or assign all or any portion of the Bank's right, title and interest in and to the Agreement and all related documents, and to participate all or any portion of the aforesaid. In connection therewith, the Customer authorizes the Bank to deliver to any such purchaser or participant and any prospective purchaser or participant the originals and/or copies of the Agreement, financial statements relating to the Customer and any guarantors, and any and all other credit or other information from time to time in the Bank's possession.</w:t>
      </w:r>
    </w:p>
    <w:p>
      <w:pPr>
        <w:spacing w:after="0" w:line="93" w:lineRule="exact"/>
        <w:rPr>
          <w:rFonts w:ascii="Courier New" w:cs="Courier New" w:eastAsia="Courier New" w:hAnsi="Courier New"/>
          <w:sz w:val="16"/>
          <w:szCs w:val="16"/>
          <w:color w:val="auto"/>
        </w:rPr>
      </w:pPr>
    </w:p>
    <w:p>
      <w:pPr>
        <w:ind w:right="2879" w:firstLine="833"/>
        <w:spacing w:after="0" w:line="289"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the Credit by the Bank constitutes the Bank's adoption, authentication, signature, and agreement to be bound by the terms and provisions of this Agreement.</w:t>
      </w:r>
    </w:p>
    <w:p>
      <w:pPr>
        <w:spacing w:after="0" w:line="60" w:lineRule="exact"/>
        <w:rPr>
          <w:rFonts w:ascii="Courier New" w:cs="Courier New" w:eastAsia="Courier New" w:hAnsi="Courier New"/>
          <w:sz w:val="16"/>
          <w:szCs w:val="16"/>
          <w:color w:val="auto"/>
        </w:rPr>
      </w:pPr>
    </w:p>
    <w:p>
      <w:pPr>
        <w:ind w:right="2779" w:firstLine="833"/>
        <w:spacing w:after="0" w:line="289" w:lineRule="auto"/>
        <w:tabs>
          <w:tab w:leader="none" w:pos="1209"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the Customer's respective executors, administrators, successors and assigns and shall inure to the benefit of the Bank and its successors and assigns.</w:t>
      </w:r>
    </w:p>
    <w:p>
      <w:pPr>
        <w:sectPr>
          <w:pgSz w:w="11900" w:h="16838" w:orient="portrait"/>
          <w:cols w:equalWidth="0" w:num="1">
            <w:col w:w="10219"/>
          </w:cols>
          <w:pgMar w:left="240" w:top="269" w:right="1440" w:bottom="0" w:gutter="0" w:footer="0" w:header="0"/>
        </w:sectPr>
      </w:pPr>
    </w:p>
    <w:bookmarkStart w:id="175" w:name="page176"/>
    <w:bookmarkEnd w:id="175"/>
    <w:p>
      <w:pPr>
        <w:spacing w:after="0" w:line="289" w:lineRule="auto"/>
        <w:tabs>
          <w:tab w:leader="none" w:pos="1209" w:val="left"/>
        </w:tabs>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10.2</w:t>
      </w:r>
    </w:p>
    <w:p>
      <w:pPr>
        <w:spacing w:after="0" w:line="32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364-DAY LOAN AGREEMENT</w:t>
      </w:r>
    </w:p>
    <w:p>
      <w:pPr>
        <w:spacing w:after="0" w:line="17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DATED AS OF JUNE 29, 2001</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by and among</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(the "Borrower")</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WASTE MANAGEMENT HOLDINGS, INC.</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"Guarantor")</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FLEET NATIONAL BANK ("Fleet")</w:t>
      </w:r>
    </w:p>
    <w:p>
      <w:pPr>
        <w:spacing w:after="0" w:line="177"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BANK OF AMERICA, N.A. ("BOA")</w:t>
      </w:r>
    </w:p>
    <w:p>
      <w:pPr>
        <w:spacing w:after="0" w:line="23"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THE CHASE MANHATTAN BANK ("Chase")</w:t>
      </w:r>
    </w:p>
    <w:p>
      <w:pPr>
        <w:ind w:left="1300"/>
        <w:spacing w:after="0"/>
        <w:rPr>
          <w:sz w:val="20"/>
          <w:szCs w:val="20"/>
          <w:color w:val="auto"/>
        </w:rPr>
      </w:pPr>
      <w:r>
        <w:rPr>
          <w:rFonts w:ascii="Courier New" w:cs="Courier New" w:eastAsia="Courier New" w:hAnsi="Courier New"/>
          <w:sz w:val="16"/>
          <w:szCs w:val="16"/>
          <w:color w:val="auto"/>
        </w:rPr>
        <w:t>DEUTSCHE BANK AG, NEW YORK BRANCH ("Deutsche")</w:t>
      </w:r>
    </w:p>
    <w:p>
      <w:pPr>
        <w:spacing w:after="0" w:line="1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 THE OTHER FINANCIAL INSTITUTIONS WHICH BECOME</w:t>
      </w:r>
    </w:p>
    <w:p>
      <w:pPr>
        <w:spacing w:after="0" w:line="2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 PARTY TO THIS AGREEMENT</w:t>
      </w:r>
    </w:p>
    <w:p>
      <w:pPr>
        <w:spacing w:after="0" w:line="32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(Collectively, the "Banks")</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6"/>
          <w:szCs w:val="16"/>
          <w:color w:val="auto"/>
        </w:rPr>
        <w:t>FLEET AS ADMINISTRATIVE AGENT (the "Administrative Agent")</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DEUTSCHE AND CITIBANK, N.A., as co-documentation agents</w:t>
      </w:r>
    </w:p>
    <w:p>
      <w:pPr>
        <w:spacing w:after="0" w:line="2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"Co-Documentation Agents")</w:t>
      </w:r>
    </w:p>
    <w:p>
      <w:pPr>
        <w:spacing w:after="0" w:line="1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4"/>
          <w:szCs w:val="14"/>
          <w:color w:val="auto"/>
        </w:rPr>
        <w:t>BOA AND J.P. MORGAN SECURITIES INC. ("JPMORGAN") AS CO-SYNDICATION AGENTS</w:t>
      </w:r>
    </w:p>
    <w:p>
      <w:pPr>
        <w:spacing w:after="0" w:line="4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(the "Co-Syndication Agents")</w:t>
      </w:r>
    </w:p>
    <w:p>
      <w:pPr>
        <w:spacing w:after="0" w:line="149"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and</w:t>
      </w:r>
    </w:p>
    <w:p>
      <w:pPr>
        <w:spacing w:after="0" w:line="17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JPMORGAN AND BANC OF AMERICA SECURITIES LLC</w:t>
      </w:r>
    </w:p>
    <w:p>
      <w:pPr>
        <w:spacing w:after="0" w:line="23"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AS JOINT LEAD ARRANGERS AND JOINT BOOK MANAGERS</w:t>
      </w:r>
    </w:p>
    <w:p>
      <w:pPr>
        <w:ind w:left="1020"/>
        <w:spacing w:after="0"/>
        <w:rPr>
          <w:sz w:val="20"/>
          <w:szCs w:val="20"/>
          <w:color w:val="auto"/>
        </w:rPr>
      </w:pPr>
      <w:r>
        <w:rPr>
          <w:rFonts w:ascii="Courier New" w:cs="Courier New" w:eastAsia="Courier New" w:hAnsi="Courier New"/>
          <w:sz w:val="16"/>
          <w:szCs w:val="16"/>
          <w:color w:val="auto"/>
        </w:rPr>
        <w:t>(the "Joint Lead Arrangers and Joint Book Managers")</w:t>
      </w:r>
    </w:p>
    <w:p>
      <w:pPr>
        <w:sectPr>
          <w:pgSz w:w="11900" w:h="16838" w:orient="portrait"/>
          <w:cols w:equalWidth="0" w:num="1">
            <w:col w:w="9939"/>
          </w:cols>
          <w:pgMar w:left="520" w:top="113" w:right="1440" w:bottom="1440" w:gutter="0" w:footer="0" w:header="0"/>
        </w:sectPr>
      </w:pPr>
    </w:p>
    <w:bookmarkStart w:id="177" w:name="page178"/>
    <w:bookmarkEnd w:id="177"/>
    <w:p>
      <w:pPr>
        <w:ind w:left="280"/>
        <w:spacing w:after="0"/>
        <w:rPr>
          <w:sz w:val="20"/>
          <w:szCs w:val="20"/>
          <w:color w:val="auto"/>
        </w:rPr>
      </w:pPr>
      <w:r>
        <w:rPr>
          <w:rFonts w:ascii="Courier New" w:cs="Courier New" w:eastAsia="Courier New" w:hAnsi="Courier New"/>
          <w:sz w:val="16"/>
          <w:szCs w:val="16"/>
          <w:color w:val="auto"/>
        </w:rPr>
        <w:t>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-ii-</w:t>
      </w:r>
    </w:p>
    <w:p>
      <w:pPr>
        <w:spacing w:after="0" w:line="149"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tabs>
          <w:tab w:leader="none" w:pos="1100" w:val="left"/>
          <w:tab w:leader="dot" w:pos="9840" w:val="left"/>
        </w:tabs>
        <w:rPr>
          <w:sz w:val="20"/>
          <w:szCs w:val="20"/>
          <w:color w:val="auto"/>
        </w:rPr>
      </w:pPr>
      <w:r>
        <w:rPr>
          <w:rFonts w:ascii="Courier New" w:cs="Courier New" w:eastAsia="Courier New" w:hAnsi="Courier New"/>
          <w:sz w:val="16"/>
          <w:szCs w:val="16"/>
          <w:color w:val="auto"/>
        </w:rPr>
        <w:t>SECTION 1.</w:t>
        <w:tab/>
        <w:t>DEFINITIONS AND RULES OF INTERPRETATION</w:t>
      </w:r>
      <w:r>
        <w:rPr>
          <w:sz w:val="20"/>
          <w:szCs w:val="20"/>
          <w:color w:val="auto"/>
        </w:rPr>
        <w:tab/>
      </w:r>
      <w:r>
        <w:rPr>
          <w:rFonts w:ascii="Courier New" w:cs="Courier New" w:eastAsia="Courier New" w:hAnsi="Courier New"/>
          <w:sz w:val="13"/>
          <w:szCs w:val="13"/>
          <w:color w:val="auto"/>
        </w:rPr>
        <w:t>1</w:t>
      </w:r>
    </w:p>
    <w:p>
      <w:pPr>
        <w:spacing w:after="0" w:line="23" w:lineRule="exact"/>
        <w:rPr>
          <w:sz w:val="20"/>
          <w:szCs w:val="20"/>
          <w:color w:val="auto"/>
        </w:rPr>
      </w:pPr>
    </w:p>
    <w:p>
      <w:pPr>
        <w:ind w:left="640"/>
        <w:spacing w:after="0"/>
        <w:tabs>
          <w:tab w:leader="none" w:pos="1920" w:val="left"/>
          <w:tab w:leader="dot" w:pos="9840" w:val="left"/>
        </w:tabs>
        <w:rPr>
          <w:sz w:val="20"/>
          <w:szCs w:val="20"/>
          <w:color w:val="auto"/>
        </w:rPr>
      </w:pPr>
      <w:r>
        <w:rPr>
          <w:rFonts w:ascii="Courier New" w:cs="Courier New" w:eastAsia="Courier New" w:hAnsi="Courier New"/>
          <w:sz w:val="16"/>
          <w:szCs w:val="16"/>
          <w:color w:val="auto"/>
        </w:rPr>
        <w:t>Section 1.1.</w:t>
        <w:tab/>
        <w:t>Definitions</w:t>
      </w:r>
      <w:r>
        <w:rPr>
          <w:sz w:val="20"/>
          <w:szCs w:val="20"/>
          <w:color w:val="auto"/>
        </w:rPr>
        <w:tab/>
      </w:r>
      <w:r>
        <w:rPr>
          <w:rFonts w:ascii="Courier New" w:cs="Courier New" w:eastAsia="Courier New" w:hAnsi="Courier New"/>
          <w:sz w:val="13"/>
          <w:szCs w:val="13"/>
          <w:color w:val="auto"/>
        </w:rPr>
        <w:t>1</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1.2.</w:t>
        <w:tab/>
        <w:t>Rules of Interpretation</w:t>
      </w:r>
      <w:r>
        <w:rPr>
          <w:sz w:val="20"/>
          <w:szCs w:val="20"/>
          <w:color w:val="auto"/>
        </w:rPr>
        <w:tab/>
      </w:r>
      <w:r>
        <w:rPr>
          <w:rFonts w:ascii="Courier New" w:cs="Courier New" w:eastAsia="Courier New" w:hAnsi="Courier New"/>
          <w:sz w:val="14"/>
          <w:szCs w:val="14"/>
          <w:color w:val="auto"/>
        </w:rPr>
        <w:t>17</w:t>
      </w:r>
    </w:p>
    <w:p>
      <w:pPr>
        <w:spacing w:after="0"/>
        <w:tabs>
          <w:tab w:leader="none" w:pos="1100" w:val="left"/>
          <w:tab w:leader="dot" w:pos="9740" w:val="left"/>
        </w:tabs>
        <w:rPr>
          <w:sz w:val="20"/>
          <w:szCs w:val="20"/>
          <w:color w:val="auto"/>
        </w:rPr>
      </w:pPr>
      <w:r>
        <w:rPr>
          <w:rFonts w:ascii="Courier New" w:cs="Courier New" w:eastAsia="Courier New" w:hAnsi="Courier New"/>
          <w:sz w:val="16"/>
          <w:szCs w:val="16"/>
          <w:color w:val="auto"/>
        </w:rPr>
        <w:t>SECTION 2.</w:t>
        <w:tab/>
        <w:t>THE SYNDICATED LOAN FACILITIES</w:t>
      </w:r>
      <w:r>
        <w:rPr>
          <w:sz w:val="20"/>
          <w:szCs w:val="20"/>
          <w:color w:val="auto"/>
        </w:rPr>
        <w:tab/>
      </w:r>
      <w:r>
        <w:rPr>
          <w:rFonts w:ascii="Courier New" w:cs="Courier New" w:eastAsia="Courier New" w:hAnsi="Courier New"/>
          <w:sz w:val="14"/>
          <w:szCs w:val="14"/>
          <w:color w:val="auto"/>
        </w:rPr>
        <w:t>17</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2.1.</w:t>
        <w:tab/>
        <w:t>Commitment to Lend</w:t>
      </w:r>
      <w:r>
        <w:rPr>
          <w:sz w:val="20"/>
          <w:szCs w:val="20"/>
          <w:color w:val="auto"/>
        </w:rPr>
        <w:tab/>
      </w:r>
      <w:r>
        <w:rPr>
          <w:rFonts w:ascii="Courier New" w:cs="Courier New" w:eastAsia="Courier New" w:hAnsi="Courier New"/>
          <w:sz w:val="14"/>
          <w:szCs w:val="14"/>
          <w:color w:val="auto"/>
        </w:rPr>
        <w:t>17</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2.2.</w:t>
        <w:tab/>
        <w:t>Facility Fee</w:t>
      </w:r>
      <w:r>
        <w:rPr>
          <w:sz w:val="20"/>
          <w:szCs w:val="20"/>
          <w:color w:val="auto"/>
        </w:rPr>
        <w:tab/>
      </w:r>
      <w:r>
        <w:rPr>
          <w:rFonts w:ascii="Courier New" w:cs="Courier New" w:eastAsia="Courier New" w:hAnsi="Courier New"/>
          <w:sz w:val="14"/>
          <w:szCs w:val="14"/>
          <w:color w:val="auto"/>
        </w:rPr>
        <w:t>18</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2.3.</w:t>
        <w:tab/>
        <w:t>Reduction of Total Commitment</w:t>
      </w:r>
      <w:r>
        <w:rPr>
          <w:sz w:val="20"/>
          <w:szCs w:val="20"/>
          <w:color w:val="auto"/>
        </w:rPr>
        <w:tab/>
      </w:r>
      <w:r>
        <w:rPr>
          <w:rFonts w:ascii="Courier New" w:cs="Courier New" w:eastAsia="Courier New" w:hAnsi="Courier New"/>
          <w:sz w:val="14"/>
          <w:szCs w:val="14"/>
          <w:color w:val="auto"/>
        </w:rPr>
        <w:t>18</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2.4.</w:t>
        <w:tab/>
        <w:t>The Syndicated Notes</w:t>
      </w:r>
      <w:r>
        <w:rPr>
          <w:sz w:val="20"/>
          <w:szCs w:val="20"/>
          <w:color w:val="auto"/>
        </w:rPr>
        <w:tab/>
      </w:r>
      <w:r>
        <w:rPr>
          <w:rFonts w:ascii="Courier New" w:cs="Courier New" w:eastAsia="Courier New" w:hAnsi="Courier New"/>
          <w:sz w:val="14"/>
          <w:szCs w:val="14"/>
          <w:color w:val="auto"/>
        </w:rPr>
        <w:t>19</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2.5.</w:t>
        <w:tab/>
        <w:t>Interest on Syndicated Loans</w:t>
      </w:r>
      <w:r>
        <w:rPr>
          <w:sz w:val="20"/>
          <w:szCs w:val="20"/>
          <w:color w:val="auto"/>
        </w:rPr>
        <w:tab/>
      </w:r>
      <w:r>
        <w:rPr>
          <w:rFonts w:ascii="Courier New" w:cs="Courier New" w:eastAsia="Courier New" w:hAnsi="Courier New"/>
          <w:sz w:val="14"/>
          <w:szCs w:val="14"/>
          <w:color w:val="auto"/>
        </w:rPr>
        <w:t>19</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2.6.</w:t>
        <w:tab/>
        <w:t>Requests for Syndicated Loans</w:t>
      </w:r>
      <w:r>
        <w:rPr>
          <w:sz w:val="20"/>
          <w:szCs w:val="20"/>
          <w:color w:val="auto"/>
        </w:rPr>
        <w:tab/>
      </w:r>
      <w:r>
        <w:rPr>
          <w:rFonts w:ascii="Courier New" w:cs="Courier New" w:eastAsia="Courier New" w:hAnsi="Courier New"/>
          <w:sz w:val="14"/>
          <w:szCs w:val="14"/>
          <w:color w:val="auto"/>
        </w:rPr>
        <w:t>20</w:t>
      </w:r>
    </w:p>
    <w:p>
      <w:pPr>
        <w:ind w:left="640"/>
        <w:spacing w:after="0"/>
        <w:tabs>
          <w:tab w:leader="none" w:pos="1920" w:val="left"/>
        </w:tabs>
        <w:rPr>
          <w:sz w:val="20"/>
          <w:szCs w:val="20"/>
          <w:color w:val="auto"/>
        </w:rPr>
      </w:pPr>
      <w:r>
        <w:rPr>
          <w:rFonts w:ascii="Courier New" w:cs="Courier New" w:eastAsia="Courier New" w:hAnsi="Courier New"/>
          <w:sz w:val="16"/>
          <w:szCs w:val="16"/>
          <w:color w:val="auto"/>
        </w:rPr>
        <w:t>Section 2.7.</w:t>
      </w:r>
      <w:r>
        <w:rPr>
          <w:sz w:val="20"/>
          <w:szCs w:val="20"/>
          <w:color w:val="auto"/>
        </w:rPr>
        <w:tab/>
      </w:r>
      <w:r>
        <w:rPr>
          <w:rFonts w:ascii="Courier New" w:cs="Courier New" w:eastAsia="Courier New" w:hAnsi="Courier New"/>
          <w:sz w:val="14"/>
          <w:szCs w:val="14"/>
          <w:color w:val="auto"/>
        </w:rPr>
        <w:t>Election of Eurodollar Rate; Notice of Election; Interest Periods; Minimum Amounts..20</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2.8.</w:t>
        <w:tab/>
        <w:t>Funds for Syndicated Loans</w:t>
      </w:r>
      <w:r>
        <w:rPr>
          <w:sz w:val="20"/>
          <w:szCs w:val="20"/>
          <w:color w:val="auto"/>
        </w:rPr>
        <w:tab/>
      </w:r>
      <w:r>
        <w:rPr>
          <w:rFonts w:ascii="Courier New" w:cs="Courier New" w:eastAsia="Courier New" w:hAnsi="Courier New"/>
          <w:sz w:val="14"/>
          <w:szCs w:val="14"/>
          <w:color w:val="auto"/>
        </w:rPr>
        <w:t>21</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2.9.</w:t>
        <w:tab/>
        <w:t>Maturity of the Revolving Credit Loans and Reimbursement Obligations</w:t>
      </w:r>
      <w:r>
        <w:rPr>
          <w:sz w:val="20"/>
          <w:szCs w:val="20"/>
          <w:color w:val="auto"/>
        </w:rPr>
        <w:tab/>
      </w:r>
      <w:r>
        <w:rPr>
          <w:rFonts w:ascii="Courier New" w:cs="Courier New" w:eastAsia="Courier New" w:hAnsi="Courier New"/>
          <w:sz w:val="14"/>
          <w:szCs w:val="14"/>
          <w:color w:val="auto"/>
        </w:rPr>
        <w:t>22</w:t>
      </w:r>
    </w:p>
    <w:p>
      <w:pPr>
        <w:ind w:left="640"/>
        <w:spacing w:after="0"/>
        <w:tabs>
          <w:tab w:leader="dot" w:pos="9740" w:val="left"/>
        </w:tabs>
        <w:rPr>
          <w:sz w:val="20"/>
          <w:szCs w:val="20"/>
          <w:color w:val="auto"/>
        </w:rPr>
      </w:pPr>
      <w:r>
        <w:rPr>
          <w:rFonts w:ascii="Courier New" w:cs="Courier New" w:eastAsia="Courier New" w:hAnsi="Courier New"/>
          <w:sz w:val="16"/>
          <w:szCs w:val="16"/>
          <w:color w:val="auto"/>
        </w:rPr>
        <w:t>Section 2.10. Prepayments or Repayments of Revolving Credit Loans</w:t>
      </w:r>
      <w:r>
        <w:rPr>
          <w:sz w:val="20"/>
          <w:szCs w:val="20"/>
          <w:color w:val="auto"/>
        </w:rPr>
        <w:tab/>
      </w:r>
      <w:r>
        <w:rPr>
          <w:rFonts w:ascii="Courier New" w:cs="Courier New" w:eastAsia="Courier New" w:hAnsi="Courier New"/>
          <w:sz w:val="14"/>
          <w:szCs w:val="14"/>
          <w:color w:val="auto"/>
        </w:rPr>
        <w:t>22</w:t>
      </w:r>
    </w:p>
    <w:p>
      <w:pPr>
        <w:ind w:left="640"/>
        <w:spacing w:after="0"/>
        <w:tabs>
          <w:tab w:leader="dot" w:pos="9740" w:val="left"/>
        </w:tabs>
        <w:rPr>
          <w:sz w:val="20"/>
          <w:szCs w:val="20"/>
          <w:color w:val="auto"/>
        </w:rPr>
      </w:pPr>
      <w:r>
        <w:rPr>
          <w:rFonts w:ascii="Courier New" w:cs="Courier New" w:eastAsia="Courier New" w:hAnsi="Courier New"/>
          <w:sz w:val="16"/>
          <w:szCs w:val="16"/>
          <w:color w:val="auto"/>
        </w:rPr>
        <w:t>Section 2.11. Swing Line Loans; Settlements</w:t>
      </w:r>
      <w:r>
        <w:rPr>
          <w:sz w:val="20"/>
          <w:szCs w:val="20"/>
          <w:color w:val="auto"/>
        </w:rPr>
        <w:tab/>
      </w:r>
      <w:r>
        <w:rPr>
          <w:rFonts w:ascii="Courier New" w:cs="Courier New" w:eastAsia="Courier New" w:hAnsi="Courier New"/>
          <w:sz w:val="14"/>
          <w:szCs w:val="14"/>
          <w:color w:val="auto"/>
        </w:rPr>
        <w:t>23</w:t>
      </w:r>
    </w:p>
    <w:p>
      <w:pPr>
        <w:spacing w:after="0"/>
        <w:tabs>
          <w:tab w:leader="none" w:pos="1100" w:val="left"/>
          <w:tab w:leader="dot" w:pos="9740" w:val="left"/>
        </w:tabs>
        <w:rPr>
          <w:sz w:val="20"/>
          <w:szCs w:val="20"/>
          <w:color w:val="auto"/>
        </w:rPr>
      </w:pPr>
      <w:r>
        <w:rPr>
          <w:rFonts w:ascii="Courier New" w:cs="Courier New" w:eastAsia="Courier New" w:hAnsi="Courier New"/>
          <w:sz w:val="16"/>
          <w:szCs w:val="16"/>
          <w:color w:val="auto"/>
        </w:rPr>
        <w:t>SECTION 3.</w:t>
        <w:tab/>
        <w:t>LETTERS OF CREDIT</w:t>
      </w:r>
      <w:r>
        <w:rPr>
          <w:sz w:val="20"/>
          <w:szCs w:val="20"/>
          <w:color w:val="auto"/>
        </w:rPr>
        <w:tab/>
      </w:r>
      <w:r>
        <w:rPr>
          <w:rFonts w:ascii="Courier New" w:cs="Courier New" w:eastAsia="Courier New" w:hAnsi="Courier New"/>
          <w:sz w:val="14"/>
          <w:szCs w:val="14"/>
          <w:color w:val="auto"/>
        </w:rPr>
        <w:t>24</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3.1.</w:t>
        <w:tab/>
        <w:t>Letter of Credit Commitments</w:t>
      </w:r>
      <w:r>
        <w:rPr>
          <w:sz w:val="20"/>
          <w:szCs w:val="20"/>
          <w:color w:val="auto"/>
        </w:rPr>
        <w:tab/>
      </w:r>
      <w:r>
        <w:rPr>
          <w:rFonts w:ascii="Courier New" w:cs="Courier New" w:eastAsia="Courier New" w:hAnsi="Courier New"/>
          <w:sz w:val="14"/>
          <w:szCs w:val="14"/>
          <w:color w:val="auto"/>
        </w:rPr>
        <w:t>24</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3.2.</w:t>
        <w:tab/>
        <w:t>Reimbursement Obligation of the Borrower</w:t>
      </w:r>
      <w:r>
        <w:rPr>
          <w:sz w:val="20"/>
          <w:szCs w:val="20"/>
          <w:color w:val="auto"/>
        </w:rPr>
        <w:tab/>
      </w:r>
      <w:r>
        <w:rPr>
          <w:rFonts w:ascii="Courier New" w:cs="Courier New" w:eastAsia="Courier New" w:hAnsi="Courier New"/>
          <w:sz w:val="14"/>
          <w:szCs w:val="14"/>
          <w:color w:val="auto"/>
        </w:rPr>
        <w:t>25</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3.3.</w:t>
        <w:tab/>
        <w:t>Obligations Absolute</w:t>
      </w:r>
      <w:r>
        <w:rPr>
          <w:sz w:val="20"/>
          <w:szCs w:val="20"/>
          <w:color w:val="auto"/>
        </w:rPr>
        <w:tab/>
      </w:r>
      <w:r>
        <w:rPr>
          <w:rFonts w:ascii="Courier New" w:cs="Courier New" w:eastAsia="Courier New" w:hAnsi="Courier New"/>
          <w:sz w:val="14"/>
          <w:szCs w:val="14"/>
          <w:color w:val="auto"/>
        </w:rPr>
        <w:t>25</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3.4.</w:t>
        <w:tab/>
        <w:t>Reliance by the Issuing Banks</w:t>
      </w:r>
      <w:r>
        <w:rPr>
          <w:sz w:val="20"/>
          <w:szCs w:val="20"/>
          <w:color w:val="auto"/>
        </w:rPr>
        <w:tab/>
      </w:r>
      <w:r>
        <w:rPr>
          <w:rFonts w:ascii="Courier New" w:cs="Courier New" w:eastAsia="Courier New" w:hAnsi="Courier New"/>
          <w:sz w:val="14"/>
          <w:szCs w:val="14"/>
          <w:color w:val="auto"/>
        </w:rPr>
        <w:t>26</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3.5.</w:t>
        <w:tab/>
        <w:t>Notice Regarding Letters of Credit</w:t>
      </w:r>
      <w:r>
        <w:rPr>
          <w:sz w:val="20"/>
          <w:szCs w:val="20"/>
          <w:color w:val="auto"/>
        </w:rPr>
        <w:tab/>
      </w:r>
      <w:r>
        <w:rPr>
          <w:rFonts w:ascii="Courier New" w:cs="Courier New" w:eastAsia="Courier New" w:hAnsi="Courier New"/>
          <w:sz w:val="14"/>
          <w:szCs w:val="14"/>
          <w:color w:val="auto"/>
        </w:rPr>
        <w:t>26</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3.6.</w:t>
        <w:tab/>
        <w:t>Letter of Credit Fee</w:t>
      </w:r>
      <w:r>
        <w:rPr>
          <w:sz w:val="20"/>
          <w:szCs w:val="20"/>
          <w:color w:val="auto"/>
        </w:rPr>
        <w:tab/>
      </w:r>
      <w:r>
        <w:rPr>
          <w:rFonts w:ascii="Courier New" w:cs="Courier New" w:eastAsia="Courier New" w:hAnsi="Courier New"/>
          <w:sz w:val="14"/>
          <w:szCs w:val="14"/>
          <w:color w:val="auto"/>
        </w:rPr>
        <w:t>26</w:t>
      </w:r>
    </w:p>
    <w:p>
      <w:pPr>
        <w:spacing w:after="0"/>
        <w:tabs>
          <w:tab w:leader="none" w:pos="1100" w:val="left"/>
          <w:tab w:leader="dot" w:pos="9740" w:val="left"/>
        </w:tabs>
        <w:rPr>
          <w:sz w:val="20"/>
          <w:szCs w:val="20"/>
          <w:color w:val="auto"/>
        </w:rPr>
      </w:pPr>
      <w:r>
        <w:rPr>
          <w:rFonts w:ascii="Courier New" w:cs="Courier New" w:eastAsia="Courier New" w:hAnsi="Courier New"/>
          <w:sz w:val="16"/>
          <w:szCs w:val="16"/>
          <w:color w:val="auto"/>
        </w:rPr>
        <w:t>SECTION 4.</w:t>
        <w:tab/>
        <w:t>COMPETITIVE BID LOANS</w:t>
      </w:r>
      <w:r>
        <w:rPr>
          <w:sz w:val="20"/>
          <w:szCs w:val="20"/>
          <w:color w:val="auto"/>
        </w:rPr>
        <w:tab/>
      </w:r>
      <w:r>
        <w:rPr>
          <w:rFonts w:ascii="Courier New" w:cs="Courier New" w:eastAsia="Courier New" w:hAnsi="Courier New"/>
          <w:sz w:val="14"/>
          <w:szCs w:val="14"/>
          <w:color w:val="auto"/>
        </w:rPr>
        <w:t>27</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4.1.</w:t>
        <w:tab/>
        <w:t>The Competitive Bid Option</w:t>
      </w:r>
      <w:r>
        <w:rPr>
          <w:sz w:val="20"/>
          <w:szCs w:val="20"/>
          <w:color w:val="auto"/>
        </w:rPr>
        <w:tab/>
      </w:r>
      <w:r>
        <w:rPr>
          <w:rFonts w:ascii="Courier New" w:cs="Courier New" w:eastAsia="Courier New" w:hAnsi="Courier New"/>
          <w:sz w:val="14"/>
          <w:szCs w:val="14"/>
          <w:color w:val="auto"/>
        </w:rPr>
        <w:t>27</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4.2.</w:t>
        <w:tab/>
        <w:t>Competitive Bid Loan Accounts; Competitive Bid Notes</w:t>
      </w:r>
      <w:r>
        <w:rPr>
          <w:sz w:val="20"/>
          <w:szCs w:val="20"/>
          <w:color w:val="auto"/>
        </w:rPr>
        <w:tab/>
      </w:r>
      <w:r>
        <w:rPr>
          <w:rFonts w:ascii="Courier New" w:cs="Courier New" w:eastAsia="Courier New" w:hAnsi="Courier New"/>
          <w:sz w:val="14"/>
          <w:szCs w:val="14"/>
          <w:color w:val="auto"/>
        </w:rPr>
        <w:t>27</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4.3.</w:t>
        <w:tab/>
        <w:t>Competitive Bid Quote Request; Invitation for Competitive Bid Quotes</w:t>
      </w:r>
      <w:r>
        <w:rPr>
          <w:sz w:val="20"/>
          <w:szCs w:val="20"/>
          <w:color w:val="auto"/>
        </w:rPr>
        <w:tab/>
      </w:r>
      <w:r>
        <w:rPr>
          <w:rFonts w:ascii="Courier New" w:cs="Courier New" w:eastAsia="Courier New" w:hAnsi="Courier New"/>
          <w:sz w:val="14"/>
          <w:szCs w:val="14"/>
          <w:color w:val="auto"/>
        </w:rPr>
        <w:t>28</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4.4.</w:t>
        <w:tab/>
        <w:t>Alternative Manner of Procedure</w:t>
      </w:r>
      <w:r>
        <w:rPr>
          <w:sz w:val="20"/>
          <w:szCs w:val="20"/>
          <w:color w:val="auto"/>
        </w:rPr>
        <w:tab/>
      </w:r>
      <w:r>
        <w:rPr>
          <w:rFonts w:ascii="Courier New" w:cs="Courier New" w:eastAsia="Courier New" w:hAnsi="Courier New"/>
          <w:sz w:val="14"/>
          <w:szCs w:val="14"/>
          <w:color w:val="auto"/>
        </w:rPr>
        <w:t>28</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4.5.</w:t>
        <w:tab/>
        <w:t>Submission and Contents of Competitive Bid Quotes</w:t>
      </w:r>
      <w:r>
        <w:rPr>
          <w:sz w:val="20"/>
          <w:szCs w:val="20"/>
          <w:color w:val="auto"/>
        </w:rPr>
        <w:tab/>
      </w:r>
      <w:r>
        <w:rPr>
          <w:rFonts w:ascii="Courier New" w:cs="Courier New" w:eastAsia="Courier New" w:hAnsi="Courier New"/>
          <w:sz w:val="14"/>
          <w:szCs w:val="14"/>
          <w:color w:val="auto"/>
        </w:rPr>
        <w:t>29</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4.6.</w:t>
        <w:tab/>
        <w:t>Notice to Borrower</w:t>
      </w:r>
      <w:r>
        <w:rPr>
          <w:sz w:val="20"/>
          <w:szCs w:val="20"/>
          <w:color w:val="auto"/>
        </w:rPr>
        <w:tab/>
      </w:r>
      <w:r>
        <w:rPr>
          <w:rFonts w:ascii="Courier New" w:cs="Courier New" w:eastAsia="Courier New" w:hAnsi="Courier New"/>
          <w:sz w:val="14"/>
          <w:szCs w:val="14"/>
          <w:color w:val="auto"/>
        </w:rPr>
        <w:t>30</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4.7.</w:t>
        <w:tab/>
        <w:t>Acceptance and Notice by Borrower and Administrative Agent</w:t>
      </w:r>
      <w:r>
        <w:rPr>
          <w:sz w:val="20"/>
          <w:szCs w:val="20"/>
          <w:color w:val="auto"/>
        </w:rPr>
        <w:tab/>
      </w:r>
      <w:r>
        <w:rPr>
          <w:rFonts w:ascii="Courier New" w:cs="Courier New" w:eastAsia="Courier New" w:hAnsi="Courier New"/>
          <w:sz w:val="14"/>
          <w:szCs w:val="14"/>
          <w:color w:val="auto"/>
        </w:rPr>
        <w:t>30</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4.8.</w:t>
        <w:tab/>
        <w:t>Allocation by Administrative Agent</w:t>
      </w:r>
      <w:r>
        <w:rPr>
          <w:sz w:val="20"/>
          <w:szCs w:val="20"/>
          <w:color w:val="auto"/>
        </w:rPr>
        <w:tab/>
      </w:r>
      <w:r>
        <w:rPr>
          <w:rFonts w:ascii="Courier New" w:cs="Courier New" w:eastAsia="Courier New" w:hAnsi="Courier New"/>
          <w:sz w:val="14"/>
          <w:szCs w:val="14"/>
          <w:color w:val="auto"/>
        </w:rPr>
        <w:t>31</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4.9.</w:t>
        <w:tab/>
        <w:t>Funding of Competitive Bid Loans</w:t>
      </w:r>
      <w:r>
        <w:rPr>
          <w:sz w:val="20"/>
          <w:szCs w:val="20"/>
          <w:color w:val="auto"/>
        </w:rPr>
        <w:tab/>
      </w:r>
      <w:r>
        <w:rPr>
          <w:rFonts w:ascii="Courier New" w:cs="Courier New" w:eastAsia="Courier New" w:hAnsi="Courier New"/>
          <w:sz w:val="14"/>
          <w:szCs w:val="14"/>
          <w:color w:val="auto"/>
        </w:rPr>
        <w:t>31</w:t>
      </w:r>
    </w:p>
    <w:p>
      <w:pPr>
        <w:ind w:left="640"/>
        <w:spacing w:after="0"/>
        <w:tabs>
          <w:tab w:leader="dot" w:pos="9740" w:val="left"/>
        </w:tabs>
        <w:rPr>
          <w:sz w:val="20"/>
          <w:szCs w:val="20"/>
          <w:color w:val="auto"/>
        </w:rPr>
      </w:pPr>
      <w:r>
        <w:rPr>
          <w:rFonts w:ascii="Courier New" w:cs="Courier New" w:eastAsia="Courier New" w:hAnsi="Courier New"/>
          <w:sz w:val="16"/>
          <w:szCs w:val="16"/>
          <w:color w:val="auto"/>
        </w:rPr>
        <w:t>Section 4.10. Funding Losses</w:t>
      </w:r>
      <w:r>
        <w:rPr>
          <w:sz w:val="20"/>
          <w:szCs w:val="20"/>
          <w:color w:val="auto"/>
        </w:rPr>
        <w:tab/>
      </w:r>
      <w:r>
        <w:rPr>
          <w:rFonts w:ascii="Courier New" w:cs="Courier New" w:eastAsia="Courier New" w:hAnsi="Courier New"/>
          <w:sz w:val="14"/>
          <w:szCs w:val="14"/>
          <w:color w:val="auto"/>
        </w:rPr>
        <w:t>31</w:t>
      </w:r>
    </w:p>
    <w:p>
      <w:pPr>
        <w:ind w:left="640"/>
        <w:spacing w:after="0"/>
        <w:tabs>
          <w:tab w:leader="dot" w:pos="9740" w:val="left"/>
        </w:tabs>
        <w:rPr>
          <w:sz w:val="20"/>
          <w:szCs w:val="20"/>
          <w:color w:val="auto"/>
        </w:rPr>
      </w:pPr>
      <w:r>
        <w:rPr>
          <w:rFonts w:ascii="Courier New" w:cs="Courier New" w:eastAsia="Courier New" w:hAnsi="Courier New"/>
          <w:sz w:val="16"/>
          <w:szCs w:val="16"/>
          <w:color w:val="auto"/>
        </w:rPr>
        <w:t>Section 4.11. Repayment of Competitive Bid Loans; Interest</w:t>
      </w:r>
      <w:r>
        <w:rPr>
          <w:sz w:val="20"/>
          <w:szCs w:val="20"/>
          <w:color w:val="auto"/>
        </w:rPr>
        <w:tab/>
      </w:r>
      <w:r>
        <w:rPr>
          <w:rFonts w:ascii="Courier New" w:cs="Courier New" w:eastAsia="Courier New" w:hAnsi="Courier New"/>
          <w:sz w:val="14"/>
          <w:szCs w:val="14"/>
          <w:color w:val="auto"/>
        </w:rPr>
        <w:t>31</w:t>
      </w:r>
    </w:p>
    <w:p>
      <w:pPr>
        <w:spacing w:after="0"/>
        <w:tabs>
          <w:tab w:leader="none" w:pos="1100" w:val="left"/>
          <w:tab w:leader="dot" w:pos="9740" w:val="left"/>
        </w:tabs>
        <w:rPr>
          <w:sz w:val="20"/>
          <w:szCs w:val="20"/>
          <w:color w:val="auto"/>
        </w:rPr>
      </w:pPr>
      <w:r>
        <w:rPr>
          <w:rFonts w:ascii="Courier New" w:cs="Courier New" w:eastAsia="Courier New" w:hAnsi="Courier New"/>
          <w:sz w:val="16"/>
          <w:szCs w:val="16"/>
          <w:color w:val="auto"/>
        </w:rPr>
        <w:t>SECTION 5.</w:t>
        <w:tab/>
        <w:t>THE TERM LOAN</w:t>
      </w:r>
      <w:r>
        <w:rPr>
          <w:sz w:val="20"/>
          <w:szCs w:val="20"/>
          <w:color w:val="auto"/>
        </w:rPr>
        <w:tab/>
      </w:r>
      <w:r>
        <w:rPr>
          <w:rFonts w:ascii="Courier New" w:cs="Courier New" w:eastAsia="Courier New" w:hAnsi="Courier New"/>
          <w:sz w:val="14"/>
          <w:szCs w:val="14"/>
          <w:color w:val="auto"/>
        </w:rPr>
        <w:t>32</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5.1.</w:t>
        <w:tab/>
        <w:t>Conversion of Revolving Credit Loans; the Term Loan</w:t>
      </w:r>
      <w:r>
        <w:rPr>
          <w:sz w:val="20"/>
          <w:szCs w:val="20"/>
          <w:color w:val="auto"/>
        </w:rPr>
        <w:tab/>
      </w:r>
      <w:r>
        <w:rPr>
          <w:rFonts w:ascii="Courier New" w:cs="Courier New" w:eastAsia="Courier New" w:hAnsi="Courier New"/>
          <w:sz w:val="14"/>
          <w:szCs w:val="14"/>
          <w:color w:val="auto"/>
        </w:rPr>
        <w:t>32</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5.2.</w:t>
        <w:tab/>
        <w:t>The Term Notes</w:t>
      </w:r>
      <w:r>
        <w:rPr>
          <w:sz w:val="20"/>
          <w:szCs w:val="20"/>
          <w:color w:val="auto"/>
        </w:rPr>
        <w:tab/>
      </w:r>
      <w:r>
        <w:rPr>
          <w:rFonts w:ascii="Courier New" w:cs="Courier New" w:eastAsia="Courier New" w:hAnsi="Courier New"/>
          <w:sz w:val="14"/>
          <w:szCs w:val="14"/>
          <w:color w:val="auto"/>
        </w:rPr>
        <w:t>32</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5.3.</w:t>
        <w:tab/>
        <w:t>Repayments of the Term Loan</w:t>
      </w:r>
      <w:r>
        <w:rPr>
          <w:sz w:val="20"/>
          <w:szCs w:val="20"/>
          <w:color w:val="auto"/>
        </w:rPr>
        <w:tab/>
      </w:r>
      <w:r>
        <w:rPr>
          <w:rFonts w:ascii="Courier New" w:cs="Courier New" w:eastAsia="Courier New" w:hAnsi="Courier New"/>
          <w:sz w:val="14"/>
          <w:szCs w:val="14"/>
          <w:color w:val="auto"/>
        </w:rPr>
        <w:t>32</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5.4.</w:t>
        <w:tab/>
        <w:t>Optional Prepayment of Term Loan</w:t>
      </w:r>
      <w:r>
        <w:rPr>
          <w:sz w:val="20"/>
          <w:szCs w:val="20"/>
          <w:color w:val="auto"/>
        </w:rPr>
        <w:tab/>
      </w:r>
      <w:r>
        <w:rPr>
          <w:rFonts w:ascii="Courier New" w:cs="Courier New" w:eastAsia="Courier New" w:hAnsi="Courier New"/>
          <w:sz w:val="14"/>
          <w:szCs w:val="14"/>
          <w:color w:val="auto"/>
        </w:rPr>
        <w:t>33</w:t>
      </w:r>
    </w:p>
    <w:p>
      <w:pPr>
        <w:ind w:left="640"/>
        <w:spacing w:after="0"/>
        <w:tabs>
          <w:tab w:leader="none" w:pos="1920" w:val="left"/>
          <w:tab w:leader="dot" w:pos="9740" w:val="left"/>
        </w:tabs>
        <w:rPr>
          <w:sz w:val="20"/>
          <w:szCs w:val="20"/>
          <w:color w:val="auto"/>
        </w:rPr>
      </w:pPr>
      <w:r>
        <w:rPr>
          <w:rFonts w:ascii="Courier New" w:cs="Courier New" w:eastAsia="Courier New" w:hAnsi="Courier New"/>
          <w:sz w:val="16"/>
          <w:szCs w:val="16"/>
          <w:color w:val="auto"/>
        </w:rPr>
        <w:t>Section 5.5.</w:t>
        <w:tab/>
        <w:t>Interest on Term Loan</w:t>
      </w:r>
      <w:r>
        <w:rPr>
          <w:sz w:val="20"/>
          <w:szCs w:val="20"/>
          <w:color w:val="auto"/>
        </w:rPr>
        <w:tab/>
      </w:r>
      <w:r>
        <w:rPr>
          <w:rFonts w:ascii="Courier New" w:cs="Courier New" w:eastAsia="Courier New" w:hAnsi="Courier New"/>
          <w:sz w:val="14"/>
          <w:szCs w:val="14"/>
          <w:color w:val="auto"/>
        </w:rPr>
        <w:t>33</w:t>
      </w:r>
    </w:p>
    <w:p>
      <w:pPr>
        <w:jc w:val="right"/>
        <w:ind w:right="279"/>
        <w:spacing w:after="0"/>
        <w:tabs>
          <w:tab w:leader="none" w:pos="6940" w:val="left"/>
          <w:tab w:leader="dot" w:pos="160" w:val="left"/>
        </w:tabs>
        <w:rPr>
          <w:sz w:val="20"/>
          <w:szCs w:val="20"/>
          <w:color w:val="auto"/>
        </w:rPr>
      </w:pPr>
      <w:r>
        <w:rPr>
          <w:rFonts w:ascii="Courier New" w:cs="Courier New" w:eastAsia="Courier New" w:hAnsi="Courier New"/>
          <w:sz w:val="16"/>
          <w:szCs w:val="16"/>
          <w:color w:val="auto"/>
        </w:rPr>
        <w:t>Section 5.5.1.</w:t>
        <w:tab/>
        <w:t>Notification by Borrower</w:t>
      </w:r>
      <w:r>
        <w:rPr>
          <w:sz w:val="20"/>
          <w:szCs w:val="20"/>
          <w:color w:val="auto"/>
        </w:rPr>
        <w:tab/>
      </w:r>
      <w:r>
        <w:rPr>
          <w:rFonts w:ascii="Courier New" w:cs="Courier New" w:eastAsia="Courier New" w:hAnsi="Courier New"/>
          <w:sz w:val="14"/>
          <w:szCs w:val="14"/>
          <w:color w:val="auto"/>
        </w:rPr>
        <w:t>33</w:t>
      </w:r>
    </w:p>
    <w:p>
      <w:pPr>
        <w:jc w:val="right"/>
        <w:ind w:right="279"/>
        <w:spacing w:after="0"/>
        <w:tabs>
          <w:tab w:leader="none" w:pos="6940" w:val="left"/>
          <w:tab w:leader="dot" w:pos="160" w:val="left"/>
        </w:tabs>
        <w:rPr>
          <w:sz w:val="20"/>
          <w:szCs w:val="20"/>
          <w:color w:val="auto"/>
        </w:rPr>
      </w:pPr>
      <w:r>
        <w:rPr>
          <w:rFonts w:ascii="Courier New" w:cs="Courier New" w:eastAsia="Courier New" w:hAnsi="Courier New"/>
          <w:sz w:val="16"/>
          <w:szCs w:val="16"/>
          <w:color w:val="auto"/>
        </w:rPr>
        <w:t>Section 5.5.2.</w:t>
        <w:tab/>
        <w:t>Amounts, etc.</w:t>
      </w:r>
      <w:r>
        <w:rPr>
          <w:sz w:val="20"/>
          <w:szCs w:val="20"/>
          <w:color w:val="auto"/>
        </w:rPr>
        <w:tab/>
      </w:r>
      <w:r>
        <w:rPr>
          <w:rFonts w:ascii="Courier New" w:cs="Courier New" w:eastAsia="Courier New" w:hAnsi="Courier New"/>
          <w:sz w:val="14"/>
          <w:szCs w:val="14"/>
          <w:color w:val="auto"/>
        </w:rPr>
        <w:t>33</w:t>
      </w:r>
    </w:p>
    <w:p>
      <w:pPr>
        <w:sectPr>
          <w:pgSz w:w="11900" w:h="16838" w:orient="portrait"/>
          <w:cols w:equalWidth="0" w:num="1">
            <w:col w:w="10219"/>
          </w:cols>
          <w:pgMar w:left="240" w:top="269" w:right="1440" w:bottom="1440" w:gutter="0" w:footer="0" w:header="0"/>
        </w:sectPr>
      </w:pPr>
    </w:p>
    <w:bookmarkStart w:id="178" w:name="page179"/>
    <w:bookmarkEnd w:id="178"/>
    <w:p>
      <w:pPr>
        <w:ind w:left="280"/>
        <w:spacing w:after="0"/>
        <w:rPr>
          <w:sz w:val="20"/>
          <w:szCs w:val="20"/>
          <w:color w:val="auto"/>
        </w:rPr>
      </w:pPr>
      <w:r>
        <w:rPr>
          <w:rFonts w:ascii="Courier New" w:cs="Courier New" w:eastAsia="Courier New" w:hAnsi="Courier New"/>
          <w:sz w:val="16"/>
          <w:szCs w:val="16"/>
          <w:color w:val="auto"/>
        </w:rPr>
        <w:t>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700" w:type="dxa"/>
            <w:vAlign w:val="bottom"/>
          </w:tcPr>
          <w:p>
            <w:pPr>
              <w:jc w:val="right"/>
              <w:ind w:right="5682"/>
              <w:spacing w:after="0"/>
              <w:rPr>
                <w:sz w:val="20"/>
                <w:szCs w:val="20"/>
                <w:color w:val="auto"/>
              </w:rPr>
            </w:pPr>
            <w:r>
              <w:rPr>
                <w:rFonts w:ascii="Courier New" w:cs="Courier New" w:eastAsia="Courier New" w:hAnsi="Courier New"/>
                <w:sz w:val="16"/>
                <w:szCs w:val="16"/>
                <w:color w:val="auto"/>
              </w:rPr>
              <w:t>-iii-</w:t>
            </w:r>
          </w:p>
        </w:tc>
        <w:tc>
          <w:tcPr>
            <w:tcW w:w="180" w:type="dxa"/>
            <w:vAlign w:val="bottom"/>
          </w:tcPr>
          <w:p>
            <w:pPr>
              <w:spacing w:after="0"/>
              <w:rPr>
                <w:sz w:val="22"/>
                <w:szCs w:val="22"/>
                <w:color w:val="auto"/>
              </w:rPr>
            </w:pPr>
          </w:p>
        </w:tc>
      </w:tr>
      <w:tr>
        <w:trPr>
          <w:trHeight w:val="784"/>
        </w:trPr>
        <w:tc>
          <w:tcPr>
            <w:tcW w:w="1020" w:type="dxa"/>
            <w:vAlign w:val="bottom"/>
          </w:tcPr>
          <w:p>
            <w:pPr>
              <w:spacing w:after="0"/>
              <w:rPr>
                <w:sz w:val="20"/>
                <w:szCs w:val="20"/>
                <w:color w:val="auto"/>
              </w:rPr>
            </w:pPr>
            <w:r>
              <w:rPr>
                <w:rFonts w:ascii="Courier New" w:cs="Courier New" w:eastAsia="Courier New" w:hAnsi="Courier New"/>
                <w:sz w:val="16"/>
                <w:szCs w:val="16"/>
                <w:color w:val="auto"/>
              </w:rPr>
              <w:t>SECTION 6.</w:t>
            </w:r>
          </w:p>
        </w:tc>
        <w:tc>
          <w:tcPr>
            <w:tcW w:w="87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PROVISIONS RELATING TO ALL LOANS AND LETTERS OF CREDIT.......................................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33</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6.1.</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Payments............................................................................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33</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6.2.</w:t>
            </w: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Computations</w:t>
            </w:r>
          </w:p>
        </w:tc>
        <w:tc>
          <w:tcPr>
            <w:tcW w:w="6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35</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6.3.</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Illegality; Inability to Determine Eurodollar Rate..................................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36</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6.4.</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Additional Costs,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36</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6.5.</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Capital Adequacy....................................................................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37</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6.6.</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Certificate.........................................................................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38</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6.7.</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Eurodollar and Competitive Bid Indemnity............................................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38</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6.8.</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Interest on Overdue Amounts.........................................................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38</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6.9.</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Interest Limitation.................................................................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39</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6.10. Reasonable Efforts to Mitigate......................................................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39</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6.11. Replacement of Banks................................................................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39</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6.12. Advances by Administrative Agent....................................................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40</w:t>
            </w: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7.</w:t>
            </w:r>
          </w:p>
        </w:tc>
        <w:tc>
          <w:tcPr>
            <w:tcW w:w="87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REPRESENTATIONS AND WARRANTIES...............................................................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40</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7.1.</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Corporate Authority.................................................................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40</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7.2.</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Governmental and Other Approvals....................................................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41</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7.3.</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Title to Properties; Leases.........................................................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41</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7.4.</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Financial Statements; Solvency......................................................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41</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7.5.</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No Material Changes,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7.6.</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Franchises, Patents, Copyrights,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7.7.</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Litigation..........................................................................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7.8.</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No Materially Adverse Contracts,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42</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7.9.</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Compliance With Other Instruments, Laws,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7.10. Tax Status..........................................................................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7.11. No Event of Default.................................................................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7.12. Holding Company and Investment Company Acts.........................................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7.13. Absence of Financing Statements,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43</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7.14. Employee Benefit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44</w:t>
            </w:r>
          </w:p>
        </w:tc>
      </w:tr>
      <w:tr>
        <w:trPr>
          <w:trHeight w:val="179"/>
        </w:trPr>
        <w:tc>
          <w:tcPr>
            <w:tcW w:w="1020" w:type="dxa"/>
            <w:vAlign w:val="bottom"/>
          </w:tcPr>
          <w:p>
            <w:pPr>
              <w:spacing w:after="0"/>
              <w:rPr>
                <w:sz w:val="15"/>
                <w:szCs w:val="15"/>
                <w:color w:val="auto"/>
              </w:rPr>
            </w:pPr>
          </w:p>
        </w:tc>
        <w:tc>
          <w:tcPr>
            <w:tcW w:w="20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Section 7.14.1.</w:t>
            </w:r>
          </w:p>
        </w:tc>
        <w:tc>
          <w:tcPr>
            <w:tcW w:w="6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 General..............................................................</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44</w:t>
            </w:r>
          </w:p>
        </w:tc>
      </w:tr>
      <w:tr>
        <w:trPr>
          <w:trHeight w:val="179"/>
        </w:trPr>
        <w:tc>
          <w:tcPr>
            <w:tcW w:w="1020" w:type="dxa"/>
            <w:vAlign w:val="bottom"/>
          </w:tcPr>
          <w:p>
            <w:pPr>
              <w:spacing w:after="0"/>
              <w:rPr>
                <w:sz w:val="15"/>
                <w:szCs w:val="15"/>
                <w:color w:val="auto"/>
              </w:rPr>
            </w:pPr>
          </w:p>
        </w:tc>
        <w:tc>
          <w:tcPr>
            <w:tcW w:w="20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Section 7.14.2.</w:t>
            </w:r>
          </w:p>
        </w:tc>
        <w:tc>
          <w:tcPr>
            <w:tcW w:w="6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Terminability of Welfare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44</w:t>
            </w:r>
          </w:p>
        </w:tc>
      </w:tr>
      <w:tr>
        <w:trPr>
          <w:trHeight w:val="179"/>
        </w:trPr>
        <w:tc>
          <w:tcPr>
            <w:tcW w:w="1020" w:type="dxa"/>
            <w:vAlign w:val="bottom"/>
          </w:tcPr>
          <w:p>
            <w:pPr>
              <w:spacing w:after="0"/>
              <w:rPr>
                <w:sz w:val="15"/>
                <w:szCs w:val="15"/>
                <w:color w:val="auto"/>
              </w:rPr>
            </w:pPr>
          </w:p>
        </w:tc>
        <w:tc>
          <w:tcPr>
            <w:tcW w:w="20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Section 7.14.3.</w:t>
            </w:r>
          </w:p>
        </w:tc>
        <w:tc>
          <w:tcPr>
            <w:tcW w:w="6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Guaranteed Pension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44</w:t>
            </w:r>
          </w:p>
        </w:tc>
      </w:tr>
      <w:tr>
        <w:trPr>
          <w:trHeight w:val="179"/>
        </w:trPr>
        <w:tc>
          <w:tcPr>
            <w:tcW w:w="1020" w:type="dxa"/>
            <w:vAlign w:val="bottom"/>
          </w:tcPr>
          <w:p>
            <w:pPr>
              <w:spacing w:after="0"/>
              <w:rPr>
                <w:sz w:val="15"/>
                <w:szCs w:val="15"/>
                <w:color w:val="auto"/>
              </w:rPr>
            </w:pPr>
          </w:p>
        </w:tc>
        <w:tc>
          <w:tcPr>
            <w:tcW w:w="204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Section 7.14.4.</w:t>
            </w:r>
          </w:p>
        </w:tc>
        <w:tc>
          <w:tcPr>
            <w:tcW w:w="67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Multiemployer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44</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7.15. Environmental Compliance............................................................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45</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7.16. Disclosure..........................................................................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7.17. Permits and Governmental Authority..................................................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r>
      <w:tr>
        <w:trPr>
          <w:trHeight w:val="179"/>
        </w:trPr>
        <w:tc>
          <w:tcPr>
            <w:tcW w:w="10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8.</w:t>
            </w:r>
          </w:p>
        </w:tc>
        <w:tc>
          <w:tcPr>
            <w:tcW w:w="874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AFFIRMATIVE COVENANTS OF THE BORROWER........................................................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8.1.</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Punctual Payment....................................................................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8.2.  Maintenance of U.S. Office..........................................................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46</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8.3.</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Records and Accounts................................................................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47</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8.4.  Financial Statements, Certificates and Information..................................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47</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8.5.</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Existence and Conduct of Business...................................................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48</w:t>
            </w:r>
          </w:p>
        </w:tc>
      </w:tr>
      <w:tr>
        <w:trPr>
          <w:trHeight w:val="179"/>
        </w:trPr>
        <w:tc>
          <w:tcPr>
            <w:tcW w:w="9760" w:type="dxa"/>
            <w:vAlign w:val="bottom"/>
            <w:gridSpan w:val="4"/>
          </w:tcPr>
          <w:p>
            <w:pPr>
              <w:ind w:left="640"/>
              <w:spacing w:after="0" w:line="179" w:lineRule="exact"/>
              <w:rPr>
                <w:sz w:val="20"/>
                <w:szCs w:val="20"/>
                <w:color w:val="auto"/>
              </w:rPr>
            </w:pPr>
            <w:r>
              <w:rPr>
                <w:rFonts w:ascii="Courier New" w:cs="Courier New" w:eastAsia="Courier New" w:hAnsi="Courier New"/>
                <w:sz w:val="16"/>
                <w:szCs w:val="16"/>
                <w:color w:val="auto"/>
                <w:w w:val="96"/>
              </w:rPr>
              <w:t>Section 8.6.  Maintenance of Properties...........................................................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48</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8.7.</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Insurance...........................................................................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49</w:t>
            </w:r>
          </w:p>
        </w:tc>
      </w:tr>
      <w:tr>
        <w:trPr>
          <w:trHeight w:val="179"/>
        </w:trPr>
        <w:tc>
          <w:tcPr>
            <w:tcW w:w="186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8.8.</w:t>
            </w:r>
          </w:p>
        </w:tc>
        <w:tc>
          <w:tcPr>
            <w:tcW w:w="79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7"/>
              </w:rPr>
              <w:t>Taxes...............................................................................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49</w:t>
            </w:r>
          </w:p>
        </w:tc>
      </w:tr>
      <w:tr>
        <w:trPr>
          <w:trHeight w:val="261"/>
        </w:trPr>
        <w:tc>
          <w:tcPr>
            <w:tcW w:w="186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Section 8.9.</w:t>
            </w:r>
          </w:p>
        </w:tc>
        <w:tc>
          <w:tcPr>
            <w:tcW w:w="79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Inspection of Properties, Books and Contracts.......................................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49</w:t>
            </w:r>
          </w:p>
        </w:tc>
      </w:tr>
    </w:tbl>
    <w:p>
      <w:pPr>
        <w:sectPr>
          <w:pgSz w:w="11900" w:h="16838" w:orient="portrait"/>
          <w:cols w:equalWidth="0" w:num="1">
            <w:col w:w="10219"/>
          </w:cols>
          <w:pgMar w:left="240" w:top="269" w:right="1440" w:bottom="1440" w:gutter="0" w:footer="0" w:header="0"/>
        </w:sectPr>
      </w:pPr>
    </w:p>
    <w:bookmarkStart w:id="179" w:name="page180"/>
    <w:bookmarkEnd w:id="179"/>
    <w:p>
      <w:pPr>
        <w:ind w:left="280"/>
        <w:spacing w:after="0"/>
        <w:rPr>
          <w:sz w:val="20"/>
          <w:szCs w:val="20"/>
          <w:color w:val="auto"/>
        </w:rPr>
      </w:pPr>
      <w:r>
        <w:rPr>
          <w:rFonts w:ascii="Courier New" w:cs="Courier New" w:eastAsia="Courier New" w:hAnsi="Courier New"/>
          <w:sz w:val="16"/>
          <w:szCs w:val="16"/>
          <w:color w:val="auto"/>
        </w:rPr>
        <w:t>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800" w:type="dxa"/>
            <w:vAlign w:val="bottom"/>
          </w:tcPr>
          <w:p>
            <w:pPr>
              <w:jc w:val="right"/>
              <w:ind w:right="5882"/>
              <w:spacing w:after="0"/>
              <w:rPr>
                <w:sz w:val="20"/>
                <w:szCs w:val="20"/>
                <w:color w:val="auto"/>
              </w:rPr>
            </w:pPr>
            <w:r>
              <w:rPr>
                <w:rFonts w:ascii="Courier New" w:cs="Courier New" w:eastAsia="Courier New" w:hAnsi="Courier New"/>
                <w:sz w:val="16"/>
                <w:szCs w:val="16"/>
                <w:color w:val="auto"/>
              </w:rPr>
              <w:t>-iv-</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4"/>
        </w:trPr>
        <w:tc>
          <w:tcPr>
            <w:tcW w:w="9860" w:type="dxa"/>
            <w:vAlign w:val="bottom"/>
            <w:gridSpan w:val="4"/>
          </w:tcPr>
          <w:p>
            <w:pPr>
              <w:ind w:left="640"/>
              <w:spacing w:after="0"/>
              <w:rPr>
                <w:sz w:val="20"/>
                <w:szCs w:val="20"/>
                <w:color w:val="auto"/>
              </w:rPr>
            </w:pPr>
            <w:r>
              <w:rPr>
                <w:rFonts w:ascii="Courier New" w:cs="Courier New" w:eastAsia="Courier New" w:hAnsi="Courier New"/>
                <w:sz w:val="16"/>
                <w:szCs w:val="16"/>
                <w:color w:val="auto"/>
              </w:rPr>
              <w:t>Section 8.10. Compliance with Laws, Contracts, Licenses and Permits; Maintenance of Material</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83"/>
              </w:rPr>
              <w:t>49</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Licenses and Permits.............................................................................</w:t>
            </w: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8.11. Environmental Indemnification........................................................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50</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8.12. Further Assurances...................................................................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50</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8.13. Notice of Potential Claims or Litigation.............................................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50</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8.14. Notice of Certain Events Concerning Insurance and Environmental Claims...............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50</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8.15. Notice of Default....................................................................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51</w:t>
            </w:r>
          </w:p>
        </w:tc>
        <w:tc>
          <w:tcPr>
            <w:tcW w:w="0" w:type="dxa"/>
            <w:vAlign w:val="bottom"/>
          </w:tcPr>
          <w:p>
            <w:pPr>
              <w:spacing w:after="0"/>
              <w:rPr>
                <w:sz w:val="1"/>
                <w:szCs w:val="1"/>
                <w:color w:val="auto"/>
              </w:rPr>
            </w:pPr>
          </w:p>
        </w:tc>
      </w:tr>
      <w:tr>
        <w:trPr>
          <w:trHeight w:val="179"/>
        </w:trPr>
        <w:tc>
          <w:tcPr>
            <w:tcW w:w="10040" w:type="dxa"/>
            <w:vAlign w:val="bottom"/>
            <w:gridSpan w:val="5"/>
          </w:tcPr>
          <w:p>
            <w:pPr>
              <w:ind w:left="640"/>
              <w:spacing w:after="0" w:line="179" w:lineRule="exact"/>
              <w:rPr>
                <w:sz w:val="20"/>
                <w:szCs w:val="20"/>
                <w:color w:val="auto"/>
              </w:rPr>
            </w:pPr>
            <w:r>
              <w:rPr>
                <w:rFonts w:ascii="Courier New" w:cs="Courier New" w:eastAsia="Courier New" w:hAnsi="Courier New"/>
                <w:sz w:val="16"/>
                <w:szCs w:val="16"/>
                <w:color w:val="auto"/>
                <w:w w:val="96"/>
              </w:rPr>
              <w:t>Section 8.16. Use of Proceeds.  ...................................................................52</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8.17. Certain Transactions.................................................................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52</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9.</w:t>
            </w:r>
          </w:p>
        </w:tc>
        <w:tc>
          <w:tcPr>
            <w:tcW w:w="88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7"/>
              </w:rPr>
              <w:t>CERTAIN NEGATIVE COVENANTS OF THE BORROWER....................................................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52</w:t>
            </w:r>
          </w:p>
        </w:tc>
        <w:tc>
          <w:tcPr>
            <w:tcW w:w="0" w:type="dxa"/>
            <w:vAlign w:val="bottom"/>
          </w:tcPr>
          <w:p>
            <w:pPr>
              <w:spacing w:after="0"/>
              <w:rPr>
                <w:sz w:val="1"/>
                <w:szCs w:val="1"/>
                <w:color w:val="auto"/>
              </w:rPr>
            </w:pPr>
          </w:p>
        </w:tc>
      </w:tr>
      <w:tr>
        <w:trPr>
          <w:trHeight w:val="179"/>
        </w:trPr>
        <w:tc>
          <w:tcPr>
            <w:tcW w:w="19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9.1.</w:t>
            </w:r>
          </w:p>
        </w:tc>
        <w:tc>
          <w:tcPr>
            <w:tcW w:w="7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Restrictions on Indebtedness.........................................................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52</w:t>
            </w:r>
          </w:p>
        </w:tc>
        <w:tc>
          <w:tcPr>
            <w:tcW w:w="0" w:type="dxa"/>
            <w:vAlign w:val="bottom"/>
          </w:tcPr>
          <w:p>
            <w:pPr>
              <w:spacing w:after="0"/>
              <w:rPr>
                <w:sz w:val="1"/>
                <w:szCs w:val="1"/>
                <w:color w:val="auto"/>
              </w:rPr>
            </w:pPr>
          </w:p>
        </w:tc>
      </w:tr>
      <w:tr>
        <w:trPr>
          <w:trHeight w:val="179"/>
        </w:trPr>
        <w:tc>
          <w:tcPr>
            <w:tcW w:w="19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9.2.</w:t>
            </w:r>
          </w:p>
        </w:tc>
        <w:tc>
          <w:tcPr>
            <w:tcW w:w="7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Restrictions on Liens................................................................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53</w:t>
            </w:r>
          </w:p>
        </w:tc>
        <w:tc>
          <w:tcPr>
            <w:tcW w:w="0" w:type="dxa"/>
            <w:vAlign w:val="bottom"/>
          </w:tcPr>
          <w:p>
            <w:pPr>
              <w:spacing w:after="0"/>
              <w:rPr>
                <w:sz w:val="1"/>
                <w:szCs w:val="1"/>
                <w:color w:val="auto"/>
              </w:rPr>
            </w:pPr>
          </w:p>
        </w:tc>
      </w:tr>
      <w:tr>
        <w:trPr>
          <w:trHeight w:val="179"/>
        </w:trPr>
        <w:tc>
          <w:tcPr>
            <w:tcW w:w="19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9.3.</w:t>
            </w:r>
          </w:p>
        </w:tc>
        <w:tc>
          <w:tcPr>
            <w:tcW w:w="7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Restrictions on Investments..........................................................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53</w:t>
            </w:r>
          </w:p>
        </w:tc>
        <w:tc>
          <w:tcPr>
            <w:tcW w:w="0" w:type="dxa"/>
            <w:vAlign w:val="bottom"/>
          </w:tcPr>
          <w:p>
            <w:pPr>
              <w:spacing w:after="0"/>
              <w:rPr>
                <w:sz w:val="1"/>
                <w:szCs w:val="1"/>
                <w:color w:val="auto"/>
              </w:rPr>
            </w:pPr>
          </w:p>
        </w:tc>
      </w:tr>
      <w:tr>
        <w:trPr>
          <w:trHeight w:val="179"/>
        </w:trPr>
        <w:tc>
          <w:tcPr>
            <w:tcW w:w="19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9.4.</w:t>
            </w:r>
          </w:p>
        </w:tc>
        <w:tc>
          <w:tcPr>
            <w:tcW w:w="7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Mergers, Consolidations, Sales.......................................................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54</w:t>
            </w:r>
          </w:p>
        </w:tc>
        <w:tc>
          <w:tcPr>
            <w:tcW w:w="0" w:type="dxa"/>
            <w:vAlign w:val="bottom"/>
          </w:tcPr>
          <w:p>
            <w:pPr>
              <w:spacing w:after="0"/>
              <w:rPr>
                <w:sz w:val="1"/>
                <w:szCs w:val="1"/>
                <w:color w:val="auto"/>
              </w:rPr>
            </w:pPr>
          </w:p>
        </w:tc>
      </w:tr>
      <w:tr>
        <w:trPr>
          <w:trHeight w:val="179"/>
        </w:trPr>
        <w:tc>
          <w:tcPr>
            <w:tcW w:w="19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9.5.</w:t>
            </w:r>
          </w:p>
        </w:tc>
        <w:tc>
          <w:tcPr>
            <w:tcW w:w="7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Restricted Distributions and Redemptions.............................................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55</w:t>
            </w:r>
          </w:p>
        </w:tc>
        <w:tc>
          <w:tcPr>
            <w:tcW w:w="0" w:type="dxa"/>
            <w:vAlign w:val="bottom"/>
          </w:tcPr>
          <w:p>
            <w:pPr>
              <w:spacing w:after="0"/>
              <w:rPr>
                <w:sz w:val="1"/>
                <w:szCs w:val="1"/>
                <w:color w:val="auto"/>
              </w:rPr>
            </w:pPr>
          </w:p>
        </w:tc>
      </w:tr>
      <w:tr>
        <w:trPr>
          <w:trHeight w:val="179"/>
        </w:trPr>
        <w:tc>
          <w:tcPr>
            <w:tcW w:w="1940" w:type="dxa"/>
            <w:vAlign w:val="bottom"/>
            <w:gridSpan w:val="2"/>
          </w:tcPr>
          <w:p>
            <w:pPr>
              <w:ind w:left="640"/>
              <w:spacing w:after="0" w:line="179" w:lineRule="exact"/>
              <w:rPr>
                <w:sz w:val="20"/>
                <w:szCs w:val="20"/>
                <w:color w:val="auto"/>
              </w:rPr>
            </w:pPr>
            <w:r>
              <w:rPr>
                <w:rFonts w:ascii="Courier New" w:cs="Courier New" w:eastAsia="Courier New" w:hAnsi="Courier New"/>
                <w:sz w:val="16"/>
                <w:szCs w:val="16"/>
                <w:color w:val="auto"/>
              </w:rPr>
              <w:t>Section 9.6.</w:t>
            </w:r>
          </w:p>
        </w:tc>
        <w:tc>
          <w:tcPr>
            <w:tcW w:w="792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Employee Benefit Plans...............................................................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55</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SECTION 10.  FINANCIAL COVENANTS OF THE BORROWER..........................................................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10.1. Interest Coverage Ratio..............................................................</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10.2. Total Debt to EBITDA.................................................................</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10.3. Minimum Net Worth....................................................................</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SECTION 11.</w:t>
            </w:r>
          </w:p>
        </w:tc>
        <w:tc>
          <w:tcPr>
            <w:tcW w:w="2000" w:type="dxa"/>
            <w:vAlign w:val="bottom"/>
            <w:gridSpan w:val="2"/>
          </w:tcPr>
          <w:p>
            <w:pPr>
              <w:ind w:left="140"/>
              <w:spacing w:after="0" w:line="179" w:lineRule="exact"/>
              <w:rPr>
                <w:sz w:val="20"/>
                <w:szCs w:val="20"/>
                <w:color w:val="auto"/>
              </w:rPr>
            </w:pPr>
            <w:r>
              <w:rPr>
                <w:rFonts w:ascii="Courier New" w:cs="Courier New" w:eastAsia="Courier New" w:hAnsi="Courier New"/>
                <w:sz w:val="16"/>
                <w:szCs w:val="16"/>
                <w:color w:val="auto"/>
                <w:w w:val="95"/>
              </w:rPr>
              <w:t>CONDITIONS PRECEDENT</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11.1.  Conditions To Effectiveness.........................................................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11.1.1.</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Corporate Action.........................................................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56</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11.1.2.</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Loan Documents, Etc......................................................</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11.1.3.</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Certificate of No Change.................................................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11.1.4.</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Incumbency Certificate...................................................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11.1.5.</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Certificates of Insurance................................................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11.1.6.</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Opinion of Counsel.......................................................</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11.1.7.</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Satisfactory Financial Condition.........................................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11.1.8.</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Payment of Closing Fees..................................................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2000" w:type="dxa"/>
            <w:vAlign w:val="bottom"/>
            <w:gridSpan w:val="2"/>
          </w:tcPr>
          <w:p>
            <w:pPr>
              <w:ind w:left="420"/>
              <w:spacing w:after="0" w:line="179" w:lineRule="exact"/>
              <w:rPr>
                <w:sz w:val="20"/>
                <w:szCs w:val="20"/>
                <w:color w:val="auto"/>
              </w:rPr>
            </w:pPr>
            <w:r>
              <w:rPr>
                <w:rFonts w:ascii="Courier New" w:cs="Courier New" w:eastAsia="Courier New" w:hAnsi="Courier New"/>
                <w:sz w:val="16"/>
                <w:szCs w:val="16"/>
                <w:color w:val="auto"/>
              </w:rPr>
              <w:t>Section 11.1.9.</w:t>
            </w:r>
          </w:p>
        </w:tc>
        <w:tc>
          <w:tcPr>
            <w:tcW w:w="68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6"/>
              </w:rPr>
              <w:t>Payoff of Existing Debt..................................................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57</w:t>
            </w:r>
          </w:p>
        </w:tc>
        <w:tc>
          <w:tcPr>
            <w:tcW w:w="0" w:type="dxa"/>
            <w:vAlign w:val="bottom"/>
          </w:tcPr>
          <w:p>
            <w:pPr>
              <w:spacing w:after="0"/>
              <w:rPr>
                <w:sz w:val="1"/>
                <w:szCs w:val="1"/>
                <w:color w:val="auto"/>
              </w:rPr>
            </w:pPr>
          </w:p>
        </w:tc>
      </w:tr>
      <w:tr>
        <w:trPr>
          <w:trHeight w:val="179"/>
        </w:trPr>
        <w:tc>
          <w:tcPr>
            <w:tcW w:w="1060" w:type="dxa"/>
            <w:vAlign w:val="bottom"/>
          </w:tcPr>
          <w:p>
            <w:pPr>
              <w:spacing w:after="0"/>
              <w:rPr>
                <w:sz w:val="15"/>
                <w:szCs w:val="15"/>
                <w:color w:val="auto"/>
              </w:rPr>
            </w:pPr>
          </w:p>
        </w:tc>
        <w:tc>
          <w:tcPr>
            <w:tcW w:w="88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rPr>
              <w:t>Section 11.1.10. Closing Certificate......................................................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w w:val="96"/>
              </w:rPr>
              <w:t>SECTION 12.  CONDITIONS TO ALL LOANS......................................................................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12.1. Representations True.................................................................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12.2. Performance; No Event of Default.....................................................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12.3. No Legal Impediment..................................................................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12.4. Governmental Regulation..............................................................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12.5. Proceedings and Documents............................................................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58</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SECTION 13.</w:t>
            </w:r>
          </w:p>
        </w:tc>
        <w:tc>
          <w:tcPr>
            <w:tcW w:w="8800" w:type="dxa"/>
            <w:vAlign w:val="bottom"/>
            <w:gridSpan w:val="3"/>
          </w:tcPr>
          <w:p>
            <w:pPr>
              <w:jc w:val="right"/>
              <w:spacing w:after="0" w:line="179" w:lineRule="exact"/>
              <w:rPr>
                <w:sz w:val="20"/>
                <w:szCs w:val="20"/>
                <w:color w:val="auto"/>
              </w:rPr>
            </w:pPr>
            <w:r>
              <w:rPr>
                <w:rFonts w:ascii="Courier New" w:cs="Courier New" w:eastAsia="Courier New" w:hAnsi="Courier New"/>
                <w:sz w:val="16"/>
                <w:szCs w:val="16"/>
                <w:color w:val="auto"/>
                <w:w w:val="98"/>
              </w:rPr>
              <w:t>EVENTS OF DEFAULT; ACCELERATION; TERMINATION OF COMMITMENT...................................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59</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13.1. Events of Default and Acceleration...................................................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59</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13.2. Termination of Commitments...........................................................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61</w:t>
            </w:r>
          </w:p>
        </w:tc>
        <w:tc>
          <w:tcPr>
            <w:tcW w:w="0" w:type="dxa"/>
            <w:vAlign w:val="bottom"/>
          </w:tcPr>
          <w:p>
            <w:pPr>
              <w:spacing w:after="0"/>
              <w:rPr>
                <w:sz w:val="1"/>
                <w:szCs w:val="1"/>
                <w:color w:val="auto"/>
              </w:rPr>
            </w:pPr>
          </w:p>
        </w:tc>
      </w:tr>
      <w:tr>
        <w:trPr>
          <w:trHeight w:val="179"/>
        </w:trPr>
        <w:tc>
          <w:tcPr>
            <w:tcW w:w="9860" w:type="dxa"/>
            <w:vAlign w:val="bottom"/>
            <w:gridSpan w:val="4"/>
          </w:tcPr>
          <w:p>
            <w:pPr>
              <w:jc w:val="right"/>
              <w:spacing w:after="0" w:line="179" w:lineRule="exact"/>
              <w:rPr>
                <w:sz w:val="20"/>
                <w:szCs w:val="20"/>
                <w:color w:val="auto"/>
              </w:rPr>
            </w:pPr>
            <w:r>
              <w:rPr>
                <w:rFonts w:ascii="Courier New" w:cs="Courier New" w:eastAsia="Courier New" w:hAnsi="Courier New"/>
                <w:sz w:val="16"/>
                <w:szCs w:val="16"/>
                <w:color w:val="auto"/>
              </w:rPr>
              <w:t>Section 13.3. Remedies.............................................................................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61</w:t>
            </w:r>
          </w:p>
        </w:tc>
        <w:tc>
          <w:tcPr>
            <w:tcW w:w="0" w:type="dxa"/>
            <w:vAlign w:val="bottom"/>
          </w:tcPr>
          <w:p>
            <w:pPr>
              <w:spacing w:after="0"/>
              <w:rPr>
                <w:sz w:val="1"/>
                <w:szCs w:val="1"/>
                <w:color w:val="auto"/>
              </w:rPr>
            </w:pPr>
          </w:p>
        </w:tc>
      </w:tr>
      <w:tr>
        <w:trPr>
          <w:trHeight w:val="179"/>
        </w:trPr>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SECTION 14.</w:t>
            </w:r>
          </w:p>
        </w:tc>
        <w:tc>
          <w:tcPr>
            <w:tcW w:w="2000" w:type="dxa"/>
            <w:vAlign w:val="bottom"/>
            <w:gridSpan w:val="2"/>
          </w:tcPr>
          <w:p>
            <w:pPr>
              <w:ind w:left="140"/>
              <w:spacing w:after="0"/>
              <w:rPr>
                <w:sz w:val="20"/>
                <w:szCs w:val="20"/>
                <w:color w:val="auto"/>
              </w:rPr>
            </w:pPr>
            <w:r>
              <w:rPr>
                <w:rFonts w:ascii="Courier New" w:cs="Courier New" w:eastAsia="Courier New" w:hAnsi="Courier New"/>
                <w:sz w:val="4"/>
                <w:szCs w:val="4"/>
                <w:color w:val="auto"/>
                <w:w w:val="82"/>
              </w:rPr>
              <w:t>SETOFF.......................................................................................</w:t>
            </w:r>
          </w:p>
        </w:tc>
        <w:tc>
          <w:tcPr>
            <w:tcW w:w="6800" w:type="dxa"/>
            <w:vAlign w:val="bottom"/>
          </w:tcPr>
          <w:p>
            <w:pPr>
              <w:spacing w:after="0"/>
              <w:rPr>
                <w:sz w:val="15"/>
                <w:szCs w:val="15"/>
                <w:color w:val="auto"/>
              </w:rPr>
            </w:pP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62</w:t>
            </w:r>
          </w:p>
        </w:tc>
        <w:tc>
          <w:tcPr>
            <w:tcW w:w="0" w:type="dxa"/>
            <w:vAlign w:val="bottom"/>
          </w:tcPr>
          <w:p>
            <w:pPr>
              <w:spacing w:after="0"/>
              <w:rPr>
                <w:sz w:val="1"/>
                <w:szCs w:val="1"/>
                <w:color w:val="auto"/>
              </w:rPr>
            </w:pPr>
          </w:p>
        </w:tc>
      </w:tr>
      <w:tr>
        <w:trPr>
          <w:trHeight w:val="261"/>
        </w:trPr>
        <w:tc>
          <w:tcPr>
            <w:tcW w:w="1060" w:type="dxa"/>
            <w:vAlign w:val="bottom"/>
          </w:tcPr>
          <w:p>
            <w:pPr>
              <w:spacing w:after="0"/>
              <w:rPr>
                <w:sz w:val="20"/>
                <w:szCs w:val="20"/>
                <w:color w:val="auto"/>
              </w:rPr>
            </w:pPr>
            <w:r>
              <w:rPr>
                <w:rFonts w:ascii="Courier New" w:cs="Courier New" w:eastAsia="Courier New" w:hAnsi="Courier New"/>
                <w:sz w:val="16"/>
                <w:szCs w:val="16"/>
                <w:color w:val="auto"/>
                <w:w w:val="98"/>
              </w:rPr>
              <w:t>SECTION 15.</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w w:val="93"/>
              </w:rPr>
              <w:t>EXPENSES</w:t>
            </w:r>
          </w:p>
        </w:tc>
        <w:tc>
          <w:tcPr>
            <w:tcW w:w="7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62</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180" w:name="page181"/>
    <w:bookmarkEnd w:id="180"/>
    <w:p>
      <w:pPr>
        <w:ind w:left="280"/>
        <w:spacing w:after="0"/>
        <w:rPr>
          <w:sz w:val="20"/>
          <w:szCs w:val="20"/>
          <w:color w:val="auto"/>
        </w:rPr>
      </w:pPr>
      <w:r>
        <w:rPr>
          <w:rFonts w:ascii="Courier New" w:cs="Courier New" w:eastAsia="Courier New" w:hAnsi="Courier New"/>
          <w:sz w:val="16"/>
          <w:szCs w:val="16"/>
          <w:color w:val="auto"/>
        </w:rPr>
        <w:t>5</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20" w:type="dxa"/>
            <w:vAlign w:val="bottom"/>
          </w:tcPr>
          <w:p>
            <w:pPr>
              <w:spacing w:after="0"/>
              <w:rPr>
                <w:sz w:val="22"/>
                <w:szCs w:val="22"/>
                <w:color w:val="auto"/>
              </w:rPr>
            </w:pPr>
          </w:p>
        </w:tc>
        <w:tc>
          <w:tcPr>
            <w:tcW w:w="8740" w:type="dxa"/>
            <w:vAlign w:val="bottom"/>
          </w:tcPr>
          <w:p>
            <w:pPr>
              <w:jc w:val="right"/>
              <w:ind w:right="5982"/>
              <w:spacing w:after="0"/>
              <w:rPr>
                <w:sz w:val="20"/>
                <w:szCs w:val="20"/>
                <w:color w:val="auto"/>
              </w:rPr>
            </w:pPr>
            <w:r>
              <w:rPr>
                <w:rFonts w:ascii="Courier New" w:cs="Courier New" w:eastAsia="Courier New" w:hAnsi="Courier New"/>
                <w:sz w:val="16"/>
                <w:szCs w:val="16"/>
                <w:color w:val="auto"/>
              </w:rPr>
              <w:t>-v-</w:t>
            </w:r>
          </w:p>
        </w:tc>
        <w:tc>
          <w:tcPr>
            <w:tcW w:w="180" w:type="dxa"/>
            <w:vAlign w:val="bottom"/>
          </w:tcPr>
          <w:p>
            <w:pPr>
              <w:spacing w:after="0"/>
              <w:rPr>
                <w:sz w:val="22"/>
                <w:szCs w:val="22"/>
                <w:color w:val="auto"/>
              </w:rPr>
            </w:pPr>
          </w:p>
        </w:tc>
      </w:tr>
      <w:tr>
        <w:trPr>
          <w:trHeight w:val="605"/>
        </w:trPr>
        <w:tc>
          <w:tcPr>
            <w:tcW w:w="1120" w:type="dxa"/>
            <w:vAlign w:val="bottom"/>
          </w:tcPr>
          <w:p>
            <w:pPr>
              <w:spacing w:after="0"/>
              <w:rPr>
                <w:sz w:val="20"/>
                <w:szCs w:val="20"/>
                <w:color w:val="auto"/>
              </w:rPr>
            </w:pPr>
            <w:r>
              <w:rPr>
                <w:rFonts w:ascii="Courier New" w:cs="Courier New" w:eastAsia="Courier New" w:hAnsi="Courier New"/>
                <w:sz w:val="16"/>
                <w:szCs w:val="16"/>
                <w:color w:val="auto"/>
              </w:rPr>
              <w:t>SECTION 16.</w:t>
            </w:r>
          </w:p>
        </w:tc>
        <w:tc>
          <w:tcPr>
            <w:tcW w:w="8740" w:type="dxa"/>
            <w:vAlign w:val="bottom"/>
          </w:tcPr>
          <w:p>
            <w:pPr>
              <w:jc w:val="right"/>
              <w:spacing w:after="0"/>
              <w:rPr>
                <w:sz w:val="20"/>
                <w:szCs w:val="20"/>
                <w:color w:val="auto"/>
              </w:rPr>
            </w:pPr>
            <w:r>
              <w:rPr>
                <w:rFonts w:ascii="Courier New" w:cs="Courier New" w:eastAsia="Courier New" w:hAnsi="Courier New"/>
                <w:sz w:val="16"/>
                <w:szCs w:val="16"/>
                <w:color w:val="auto"/>
                <w:w w:val="97"/>
              </w:rPr>
              <w:t>THE AGENTS...................................................................................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62</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16.1. Appointment, Powers and Immunities...................................................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62</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16.2. Actions By Administrative Agent......................................................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63</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16.3. Indemnification......................................................................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63</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16.4. Reimbursement........................................................................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64</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16.5. Documents............................................................................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64</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16.6. Non-Reliance on Administrative Agent and Other Banks.................................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64</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16.7. Resignation of Administrative Agent..................................................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65</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16.8. Action by the Banks, Consents, Amendments, Waivers,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65</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17.</w:t>
            </w:r>
          </w:p>
        </w:tc>
        <w:tc>
          <w:tcPr>
            <w:tcW w:w="8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INDEMNIFICATION..............................................................................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66</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18.</w:t>
            </w:r>
          </w:p>
        </w:tc>
        <w:tc>
          <w:tcPr>
            <w:tcW w:w="8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WITHHOLDING TAXES............................................................................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66</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SECTION 19.  TREATMENT OF CERTAIN CONFIDENTIAL INFORMATION................................................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68</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19.1. Confidentiality......................................................................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68</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19.2. Prior Notification...................................................................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69</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19.3. Other................................................................................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69</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SECTION 20.  SURVIVAL OF COVENANTS,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69</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SECTION 21.  ASSIGNMENT AND PARTICIPATION.................................................................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69</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22.</w:t>
            </w:r>
          </w:p>
        </w:tc>
        <w:tc>
          <w:tcPr>
            <w:tcW w:w="8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PARTIES IN INTEREST..........................................................................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71</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23.</w:t>
            </w:r>
          </w:p>
        </w:tc>
        <w:tc>
          <w:tcPr>
            <w:tcW w:w="8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NOTICES,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71</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24.</w:t>
            </w:r>
          </w:p>
        </w:tc>
        <w:tc>
          <w:tcPr>
            <w:tcW w:w="8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MISCELLANEOUS................................................................................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71</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25.</w:t>
            </w:r>
          </w:p>
        </w:tc>
        <w:tc>
          <w:tcPr>
            <w:tcW w:w="8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CONSENTS, ETC. ..............................................................................</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72</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SECTION 26.  WAIVER OF JURY TRIAL.........................................................................</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72</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SECTION 27.  GOVERNING LAW; SUBMISSION TO JURISDICTION....................................................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73</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28.</w:t>
            </w:r>
          </w:p>
        </w:tc>
        <w:tc>
          <w:tcPr>
            <w:tcW w:w="8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SEVERABILITY.................................................................................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73</w:t>
            </w:r>
          </w:p>
        </w:tc>
      </w:tr>
      <w:tr>
        <w:trPr>
          <w:trHeight w:val="179"/>
        </w:trPr>
        <w:tc>
          <w:tcPr>
            <w:tcW w:w="1120" w:type="dxa"/>
            <w:vAlign w:val="bottom"/>
          </w:tcPr>
          <w:p>
            <w:pPr>
              <w:spacing w:after="0" w:line="179" w:lineRule="exact"/>
              <w:rPr>
                <w:sz w:val="20"/>
                <w:szCs w:val="20"/>
                <w:color w:val="auto"/>
              </w:rPr>
            </w:pPr>
            <w:r>
              <w:rPr>
                <w:rFonts w:ascii="Courier New" w:cs="Courier New" w:eastAsia="Courier New" w:hAnsi="Courier New"/>
                <w:sz w:val="16"/>
                <w:szCs w:val="16"/>
                <w:color w:val="auto"/>
              </w:rPr>
              <w:t>SECTION 29.</w:t>
            </w:r>
          </w:p>
        </w:tc>
        <w:tc>
          <w:tcPr>
            <w:tcW w:w="8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7"/>
              </w:rPr>
              <w:t>GUARANTY.....................................................................................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73</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29.1. Guaranty.............................................................................</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73</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29.2. Guaranty Absolute....................................................................</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73</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29.3. Effectiveness; Enforcement...........................................................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74</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29.4. Waiver...............................................................................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74</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29.5. Expenses.............................................................................</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75</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29.6. Concerning Joint and Several Liability of the Guarantor..............................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75</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29.7. Waiver...............................................................................</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77</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Section 29.8. Subrogation; Subordination...........................................................</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77</w:t>
            </w:r>
          </w:p>
        </w:tc>
      </w:tr>
      <w:tr>
        <w:trPr>
          <w:trHeight w:val="179"/>
        </w:trPr>
        <w:tc>
          <w:tcPr>
            <w:tcW w:w="98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6"/>
              </w:rPr>
              <w:t>SECTION 30.  PARI PASSU TREATMENT.........................................................................</w:t>
            </w:r>
          </w:p>
        </w:tc>
        <w:tc>
          <w:tcPr>
            <w:tcW w:w="1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83"/>
              </w:rPr>
              <w:t>77</w:t>
            </w:r>
          </w:p>
        </w:tc>
      </w:tr>
      <w:tr>
        <w:trPr>
          <w:trHeight w:val="261"/>
        </w:trPr>
        <w:tc>
          <w:tcPr>
            <w:tcW w:w="1120" w:type="dxa"/>
            <w:vAlign w:val="bottom"/>
          </w:tcPr>
          <w:p>
            <w:pPr>
              <w:spacing w:after="0"/>
              <w:rPr>
                <w:sz w:val="20"/>
                <w:szCs w:val="20"/>
                <w:color w:val="auto"/>
              </w:rPr>
            </w:pPr>
            <w:r>
              <w:rPr>
                <w:rFonts w:ascii="Courier New" w:cs="Courier New" w:eastAsia="Courier New" w:hAnsi="Courier New"/>
                <w:sz w:val="16"/>
                <w:szCs w:val="16"/>
                <w:color w:val="auto"/>
              </w:rPr>
              <w:t>SECTION 31.</w:t>
            </w:r>
          </w:p>
        </w:tc>
        <w:tc>
          <w:tcPr>
            <w:tcW w:w="8740" w:type="dxa"/>
            <w:vAlign w:val="bottom"/>
          </w:tcPr>
          <w:p>
            <w:pPr>
              <w:jc w:val="right"/>
              <w:spacing w:after="0"/>
              <w:rPr>
                <w:sz w:val="20"/>
                <w:szCs w:val="20"/>
                <w:color w:val="auto"/>
              </w:rPr>
            </w:pPr>
            <w:r>
              <w:rPr>
                <w:rFonts w:ascii="Courier New" w:cs="Courier New" w:eastAsia="Courier New" w:hAnsi="Courier New"/>
                <w:sz w:val="16"/>
                <w:szCs w:val="16"/>
                <w:color w:val="auto"/>
                <w:w w:val="97"/>
              </w:rPr>
              <w:t>FINAL AGREEMENT..............................................................................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78</w:t>
            </w:r>
          </w:p>
        </w:tc>
      </w:tr>
    </w:tbl>
    <w:p>
      <w:pPr>
        <w:sectPr>
          <w:pgSz w:w="11900" w:h="16838" w:orient="portrait"/>
          <w:cols w:equalWidth="0" w:num="1">
            <w:col w:w="10219"/>
          </w:cols>
          <w:pgMar w:left="240" w:top="269"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6"/>
          <w:szCs w:val="16"/>
          <w:color w:val="auto"/>
        </w:rPr>
        <w:t>6</w:t>
      </w:r>
    </w:p>
    <w:p>
      <w:pPr>
        <w:spacing w:after="0" w:line="26" w:lineRule="exact"/>
        <w:rPr>
          <w:sz w:val="20"/>
          <w:szCs w:val="20"/>
          <w:color w:val="auto"/>
        </w:rPr>
      </w:pPr>
    </w:p>
    <w:tbl>
      <w:tblPr>
        <w:tblLayout w:type="fixed"/>
        <w:tblInd w:w="460" w:type="dxa"/>
        <w:tblCellMar>
          <w:top w:w="0" w:type="dxa"/>
          <w:left w:w="0" w:type="dxa"/>
          <w:bottom w:w="0" w:type="dxa"/>
          <w:right w:w="0" w:type="dxa"/>
        </w:tblCellMar>
      </w:tblPr>
      <w:tr>
        <w:trPr>
          <w:trHeight w:val="261"/>
        </w:trPr>
        <w:tc>
          <w:tcPr>
            <w:tcW w:w="1960" w:type="dxa"/>
            <w:vAlign w:val="bottom"/>
          </w:tcPr>
          <w:p>
            <w:pPr>
              <w:spacing w:after="0"/>
              <w:rPr>
                <w:sz w:val="22"/>
                <w:szCs w:val="22"/>
                <w:color w:val="auto"/>
              </w:rPr>
            </w:pPr>
          </w:p>
        </w:tc>
        <w:tc>
          <w:tcPr>
            <w:tcW w:w="5020" w:type="dxa"/>
            <w:vAlign w:val="bottom"/>
          </w:tcPr>
          <w:p>
            <w:pPr>
              <w:ind w:left="840"/>
              <w:spacing w:after="0"/>
              <w:rPr>
                <w:sz w:val="20"/>
                <w:szCs w:val="20"/>
                <w:color w:val="auto"/>
              </w:rPr>
            </w:pPr>
            <w:r>
              <w:rPr>
                <w:rFonts w:ascii="Courier New" w:cs="Courier New" w:eastAsia="Courier New" w:hAnsi="Courier New"/>
                <w:sz w:val="16"/>
                <w:szCs w:val="16"/>
                <w:color w:val="auto"/>
              </w:rPr>
              <w:t>-vi-</w:t>
            </w:r>
          </w:p>
        </w:tc>
        <w:tc>
          <w:tcPr>
            <w:tcW w:w="0" w:type="dxa"/>
            <w:vAlign w:val="bottom"/>
          </w:tcPr>
          <w:p>
            <w:pPr>
              <w:spacing w:after="0"/>
              <w:rPr>
                <w:sz w:val="1"/>
                <w:szCs w:val="1"/>
                <w:color w:val="auto"/>
              </w:rPr>
            </w:pPr>
          </w:p>
        </w:tc>
      </w:tr>
      <w:tr>
        <w:trPr>
          <w:trHeight w:val="688"/>
        </w:trPr>
        <w:tc>
          <w:tcPr>
            <w:tcW w:w="1960" w:type="dxa"/>
            <w:vAlign w:val="bottom"/>
          </w:tcPr>
          <w:p>
            <w:pPr>
              <w:spacing w:after="0"/>
              <w:rPr>
                <w:sz w:val="24"/>
                <w:szCs w:val="24"/>
                <w:color w:val="auto"/>
              </w:rPr>
            </w:pPr>
          </w:p>
        </w:tc>
        <w:tc>
          <w:tcPr>
            <w:tcW w:w="5020" w:type="dxa"/>
            <w:vAlign w:val="bottom"/>
          </w:tcPr>
          <w:p>
            <w:pPr>
              <w:jc w:val="right"/>
              <w:ind w:right="3562"/>
              <w:spacing w:after="0"/>
              <w:rPr>
                <w:sz w:val="20"/>
                <w:szCs w:val="20"/>
                <w:color w:val="auto"/>
              </w:rPr>
            </w:pPr>
            <w:r>
              <w:rPr>
                <w:rFonts w:ascii="Courier New" w:cs="Courier New" w:eastAsia="Courier New" w:hAnsi="Courier New"/>
                <w:sz w:val="16"/>
                <w:szCs w:val="16"/>
                <w:color w:val="auto"/>
              </w:rPr>
              <w:t>Exhibits</w:t>
            </w:r>
          </w:p>
        </w:tc>
        <w:tc>
          <w:tcPr>
            <w:tcW w:w="0" w:type="dxa"/>
            <w:vAlign w:val="bottom"/>
          </w:tcPr>
          <w:p>
            <w:pPr>
              <w:spacing w:after="0"/>
              <w:rPr>
                <w:sz w:val="1"/>
                <w:szCs w:val="1"/>
                <w:color w:val="auto"/>
              </w:rPr>
            </w:pPr>
          </w:p>
        </w:tc>
      </w:tr>
      <w:tr>
        <w:trPr>
          <w:trHeight w:val="633"/>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5020" w:type="dxa"/>
            <w:vAlign w:val="bottom"/>
          </w:tcPr>
          <w:p>
            <w:pPr>
              <w:ind w:left="840"/>
              <w:spacing w:after="0"/>
              <w:rPr>
                <w:sz w:val="20"/>
                <w:szCs w:val="20"/>
                <w:color w:val="auto"/>
              </w:rPr>
            </w:pPr>
            <w:r>
              <w:rPr>
                <w:rFonts w:ascii="Courier New" w:cs="Courier New" w:eastAsia="Courier New" w:hAnsi="Courier New"/>
                <w:sz w:val="16"/>
                <w:szCs w:val="16"/>
                <w:color w:val="auto"/>
              </w:rPr>
              <w:t>Form of Syndicated Note</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B</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Swing Line Note</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C</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Competitive Bid Note</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D</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Syndicated Loan Request</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E</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Letter of Credit Request</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F</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Compliance Certificate</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G</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Assignment and Acceptance</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H</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Competitive Bid Quote Request</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I</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w w:val="96"/>
              </w:rPr>
              <w:t>Form of Invitation for Competitive Bid Quotes</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J</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Competitive Bid Quote</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Exhibit K</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Notice of Acceptance/Rejection of</w:t>
            </w:r>
          </w:p>
        </w:tc>
        <w:tc>
          <w:tcPr>
            <w:tcW w:w="0" w:type="dxa"/>
            <w:vAlign w:val="bottom"/>
          </w:tcPr>
          <w:p>
            <w:pPr>
              <w:spacing w:after="0"/>
              <w:rPr>
                <w:sz w:val="1"/>
                <w:szCs w:val="1"/>
                <w:color w:val="auto"/>
              </w:rPr>
            </w:pPr>
          </w:p>
        </w:tc>
      </w:tr>
      <w:tr>
        <w:trPr>
          <w:trHeight w:val="179"/>
        </w:trPr>
        <w:tc>
          <w:tcPr>
            <w:tcW w:w="1960" w:type="dxa"/>
            <w:vAlign w:val="bottom"/>
            <w:vMerge w:val="restart"/>
          </w:tcPr>
          <w:p>
            <w:pPr>
              <w:spacing w:after="0"/>
              <w:rPr>
                <w:sz w:val="20"/>
                <w:szCs w:val="20"/>
                <w:color w:val="auto"/>
              </w:rPr>
            </w:pPr>
            <w:r>
              <w:rPr>
                <w:rFonts w:ascii="Courier New" w:cs="Courier New" w:eastAsia="Courier New" w:hAnsi="Courier New"/>
                <w:sz w:val="16"/>
                <w:szCs w:val="16"/>
                <w:color w:val="auto"/>
              </w:rPr>
              <w:t>Exhibit L</w:t>
            </w:r>
          </w:p>
        </w:tc>
        <w:tc>
          <w:tcPr>
            <w:tcW w:w="5020" w:type="dxa"/>
            <w:vAlign w:val="bottom"/>
          </w:tcPr>
          <w:p>
            <w:pPr>
              <w:ind w:left="1200"/>
              <w:spacing w:after="0" w:line="179" w:lineRule="exact"/>
              <w:rPr>
                <w:sz w:val="20"/>
                <w:szCs w:val="20"/>
                <w:color w:val="auto"/>
              </w:rPr>
            </w:pPr>
            <w:r>
              <w:rPr>
                <w:rFonts w:ascii="Courier New" w:cs="Courier New" w:eastAsia="Courier New" w:hAnsi="Courier New"/>
                <w:sz w:val="16"/>
                <w:szCs w:val="16"/>
                <w:color w:val="auto"/>
              </w:rPr>
              <w:t>Competitive Bid Quote(s)</w:t>
            </w:r>
          </w:p>
        </w:tc>
        <w:tc>
          <w:tcPr>
            <w:tcW w:w="0" w:type="dxa"/>
            <w:vAlign w:val="bottom"/>
          </w:tcPr>
          <w:p>
            <w:pPr>
              <w:spacing w:after="0"/>
              <w:rPr>
                <w:sz w:val="1"/>
                <w:szCs w:val="1"/>
                <w:color w:val="auto"/>
              </w:rPr>
            </w:pPr>
          </w:p>
        </w:tc>
      </w:tr>
      <w:tr>
        <w:trPr>
          <w:trHeight w:val="179"/>
        </w:trPr>
        <w:tc>
          <w:tcPr>
            <w:tcW w:w="1960" w:type="dxa"/>
            <w:vAlign w:val="bottom"/>
            <w:vMerge w:val="continue"/>
          </w:tcPr>
          <w:p>
            <w:pPr>
              <w:spacing w:after="0"/>
              <w:rPr>
                <w:sz w:val="15"/>
                <w:szCs w:val="15"/>
                <w:color w:val="auto"/>
              </w:rPr>
            </w:pP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Form of Term Note</w:t>
            </w:r>
          </w:p>
        </w:tc>
        <w:tc>
          <w:tcPr>
            <w:tcW w:w="0" w:type="dxa"/>
            <w:vAlign w:val="bottom"/>
          </w:tcPr>
          <w:p>
            <w:pPr>
              <w:spacing w:after="0"/>
              <w:rPr>
                <w:sz w:val="1"/>
                <w:szCs w:val="1"/>
                <w:color w:val="auto"/>
              </w:rPr>
            </w:pPr>
          </w:p>
        </w:tc>
      </w:tr>
      <w:tr>
        <w:trPr>
          <w:trHeight w:val="2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Exhibit M</w:t>
            </w:r>
          </w:p>
        </w:tc>
        <w:tc>
          <w:tcPr>
            <w:tcW w:w="5020" w:type="dxa"/>
            <w:vAlign w:val="bottom"/>
          </w:tcPr>
          <w:p>
            <w:pPr>
              <w:ind w:left="840"/>
              <w:spacing w:after="0"/>
              <w:rPr>
                <w:sz w:val="20"/>
                <w:szCs w:val="20"/>
                <w:color w:val="auto"/>
              </w:rPr>
            </w:pPr>
            <w:r>
              <w:rPr>
                <w:rFonts w:ascii="Courier New" w:cs="Courier New" w:eastAsia="Courier New" w:hAnsi="Courier New"/>
                <w:sz w:val="16"/>
                <w:szCs w:val="16"/>
                <w:color w:val="auto"/>
              </w:rPr>
              <w:t>Form of Letter of Credit Application</w:t>
            </w:r>
          </w:p>
        </w:tc>
        <w:tc>
          <w:tcPr>
            <w:tcW w:w="0" w:type="dxa"/>
            <w:vAlign w:val="bottom"/>
          </w:tcPr>
          <w:p>
            <w:pPr>
              <w:spacing w:after="0"/>
              <w:rPr>
                <w:sz w:val="1"/>
                <w:szCs w:val="1"/>
                <w:color w:val="auto"/>
              </w:rPr>
            </w:pPr>
          </w:p>
        </w:tc>
      </w:tr>
      <w:tr>
        <w:trPr>
          <w:trHeight w:val="358"/>
        </w:trPr>
        <w:tc>
          <w:tcPr>
            <w:tcW w:w="1960" w:type="dxa"/>
            <w:vAlign w:val="bottom"/>
          </w:tcPr>
          <w:p>
            <w:pPr>
              <w:spacing w:after="0"/>
              <w:rPr>
                <w:sz w:val="24"/>
                <w:szCs w:val="24"/>
                <w:color w:val="auto"/>
              </w:rPr>
            </w:pPr>
          </w:p>
        </w:tc>
        <w:tc>
          <w:tcPr>
            <w:tcW w:w="5020" w:type="dxa"/>
            <w:vAlign w:val="bottom"/>
          </w:tcPr>
          <w:p>
            <w:pPr>
              <w:jc w:val="right"/>
              <w:ind w:right="3562"/>
              <w:spacing w:after="0"/>
              <w:rPr>
                <w:sz w:val="20"/>
                <w:szCs w:val="20"/>
                <w:color w:val="auto"/>
              </w:rPr>
            </w:pPr>
            <w:r>
              <w:rPr>
                <w:rFonts w:ascii="Courier New" w:cs="Courier New" w:eastAsia="Courier New" w:hAnsi="Courier New"/>
                <w:sz w:val="16"/>
                <w:szCs w:val="16"/>
                <w:color w:val="auto"/>
              </w:rPr>
              <w:t>Schedules</w:t>
            </w:r>
          </w:p>
        </w:tc>
        <w:tc>
          <w:tcPr>
            <w:tcW w:w="0" w:type="dxa"/>
            <w:vAlign w:val="bottom"/>
          </w:tcPr>
          <w:p>
            <w:pPr>
              <w:spacing w:after="0"/>
              <w:rPr>
                <w:sz w:val="1"/>
                <w:szCs w:val="1"/>
                <w:color w:val="auto"/>
              </w:rPr>
            </w:pPr>
          </w:p>
        </w:tc>
      </w:tr>
      <w:tr>
        <w:trPr>
          <w:trHeight w:val="276"/>
        </w:trPr>
        <w:tc>
          <w:tcPr>
            <w:tcW w:w="1960" w:type="dxa"/>
            <w:vAlign w:val="bottom"/>
          </w:tcPr>
          <w:p>
            <w:pPr>
              <w:spacing w:after="0"/>
              <w:rPr>
                <w:sz w:val="20"/>
                <w:szCs w:val="20"/>
                <w:color w:val="auto"/>
              </w:rPr>
            </w:pPr>
            <w:r>
              <w:rPr>
                <w:rFonts w:ascii="Courier New" w:cs="Courier New" w:eastAsia="Courier New" w:hAnsi="Courier New"/>
                <w:sz w:val="16"/>
                <w:szCs w:val="16"/>
                <w:color w:val="auto"/>
              </w:rPr>
              <w:t>Schedule 1</w:t>
            </w:r>
          </w:p>
        </w:tc>
        <w:tc>
          <w:tcPr>
            <w:tcW w:w="5020" w:type="dxa"/>
            <w:vAlign w:val="bottom"/>
          </w:tcPr>
          <w:p>
            <w:pPr>
              <w:ind w:left="840"/>
              <w:spacing w:after="0"/>
              <w:rPr>
                <w:sz w:val="20"/>
                <w:szCs w:val="20"/>
                <w:color w:val="auto"/>
              </w:rPr>
            </w:pPr>
            <w:r>
              <w:rPr>
                <w:rFonts w:ascii="Courier New" w:cs="Courier New" w:eastAsia="Courier New" w:hAnsi="Courier New"/>
                <w:sz w:val="16"/>
                <w:szCs w:val="16"/>
                <w:color w:val="auto"/>
              </w:rPr>
              <w:t>Banks; Commitment Percentages</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Schedule 1.1</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Existing Liens</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Schedule 7.7</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Litigation</w:t>
            </w:r>
          </w:p>
        </w:tc>
        <w:tc>
          <w:tcPr>
            <w:tcW w:w="0" w:type="dxa"/>
            <w:vAlign w:val="bottom"/>
          </w:tcPr>
          <w:p>
            <w:pPr>
              <w:spacing w:after="0"/>
              <w:rPr>
                <w:sz w:val="1"/>
                <w:szCs w:val="1"/>
                <w:color w:val="auto"/>
              </w:rPr>
            </w:pPr>
          </w:p>
        </w:tc>
      </w:tr>
      <w:tr>
        <w:trPr>
          <w:trHeight w:val="179"/>
        </w:trPr>
        <w:tc>
          <w:tcPr>
            <w:tcW w:w="1960" w:type="dxa"/>
            <w:vAlign w:val="bottom"/>
          </w:tcPr>
          <w:p>
            <w:pPr>
              <w:spacing w:after="0" w:line="179" w:lineRule="exact"/>
              <w:rPr>
                <w:sz w:val="20"/>
                <w:szCs w:val="20"/>
                <w:color w:val="auto"/>
              </w:rPr>
            </w:pPr>
            <w:r>
              <w:rPr>
                <w:rFonts w:ascii="Courier New" w:cs="Courier New" w:eastAsia="Courier New" w:hAnsi="Courier New"/>
                <w:sz w:val="16"/>
                <w:szCs w:val="16"/>
                <w:color w:val="auto"/>
              </w:rPr>
              <w:t>Schedule 7.15</w:t>
            </w:r>
          </w:p>
        </w:tc>
        <w:tc>
          <w:tcPr>
            <w:tcW w:w="5020" w:type="dxa"/>
            <w:vAlign w:val="bottom"/>
          </w:tcPr>
          <w:p>
            <w:pPr>
              <w:ind w:left="840"/>
              <w:spacing w:after="0" w:line="179" w:lineRule="exact"/>
              <w:rPr>
                <w:sz w:val="20"/>
                <w:szCs w:val="20"/>
                <w:color w:val="auto"/>
              </w:rPr>
            </w:pPr>
            <w:r>
              <w:rPr>
                <w:rFonts w:ascii="Courier New" w:cs="Courier New" w:eastAsia="Courier New" w:hAnsi="Courier New"/>
                <w:sz w:val="16"/>
                <w:szCs w:val="16"/>
                <w:color w:val="auto"/>
              </w:rPr>
              <w:t>Environmental Compliance</w:t>
            </w:r>
          </w:p>
        </w:tc>
        <w:tc>
          <w:tcPr>
            <w:tcW w:w="0" w:type="dxa"/>
            <w:vAlign w:val="bottom"/>
          </w:tcPr>
          <w:p>
            <w:pPr>
              <w:spacing w:after="0"/>
              <w:rPr>
                <w:sz w:val="1"/>
                <w:szCs w:val="1"/>
                <w:color w:val="auto"/>
              </w:rPr>
            </w:pPr>
          </w:p>
        </w:tc>
      </w:tr>
      <w:tr>
        <w:trPr>
          <w:trHeight w:val="261"/>
        </w:trPr>
        <w:tc>
          <w:tcPr>
            <w:tcW w:w="1960" w:type="dxa"/>
            <w:vAlign w:val="bottom"/>
          </w:tcPr>
          <w:p>
            <w:pPr>
              <w:spacing w:after="0"/>
              <w:rPr>
                <w:sz w:val="20"/>
                <w:szCs w:val="20"/>
                <w:color w:val="auto"/>
              </w:rPr>
            </w:pPr>
            <w:r>
              <w:rPr>
                <w:rFonts w:ascii="Courier New" w:cs="Courier New" w:eastAsia="Courier New" w:hAnsi="Courier New"/>
                <w:sz w:val="16"/>
                <w:szCs w:val="16"/>
                <w:color w:val="auto"/>
              </w:rPr>
              <w:t>Schedule 9.1(d)</w:t>
            </w:r>
          </w:p>
        </w:tc>
        <w:tc>
          <w:tcPr>
            <w:tcW w:w="5020" w:type="dxa"/>
            <w:vAlign w:val="bottom"/>
          </w:tcPr>
          <w:p>
            <w:pPr>
              <w:ind w:left="840"/>
              <w:spacing w:after="0"/>
              <w:rPr>
                <w:sz w:val="20"/>
                <w:szCs w:val="20"/>
                <w:color w:val="auto"/>
              </w:rPr>
            </w:pPr>
            <w:r>
              <w:rPr>
                <w:rFonts w:ascii="Courier New" w:cs="Courier New" w:eastAsia="Courier New" w:hAnsi="Courier New"/>
                <w:sz w:val="16"/>
                <w:szCs w:val="16"/>
                <w:color w:val="auto"/>
              </w:rPr>
              <w:t>Existing Indebtedness</w:t>
            </w:r>
          </w:p>
        </w:tc>
        <w:tc>
          <w:tcPr>
            <w:tcW w:w="0" w:type="dxa"/>
            <w:vAlign w:val="bottom"/>
          </w:tcPr>
          <w:p>
            <w:pPr>
              <w:spacing w:after="0"/>
              <w:rPr>
                <w:sz w:val="1"/>
                <w:szCs w:val="1"/>
                <w:color w:val="auto"/>
              </w:rPr>
            </w:pPr>
          </w:p>
        </w:tc>
      </w:tr>
    </w:tbl>
    <w:p>
      <w:pPr>
        <w:sectPr>
          <w:pgSz w:w="11900" w:h="16838" w:orient="portrait"/>
          <w:cols w:equalWidth="0" w:num="1">
            <w:col w:w="9939"/>
          </w:cols>
          <w:pgMar w:left="520" w:top="269" w:right="1440" w:bottom="1440" w:gutter="0" w:footer="0" w:header="0"/>
        </w:sectPr>
      </w:pPr>
    </w:p>
    <w:bookmarkStart w:id="182" w:name="page183"/>
    <w:bookmarkEnd w:id="182"/>
    <w:p>
      <w:pPr>
        <w:ind w:left="280"/>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3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364-DAY LOAN AGREEMENT</w:t>
      </w:r>
    </w:p>
    <w:p>
      <w:pPr>
        <w:spacing w:after="0" w:line="177"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This 364-DAY LOAN AGREEMENT is made as of the 29th day of June, 2001, by and among WASTE MANAGEMENT, INC., a Delaware corporation having its chief executive office at 1001 Fannin Street, Suite 4000, Houston, Texas 77002 (the "Borrower"), WASTE MANAGEMENT HOLDINGS, INC., a wholly-owned Subsidiary of the Borrower (the "Guarantor"), FLEET NATIONAL BANK, a national banking association having a place of business at 100 Federal Street, Boston, MA 02110 ("Fleet"), BANK OF AMERICA, N.A., a national banking association having a place of business at 231 South LaSalle Street Chicago, IL 60697 ("BOA"), THE CHASE MANHATTAN BANK, a national banking association having a place of business at 707 Travis Street, Houston, TX 77002 ("Chase"), DEUTSCHE BANK AG, NEW YORK BRANCH, the duly licensed New York branch of a German corporation having its principal place of business at 31 West 52nd Street, New York, NY 10019 ("Deutsche"), and each of the other financial institutions party hereto (collectively, the "Banks"), and Fleet as administrative agent (the "Administrative Agent"), J.P. Morgan Securities Inc. ("JPMorgan") and Banc of America Securities LLC as joint lead arrangers and joint book managers (the "Joint Lead Arrangers and Joint Book Managers"), JPMorgan and BOA as co-syndication agents (the "Co-Syndication Agents", and together with the Administrative Agent and the Joint Lead Arrangers and Joint Book Managers, the "Agents"), and Deutsche and Citibank, N.A., as co-documentation agent (the "Co-Documentation Agents").</w:t>
      </w:r>
    </w:p>
    <w:p>
      <w:pPr>
        <w:spacing w:after="0" w:line="200" w:lineRule="exact"/>
        <w:rPr>
          <w:sz w:val="20"/>
          <w:szCs w:val="20"/>
          <w:color w:val="auto"/>
        </w:rPr>
      </w:pPr>
    </w:p>
    <w:p>
      <w:pPr>
        <w:spacing w:after="0" w:line="238"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WHEREAS, the Borrower has requested certain financing arrangements and the Banks have agreed to provide such financing arrangements on the terms set forth herein;</w:t>
      </w:r>
    </w:p>
    <w:p>
      <w:pPr>
        <w:spacing w:after="0" w:line="61"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NOW, THEREFORE, in consideration of the foregoing, the mutual covenants and agreements set forth herein below, and other good and valuable consideration, the receipt and sufficiency of which are hereby acknowledged by the parties, this Agreement will take effect on the Effective Date, on the following terms:</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 DEFINITIONS AND RULES OF INTERPRETATION.</w:t>
      </w:r>
    </w:p>
    <w:p>
      <w:pPr>
        <w:spacing w:after="0" w:line="177"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SECTION 1.1. DEFINITIONS. The following terms shall have the meanings set forth in this Section 1 or elsewhere in the provisions of this Agreement referred to below:</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Absolute Competitive Bid Loan(s). See Section 4.3(a).</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Accountants. See Section 8.4(a).</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Administrative Agent. See Preamble.</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Affected Bank. See Section 6.11.</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Agents. See Preamble.</w:t>
      </w:r>
    </w:p>
    <w:p>
      <w:pPr>
        <w:sectPr>
          <w:pgSz w:w="11900" w:h="16838" w:orient="portrait"/>
          <w:cols w:equalWidth="0" w:num="1">
            <w:col w:w="10219"/>
          </w:cols>
          <w:pgMar w:left="240" w:top="269" w:right="1440" w:bottom="1440" w:gutter="0" w:footer="0" w:header="0"/>
        </w:sectPr>
      </w:pPr>
    </w:p>
    <w:bookmarkStart w:id="183" w:name="page184"/>
    <w:bookmarkEnd w:id="183"/>
    <w:p>
      <w:pPr>
        <w:ind w:left="280"/>
        <w:spacing w:after="0"/>
        <w:rPr>
          <w:sz w:val="20"/>
          <w:szCs w:val="20"/>
          <w:color w:val="auto"/>
        </w:rPr>
      </w:pPr>
      <w:r>
        <w:rPr>
          <w:rFonts w:ascii="Courier New" w:cs="Courier New" w:eastAsia="Courier New" w:hAnsi="Courier New"/>
          <w:sz w:val="16"/>
          <w:szCs w:val="16"/>
          <w:color w:val="auto"/>
        </w:rPr>
        <w:t>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jc w:val="both"/>
        <w:ind w:right="3159" w:firstLine="837"/>
        <w:spacing w:after="0" w:line="289" w:lineRule="auto"/>
        <w:rPr>
          <w:sz w:val="20"/>
          <w:szCs w:val="20"/>
          <w:color w:val="auto"/>
        </w:rPr>
      </w:pPr>
      <w:r>
        <w:rPr>
          <w:rFonts w:ascii="Courier New" w:cs="Courier New" w:eastAsia="Courier New" w:hAnsi="Courier New"/>
          <w:sz w:val="16"/>
          <w:szCs w:val="16"/>
          <w:color w:val="auto"/>
        </w:rPr>
        <w:t>Agreement. This 364-Day Loan Agreement, including the Schedules and Exhibits hereto, as from time to time amended and supplemented in accordance with the terms hereof.</w:t>
      </w:r>
    </w:p>
    <w:p>
      <w:pPr>
        <w:spacing w:after="0" w:line="61"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Applicable Base Rate. The applicable rate per annum of interest on the Base Rate Loans as set forth in the Pricing Table.</w:t>
      </w:r>
    </w:p>
    <w:p>
      <w:pPr>
        <w:spacing w:after="0" w:line="20"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Applicable Eurodollar Rate. The applicable rate per annum of interest on the Eurodollar Loans as set forth in the Pricing Table.</w:t>
      </w:r>
    </w:p>
    <w:p>
      <w:pPr>
        <w:spacing w:after="0" w:line="20" w:lineRule="exact"/>
        <w:rPr>
          <w:sz w:val="20"/>
          <w:szCs w:val="20"/>
          <w:color w:val="auto"/>
        </w:rPr>
      </w:pPr>
    </w:p>
    <w:p>
      <w:pPr>
        <w:ind w:right="2779" w:firstLine="837"/>
        <w:spacing w:after="0" w:line="342" w:lineRule="auto"/>
        <w:rPr>
          <w:sz w:val="20"/>
          <w:szCs w:val="20"/>
          <w:color w:val="auto"/>
        </w:rPr>
      </w:pPr>
      <w:r>
        <w:rPr>
          <w:rFonts w:ascii="Courier New" w:cs="Courier New" w:eastAsia="Courier New" w:hAnsi="Courier New"/>
          <w:sz w:val="16"/>
          <w:szCs w:val="16"/>
          <w:color w:val="auto"/>
        </w:rPr>
        <w:t>Applicable Facility Rate. The applicable rate per annum with respect to the Facility Fee as set forth in the Pricing Table.</w:t>
      </w:r>
    </w:p>
    <w:p>
      <w:pPr>
        <w:spacing w:after="0" w:line="20" w:lineRule="exact"/>
        <w:rPr>
          <w:sz w:val="20"/>
          <w:szCs w:val="20"/>
          <w:color w:val="auto"/>
        </w:rPr>
      </w:pPr>
    </w:p>
    <w:p>
      <w:pPr>
        <w:ind w:right="3339" w:firstLine="837"/>
        <w:spacing w:after="0" w:line="342" w:lineRule="auto"/>
        <w:rPr>
          <w:sz w:val="20"/>
          <w:szCs w:val="20"/>
          <w:color w:val="auto"/>
        </w:rPr>
      </w:pPr>
      <w:r>
        <w:rPr>
          <w:rFonts w:ascii="Courier New" w:cs="Courier New" w:eastAsia="Courier New" w:hAnsi="Courier New"/>
          <w:sz w:val="16"/>
          <w:szCs w:val="16"/>
          <w:color w:val="auto"/>
        </w:rPr>
        <w:t>Applicable L/C Rate. The applicable rate per annum on the Maximum Drawing Amount as set forth in the Pricing Table.</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Applicable Requirements. See Section 8.10.</w:t>
      </w:r>
    </w:p>
    <w:p>
      <w:pPr>
        <w:spacing w:after="0" w:line="177"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Applicable Swing Line Rate. The annual rate of interest agreed upon from time to time by the Administrative Agent and the Borrower with respect to Swing Line Loans.</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Assignment and Acceptance. See Section 21.</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Balance Sheet Date. December 31, 2000.</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Banks. See Preamble.</w:t>
      </w:r>
    </w:p>
    <w:p>
      <w:pPr>
        <w:spacing w:after="0" w:line="177"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Base Rate. The higher of (a) the variable annual rate of interest so designated from time to time by the Administrative Agent at its Loan Office as its "prime rate," such rate being a reference rate and not necessarily representing the lowest or best rate being charged to any customer by the Administrative Agent, or (b) one-half of one percent (1/2%) above the Overnight Federal Funds Effective Rate, as published by the Board of Governors of the Federal Reserve System, as in effect from time to time. Changes in the Base Rate resulting from any changes in the Administrative Agent's "prime rate" shall take place immediately without notice or demand of any kind on the effective day of such change.</w:t>
      </w:r>
    </w:p>
    <w:p>
      <w:pPr>
        <w:spacing w:after="0" w:line="95" w:lineRule="exact"/>
        <w:rPr>
          <w:sz w:val="20"/>
          <w:szCs w:val="20"/>
          <w:color w:val="auto"/>
        </w:rPr>
      </w:pPr>
    </w:p>
    <w:p>
      <w:pPr>
        <w:ind w:right="3439" w:firstLine="837"/>
        <w:spacing w:after="0" w:line="342" w:lineRule="auto"/>
        <w:rPr>
          <w:sz w:val="20"/>
          <w:szCs w:val="20"/>
          <w:color w:val="auto"/>
        </w:rPr>
      </w:pPr>
      <w:r>
        <w:rPr>
          <w:rFonts w:ascii="Courier New" w:cs="Courier New" w:eastAsia="Courier New" w:hAnsi="Courier New"/>
          <w:sz w:val="16"/>
          <w:szCs w:val="16"/>
          <w:color w:val="auto"/>
        </w:rPr>
        <w:t>Base Rate Loans. Syndicated Loans bearing interest calculated by reference to the Base Rate.</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BOA. See Preamble.</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Borrower. See Preamble.</w:t>
      </w:r>
    </w:p>
    <w:p>
      <w:pPr>
        <w:spacing w:after="0" w:line="177"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Business Day. Any day, other than a Saturday, Sunday or any day on which banking institutions in Boston, Massachusetts or New York, New York are authorized by law to close, and, when used in connection with a Eurodollar Loan, a Eurodollar Business Day.</w:t>
      </w:r>
    </w:p>
    <w:p>
      <w:pPr>
        <w:spacing w:after="0" w:line="73"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Capitalized Leases or Capital Leases. Leases under which the Borrower or any of its Subsidiaries is the lessee or obligor, the discounted future rental payment obligations under</w:t>
      </w:r>
    </w:p>
    <w:p>
      <w:pPr>
        <w:sectPr>
          <w:pgSz w:w="11900" w:h="16838" w:orient="portrait"/>
          <w:cols w:equalWidth="0" w:num="1">
            <w:col w:w="10219"/>
          </w:cols>
          <w:pgMar w:left="240" w:top="269"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6"/>
          <w:szCs w:val="16"/>
          <w:color w:val="auto"/>
        </w:rPr>
        <w:t>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327" w:lineRule="exact"/>
        <w:rPr>
          <w:sz w:val="20"/>
          <w:szCs w:val="20"/>
          <w:color w:val="auto"/>
        </w:rPr>
      </w:pPr>
    </w:p>
    <w:p>
      <w:pPr>
        <w:ind w:right="3339"/>
        <w:spacing w:after="0" w:line="342" w:lineRule="auto"/>
        <w:rPr>
          <w:sz w:val="20"/>
          <w:szCs w:val="20"/>
          <w:color w:val="auto"/>
        </w:rPr>
      </w:pPr>
      <w:r>
        <w:rPr>
          <w:rFonts w:ascii="Courier New" w:cs="Courier New" w:eastAsia="Courier New" w:hAnsi="Courier New"/>
          <w:sz w:val="16"/>
          <w:szCs w:val="16"/>
          <w:color w:val="auto"/>
        </w:rPr>
        <w:t>which are required to be capitalized on the balance sheet of the lessee or obligor in accordance with GAAP.</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CERCLA. See Section 7.15(a).</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Certified or certified.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CFO or the CAO. See Section 8.4(b).</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Chase. See Preamble.</w:t>
      </w:r>
    </w:p>
    <w:p>
      <w:pPr>
        <w:spacing w:after="0" w:line="17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Code. The Internal Revenue Code of 1986, as amended and in effect from time to time.</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Co-Documentation Agent(s). See Preamble.</w:t>
      </w:r>
    </w:p>
    <w:p>
      <w:pPr>
        <w:spacing w:after="0" w:line="177"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Commitment. With respect to each Bank, such Bank's commitment to make Syndicated Loans to, and to participate in the issuance, extension and renewal of Letters of Credit for the account of, the Borrower, determined by multiplying such Bank's Commitment Percentage by the Total Commitment.</w:t>
      </w:r>
    </w:p>
    <w:p>
      <w:pPr>
        <w:spacing w:after="0" w:line="73"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Commitment Percentage. With respect to each Bank, the percentage initially set forth next to such Bank's name on Schedule 1 hereto, as the same may be adjusted in accordance with Section 21.</w:t>
      </w:r>
    </w:p>
    <w:p>
      <w:pPr>
        <w:spacing w:after="0" w:line="61"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Competitive Bid Loan(s). A borrowing hereunder consisting of one or more loans made by any of the participating Banks whose offer to make a Competitive Bid Loan as part of such borrowing has been accepted by the Borrower under the auction bidding procedure described in Section 4 hereof.</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Loan Accounts. See Section 4.2(a).</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Margin. See Section 4.5(b)(iv).</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Notes. See Section 4.2(b).</w:t>
      </w:r>
    </w:p>
    <w:p>
      <w:pPr>
        <w:spacing w:after="0" w:line="177" w:lineRule="exact"/>
        <w:rPr>
          <w:sz w:val="20"/>
          <w:szCs w:val="20"/>
          <w:color w:val="auto"/>
        </w:rPr>
      </w:pPr>
    </w:p>
    <w:p>
      <w:pPr>
        <w:ind w:right="3159" w:firstLine="837"/>
        <w:spacing w:after="0" w:line="342" w:lineRule="auto"/>
        <w:rPr>
          <w:sz w:val="20"/>
          <w:szCs w:val="20"/>
          <w:color w:val="auto"/>
        </w:rPr>
      </w:pPr>
      <w:r>
        <w:rPr>
          <w:rFonts w:ascii="Courier New" w:cs="Courier New" w:eastAsia="Courier New" w:hAnsi="Courier New"/>
          <w:sz w:val="16"/>
          <w:szCs w:val="16"/>
          <w:color w:val="auto"/>
        </w:rPr>
        <w:t>Competitive Bid Quote. An offer by a Bank to make a Competitive Bid Loan in accordance with Section 4.5 hereof.</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Quote Request. See Section 4.3.</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Rate. See Section 4.5(b)(v).</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Compliance Certificate. See Section 8.4(c).</w:t>
      </w:r>
    </w:p>
    <w:p>
      <w:pPr>
        <w:sectPr>
          <w:pgSz w:w="11900" w:h="16838" w:orient="portrait"/>
          <w:cols w:equalWidth="0" w:num="1">
            <w:col w:w="10219"/>
          </w:cols>
          <w:pgMar w:left="240" w:top="269" w:right="1440" w:bottom="1440" w:gutter="0" w:footer="0" w:header="0"/>
        </w:sectPr>
      </w:pPr>
    </w:p>
    <w:bookmarkStart w:id="185" w:name="page186"/>
    <w:bookmarkEnd w:id="185"/>
    <w:p>
      <w:pPr>
        <w:ind w:left="285"/>
        <w:spacing w:after="0"/>
        <w:rPr>
          <w:sz w:val="20"/>
          <w:szCs w:val="20"/>
          <w:color w:val="auto"/>
        </w:rPr>
      </w:pPr>
      <w:r>
        <w:rPr>
          <w:rFonts w:ascii="Courier New" w:cs="Courier New" w:eastAsia="Courier New" w:hAnsi="Courier New"/>
          <w:sz w:val="16"/>
          <w:szCs w:val="16"/>
          <w:color w:val="auto"/>
        </w:rPr>
        <w:t>10</w:t>
      </w:r>
    </w:p>
    <w:p>
      <w:pPr>
        <w:spacing w:after="0" w:line="26" w:lineRule="exact"/>
        <w:rPr>
          <w:sz w:val="20"/>
          <w:szCs w:val="20"/>
          <w:color w:val="auto"/>
        </w:rPr>
      </w:pPr>
    </w:p>
    <w:p>
      <w:pPr>
        <w:jc w:val="center"/>
        <w:ind w:right="2875"/>
        <w:spacing w:after="0"/>
        <w:rPr>
          <w:sz w:val="20"/>
          <w:szCs w:val="20"/>
          <w:color w:val="auto"/>
        </w:rPr>
      </w:pPr>
      <w:r>
        <w:rPr>
          <w:rFonts w:ascii="Courier New" w:cs="Courier New" w:eastAsia="Courier New" w:hAnsi="Courier New"/>
          <w:sz w:val="16"/>
          <w:szCs w:val="16"/>
          <w:color w:val="auto"/>
        </w:rPr>
        <w:t>-4-</w:t>
      </w:r>
    </w:p>
    <w:p>
      <w:pPr>
        <w:spacing w:after="0" w:line="149" w:lineRule="exact"/>
        <w:rPr>
          <w:sz w:val="20"/>
          <w:szCs w:val="20"/>
          <w:color w:val="auto"/>
        </w:rPr>
      </w:pPr>
    </w:p>
    <w:p>
      <w:pPr>
        <w:ind w:left="5" w:right="2879" w:firstLine="837"/>
        <w:spacing w:after="0" w:line="289" w:lineRule="auto"/>
        <w:rPr>
          <w:sz w:val="20"/>
          <w:szCs w:val="20"/>
          <w:color w:val="auto"/>
        </w:rPr>
      </w:pPr>
      <w:r>
        <w:rPr>
          <w:rFonts w:ascii="Courier New" w:cs="Courier New" w:eastAsia="Courier New" w:hAnsi="Courier New"/>
          <w:sz w:val="16"/>
          <w:szCs w:val="16"/>
          <w:color w:val="auto"/>
        </w:rPr>
        <w:t>Consolidated or consolidated. With reference to any term defined herein, shall mean that term as applied to the accounts of the Borrower and its Subsidiaries consolidated in accordance with GAAP.</w:t>
      </w:r>
    </w:p>
    <w:p>
      <w:pPr>
        <w:spacing w:after="0" w:line="61" w:lineRule="exact"/>
        <w:rPr>
          <w:sz w:val="20"/>
          <w:szCs w:val="20"/>
          <w:color w:val="auto"/>
        </w:rPr>
      </w:pPr>
    </w:p>
    <w:p>
      <w:pPr>
        <w:ind w:left="5" w:right="2779" w:firstLine="837"/>
        <w:spacing w:after="0" w:line="275" w:lineRule="auto"/>
        <w:rPr>
          <w:sz w:val="20"/>
          <w:szCs w:val="20"/>
          <w:color w:val="auto"/>
        </w:rPr>
      </w:pPr>
      <w:r>
        <w:rPr>
          <w:rFonts w:ascii="Courier New" w:cs="Courier New" w:eastAsia="Courier New" w:hAnsi="Courier New"/>
          <w:sz w:val="14"/>
          <w:szCs w:val="14"/>
          <w:color w:val="auto"/>
        </w:rPr>
        <w:t>Consolidated Earnings Before Interest and Taxes, or EBIT. For any period, the Consolidated Net Income (or Deficit) of the Borrower and its Subsidiaries on a consolidated basis plus, without duplication, the sum of (1) interest expense, (2) income taxes, (3) one-time charges related to expenses in connection with Terminated Plans not to exceed $80,231,000 for the fiscal quarter ending September 30, 2000, and not to exceed $28,102,000 for the fiscal quarter ending December 31, 2000, (4) non-cash extraordinary non-recurring writedowns or write-offs of assets, including non-cash losses on the sale of assets outside the ordinary course of business, (5) non-recurring extraordinary charges for settlement or judgment costs with respect to the shareholder lawsuits and actions brought against the Borrower or the Guarantor related to, arising or resulting from, the restatements of financial statements or results, lowered expected earnings announcements occurring in 1998 and 1999, alleged misrepresentations, misstatements or omissions contained in, or the adequacy of, any disclosure documents filed with the Securities and Exchange Commission in 1998 and 1999, as further described in the Borrower's 2000 Annual Report on Form 10-K (collectively, the "Shareholder Suits"), and (6) EBIT of the businesses acquired by the Borrower or any of its Subsidiaries (through asset purchases or otherwise) (each an "Acquired Business") or the Subsidiaries acquired or formed since the beginning of such period (each a "New Subsidiary") provided that (i) the financial statements of such Acquired Businesses or New Subsidiaries have been audited for the most recent fiscal year ended of such Acquired Businesses or New Subsidiaries, or (ii) the Administrative Agent consents to such inclusion after being furnished with other acceptable financial statements, and, in each case, a Compliance Certificate and other reasonably appropriate documentation, in form and substance reasonably satisfactory to the Administrative Agent, with respect to the historical operating results and balance sheet of such Acquired Businesses or New Subsidiaries (which information to the knowledge of the officer executing such certificate is correct in all material respects) are provided to the Administrative Agent, to the extent that each of items (1) through (5) was deducted in determining Consolidated Net Income (or Deficit) in the relevant period, minus non-cash extraordinary gains on the sale of assets outside the ordinary course of business to the extent included in Consolidated Net Income (or Deficit).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 w:right="2879" w:firstLine="837"/>
        <w:spacing w:after="0" w:line="291" w:lineRule="auto"/>
        <w:rPr>
          <w:sz w:val="20"/>
          <w:szCs w:val="20"/>
          <w:color w:val="auto"/>
        </w:rPr>
      </w:pPr>
      <w:r>
        <w:rPr>
          <w:rFonts w:ascii="Courier New" w:cs="Courier New" w:eastAsia="Courier New" w:hAnsi="Courier New"/>
          <w:sz w:val="14"/>
          <w:szCs w:val="14"/>
          <w:color w:val="auto"/>
        </w:rPr>
        <w:t>Consolidated Earnings Before Interest, Taxes, Depreciation and Amortization or EBITDA. For any period, EBIT plus (a) depreciation expense, and</w:t>
      </w:r>
    </w:p>
    <w:p>
      <w:pPr>
        <w:spacing w:after="0" w:line="1" w:lineRule="exact"/>
        <w:rPr>
          <w:sz w:val="20"/>
          <w:szCs w:val="20"/>
          <w:color w:val="auto"/>
        </w:rPr>
      </w:pPr>
    </w:p>
    <w:p>
      <w:pPr>
        <w:ind w:left="5" w:right="2879" w:hanging="5"/>
        <w:spacing w:after="0" w:line="271" w:lineRule="auto"/>
        <w:tabs>
          <w:tab w:leader="none" w:pos="377"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amortization expense to the extent the same would be included in the calculation of Consolidated Net Income (or Deficit) for such period, determined in accordance with GAAP.</w:t>
      </w:r>
    </w:p>
    <w:p>
      <w:pPr>
        <w:spacing w:after="0" w:line="74" w:lineRule="exact"/>
        <w:rPr>
          <w:sz w:val="20"/>
          <w:szCs w:val="20"/>
          <w:color w:val="auto"/>
        </w:rPr>
      </w:pPr>
    </w:p>
    <w:p>
      <w:pPr>
        <w:ind w:left="5" w:right="2959" w:firstLine="837"/>
        <w:spacing w:after="0" w:line="272" w:lineRule="auto"/>
        <w:rPr>
          <w:sz w:val="20"/>
          <w:szCs w:val="20"/>
          <w:color w:val="auto"/>
        </w:rPr>
      </w:pPr>
      <w:r>
        <w:rPr>
          <w:rFonts w:ascii="Courier New" w:cs="Courier New" w:eastAsia="Courier New" w:hAnsi="Courier New"/>
          <w:sz w:val="16"/>
          <w:szCs w:val="16"/>
          <w:color w:val="auto"/>
        </w:rPr>
        <w:t>Consolidated Net Income (or Deficit). The consolidated net income (or deficit) of the Borrower and its Subsidiaries on a consolidated basis, after deduction of all expenses, taxes, and other proper charges, determined in accordance with GAAP.</w:t>
      </w:r>
    </w:p>
    <w:p>
      <w:pPr>
        <w:spacing w:after="0" w:line="73" w:lineRule="exact"/>
        <w:rPr>
          <w:sz w:val="20"/>
          <w:szCs w:val="20"/>
          <w:color w:val="auto"/>
        </w:rPr>
      </w:pPr>
    </w:p>
    <w:p>
      <w:pPr>
        <w:ind w:left="5" w:right="2879" w:firstLine="837"/>
        <w:spacing w:after="0" w:line="309" w:lineRule="auto"/>
        <w:rPr>
          <w:sz w:val="20"/>
          <w:szCs w:val="20"/>
          <w:color w:val="auto"/>
        </w:rPr>
      </w:pPr>
      <w:r>
        <w:rPr>
          <w:rFonts w:ascii="Courier New" w:cs="Courier New" w:eastAsia="Courier New" w:hAnsi="Courier New"/>
          <w:sz w:val="14"/>
          <w:szCs w:val="14"/>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Borrower and its Subsidiaries determined on a consolidated</w:t>
      </w:r>
    </w:p>
    <w:p>
      <w:pPr>
        <w:sectPr>
          <w:pgSz w:w="11900" w:h="16838" w:orient="portrait"/>
          <w:cols w:equalWidth="0" w:num="1">
            <w:col w:w="10224"/>
          </w:cols>
          <w:pgMar w:left="235" w:top="269"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6"/>
          <w:szCs w:val="16"/>
          <w:color w:val="auto"/>
        </w:rPr>
        <w:t>11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pacing w:after="0" w:line="149" w:lineRule="exact"/>
        <w:rPr>
          <w:sz w:val="20"/>
          <w:szCs w:val="20"/>
          <w:color w:val="auto"/>
        </w:rPr>
      </w:pPr>
    </w:p>
    <w:p>
      <w:pPr>
        <w:ind w:right="2959"/>
        <w:spacing w:after="0" w:line="272" w:lineRule="auto"/>
        <w:rPr>
          <w:sz w:val="20"/>
          <w:szCs w:val="20"/>
          <w:color w:val="auto"/>
        </w:rPr>
      </w:pPr>
      <w:r>
        <w:rPr>
          <w:rFonts w:ascii="Courier New" w:cs="Courier New" w:eastAsia="Courier New" w:hAnsi="Courier New"/>
          <w:sz w:val="16"/>
          <w:szCs w:val="16"/>
          <w:color w:val="auto"/>
        </w:rPr>
        <w:t>basis, excluding the effect of any foreign currency transactions computed pursuant to Financial Accounting Standards Board Statement No. 52, as amended, supplemented or modified from time to time, or otherwise in accordance with GAAP.</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Consolidated Tangible Assets. Consolidated Total Assets less the sum</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w:t>
      </w:r>
    </w:p>
    <w:p>
      <w:pPr>
        <w:spacing w:after="0" w:line="149" w:lineRule="exact"/>
        <w:rPr>
          <w:sz w:val="20"/>
          <w:szCs w:val="20"/>
          <w:color w:val="auto"/>
        </w:rPr>
      </w:pPr>
    </w:p>
    <w:p>
      <w:pPr>
        <w:ind w:left="840" w:right="2779" w:firstLine="830"/>
        <w:spacing w:after="0" w:line="254" w:lineRule="auto"/>
        <w:tabs>
          <w:tab w:leader="none" w:pos="204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book value of all assets of the Borrower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88" w:lineRule="exact"/>
        <w:rPr>
          <w:rFonts w:ascii="Courier New" w:cs="Courier New" w:eastAsia="Courier New" w:hAnsi="Courier New"/>
          <w:sz w:val="16"/>
          <w:szCs w:val="16"/>
          <w:color w:val="auto"/>
        </w:rPr>
      </w:pPr>
    </w:p>
    <w:p>
      <w:pPr>
        <w:ind w:left="840" w:right="2779" w:firstLine="830"/>
        <w:spacing w:after="0" w:line="289" w:lineRule="auto"/>
        <w:tabs>
          <w:tab w:leader="none" w:pos="2049" w:val="left"/>
        </w:tabs>
        <w:numPr>
          <w:ilvl w:val="0"/>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amounts representing any write-up in the book value of any assets of the Borrower or its Subsidiaries resulting from a revaluation thereof subsequent to the Balance Sheet Date.</w:t>
      </w:r>
    </w:p>
    <w:p>
      <w:pPr>
        <w:spacing w:after="0" w:line="61" w:lineRule="exact"/>
        <w:rPr>
          <w:sz w:val="20"/>
          <w:szCs w:val="20"/>
          <w:color w:val="auto"/>
        </w:rPr>
      </w:pPr>
    </w:p>
    <w:p>
      <w:pPr>
        <w:ind w:right="3519" w:firstLine="837"/>
        <w:spacing w:after="0" w:line="406" w:lineRule="auto"/>
        <w:rPr>
          <w:sz w:val="20"/>
          <w:szCs w:val="20"/>
          <w:color w:val="auto"/>
        </w:rPr>
      </w:pPr>
      <w:r>
        <w:rPr>
          <w:rFonts w:ascii="Courier New" w:cs="Courier New" w:eastAsia="Courier New" w:hAnsi="Courier New"/>
          <w:sz w:val="14"/>
          <w:szCs w:val="14"/>
          <w:color w:val="auto"/>
        </w:rPr>
        <w:t>Consolidated Total Assets. All assets of the Borrower and its Subsidiaries determined on a consolidated basis in accordance with GAAP.</w:t>
      </w:r>
    </w:p>
    <w:p>
      <w:pPr>
        <w:ind w:right="3059" w:firstLine="837"/>
        <w:spacing w:after="0" w:line="263" w:lineRule="auto"/>
        <w:rPr>
          <w:sz w:val="20"/>
          <w:szCs w:val="20"/>
          <w:color w:val="auto"/>
        </w:rPr>
      </w:pPr>
      <w:r>
        <w:rPr>
          <w:rFonts w:ascii="Courier New" w:cs="Courier New" w:eastAsia="Courier New" w:hAnsi="Courier New"/>
          <w:sz w:val="16"/>
          <w:szCs w:val="16"/>
          <w:color w:val="auto"/>
        </w:rPr>
        <w:t>Consolidated Total Interest Expense. For any period, the aggregate amount of interest expense required by GAAP to be paid or accrued during such period on all Indebtedness of the Borrower and its Subsidiaries outstanding during all or any part of such period, including capitalized interest expense for such period.</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Co-Syndication Agent(s). See Preamble.</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Defaulting Bank. See Section 6.11.</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Defaults. See Section 13.1.</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Deutsche. See Preamble.</w:t>
      </w:r>
    </w:p>
    <w:p>
      <w:pPr>
        <w:spacing w:after="0" w:line="177"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Disclosure Documents. The Borrower's financial statements referred to in Section 7.4 and filings made by the Borrower or the Guarantor with the Securities and Exchange Commission that were publicly available prior to the Effective Date which were provided to the Banks.</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Disposal. See "Release".</w:t>
      </w:r>
    </w:p>
    <w:p>
      <w:pPr>
        <w:spacing w:after="0" w:line="177" w:lineRule="exact"/>
        <w:rPr>
          <w:sz w:val="20"/>
          <w:szCs w:val="20"/>
          <w:color w:val="auto"/>
        </w:rPr>
      </w:pPr>
    </w:p>
    <w:p>
      <w:pPr>
        <w:ind w:right="2779" w:firstLine="837"/>
        <w:spacing w:after="0" w:line="286" w:lineRule="auto"/>
        <w:rPr>
          <w:sz w:val="20"/>
          <w:szCs w:val="20"/>
          <w:color w:val="auto"/>
        </w:rPr>
      </w:pPr>
      <w:r>
        <w:rPr>
          <w:rFonts w:ascii="Courier New" w:cs="Courier New" w:eastAsia="Courier New" w:hAnsi="Courier New"/>
          <w:sz w:val="14"/>
          <w:szCs w:val="14"/>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ectPr>
          <w:pgSz w:w="11900" w:h="16838" w:orient="portrait"/>
          <w:cols w:equalWidth="0" w:num="1">
            <w:col w:w="10219"/>
          </w:cols>
          <w:pgMar w:left="240" w:top="269"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Dollars or US$ or $ or U.S. Dollars. Dollars in lawful currency of the United States of America.</w:t>
      </w:r>
    </w:p>
    <w:p>
      <w:pPr>
        <w:spacing w:after="0" w:line="20"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Drawdown Date. The date on which any Loan is made or is to be made, or any amount is paid by an Issuing Bank under a Letter of Credit.</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EBIT. See definition of Consolidated Earnings Before Interest and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Taxes.</w:t>
      </w:r>
    </w:p>
    <w:p>
      <w:pPr>
        <w:spacing w:after="0" w:line="149" w:lineRule="exact"/>
        <w:rPr>
          <w:sz w:val="20"/>
          <w:szCs w:val="20"/>
          <w:color w:val="auto"/>
        </w:rPr>
      </w:pPr>
    </w:p>
    <w:p>
      <w:pPr>
        <w:ind w:right="2779" w:firstLine="837"/>
        <w:spacing w:after="0" w:line="342" w:lineRule="auto"/>
        <w:rPr>
          <w:sz w:val="20"/>
          <w:szCs w:val="20"/>
          <w:color w:val="auto"/>
        </w:rPr>
      </w:pPr>
      <w:r>
        <w:rPr>
          <w:rFonts w:ascii="Courier New" w:cs="Courier New" w:eastAsia="Courier New" w:hAnsi="Courier New"/>
          <w:sz w:val="16"/>
          <w:szCs w:val="16"/>
          <w:color w:val="auto"/>
        </w:rPr>
        <w:t>EBITDA. See definition of Consolidated Earnings Before Interest, Taxes, Depreciation and Amortization.</w:t>
      </w:r>
    </w:p>
    <w:p>
      <w:pPr>
        <w:spacing w:after="0" w:line="20" w:lineRule="exact"/>
        <w:rPr>
          <w:sz w:val="20"/>
          <w:szCs w:val="20"/>
          <w:color w:val="auto"/>
        </w:rPr>
      </w:pPr>
    </w:p>
    <w:p>
      <w:pPr>
        <w:ind w:right="3059" w:firstLine="837"/>
        <w:spacing w:after="0" w:line="342" w:lineRule="auto"/>
        <w:rPr>
          <w:sz w:val="20"/>
          <w:szCs w:val="20"/>
          <w:color w:val="auto"/>
        </w:rPr>
      </w:pPr>
      <w:r>
        <w:rPr>
          <w:rFonts w:ascii="Courier New" w:cs="Courier New" w:eastAsia="Courier New" w:hAnsi="Courier New"/>
          <w:sz w:val="16"/>
          <w:szCs w:val="16"/>
          <w:color w:val="auto"/>
        </w:rPr>
        <w:t>Effective Date. The date on which the conditions precedent set forth in Section 11.1 hereof are satisfied.</w:t>
      </w:r>
    </w:p>
    <w:p>
      <w:pPr>
        <w:spacing w:after="0" w:line="20" w:lineRule="exact"/>
        <w:rPr>
          <w:sz w:val="20"/>
          <w:szCs w:val="20"/>
          <w:color w:val="auto"/>
        </w:rPr>
      </w:pPr>
    </w:p>
    <w:p>
      <w:pPr>
        <w:ind w:right="2879" w:firstLine="837"/>
        <w:spacing w:after="0" w:line="348" w:lineRule="auto"/>
        <w:rPr>
          <w:sz w:val="20"/>
          <w:szCs w:val="20"/>
          <w:color w:val="auto"/>
        </w:rPr>
      </w:pPr>
      <w:r>
        <w:rPr>
          <w:rFonts w:ascii="Courier New" w:cs="Courier New" w:eastAsia="Courier New" w:hAnsi="Courier New"/>
          <w:sz w:val="14"/>
          <w:szCs w:val="14"/>
          <w:color w:val="auto"/>
        </w:rPr>
        <w:t>Employee Benefit Plan. Any employee benefit plan within the meaning of Section 3(3) of ERISA maintained or contributed to by the Borrower, any of its Subsidiaries, or any ERISA Affiliate, other than a Multiemployer Plan.</w:t>
      </w:r>
    </w:p>
    <w:p>
      <w:pPr>
        <w:spacing w:after="0" w:line="2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Environmental Laws. See Section 7.15(a).</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EPA. See Section 7.15(b).</w:t>
      </w:r>
    </w:p>
    <w:p>
      <w:pPr>
        <w:spacing w:after="0" w:line="177"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ERISA. The Employee Retirement Income Security Act of 1974, as amended and in effect from time to time.</w:t>
      </w:r>
    </w:p>
    <w:p>
      <w:pPr>
        <w:spacing w:after="0" w:line="20"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ERISA Affiliate. Any Person which is treated as a single employer with the Borrower or any of its Subsidiaries under Section 414 of the Code.</w:t>
      </w:r>
    </w:p>
    <w:p>
      <w:pPr>
        <w:spacing w:after="0" w:line="20"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73"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Eurocurrency Reserve Rate. For any day with respect to a Eurodollar Loan, the maximum rate (expressed as a decimal) at which the Administrative Agent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94" w:lineRule="exact"/>
        <w:rPr>
          <w:sz w:val="20"/>
          <w:szCs w:val="20"/>
          <w:color w:val="auto"/>
        </w:rPr>
      </w:pPr>
    </w:p>
    <w:p>
      <w:pPr>
        <w:jc w:val="both"/>
        <w:ind w:right="2779" w:firstLine="837"/>
        <w:spacing w:after="0" w:line="272" w:lineRule="auto"/>
        <w:rPr>
          <w:sz w:val="20"/>
          <w:szCs w:val="20"/>
          <w:color w:val="auto"/>
        </w:rPr>
      </w:pPr>
      <w:r>
        <w:rPr>
          <w:rFonts w:ascii="Courier New" w:cs="Courier New" w:eastAsia="Courier New" w:hAnsi="Courier New"/>
          <w:sz w:val="16"/>
          <w:szCs w:val="16"/>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Eurodollar Competitive Bid Loan(s). See Section 4.3(a).</w:t>
      </w:r>
    </w:p>
    <w:p>
      <w:pPr>
        <w:sectPr>
          <w:pgSz w:w="11900" w:h="16838" w:orient="portrait"/>
          <w:cols w:equalWidth="0" w:num="1">
            <w:col w:w="10219"/>
          </w:cols>
          <w:pgMar w:left="240" w:top="269" w:right="1440" w:bottom="1440" w:gutter="0" w:footer="0" w:header="0"/>
        </w:sectPr>
      </w:pPr>
    </w:p>
    <w:bookmarkStart w:id="188" w:name="page189"/>
    <w:bookmarkEnd w:id="188"/>
    <w:p>
      <w:pPr>
        <w:ind w:left="285"/>
        <w:spacing w:after="0"/>
        <w:rPr>
          <w:sz w:val="20"/>
          <w:szCs w:val="20"/>
          <w:color w:val="auto"/>
        </w:rPr>
      </w:pPr>
      <w:r>
        <w:rPr>
          <w:rFonts w:ascii="Courier New" w:cs="Courier New" w:eastAsia="Courier New" w:hAnsi="Courier New"/>
          <w:sz w:val="16"/>
          <w:szCs w:val="16"/>
          <w:color w:val="auto"/>
        </w:rPr>
        <w:t>13</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w:t>
      </w:r>
    </w:p>
    <w:p>
      <w:pPr>
        <w:spacing w:after="0" w:line="327"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6"/>
          <w:szCs w:val="16"/>
          <w:color w:val="auto"/>
        </w:rPr>
        <w:t>Eurodollar Lending Office. Initially, the office of each Bank set forth in the administrative materials provided to the Administrative Agent; thereafter, upon notice to the Administrative Agent, such other office of such Bank that shall be making or maintaining Eurodollar Loans.</w:t>
      </w:r>
    </w:p>
    <w:p>
      <w:pPr>
        <w:spacing w:after="0" w:line="73" w:lineRule="exact"/>
        <w:rPr>
          <w:sz w:val="20"/>
          <w:szCs w:val="20"/>
          <w:color w:val="auto"/>
        </w:rPr>
      </w:pPr>
    </w:p>
    <w:p>
      <w:pPr>
        <w:ind w:left="5" w:right="3339" w:firstLine="837"/>
        <w:spacing w:after="0" w:line="342" w:lineRule="auto"/>
        <w:rPr>
          <w:sz w:val="20"/>
          <w:szCs w:val="20"/>
          <w:color w:val="auto"/>
        </w:rPr>
      </w:pPr>
      <w:r>
        <w:rPr>
          <w:rFonts w:ascii="Courier New" w:cs="Courier New" w:eastAsia="Courier New" w:hAnsi="Courier New"/>
          <w:sz w:val="16"/>
          <w:szCs w:val="16"/>
          <w:color w:val="auto"/>
        </w:rPr>
        <w:t>Eurodollar Loans. Syndicated Loans bearing interest calculated by reference to the Eurodollar Rate.</w:t>
      </w:r>
    </w:p>
    <w:p>
      <w:pPr>
        <w:spacing w:after="0" w:line="20" w:lineRule="exact"/>
        <w:rPr>
          <w:sz w:val="20"/>
          <w:szCs w:val="20"/>
          <w:color w:val="auto"/>
        </w:rPr>
      </w:pPr>
    </w:p>
    <w:p>
      <w:pPr>
        <w:ind w:left="5" w:right="2779" w:firstLine="837"/>
        <w:spacing w:after="0" w:line="243" w:lineRule="auto"/>
        <w:rPr>
          <w:sz w:val="20"/>
          <w:szCs w:val="20"/>
          <w:color w:val="auto"/>
        </w:rPr>
      </w:pPr>
      <w:r>
        <w:rPr>
          <w:rFonts w:ascii="Courier New" w:cs="Courier New" w:eastAsia="Courier New" w:hAnsi="Courier New"/>
          <w:sz w:val="16"/>
          <w:szCs w:val="16"/>
          <w:color w:val="auto"/>
        </w:rPr>
        <w:t>Eurodollar Rate. For any Interest Period with respect to a Eurodollar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rate per annum at which the Administrative Agent's Eurodollar Lending Office is offered Dollar deposits at approximately 10:00 a.m. (New York time) two (2)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Loan of the Administrative Agent to which such Interest Period applies, divided by (ii) a number equal to 1.00 minus the Eurocurrency Reserve Rate, if applicable.</w:t>
      </w:r>
    </w:p>
    <w:p>
      <w:pPr>
        <w:spacing w:after="0" w:line="105"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Events of Default. See Section 13.1.</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Facility Fee. See Section 2.2.</w:t>
      </w:r>
    </w:p>
    <w:p>
      <w:pPr>
        <w:spacing w:after="0" w:line="177" w:lineRule="exact"/>
        <w:rPr>
          <w:sz w:val="20"/>
          <w:szCs w:val="20"/>
          <w:color w:val="auto"/>
        </w:rPr>
      </w:pPr>
    </w:p>
    <w:p>
      <w:pPr>
        <w:ind w:left="5" w:right="3239" w:firstLine="837"/>
        <w:spacing w:after="0" w:line="272" w:lineRule="auto"/>
        <w:rPr>
          <w:sz w:val="20"/>
          <w:szCs w:val="20"/>
          <w:color w:val="auto"/>
        </w:rPr>
      </w:pPr>
      <w:r>
        <w:rPr>
          <w:rFonts w:ascii="Courier New" w:cs="Courier New" w:eastAsia="Courier New" w:hAnsi="Courier New"/>
          <w:sz w:val="16"/>
          <w:szCs w:val="16"/>
          <w:color w:val="auto"/>
        </w:rPr>
        <w:t>Financial Affiliate. A subsidiary of the bank holding company controlling any Bank, which subsidiary is engaging in any of the activities permitted by Section 4(e) of the Bank Holding Company Act of 1956 (12 U.S.C. Section 1843).</w:t>
      </w:r>
    </w:p>
    <w:p>
      <w:pPr>
        <w:spacing w:after="0" w:line="73" w:lineRule="exact"/>
        <w:rPr>
          <w:sz w:val="20"/>
          <w:szCs w:val="20"/>
          <w:color w:val="auto"/>
        </w:rPr>
      </w:pPr>
    </w:p>
    <w:p>
      <w:pPr>
        <w:ind w:left="5" w:right="2879" w:firstLine="837"/>
        <w:spacing w:after="0" w:line="254" w:lineRule="auto"/>
        <w:rPr>
          <w:sz w:val="20"/>
          <w:szCs w:val="20"/>
          <w:color w:val="auto"/>
        </w:rPr>
      </w:pPr>
      <w:r>
        <w:rPr>
          <w:rFonts w:ascii="Courier New" w:cs="Courier New" w:eastAsia="Courier New" w:hAnsi="Courier New"/>
          <w:sz w:val="16"/>
          <w:szCs w:val="16"/>
          <w:color w:val="auto"/>
        </w:rPr>
        <w:t>Five Year Revolving Credit Facility. That certain Revolving Credit Agreement dated as of June 29, 2001 by and among the Borrower, the Guarantor, BOA, Chase, Deutsche and the other banks party thereto, and Fleet as administrative agent thereunder, Banc of America Securities LLC and JPMorgan as joint lead arrangers and joint book managers thereunder, BOA and JPMorgan as co-syndication agents thereunder and Deutsche and Citibank, N.A., as co-documentation agents thereunder, as amended from time to time.</w:t>
      </w:r>
    </w:p>
    <w:p>
      <w:pPr>
        <w:spacing w:after="0" w:line="88"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Fleet. See Preamble.</w:t>
      </w:r>
    </w:p>
    <w:p>
      <w:pPr>
        <w:spacing w:after="0" w:line="177" w:lineRule="exact"/>
        <w:rPr>
          <w:sz w:val="20"/>
          <w:szCs w:val="20"/>
          <w:color w:val="auto"/>
        </w:rPr>
      </w:pPr>
    </w:p>
    <w:p>
      <w:pPr>
        <w:ind w:left="5" w:right="2779" w:firstLine="837"/>
        <w:spacing w:after="0" w:line="279" w:lineRule="auto"/>
        <w:rPr>
          <w:sz w:val="20"/>
          <w:szCs w:val="20"/>
          <w:color w:val="auto"/>
        </w:rPr>
      </w:pPr>
      <w:r>
        <w:rPr>
          <w:rFonts w:ascii="Courier New" w:cs="Courier New" w:eastAsia="Courier New" w:hAnsi="Courier New"/>
          <w:sz w:val="14"/>
          <w:szCs w:val="14"/>
          <w:color w:val="auto"/>
        </w:rPr>
        <w:t>generally accepted accounting principles or GAAP. (i) When used in Section 10,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w:t>
      </w:r>
    </w:p>
    <w:p>
      <w:pPr>
        <w:spacing w:after="0" w:line="1" w:lineRule="exact"/>
        <w:rPr>
          <w:sz w:val="20"/>
          <w:szCs w:val="20"/>
          <w:color w:val="auto"/>
        </w:rPr>
      </w:pPr>
    </w:p>
    <w:p>
      <w:pPr>
        <w:ind w:left="5" w:right="2779" w:hanging="5"/>
        <w:spacing w:after="0" w:line="259" w:lineRule="auto"/>
        <w:tabs>
          <w:tab w:leader="none" w:pos="377"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consistent with such principles, the accounting practice of the Borrower reflected in its financial statements for the year ended on the Balance Sheet Date, and (ii) when used in general, other than as provided above, means principles that are (A) consistent</w:t>
      </w:r>
    </w:p>
    <w:p>
      <w:pPr>
        <w:sectPr>
          <w:pgSz w:w="11900" w:h="16838" w:orient="portrait"/>
          <w:cols w:equalWidth="0" w:num="1">
            <w:col w:w="10224"/>
          </w:cols>
          <w:pgMar w:left="235" w:top="269"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6"/>
          <w:szCs w:val="16"/>
          <w:color w:val="auto"/>
        </w:rPr>
        <w:t>14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w:t>
      </w:r>
    </w:p>
    <w:p>
      <w:pPr>
        <w:spacing w:after="0" w:line="327" w:lineRule="exact"/>
        <w:rPr>
          <w:sz w:val="20"/>
          <w:szCs w:val="20"/>
          <w:color w:val="auto"/>
        </w:rPr>
      </w:pPr>
    </w:p>
    <w:p>
      <w:pPr>
        <w:ind w:right="2779"/>
        <w:spacing w:after="0" w:line="290" w:lineRule="auto"/>
        <w:rPr>
          <w:sz w:val="20"/>
          <w:szCs w:val="20"/>
          <w:color w:val="auto"/>
        </w:rPr>
      </w:pPr>
      <w:r>
        <w:rPr>
          <w:rFonts w:ascii="Courier New" w:cs="Courier New" w:eastAsia="Courier New" w:hAnsi="Courier New"/>
          <w:sz w:val="14"/>
          <w:szCs w:val="14"/>
          <w:color w:val="auto"/>
        </w:rPr>
        <w:t>with the principles promulgated or adopted by the Financial Accounting Standards Board and its predecessors, as in effect from time to time, and (B) consistently applied with past financial statements of the Borrower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25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Guaranteed Obligations. See Section 29.1.</w:t>
      </w:r>
    </w:p>
    <w:p>
      <w:pPr>
        <w:spacing w:after="0" w:line="177" w:lineRule="exact"/>
        <w:rPr>
          <w:sz w:val="20"/>
          <w:szCs w:val="20"/>
          <w:color w:val="auto"/>
        </w:rPr>
      </w:pPr>
    </w:p>
    <w:p>
      <w:pPr>
        <w:ind w:right="2879" w:firstLine="837"/>
        <w:spacing w:after="0" w:line="263" w:lineRule="auto"/>
        <w:rPr>
          <w:sz w:val="20"/>
          <w:szCs w:val="20"/>
          <w:color w:val="auto"/>
        </w:rPr>
      </w:pPr>
      <w:r>
        <w:rPr>
          <w:rFonts w:ascii="Courier New" w:cs="Courier New" w:eastAsia="Courier New" w:hAnsi="Courier New"/>
          <w:sz w:val="16"/>
          <w:szCs w:val="16"/>
          <w:color w:val="auto"/>
        </w:rPr>
        <w:t>Guaranteed Pension Plan. Any employee pension benefit plan within the meaning of Section 3(2) of ERISA maintained or contributed to by the Borrower, its Subsidiaries or any ERISA Affiliate the benefits of which are guaranteed on termination in full or in part by the PBGC pursuant to Title IV of ERISA, other than a Multiemployer Plan.</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Guarantor. See Preamble.</w:t>
      </w:r>
    </w:p>
    <w:p>
      <w:pPr>
        <w:spacing w:after="0" w:line="177" w:lineRule="exact"/>
        <w:rPr>
          <w:sz w:val="20"/>
          <w:szCs w:val="20"/>
          <w:color w:val="auto"/>
        </w:rPr>
      </w:pPr>
    </w:p>
    <w:p>
      <w:pPr>
        <w:ind w:right="2779" w:firstLine="837"/>
        <w:spacing w:after="0" w:line="281" w:lineRule="auto"/>
        <w:rPr>
          <w:sz w:val="20"/>
          <w:szCs w:val="20"/>
          <w:color w:val="auto"/>
        </w:rPr>
      </w:pPr>
      <w:r>
        <w:rPr>
          <w:rFonts w:ascii="Courier New" w:cs="Courier New" w:eastAsia="Courier New" w:hAnsi="Courier New"/>
          <w:sz w:val="14"/>
          <w:szCs w:val="14"/>
          <w:color w:val="auto"/>
        </w:rPr>
        <w:t>Guaranty. Any obligation, contingent or otherwise, of a Person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Guaranty shall not include endorsements for collection or deposit in the ordinary course of business.</w:t>
      </w:r>
    </w:p>
    <w:p>
      <w:pPr>
        <w:spacing w:after="0" w:line="200" w:lineRule="exact"/>
        <w:rPr>
          <w:sz w:val="20"/>
          <w:szCs w:val="20"/>
          <w:color w:val="auto"/>
        </w:rPr>
      </w:pPr>
    </w:p>
    <w:p>
      <w:pPr>
        <w:spacing w:after="0" w:line="24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Hazardous Substances. See Section 7.15(b).</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Indebtedness. Collectively, without duplication, whether classified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Indebtedness, an Investment or otherwise on the obligor's balance sheet, (a)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 indebtedness for borrowed money, (b) all obligations for the deferred</w:t>
      </w:r>
    </w:p>
    <w:p>
      <w:pPr>
        <w:spacing w:after="0" w:line="236" w:lineRule="auto"/>
        <w:rPr>
          <w:sz w:val="20"/>
          <w:szCs w:val="20"/>
          <w:color w:val="auto"/>
        </w:rPr>
      </w:pPr>
      <w:r>
        <w:rPr>
          <w:rFonts w:ascii="Courier New" w:cs="Courier New" w:eastAsia="Courier New" w:hAnsi="Courier New"/>
          <w:sz w:val="16"/>
          <w:szCs w:val="16"/>
          <w:color w:val="auto"/>
        </w:rPr>
        <w:t>purchase price of property or services (other than trade payables incurred in</w:t>
      </w:r>
    </w:p>
    <w:p>
      <w:pPr>
        <w:spacing w:after="0" w:line="237" w:lineRule="auto"/>
        <w:rPr>
          <w:sz w:val="20"/>
          <w:szCs w:val="20"/>
          <w:color w:val="auto"/>
        </w:rPr>
      </w:pPr>
      <w:r>
        <w:rPr>
          <w:rFonts w:ascii="Courier New" w:cs="Courier New" w:eastAsia="Courier New" w:hAnsi="Courier New"/>
          <w:sz w:val="16"/>
          <w:szCs w:val="16"/>
          <w:color w:val="auto"/>
        </w:rPr>
        <w:t>the ordinary course of business which either (i) are not overdue by more than</w:t>
      </w:r>
    </w:p>
    <w:p>
      <w:pPr>
        <w:spacing w:after="0" w:line="237" w:lineRule="auto"/>
        <w:rPr>
          <w:sz w:val="20"/>
          <w:szCs w:val="20"/>
          <w:color w:val="auto"/>
        </w:rPr>
      </w:pPr>
      <w:r>
        <w:rPr>
          <w:rFonts w:ascii="Courier New" w:cs="Courier New" w:eastAsia="Courier New" w:hAnsi="Courier New"/>
          <w:sz w:val="16"/>
          <w:szCs w:val="16"/>
          <w:color w:val="auto"/>
        </w:rPr>
        <w:t>ninety (90) days, or (ii) are being disputed in good faith and for which</w:t>
      </w:r>
    </w:p>
    <w:p>
      <w:pPr>
        <w:spacing w:after="0" w:line="237" w:lineRule="auto"/>
        <w:rPr>
          <w:sz w:val="20"/>
          <w:szCs w:val="20"/>
          <w:color w:val="auto"/>
        </w:rPr>
      </w:pPr>
      <w:r>
        <w:rPr>
          <w:rFonts w:ascii="Courier New" w:cs="Courier New" w:eastAsia="Courier New" w:hAnsi="Courier New"/>
          <w:sz w:val="16"/>
          <w:szCs w:val="16"/>
          <w:color w:val="auto"/>
        </w:rPr>
        <w:t>adequate reserves have been established in accordance with GAAP), (c) all</w:t>
      </w:r>
    </w:p>
    <w:p>
      <w:pPr>
        <w:spacing w:after="0" w:line="237" w:lineRule="auto"/>
        <w:rPr>
          <w:sz w:val="20"/>
          <w:szCs w:val="20"/>
          <w:color w:val="auto"/>
        </w:rPr>
      </w:pPr>
      <w:r>
        <w:rPr>
          <w:rFonts w:ascii="Courier New" w:cs="Courier New" w:eastAsia="Courier New" w:hAnsi="Courier New"/>
          <w:sz w:val="16"/>
          <w:szCs w:val="16"/>
          <w:color w:val="auto"/>
        </w:rPr>
        <w:t>obligations evidenced by notes, bonds, debentures or other similar debt</w:t>
      </w:r>
    </w:p>
    <w:p>
      <w:pPr>
        <w:spacing w:after="0"/>
        <w:rPr>
          <w:sz w:val="20"/>
          <w:szCs w:val="20"/>
          <w:color w:val="auto"/>
        </w:rPr>
      </w:pPr>
      <w:r>
        <w:rPr>
          <w:rFonts w:ascii="Courier New" w:cs="Courier New" w:eastAsia="Courier New" w:hAnsi="Courier New"/>
          <w:sz w:val="14"/>
          <w:szCs w:val="14"/>
          <w:color w:val="auto"/>
        </w:rPr>
        <w:t>instruments, (d) all obligations created or arising under any conditional sale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other title retention agreement with respect to property acquired (even</w:t>
      </w:r>
    </w:p>
    <w:p>
      <w:pPr>
        <w:spacing w:after="0"/>
        <w:rPr>
          <w:sz w:val="20"/>
          <w:szCs w:val="20"/>
          <w:color w:val="auto"/>
        </w:rPr>
      </w:pPr>
      <w:r>
        <w:rPr>
          <w:rFonts w:ascii="Courier New" w:cs="Courier New" w:eastAsia="Courier New" w:hAnsi="Courier New"/>
          <w:sz w:val="14"/>
          <w:szCs w:val="14"/>
          <w:color w:val="auto"/>
        </w:rPr>
        <w:t>though the rights and remedies of the seller or lender under such agreement in</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event of default are limited to repossession or sale of such property), (e)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obligations, liabilities and indebtedness under Capitalized Leases, (f) all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obligations, liabilities or indebtedness (contingent or otherwise) under surety,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performance bonds, or any other bonding arrangement, (g) Guaranties with respect</w:t>
      </w:r>
    </w:p>
    <w:p>
      <w:pPr>
        <w:sectPr>
          <w:pgSz w:w="11900" w:h="16838" w:orient="portrait"/>
          <w:cols w:equalWidth="0" w:num="1">
            <w:col w:w="10219"/>
          </w:cols>
          <w:pgMar w:left="240" w:top="269" w:right="1440" w:bottom="1440" w:gutter="0" w:footer="0" w:header="0"/>
        </w:sectPr>
      </w:pPr>
    </w:p>
    <w:bookmarkStart w:id="190" w:name="page191"/>
    <w:bookmarkEnd w:id="190"/>
    <w:p>
      <w:pPr>
        <w:ind w:left="285"/>
        <w:spacing w:after="0"/>
        <w:rPr>
          <w:sz w:val="20"/>
          <w:szCs w:val="20"/>
          <w:color w:val="auto"/>
        </w:rPr>
      </w:pPr>
      <w:r>
        <w:rPr>
          <w:rFonts w:ascii="Courier New" w:cs="Courier New" w:eastAsia="Courier New" w:hAnsi="Courier New"/>
          <w:sz w:val="16"/>
          <w:szCs w:val="16"/>
          <w:color w:val="auto"/>
        </w:rPr>
        <w:t>15</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-9-</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to all Indebtedness of others referred to in clauses (a) through (f) above, and</w:t>
      </w:r>
    </w:p>
    <w:p>
      <w:pPr>
        <w:spacing w:after="0" w:line="48" w:lineRule="exact"/>
        <w:rPr>
          <w:sz w:val="20"/>
          <w:szCs w:val="20"/>
          <w:color w:val="auto"/>
        </w:rPr>
      </w:pPr>
    </w:p>
    <w:p>
      <w:pPr>
        <w:ind w:left="5" w:right="2779" w:hanging="5"/>
        <w:spacing w:after="0" w:line="243" w:lineRule="auto"/>
        <w:tabs>
          <w:tab w:leader="none" w:pos="377"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others referred to in clauses (a) 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provided that if a Permitted Receivables Transaction is outstanding and is accounted for as a sale of accounts receivable under generally accepted accounting principles, Indebtedness shall also include the additional Indebtedness, determined on a consolidated basis, which would have been outstanding had such Permitted Receivables Transaction been accounted for as a borrowing.</w:t>
      </w:r>
    </w:p>
    <w:p>
      <w:pPr>
        <w:spacing w:after="0" w:line="100" w:lineRule="exact"/>
        <w:rPr>
          <w:sz w:val="20"/>
          <w:szCs w:val="20"/>
          <w:color w:val="auto"/>
        </w:rPr>
      </w:pPr>
    </w:p>
    <w:p>
      <w:pPr>
        <w:ind w:left="5" w:right="2779" w:firstLine="837"/>
        <w:spacing w:after="0" w:line="279" w:lineRule="auto"/>
        <w:rPr>
          <w:sz w:val="20"/>
          <w:szCs w:val="20"/>
          <w:color w:val="auto"/>
        </w:rPr>
      </w:pPr>
      <w:r>
        <w:rPr>
          <w:rFonts w:ascii="Courier New" w:cs="Courier New" w:eastAsia="Courier New" w:hAnsi="Courier New"/>
          <w:sz w:val="14"/>
          <w:szCs w:val="14"/>
          <w:color w:val="auto"/>
        </w:rPr>
        <w:t>Interest Period. With respect to each Loan (a) initially, the period commencing on the Drawdown Date of such Loan and ending on the last day of one of the periods set forth below, as selected by the Borrower in accordance with this Agreement (i) for any Base Rate Loan or Swing Line Loan, the first day of the month; (ii) for any Eurodollar Loan, 1, 2, 3, or 6 months; (iii) for any Absolute Competitive Bid Loan, from 7 through 180 days; and (iv) for any Eurodollar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provided that any Interest Period which would otherwise end on a day which is not a Business Day shall be deemed to end on the next succeeding Business Day; provided further that for any Interest Period for any Eurodollar Loan or Eurodollar Competitive Bid Loan, if such next succeeding Business Day falls in the next succeeding calendar month, such Interest Period shall be deemed to end on the next preceding Business Day; and provided further that no Interest Period shall extend beyond the Revolving Credit Maturity Date or Term Loan Maturity Date, as applicable.</w:t>
      </w:r>
    </w:p>
    <w:p>
      <w:pPr>
        <w:spacing w:after="0" w:line="200" w:lineRule="exact"/>
        <w:rPr>
          <w:sz w:val="20"/>
          <w:szCs w:val="20"/>
          <w:color w:val="auto"/>
        </w:rPr>
      </w:pPr>
    </w:p>
    <w:p>
      <w:pPr>
        <w:spacing w:after="0" w:line="244"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Interim Balance Sheet Date. March 31, 2001.</w:t>
      </w:r>
    </w:p>
    <w:p>
      <w:pPr>
        <w:spacing w:after="0" w:line="177" w:lineRule="exact"/>
        <w:rPr>
          <w:sz w:val="20"/>
          <w:szCs w:val="20"/>
          <w:color w:val="auto"/>
        </w:rPr>
      </w:pPr>
    </w:p>
    <w:p>
      <w:pPr>
        <w:ind w:left="5" w:right="2779" w:firstLine="837"/>
        <w:spacing w:after="0" w:line="278" w:lineRule="auto"/>
        <w:rPr>
          <w:sz w:val="20"/>
          <w:szCs w:val="20"/>
          <w:color w:val="auto"/>
        </w:rPr>
      </w:pPr>
      <w:r>
        <w:rPr>
          <w:rFonts w:ascii="Courier New" w:cs="Courier New" w:eastAsia="Courier New" w:hAnsi="Courier New"/>
          <w:sz w:val="14"/>
          <w:szCs w:val="14"/>
          <w:color w:val="auto"/>
        </w:rPr>
        <w:t>Investments. All expenditures made by a Person and all liabilities incurred (contingently or otherwise) by a Person for the acquisition of stock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Guaranties with respect to Indebtedness of any Subsidiary, limited to such Person's pro rata equity interest in such Subsidiary).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repurchase, redemption, retirement, repayment, liquidating dividend or liquidating distribution); (d) there shall not be deducted in respect of any Investment any amounts received as earnings on such Investment, whether as dividends, interest or otherwise, except that accrued</w:t>
      </w:r>
    </w:p>
    <w:p>
      <w:pPr>
        <w:sectPr>
          <w:pgSz w:w="11900" w:h="16838" w:orient="portrait"/>
          <w:cols w:equalWidth="0" w:num="1">
            <w:col w:w="10224"/>
          </w:cols>
          <w:pgMar w:left="235" w:top="269" w:right="1440" w:bottom="1440" w:gutter="0" w:footer="0" w:header="0"/>
        </w:sectPr>
      </w:pPr>
    </w:p>
    <w:bookmarkStart w:id="191" w:name="page192"/>
    <w:bookmarkEnd w:id="191"/>
    <w:p>
      <w:pPr>
        <w:ind w:left="285"/>
        <w:spacing w:after="0"/>
        <w:rPr>
          <w:sz w:val="20"/>
          <w:szCs w:val="20"/>
          <w:color w:val="auto"/>
        </w:rPr>
      </w:pPr>
      <w:r>
        <w:rPr>
          <w:rFonts w:ascii="Courier New" w:cs="Courier New" w:eastAsia="Courier New" w:hAnsi="Courier New"/>
          <w:sz w:val="16"/>
          <w:szCs w:val="16"/>
          <w:color w:val="auto"/>
        </w:rPr>
        <w:t>16</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-10-</w:t>
      </w:r>
    </w:p>
    <w:p>
      <w:pPr>
        <w:spacing w:after="0" w:line="327" w:lineRule="exact"/>
        <w:rPr>
          <w:sz w:val="20"/>
          <w:szCs w:val="20"/>
          <w:color w:val="auto"/>
        </w:rPr>
      </w:pPr>
    </w:p>
    <w:p>
      <w:pPr>
        <w:ind w:left="5" w:right="2959"/>
        <w:spacing w:after="0" w:line="289" w:lineRule="auto"/>
        <w:rPr>
          <w:sz w:val="20"/>
          <w:szCs w:val="20"/>
          <w:color w:val="auto"/>
        </w:rPr>
      </w:pPr>
      <w:r>
        <w:rPr>
          <w:rFonts w:ascii="Courier New" w:cs="Courier New" w:eastAsia="Courier New" w:hAnsi="Courier New"/>
          <w:sz w:val="16"/>
          <w:szCs w:val="16"/>
          <w:color w:val="auto"/>
        </w:rPr>
        <w:t>interest included as provided in the foregoing clause (b) may be deducted when paid; and (e) there shall not be deducted from the aggregate amount of Investments any decrease in the value thereof.</w:t>
      </w:r>
    </w:p>
    <w:p>
      <w:pPr>
        <w:spacing w:after="0" w:line="61"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Issuance Fee. See Section 3.6.</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Issuing Banks. The Bank(s) issuing Letters of Credit, which shall be</w:t>
      </w:r>
    </w:p>
    <w:p>
      <w:pPr>
        <w:spacing w:after="0" w:line="26" w:lineRule="exact"/>
        <w:rPr>
          <w:sz w:val="20"/>
          <w:szCs w:val="20"/>
          <w:color w:val="auto"/>
        </w:rPr>
      </w:pPr>
    </w:p>
    <w:p>
      <w:pPr>
        <w:ind w:left="5" w:right="2879" w:hanging="5"/>
        <w:spacing w:after="0" w:line="259" w:lineRule="auto"/>
        <w:tabs>
          <w:tab w:leader="none" w:pos="377"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Morgan Guaranty Trust Company, Chase, BOA, Fleet, Bank One, N.A., BNP Paribas, Wachovia Bank, N.A. and Westdeutsche Landesbank Girozentrale, New York Branch, and (b) such other Banks as agreed to by the Borrower and the Administrative Agent.</w:t>
      </w:r>
    </w:p>
    <w:p>
      <w:pPr>
        <w:spacing w:after="0" w:line="84"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Joint Lead Arrangers and Joint Book Managers. See Preamble.</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JPMorgan. See Preamble.</w:t>
      </w:r>
    </w:p>
    <w:p>
      <w:pPr>
        <w:spacing w:after="0" w:line="177" w:lineRule="exact"/>
        <w:rPr>
          <w:sz w:val="20"/>
          <w:szCs w:val="20"/>
          <w:color w:val="auto"/>
        </w:rPr>
      </w:pPr>
    </w:p>
    <w:p>
      <w:pPr>
        <w:ind w:left="5" w:right="2879" w:firstLine="837"/>
        <w:spacing w:after="0" w:line="296" w:lineRule="auto"/>
        <w:rPr>
          <w:sz w:val="20"/>
          <w:szCs w:val="20"/>
          <w:color w:val="auto"/>
        </w:rPr>
      </w:pPr>
      <w:r>
        <w:rPr>
          <w:rFonts w:ascii="Courier New" w:cs="Courier New" w:eastAsia="Courier New" w:hAnsi="Courier New"/>
          <w:sz w:val="14"/>
          <w:szCs w:val="14"/>
          <w:color w:val="auto"/>
        </w:rPr>
        <w:t>Letter of Credit Applications. Letter of credit applications in the form attached hereto as Exhibit M, unless otherwise agreed upon by the Borrower and the Issuing Bank from time to time which are entered into pursuant to Section 3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62"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Letter of Credit Fee. See Section 3.6.</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Letter of Credit Participation. See Section 3.1(b).</w:t>
      </w:r>
    </w:p>
    <w:p>
      <w:pPr>
        <w:spacing w:after="0" w:line="17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Letter of Credit Request. See Section 12.5.</w:t>
      </w:r>
    </w:p>
    <w:p>
      <w:pPr>
        <w:spacing w:after="0" w:line="177" w:lineRule="exact"/>
        <w:rPr>
          <w:sz w:val="20"/>
          <w:szCs w:val="20"/>
          <w:color w:val="auto"/>
        </w:rPr>
      </w:pPr>
    </w:p>
    <w:p>
      <w:pPr>
        <w:ind w:left="5" w:right="3239" w:firstLine="837"/>
        <w:spacing w:after="0" w:line="342" w:lineRule="auto"/>
        <w:rPr>
          <w:sz w:val="20"/>
          <w:szCs w:val="20"/>
          <w:color w:val="auto"/>
        </w:rPr>
      </w:pPr>
      <w:r>
        <w:rPr>
          <w:rFonts w:ascii="Courier New" w:cs="Courier New" w:eastAsia="Courier New" w:hAnsi="Courier New"/>
          <w:sz w:val="16"/>
          <w:szCs w:val="16"/>
          <w:color w:val="auto"/>
        </w:rPr>
        <w:t>Letters of Credit. Letters of credit issued or to be issued by the Issuing Banks underSection 3 hereof for the account of the Borrower.</w:t>
      </w:r>
    </w:p>
    <w:p>
      <w:pPr>
        <w:spacing w:after="0" w:line="20" w:lineRule="exact"/>
        <w:rPr>
          <w:sz w:val="20"/>
          <w:szCs w:val="20"/>
          <w:color w:val="auto"/>
        </w:rPr>
      </w:pPr>
    </w:p>
    <w:p>
      <w:pPr>
        <w:ind w:left="5" w:right="2779" w:firstLine="837"/>
        <w:spacing w:after="0" w:line="292" w:lineRule="auto"/>
        <w:rPr>
          <w:sz w:val="20"/>
          <w:szCs w:val="20"/>
          <w:color w:val="auto"/>
        </w:rPr>
      </w:pPr>
      <w:r>
        <w:rPr>
          <w:rFonts w:ascii="Courier New" w:cs="Courier New" w:eastAsia="Courier New" w:hAnsi="Courier New"/>
          <w:sz w:val="14"/>
          <w:szCs w:val="14"/>
          <w:color w:val="auto"/>
        </w:rPr>
        <w:t>Lien.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66" w:lineRule="exact"/>
        <w:rPr>
          <w:sz w:val="20"/>
          <w:szCs w:val="20"/>
          <w:color w:val="auto"/>
        </w:rPr>
      </w:pPr>
    </w:p>
    <w:p>
      <w:pPr>
        <w:ind w:left="5" w:right="3059" w:firstLine="837"/>
        <w:spacing w:after="0" w:line="272" w:lineRule="auto"/>
        <w:rPr>
          <w:sz w:val="20"/>
          <w:szCs w:val="20"/>
          <w:color w:val="auto"/>
        </w:rPr>
      </w:pPr>
      <w:r>
        <w:rPr>
          <w:rFonts w:ascii="Courier New" w:cs="Courier New" w:eastAsia="Courier New" w:hAnsi="Courier New"/>
          <w:sz w:val="16"/>
          <w:szCs w:val="16"/>
          <w:color w:val="auto"/>
        </w:rPr>
        <w:t>Loan Documents. This Agreement, the Notes, the Letter of Credit Applications, the Letters of Credit, and any documents, instruments or agreements executed in connection with any of the foregoing, each as amended, modified, supplemented, or replaced from time to time.</w:t>
      </w:r>
    </w:p>
    <w:p>
      <w:pPr>
        <w:spacing w:after="0" w:line="73" w:lineRule="exact"/>
        <w:rPr>
          <w:sz w:val="20"/>
          <w:szCs w:val="20"/>
          <w:color w:val="auto"/>
        </w:rPr>
      </w:pPr>
    </w:p>
    <w:p>
      <w:pPr>
        <w:ind w:left="5" w:right="3339" w:firstLine="837"/>
        <w:spacing w:after="0" w:line="289" w:lineRule="auto"/>
        <w:rPr>
          <w:sz w:val="20"/>
          <w:szCs w:val="20"/>
          <w:color w:val="auto"/>
        </w:rPr>
      </w:pPr>
      <w:r>
        <w:rPr>
          <w:rFonts w:ascii="Courier New" w:cs="Courier New" w:eastAsia="Courier New" w:hAnsi="Courier New"/>
          <w:sz w:val="16"/>
          <w:szCs w:val="16"/>
          <w:color w:val="auto"/>
        </w:rPr>
        <w:t>Loan Office. The Administrative Agent's office located in Boston, Massachusetts, or at such other location as the Administrative Agent may designate from time to time.</w:t>
      </w:r>
    </w:p>
    <w:p>
      <w:pPr>
        <w:sectPr>
          <w:pgSz w:w="11900" w:h="16838" w:orient="portrait"/>
          <w:cols w:equalWidth="0" w:num="1">
            <w:col w:w="10224"/>
          </w:cols>
          <w:pgMar w:left="235" w:top="269"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6"/>
          <w:szCs w:val="16"/>
          <w:color w:val="auto"/>
        </w:rPr>
        <w:t>17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-11-</w:t>
      </w:r>
    </w:p>
    <w:p>
      <w:pPr>
        <w:spacing w:after="0" w:line="327" w:lineRule="exact"/>
        <w:rPr>
          <w:sz w:val="20"/>
          <w:szCs w:val="20"/>
          <w:color w:val="auto"/>
        </w:rPr>
      </w:pPr>
    </w:p>
    <w:p>
      <w:pPr>
        <w:ind w:right="3059" w:firstLine="837"/>
        <w:spacing w:after="0" w:line="342" w:lineRule="auto"/>
        <w:rPr>
          <w:sz w:val="20"/>
          <w:szCs w:val="20"/>
          <w:color w:val="auto"/>
        </w:rPr>
      </w:pPr>
      <w:r>
        <w:rPr>
          <w:rFonts w:ascii="Courier New" w:cs="Courier New" w:eastAsia="Courier New" w:hAnsi="Courier New"/>
          <w:sz w:val="16"/>
          <w:szCs w:val="16"/>
          <w:color w:val="auto"/>
        </w:rPr>
        <w:t>Loans. Collectively, the Syndicated Loans, the Swing Line Loans, the Competitive Bid Loans and the Term Loan.</w:t>
      </w:r>
    </w:p>
    <w:p>
      <w:pPr>
        <w:spacing w:after="0" w:line="20" w:lineRule="exact"/>
        <w:rPr>
          <w:sz w:val="20"/>
          <w:szCs w:val="20"/>
          <w:color w:val="auto"/>
        </w:rPr>
      </w:pPr>
    </w:p>
    <w:p>
      <w:pPr>
        <w:ind w:right="2879" w:firstLine="837"/>
        <w:spacing w:after="0" w:line="263" w:lineRule="auto"/>
        <w:rPr>
          <w:sz w:val="20"/>
          <w:szCs w:val="20"/>
          <w:color w:val="auto"/>
        </w:rPr>
      </w:pPr>
      <w:r>
        <w:rPr>
          <w:rFonts w:ascii="Courier New" w:cs="Courier New" w:eastAsia="Courier New" w:hAnsi="Courier New"/>
          <w:sz w:val="16"/>
          <w:szCs w:val="16"/>
          <w:color w:val="auto"/>
        </w:rPr>
        <w:t>Majority Banks. The Banks with greater than fifty percent (50%) of the Total Commitment; provided that in the event that the Total Commitment has been terminated, the Majority Banks shall be the Banks holding greater than fifty percent (50%) of the aggregate outstanding principal amount of the Obligations on such date.</w:t>
      </w:r>
    </w:p>
    <w:p>
      <w:pPr>
        <w:spacing w:after="0" w:line="80"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Material Adverse Effect. A material adverse effect on (a) the business, assets, operations, or financial condition, of the Borrower and the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83" w:lineRule="exact"/>
        <w:rPr>
          <w:sz w:val="20"/>
          <w:szCs w:val="20"/>
          <w:color w:val="auto"/>
        </w:rPr>
      </w:pPr>
    </w:p>
    <w:p>
      <w:pPr>
        <w:ind w:right="3619" w:firstLine="837"/>
        <w:spacing w:after="0" w:line="289" w:lineRule="auto"/>
        <w:rPr>
          <w:sz w:val="20"/>
          <w:szCs w:val="20"/>
          <w:color w:val="auto"/>
        </w:rPr>
      </w:pPr>
      <w:r>
        <w:rPr>
          <w:rFonts w:ascii="Courier New" w:cs="Courier New" w:eastAsia="Courier New" w:hAnsi="Courier New"/>
          <w:sz w:val="16"/>
          <w:szCs w:val="16"/>
          <w:color w:val="auto"/>
        </w:rPr>
        <w:t>Material Subsidiary. Any Subsidiary which, at the time such determination is made, has assets, revenues, or liabilities of at least $20,000,000 or more.</w:t>
      </w:r>
    </w:p>
    <w:p>
      <w:pPr>
        <w:spacing w:after="0" w:line="61"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Maximum Drawing Amount. The maximum aggregate amount from time to time that the beneficiaries may draw under outstanding Letters of Credit.</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Moody's. Moody's Investors Service, Inc.</w:t>
      </w:r>
    </w:p>
    <w:p>
      <w:pPr>
        <w:spacing w:after="0" w:line="177"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Multiemployer Plan. Any multiemployer plan within the meaning of Section 3(37) of ERISA maintained or contributed to by the Borrower, any of its Subsidiaries, or any ERISA Affiliate.</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New Lending Office. See Section 6.1(d).</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Non-U.S. Bank. See Section 6.1(c).</w:t>
      </w:r>
    </w:p>
    <w:p>
      <w:pPr>
        <w:spacing w:after="0" w:line="177"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Notes. Collectively, the Competitive Bid Notes, the Syndicated Notes, the Swing Line Note and the Term Notes.</w:t>
      </w:r>
    </w:p>
    <w:p>
      <w:pPr>
        <w:spacing w:after="0" w:line="20" w:lineRule="exact"/>
        <w:rPr>
          <w:sz w:val="20"/>
          <w:szCs w:val="20"/>
          <w:color w:val="auto"/>
        </w:rPr>
      </w:pPr>
    </w:p>
    <w:p>
      <w:pPr>
        <w:ind w:right="2879" w:firstLine="837"/>
        <w:spacing w:after="0" w:line="290" w:lineRule="auto"/>
        <w:rPr>
          <w:sz w:val="20"/>
          <w:szCs w:val="20"/>
          <w:color w:val="auto"/>
        </w:rPr>
      </w:pPr>
      <w:r>
        <w:rPr>
          <w:rFonts w:ascii="Courier New" w:cs="Courier New" w:eastAsia="Courier New" w:hAnsi="Courier New"/>
          <w:sz w:val="14"/>
          <w:szCs w:val="14"/>
          <w:color w:val="auto"/>
        </w:rPr>
        <w:t>Obligations.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256" w:lineRule="exact"/>
        <w:rPr>
          <w:sz w:val="20"/>
          <w:szCs w:val="20"/>
          <w:color w:val="auto"/>
        </w:rPr>
      </w:pPr>
    </w:p>
    <w:p>
      <w:pPr>
        <w:ind w:right="2879" w:firstLine="837"/>
        <w:spacing w:after="0" w:line="301" w:lineRule="auto"/>
        <w:rPr>
          <w:sz w:val="20"/>
          <w:szCs w:val="20"/>
          <w:color w:val="auto"/>
        </w:rPr>
      </w:pPr>
      <w:r>
        <w:rPr>
          <w:rFonts w:ascii="Courier New" w:cs="Courier New" w:eastAsia="Courier New" w:hAnsi="Courier New"/>
          <w:sz w:val="14"/>
          <w:szCs w:val="14"/>
          <w:color w:val="auto"/>
        </w:rPr>
        <w:t>Overnight Federal Funds Effective Rate. The overnight federal funds effective rate as published by the Board of Governors of the Federal Reserve System, as in effect from time to time, or if such rate is not published, the average of the quotations at approximately 11:00 a.m. New York time for the day of such transaction(s), received by the Administrative Agent from three Federal Funds brokers of recognized standing selected by the Administrative Agent.</w:t>
      </w:r>
    </w:p>
    <w:p>
      <w:pPr>
        <w:sectPr>
          <w:pgSz w:w="11900" w:h="16838" w:orient="portrait"/>
          <w:cols w:equalWidth="0" w:num="1">
            <w:col w:w="10219"/>
          </w:cols>
          <w:pgMar w:left="240" w:top="269"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6"/>
          <w:szCs w:val="16"/>
          <w:color w:val="auto"/>
        </w:rPr>
        <w:t>18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-12-</w:t>
      </w:r>
    </w:p>
    <w:p>
      <w:pPr>
        <w:spacing w:after="0" w:line="327" w:lineRule="exact"/>
        <w:rPr>
          <w:sz w:val="20"/>
          <w:szCs w:val="20"/>
          <w:color w:val="auto"/>
        </w:rPr>
      </w:pPr>
    </w:p>
    <w:p>
      <w:pPr>
        <w:ind w:right="2879" w:firstLine="837"/>
        <w:spacing w:after="0" w:line="406" w:lineRule="auto"/>
        <w:rPr>
          <w:sz w:val="20"/>
          <w:szCs w:val="20"/>
          <w:color w:val="auto"/>
        </w:rPr>
      </w:pPr>
      <w:r>
        <w:rPr>
          <w:rFonts w:ascii="Courier New" w:cs="Courier New" w:eastAsia="Courier New" w:hAnsi="Courier New"/>
          <w:sz w:val="14"/>
          <w:szCs w:val="14"/>
          <w:color w:val="auto"/>
        </w:rPr>
        <w:t>PBGC. The Pension Benefit Guaranty Corporation created by Section 4002 of ERISA and any successor entity or entities having similar responsibilities.</w:t>
      </w:r>
    </w:p>
    <w:p>
      <w:pPr>
        <w:ind w:left="840"/>
        <w:spacing w:after="0"/>
        <w:rPr>
          <w:sz w:val="20"/>
          <w:szCs w:val="20"/>
          <w:color w:val="auto"/>
        </w:rPr>
      </w:pPr>
      <w:r>
        <w:rPr>
          <w:rFonts w:ascii="Courier New" w:cs="Courier New" w:eastAsia="Courier New" w:hAnsi="Courier New"/>
          <w:sz w:val="16"/>
          <w:szCs w:val="16"/>
          <w:color w:val="auto"/>
        </w:rPr>
        <w:t>Permitted Liens. Any of the following Liens:</w:t>
      </w:r>
    </w:p>
    <w:p>
      <w:pPr>
        <w:spacing w:after="0" w:line="177" w:lineRule="exact"/>
        <w:rPr>
          <w:sz w:val="20"/>
          <w:szCs w:val="20"/>
          <w:color w:val="auto"/>
        </w:rPr>
      </w:pPr>
    </w:p>
    <w:p>
      <w:pPr>
        <w:ind w:right="3619" w:firstLine="833"/>
        <w:spacing w:after="0" w:line="342" w:lineRule="auto"/>
        <w:tabs>
          <w:tab w:leader="none" w:pos="120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not yet due or that are being contested in compliance with Section 8.8;</w:t>
      </w:r>
    </w:p>
    <w:p>
      <w:pPr>
        <w:spacing w:after="0" w:line="20" w:lineRule="exact"/>
        <w:rPr>
          <w:rFonts w:ascii="Courier New" w:cs="Courier New" w:eastAsia="Courier New" w:hAnsi="Courier New"/>
          <w:sz w:val="16"/>
          <w:szCs w:val="16"/>
          <w:color w:val="auto"/>
        </w:rPr>
      </w:pPr>
    </w:p>
    <w:p>
      <w:pPr>
        <w:ind w:right="2879" w:firstLine="833"/>
        <w:spacing w:after="0" w:line="322" w:lineRule="auto"/>
        <w:tabs>
          <w:tab w:leader="none" w:pos="1209"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43" w:lineRule="exact"/>
        <w:rPr>
          <w:rFonts w:ascii="Courier New" w:cs="Courier New" w:eastAsia="Courier New" w:hAnsi="Courier New"/>
          <w:sz w:val="14"/>
          <w:szCs w:val="14"/>
          <w:color w:val="auto"/>
        </w:rPr>
      </w:pPr>
    </w:p>
    <w:p>
      <w:pPr>
        <w:ind w:right="2879" w:firstLine="833"/>
        <w:spacing w:after="0" w:line="289" w:lineRule="auto"/>
        <w:tabs>
          <w:tab w:leader="none" w:pos="120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pledges and deposits made in the ordinary course of business in compliance with workmen's compensation, unemployment insurance and other social security laws or regulations;</w:t>
      </w:r>
    </w:p>
    <w:p>
      <w:pPr>
        <w:spacing w:after="0" w:line="60" w:lineRule="exact"/>
        <w:rPr>
          <w:rFonts w:ascii="Courier New" w:cs="Courier New" w:eastAsia="Courier New" w:hAnsi="Courier New"/>
          <w:sz w:val="16"/>
          <w:szCs w:val="16"/>
          <w:color w:val="auto"/>
        </w:rPr>
      </w:pPr>
    </w:p>
    <w:p>
      <w:pPr>
        <w:ind w:right="3059" w:firstLine="833"/>
        <w:spacing w:after="0" w:line="263" w:lineRule="auto"/>
        <w:tabs>
          <w:tab w:leader="none" w:pos="120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80" w:lineRule="exact"/>
        <w:rPr>
          <w:rFonts w:ascii="Courier New" w:cs="Courier New" w:eastAsia="Courier New" w:hAnsi="Courier New"/>
          <w:sz w:val="16"/>
          <w:szCs w:val="16"/>
          <w:color w:val="auto"/>
        </w:rPr>
      </w:pPr>
    </w:p>
    <w:p>
      <w:pPr>
        <w:ind w:right="2879" w:firstLine="833"/>
        <w:spacing w:after="0" w:line="258" w:lineRule="auto"/>
        <w:tabs>
          <w:tab w:leader="none" w:pos="120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83" w:lineRule="exact"/>
        <w:rPr>
          <w:rFonts w:ascii="Courier New" w:cs="Courier New" w:eastAsia="Courier New" w:hAnsi="Courier New"/>
          <w:sz w:val="16"/>
          <w:szCs w:val="16"/>
          <w:color w:val="auto"/>
        </w:rPr>
      </w:pPr>
    </w:p>
    <w:p>
      <w:pPr>
        <w:ind w:right="2779" w:firstLine="833"/>
        <w:spacing w:after="0" w:line="292" w:lineRule="auto"/>
        <w:tabs>
          <w:tab w:leader="none" w:pos="1209"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Liens on Schedule 1.1 hereto securing the obligations listed on such Schedule and any replacement Lien securing any renewal, extension or refunding of such obligations if the amount secured by such renewal, extension or refunding Lien shall not exceed the amount of the outstanding obligations secured by the Lien being replaced at the time of such renewal, extension or refunding (plus transaction costs, including premiums and fees, related to such renewal, extension or refunding) and if such replacement Lien shall be limited to substantially the same property that secured the Lien so replaced;</w:t>
      </w:r>
    </w:p>
    <w:p>
      <w:pPr>
        <w:spacing w:after="0" w:line="66" w:lineRule="exact"/>
        <w:rPr>
          <w:rFonts w:ascii="Courier New" w:cs="Courier New" w:eastAsia="Courier New" w:hAnsi="Courier New"/>
          <w:sz w:val="14"/>
          <w:szCs w:val="14"/>
          <w:color w:val="auto"/>
        </w:rPr>
      </w:pPr>
    </w:p>
    <w:p>
      <w:pPr>
        <w:ind w:right="3059" w:firstLine="833"/>
        <w:spacing w:after="0" w:line="258" w:lineRule="auto"/>
        <w:tabs>
          <w:tab w:leader="none" w:pos="120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83" w:lineRule="exact"/>
        <w:rPr>
          <w:rFonts w:ascii="Courier New" w:cs="Courier New" w:eastAsia="Courier New" w:hAnsi="Courier New"/>
          <w:sz w:val="16"/>
          <w:szCs w:val="16"/>
          <w:color w:val="auto"/>
        </w:rPr>
      </w:pPr>
    </w:p>
    <w:p>
      <w:pPr>
        <w:ind w:right="2779" w:firstLine="833"/>
        <w:spacing w:after="0" w:line="263" w:lineRule="auto"/>
        <w:tabs>
          <w:tab w:leader="none" w:pos="120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80" w:lineRule="exact"/>
        <w:rPr>
          <w:rFonts w:ascii="Courier New" w:cs="Courier New" w:eastAsia="Courier New" w:hAnsi="Courier New"/>
          <w:sz w:val="16"/>
          <w:szCs w:val="16"/>
          <w:color w:val="auto"/>
        </w:rPr>
      </w:pPr>
    </w:p>
    <w:p>
      <w:pPr>
        <w:ind w:right="2779" w:firstLine="833"/>
        <w:spacing w:after="0" w:line="289" w:lineRule="auto"/>
        <w:tabs>
          <w:tab w:leader="none" w:pos="1209"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obligations or duties affecting the property of the Borrower or any of its Subsidiaries to any municipality, governmental, statutory or public authority with respect to any franchise, grant, license or permit;</w:t>
      </w:r>
    </w:p>
    <w:p>
      <w:pPr>
        <w:sectPr>
          <w:pgSz w:w="11900" w:h="16838" w:orient="portrait"/>
          <w:cols w:equalWidth="0" w:num="1">
            <w:col w:w="10219"/>
          </w:cols>
          <w:pgMar w:left="240" w:top="269"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6"/>
          <w:szCs w:val="16"/>
          <w:color w:val="auto"/>
        </w:rPr>
        <w:t>19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-13-</w:t>
      </w:r>
    </w:p>
    <w:p>
      <w:pPr>
        <w:spacing w:after="0" w:line="327" w:lineRule="exact"/>
        <w:rPr>
          <w:sz w:val="20"/>
          <w:szCs w:val="20"/>
          <w:color w:val="auto"/>
        </w:rPr>
      </w:pPr>
    </w:p>
    <w:p>
      <w:pPr>
        <w:ind w:right="2959" w:firstLine="833"/>
        <w:spacing w:after="0" w:line="263" w:lineRule="auto"/>
        <w:tabs>
          <w:tab w:leader="none" w:pos="1209"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filed in connection with sales of receivables by any of the Subsidiaries (other than the Guarantor) to a wholly-owned special purpose financing Subsidiary for purposes of perfecting such sales, provided that no third party has any rights with respect to such Liens or any assets subject thereto;</w:t>
      </w:r>
    </w:p>
    <w:p>
      <w:pPr>
        <w:spacing w:after="0" w:line="80" w:lineRule="exact"/>
        <w:rPr>
          <w:rFonts w:ascii="Courier New" w:cs="Courier New" w:eastAsia="Courier New" w:hAnsi="Courier New"/>
          <w:sz w:val="16"/>
          <w:szCs w:val="16"/>
          <w:color w:val="auto"/>
        </w:rPr>
      </w:pPr>
    </w:p>
    <w:p>
      <w:pPr>
        <w:ind w:right="2879" w:firstLine="833"/>
        <w:spacing w:after="0" w:line="272" w:lineRule="auto"/>
        <w:tabs>
          <w:tab w:leader="none" w:pos="1209"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or title of a lessor under any sale lease-back transaction entered into by the Borrower or any Subsidiary conveying only the assets so leased back to the extent the related Indebtedness is permitted under Section 9.1 hereof;</w:t>
      </w:r>
    </w:p>
    <w:p>
      <w:pPr>
        <w:spacing w:after="0" w:line="72" w:lineRule="exact"/>
        <w:rPr>
          <w:rFonts w:ascii="Courier New" w:cs="Courier New" w:eastAsia="Courier New" w:hAnsi="Courier New"/>
          <w:sz w:val="16"/>
          <w:szCs w:val="16"/>
          <w:color w:val="auto"/>
        </w:rPr>
      </w:pPr>
    </w:p>
    <w:p>
      <w:pPr>
        <w:ind w:right="2779" w:firstLine="833"/>
        <w:spacing w:after="0" w:line="246" w:lineRule="auto"/>
        <w:tabs>
          <w:tab w:leader="none" w:pos="1209"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signed by such obligors describing the collateral securing such trade receivables) pursuant to such Permitted Receivables Transactions; and</w:t>
      </w:r>
    </w:p>
    <w:p>
      <w:pPr>
        <w:spacing w:after="0" w:line="96" w:lineRule="exact"/>
        <w:rPr>
          <w:rFonts w:ascii="Courier New" w:cs="Courier New" w:eastAsia="Courier New" w:hAnsi="Courier New"/>
          <w:sz w:val="16"/>
          <w:szCs w:val="16"/>
          <w:color w:val="auto"/>
        </w:rPr>
      </w:pPr>
    </w:p>
    <w:p>
      <w:pPr>
        <w:ind w:left="1200" w:hanging="367"/>
        <w:spacing w:after="0"/>
        <w:tabs>
          <w:tab w:leader="none" w:pos="120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other Indebtedness permitted under Sections 9.1(d)</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and (e);</w:t>
      </w:r>
    </w:p>
    <w:p>
      <w:pPr>
        <w:spacing w:after="0" w:line="149" w:lineRule="exact"/>
        <w:rPr>
          <w:sz w:val="20"/>
          <w:szCs w:val="20"/>
          <w:color w:val="auto"/>
        </w:rPr>
      </w:pPr>
    </w:p>
    <w:p>
      <w:pPr>
        <w:jc w:val="both"/>
        <w:ind w:right="2959"/>
        <w:spacing w:after="0" w:line="289" w:lineRule="auto"/>
        <w:rPr>
          <w:sz w:val="20"/>
          <w:szCs w:val="20"/>
          <w:color w:val="auto"/>
        </w:rPr>
      </w:pPr>
      <w:r>
        <w:rPr>
          <w:rFonts w:ascii="Courier New" w:cs="Courier New" w:eastAsia="Courier New" w:hAnsi="Courier New"/>
          <w:sz w:val="16"/>
          <w:szCs w:val="16"/>
          <w:color w:val="auto"/>
        </w:rPr>
        <w:t>provided that the aggregate amount of all Indebtedness and liabilities secured by all Liens permitted in subsections (k), (l) and (m) shall not exceed 15% of Consolidated Tangible Assets at any time.</w:t>
      </w:r>
    </w:p>
    <w:p>
      <w:pPr>
        <w:spacing w:after="0" w:line="61"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Permitted Receivables Transaction.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90"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Person. Any individual, corporation, partnership, joint venture, limited liability company, trust, unincorporated association, business, or other legal entity, and any government or any governmental agency or political subdivision thereof.</w:t>
      </w:r>
    </w:p>
    <w:p>
      <w:pPr>
        <w:sectPr>
          <w:pgSz w:w="11900" w:h="16838" w:orient="portrait"/>
          <w:cols w:equalWidth="0" w:num="1">
            <w:col w:w="10219"/>
          </w:cols>
          <w:pgMar w:left="240" w:top="269" w:right="1440" w:bottom="1440" w:gutter="0" w:footer="0" w:header="0"/>
        </w:sectPr>
      </w:pPr>
    </w:p>
    <w:bookmarkStart w:id="195" w:name="page196"/>
    <w:bookmarkEnd w:id="195"/>
    <w:p>
      <w:pPr>
        <w:ind w:left="285"/>
        <w:spacing w:after="0"/>
        <w:rPr>
          <w:sz w:val="20"/>
          <w:szCs w:val="20"/>
          <w:color w:val="auto"/>
        </w:rPr>
      </w:pPr>
      <w:r>
        <w:rPr>
          <w:rFonts w:ascii="Courier New" w:cs="Courier New" w:eastAsia="Courier New" w:hAnsi="Courier New"/>
          <w:sz w:val="16"/>
          <w:szCs w:val="16"/>
          <w:color w:val="auto"/>
        </w:rPr>
        <w:t>20</w:t>
      </w:r>
    </w:p>
    <w:p>
      <w:pPr>
        <w:spacing w:after="0" w:line="26"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-14-</w:t>
      </w:r>
    </w:p>
    <w:p>
      <w:pPr>
        <w:spacing w:after="0" w:line="327"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Pricing Table:</w:t>
      </w:r>
    </w:p>
    <w:p>
      <w:pPr>
        <w:spacing w:after="0" w:line="177"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APPLICABLE</w:t>
      </w:r>
    </w:p>
    <w:p>
      <w:pPr>
        <w:spacing w:after="0" w:line="46"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SENIOR</w:t>
      </w:r>
    </w:p>
    <w:p>
      <w:pPr>
        <w:jc w:val="center"/>
        <w:ind w:right="9295"/>
        <w:spacing w:after="0" w:line="236" w:lineRule="auto"/>
        <w:rPr>
          <w:sz w:val="20"/>
          <w:szCs w:val="20"/>
          <w:color w:val="auto"/>
        </w:rPr>
      </w:pPr>
      <w:r>
        <w:rPr>
          <w:rFonts w:ascii="Courier New" w:cs="Courier New" w:eastAsia="Courier New" w:hAnsi="Courier New"/>
          <w:sz w:val="16"/>
          <w:szCs w:val="16"/>
          <w:color w:val="auto"/>
        </w:rPr>
        <w:t>PUBLIC</w:t>
      </w:r>
    </w:p>
    <w:p>
      <w:pPr>
        <w:spacing w:after="0" w:line="1"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APPLICABLE</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APPLICABLE</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APPLICABLE</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BASE</w:t>
      </w:r>
    </w:p>
    <w:p>
      <w:pPr>
        <w:jc w:val="center"/>
        <w:ind w:right="9295"/>
        <w:spacing w:after="0"/>
        <w:rPr>
          <w:sz w:val="20"/>
          <w:szCs w:val="20"/>
          <w:color w:val="auto"/>
        </w:rPr>
      </w:pPr>
      <w:r>
        <w:rPr>
          <w:rFonts w:ascii="Courier New" w:cs="Courier New" w:eastAsia="Courier New" w:hAnsi="Courier New"/>
          <w:sz w:val="14"/>
          <w:szCs w:val="14"/>
          <w:color w:val="auto"/>
        </w:rPr>
        <w:t>EURODOLLAR</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LEVEL DEBT</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RATING</w:t>
      </w:r>
    </w:p>
    <w:p>
      <w:pPr>
        <w:jc w:val="center"/>
        <w:ind w:right="9295"/>
        <w:spacing w:after="0" w:line="236" w:lineRule="auto"/>
        <w:rPr>
          <w:sz w:val="20"/>
          <w:szCs w:val="20"/>
          <w:color w:val="auto"/>
        </w:rPr>
      </w:pPr>
      <w:r>
        <w:rPr>
          <w:rFonts w:ascii="Courier New" w:cs="Courier New" w:eastAsia="Courier New" w:hAnsi="Courier New"/>
          <w:sz w:val="16"/>
          <w:szCs w:val="16"/>
          <w:color w:val="auto"/>
        </w:rPr>
        <w:t>FACILITY</w:t>
      </w:r>
    </w:p>
    <w:p>
      <w:pPr>
        <w:jc w:val="center"/>
        <w:ind w:right="9295"/>
        <w:spacing w:after="0" w:line="237" w:lineRule="auto"/>
        <w:rPr>
          <w:sz w:val="20"/>
          <w:szCs w:val="20"/>
          <w:color w:val="auto"/>
        </w:rPr>
      </w:pPr>
      <w:r>
        <w:rPr>
          <w:rFonts w:ascii="Courier New" w:cs="Courier New" w:eastAsia="Courier New" w:hAnsi="Courier New"/>
          <w:sz w:val="16"/>
          <w:szCs w:val="16"/>
          <w:color w:val="auto"/>
        </w:rPr>
        <w:t>RATE L/C</w:t>
      </w:r>
    </w:p>
    <w:p>
      <w:pPr>
        <w:jc w:val="center"/>
        <w:ind w:right="9295"/>
        <w:spacing w:after="0" w:line="237" w:lineRule="auto"/>
        <w:rPr>
          <w:sz w:val="20"/>
          <w:szCs w:val="20"/>
          <w:color w:val="auto"/>
        </w:rPr>
      </w:pPr>
      <w:r>
        <w:rPr>
          <w:rFonts w:ascii="Courier New" w:cs="Courier New" w:eastAsia="Courier New" w:hAnsi="Courier New"/>
          <w:sz w:val="16"/>
          <w:szCs w:val="16"/>
          <w:color w:val="auto"/>
        </w:rPr>
        <w:t>RATE RATE</w:t>
      </w:r>
    </w:p>
    <w:p>
      <w:pPr>
        <w:jc w:val="center"/>
        <w:ind w:right="9295"/>
        <w:spacing w:after="0"/>
        <w:rPr>
          <w:sz w:val="20"/>
          <w:szCs w:val="20"/>
          <w:color w:val="auto"/>
        </w:rPr>
      </w:pPr>
      <w:r>
        <w:rPr>
          <w:rFonts w:ascii="Courier New" w:cs="Courier New" w:eastAsia="Courier New" w:hAnsi="Courier New"/>
          <w:sz w:val="14"/>
          <w:szCs w:val="14"/>
          <w:color w:val="auto"/>
        </w:rPr>
        <w:t>RATE - ---</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ind w:left="285" w:hanging="285"/>
        <w:spacing w:after="0" w:line="236" w:lineRule="auto"/>
        <w:tabs>
          <w:tab w:leader="none" w:pos="285"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both"/>
        <w:ind w:left="145" w:right="9439" w:hanging="5"/>
        <w:spacing w:after="0" w:line="291" w:lineRule="auto"/>
        <w:tabs>
          <w:tab w:leader="none" w:pos="703" w:val="left"/>
        </w:tabs>
        <w:numPr>
          <w:ilvl w:val="1"/>
          <w:numId w:val="166"/>
        </w:numPr>
        <w:rPr>
          <w:rFonts w:ascii="Courier New" w:cs="Courier New" w:eastAsia="Courier New" w:hAnsi="Courier New"/>
          <w:sz w:val="13"/>
          <w:szCs w:val="13"/>
          <w:color w:val="auto"/>
        </w:rPr>
      </w:pPr>
      <w:r>
        <w:rPr>
          <w:rFonts w:ascii="Courier New" w:cs="Courier New" w:eastAsia="Courier New" w:hAnsi="Courier New"/>
          <w:sz w:val="13"/>
          <w:szCs w:val="13"/>
          <w:color w:val="auto"/>
        </w:rPr>
        <w:t>1 Greater than or</w:t>
      </w:r>
    </w:p>
    <w:p>
      <w:pPr>
        <w:jc w:val="center"/>
        <w:ind w:right="9295"/>
        <w:spacing w:after="0" w:line="238" w:lineRule="auto"/>
        <w:rPr>
          <w:sz w:val="20"/>
          <w:szCs w:val="20"/>
          <w:color w:val="auto"/>
        </w:rPr>
      </w:pPr>
      <w:r>
        <w:rPr>
          <w:rFonts w:ascii="Courier New" w:cs="Courier New" w:eastAsia="Courier New" w:hAnsi="Courier New"/>
          <w:sz w:val="16"/>
          <w:szCs w:val="16"/>
          <w:color w:val="auto"/>
        </w:rPr>
        <w:t>equal to</w:t>
      </w:r>
    </w:p>
    <w:p>
      <w:pPr>
        <w:jc w:val="center"/>
        <w:ind w:right="9295"/>
        <w:spacing w:after="0" w:line="237" w:lineRule="auto"/>
        <w:rPr>
          <w:sz w:val="20"/>
          <w:szCs w:val="20"/>
          <w:color w:val="auto"/>
        </w:rPr>
      </w:pPr>
      <w:r>
        <w:rPr>
          <w:rFonts w:ascii="Courier New" w:cs="Courier New" w:eastAsia="Courier New" w:hAnsi="Courier New"/>
          <w:sz w:val="16"/>
          <w:szCs w:val="16"/>
          <w:color w:val="auto"/>
        </w:rPr>
        <w:t>BBB+</w:t>
      </w:r>
    </w:p>
    <w:p>
      <w:pPr>
        <w:jc w:val="center"/>
        <w:ind w:right="9295"/>
        <w:spacing w:after="0" w:line="236" w:lineRule="auto"/>
        <w:rPr>
          <w:sz w:val="20"/>
          <w:szCs w:val="20"/>
          <w:color w:val="auto"/>
        </w:rPr>
      </w:pPr>
      <w:r>
        <w:rPr>
          <w:rFonts w:ascii="Courier New" w:cs="Courier New" w:eastAsia="Courier New" w:hAnsi="Courier New"/>
          <w:sz w:val="16"/>
          <w:szCs w:val="16"/>
          <w:color w:val="auto"/>
        </w:rPr>
        <w:t>0.1000%</w:t>
      </w:r>
    </w:p>
    <w:p>
      <w:pPr>
        <w:jc w:val="center"/>
        <w:ind w:right="9295"/>
        <w:spacing w:after="0" w:line="237" w:lineRule="auto"/>
        <w:rPr>
          <w:sz w:val="20"/>
          <w:szCs w:val="20"/>
          <w:color w:val="auto"/>
        </w:rPr>
      </w:pPr>
      <w:r>
        <w:rPr>
          <w:rFonts w:ascii="Courier New" w:cs="Courier New" w:eastAsia="Courier New" w:hAnsi="Courier New"/>
          <w:sz w:val="16"/>
          <w:szCs w:val="16"/>
          <w:color w:val="auto"/>
        </w:rPr>
        <w:t>0.6500%</w:t>
      </w:r>
    </w:p>
    <w:p>
      <w:pPr>
        <w:jc w:val="center"/>
        <w:ind w:right="9295"/>
        <w:spacing w:after="0" w:line="237" w:lineRule="auto"/>
        <w:rPr>
          <w:sz w:val="20"/>
          <w:szCs w:val="20"/>
          <w:color w:val="auto"/>
        </w:rPr>
      </w:pPr>
      <w:r>
        <w:rPr>
          <w:rFonts w:ascii="Courier New" w:cs="Courier New" w:eastAsia="Courier New" w:hAnsi="Courier New"/>
          <w:sz w:val="16"/>
          <w:szCs w:val="16"/>
          <w:color w:val="auto"/>
        </w:rPr>
        <w:t>Base Rate</w:t>
      </w:r>
    </w:p>
    <w:p>
      <w:pPr>
        <w:spacing w:after="0" w:line="1"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Eurodollar</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Rate by</w:t>
      </w:r>
    </w:p>
    <w:p>
      <w:pPr>
        <w:jc w:val="center"/>
        <w:ind w:right="9295"/>
        <w:spacing w:after="0"/>
        <w:rPr>
          <w:sz w:val="20"/>
          <w:szCs w:val="20"/>
          <w:color w:val="auto"/>
        </w:rPr>
      </w:pPr>
      <w:r>
        <w:rPr>
          <w:rFonts w:ascii="Courier New" w:cs="Courier New" w:eastAsia="Courier New" w:hAnsi="Courier New"/>
          <w:sz w:val="14"/>
          <w:szCs w:val="14"/>
          <w:color w:val="auto"/>
        </w:rPr>
        <w:t>Standard &amp;</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Poor's or</w:t>
      </w:r>
    </w:p>
    <w:p>
      <w:pPr>
        <w:jc w:val="center"/>
        <w:ind w:right="9295"/>
        <w:spacing w:after="0" w:line="236" w:lineRule="auto"/>
        <w:rPr>
          <w:sz w:val="20"/>
          <w:szCs w:val="20"/>
          <w:color w:val="auto"/>
        </w:rPr>
      </w:pPr>
      <w:r>
        <w:rPr>
          <w:rFonts w:ascii="Courier New" w:cs="Courier New" w:eastAsia="Courier New" w:hAnsi="Courier New"/>
          <w:sz w:val="16"/>
          <w:szCs w:val="16"/>
          <w:color w:val="auto"/>
        </w:rPr>
        <w:t>greater</w:t>
      </w:r>
    </w:p>
    <w:p>
      <w:pPr>
        <w:jc w:val="center"/>
        <w:ind w:right="9295"/>
        <w:spacing w:after="0" w:line="237" w:lineRule="auto"/>
        <w:rPr>
          <w:sz w:val="20"/>
          <w:szCs w:val="20"/>
          <w:color w:val="auto"/>
        </w:rPr>
      </w:pPr>
      <w:r>
        <w:rPr>
          <w:rFonts w:ascii="Courier New" w:cs="Courier New" w:eastAsia="Courier New" w:hAnsi="Courier New"/>
          <w:sz w:val="16"/>
          <w:szCs w:val="16"/>
          <w:color w:val="auto"/>
        </w:rPr>
        <w:t>per annum</w:t>
      </w:r>
    </w:p>
    <w:p>
      <w:pPr>
        <w:jc w:val="center"/>
        <w:ind w:right="9295"/>
        <w:spacing w:after="0" w:line="237" w:lineRule="auto"/>
        <w:rPr>
          <w:sz w:val="20"/>
          <w:szCs w:val="20"/>
          <w:color w:val="auto"/>
        </w:rPr>
      </w:pPr>
      <w:r>
        <w:rPr>
          <w:rFonts w:ascii="Courier New" w:cs="Courier New" w:eastAsia="Courier New" w:hAnsi="Courier New"/>
          <w:sz w:val="16"/>
          <w:szCs w:val="16"/>
          <w:color w:val="auto"/>
        </w:rPr>
        <w:t>per annum</w:t>
      </w:r>
    </w:p>
    <w:p>
      <w:pPr>
        <w:jc w:val="center"/>
        <w:ind w:right="9295"/>
        <w:spacing w:after="0" w:line="237" w:lineRule="auto"/>
        <w:rPr>
          <w:sz w:val="20"/>
          <w:szCs w:val="20"/>
          <w:color w:val="auto"/>
        </w:rPr>
      </w:pPr>
      <w:r>
        <w:rPr>
          <w:rFonts w:ascii="Courier New" w:cs="Courier New" w:eastAsia="Courier New" w:hAnsi="Courier New"/>
          <w:sz w:val="16"/>
          <w:szCs w:val="16"/>
          <w:color w:val="auto"/>
        </w:rPr>
        <w:t>plus</w:t>
      </w:r>
    </w:p>
    <w:p>
      <w:pPr>
        <w:jc w:val="center"/>
        <w:ind w:right="9295"/>
        <w:spacing w:after="0" w:line="237" w:lineRule="auto"/>
        <w:rPr>
          <w:sz w:val="20"/>
          <w:szCs w:val="20"/>
          <w:color w:val="auto"/>
        </w:rPr>
      </w:pPr>
      <w:r>
        <w:rPr>
          <w:rFonts w:ascii="Courier New" w:cs="Courier New" w:eastAsia="Courier New" w:hAnsi="Courier New"/>
          <w:sz w:val="16"/>
          <w:szCs w:val="16"/>
          <w:color w:val="auto"/>
        </w:rPr>
        <w:t>0.6500%</w:t>
      </w:r>
    </w:p>
    <w:p>
      <w:pPr>
        <w:jc w:val="center"/>
        <w:ind w:right="9295"/>
        <w:spacing w:after="0" w:line="237" w:lineRule="auto"/>
        <w:rPr>
          <w:sz w:val="20"/>
          <w:szCs w:val="20"/>
          <w:color w:val="auto"/>
        </w:rPr>
      </w:pPr>
      <w:r>
        <w:rPr>
          <w:rFonts w:ascii="Courier New" w:cs="Courier New" w:eastAsia="Courier New" w:hAnsi="Courier New"/>
          <w:sz w:val="16"/>
          <w:szCs w:val="16"/>
          <w:color w:val="auto"/>
        </w:rPr>
        <w:t>than or</w:t>
      </w:r>
    </w:p>
    <w:p>
      <w:pPr>
        <w:jc w:val="center"/>
        <w:ind w:right="9295"/>
        <w:spacing w:after="0" w:line="237" w:lineRule="auto"/>
        <w:rPr>
          <w:sz w:val="20"/>
          <w:szCs w:val="20"/>
          <w:color w:val="auto"/>
        </w:rPr>
      </w:pPr>
      <w:r>
        <w:rPr>
          <w:rFonts w:ascii="Courier New" w:cs="Courier New" w:eastAsia="Courier New" w:hAnsi="Courier New"/>
          <w:sz w:val="16"/>
          <w:szCs w:val="16"/>
          <w:color w:val="auto"/>
        </w:rPr>
        <w:t>equal to</w:t>
      </w:r>
    </w:p>
    <w:p>
      <w:pPr>
        <w:jc w:val="center"/>
        <w:ind w:right="9295"/>
        <w:spacing w:after="0" w:line="237" w:lineRule="auto"/>
        <w:rPr>
          <w:sz w:val="20"/>
          <w:szCs w:val="20"/>
          <w:color w:val="auto"/>
        </w:rPr>
      </w:pPr>
      <w:r>
        <w:rPr>
          <w:rFonts w:ascii="Courier New" w:cs="Courier New" w:eastAsia="Courier New" w:hAnsi="Courier New"/>
          <w:sz w:val="16"/>
          <w:szCs w:val="16"/>
          <w:color w:val="auto"/>
        </w:rPr>
        <w:t>Baa1 by</w:t>
      </w:r>
    </w:p>
    <w:p>
      <w:pPr>
        <w:jc w:val="center"/>
        <w:ind w:right="9295"/>
        <w:spacing w:after="0" w:line="236" w:lineRule="auto"/>
        <w:rPr>
          <w:sz w:val="20"/>
          <w:szCs w:val="20"/>
          <w:color w:val="auto"/>
        </w:rPr>
      </w:pPr>
      <w:r>
        <w:rPr>
          <w:rFonts w:ascii="Courier New" w:cs="Courier New" w:eastAsia="Courier New" w:hAnsi="Courier New"/>
          <w:sz w:val="16"/>
          <w:szCs w:val="16"/>
          <w:color w:val="auto"/>
        </w:rPr>
        <w:t>Moody's</w:t>
      </w:r>
    </w:p>
    <w:p>
      <w:pPr>
        <w:jc w:val="center"/>
        <w:ind w:right="9295"/>
        <w:spacing w:after="0" w:line="237" w:lineRule="auto"/>
        <w:rPr>
          <w:sz w:val="20"/>
          <w:szCs w:val="20"/>
          <w:color w:val="auto"/>
        </w:rPr>
      </w:pPr>
      <w:r>
        <w:rPr>
          <w:rFonts w:ascii="Courier New" w:cs="Courier New" w:eastAsia="Courier New" w:hAnsi="Courier New"/>
          <w:sz w:val="16"/>
          <w:szCs w:val="16"/>
          <w:color w:val="auto"/>
        </w:rPr>
        <w:t>per annum</w:t>
      </w:r>
    </w:p>
    <w:p>
      <w:pPr>
        <w:jc w:val="center"/>
        <w:ind w:right="9295"/>
        <w:spacing w:after="0" w:line="237" w:lineRule="auto"/>
        <w:rPr>
          <w:sz w:val="20"/>
          <w:szCs w:val="20"/>
          <w:color w:val="auto"/>
        </w:rPr>
      </w:pPr>
      <w:r>
        <w:rPr>
          <w:rFonts w:ascii="Courier New" w:cs="Courier New" w:eastAsia="Courier New" w:hAnsi="Courier New"/>
          <w:sz w:val="16"/>
          <w:szCs w:val="16"/>
          <w:color w:val="auto"/>
        </w:rPr>
        <w:t>2 BBB by</w:t>
      </w:r>
    </w:p>
    <w:p>
      <w:pPr>
        <w:jc w:val="center"/>
        <w:ind w:right="9295"/>
        <w:spacing w:after="0"/>
        <w:rPr>
          <w:sz w:val="20"/>
          <w:szCs w:val="20"/>
          <w:color w:val="auto"/>
        </w:rPr>
      </w:pPr>
      <w:r>
        <w:rPr>
          <w:rFonts w:ascii="Courier New" w:cs="Courier New" w:eastAsia="Courier New" w:hAnsi="Courier New"/>
          <w:sz w:val="14"/>
          <w:szCs w:val="14"/>
          <w:color w:val="auto"/>
        </w:rPr>
        <w:t>Standard &amp;</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Poor's or</w:t>
      </w:r>
    </w:p>
    <w:p>
      <w:pPr>
        <w:jc w:val="center"/>
        <w:ind w:right="9295"/>
        <w:spacing w:after="0" w:line="236" w:lineRule="auto"/>
        <w:rPr>
          <w:sz w:val="20"/>
          <w:szCs w:val="20"/>
          <w:color w:val="auto"/>
        </w:rPr>
      </w:pPr>
      <w:r>
        <w:rPr>
          <w:rFonts w:ascii="Courier New" w:cs="Courier New" w:eastAsia="Courier New" w:hAnsi="Courier New"/>
          <w:sz w:val="16"/>
          <w:szCs w:val="16"/>
          <w:color w:val="auto"/>
        </w:rPr>
        <w:t>0.1250%</w:t>
      </w:r>
    </w:p>
    <w:p>
      <w:pPr>
        <w:jc w:val="center"/>
        <w:ind w:right="9295"/>
        <w:spacing w:after="0" w:line="237" w:lineRule="auto"/>
        <w:rPr>
          <w:sz w:val="20"/>
          <w:szCs w:val="20"/>
          <w:color w:val="auto"/>
        </w:rPr>
      </w:pPr>
      <w:r>
        <w:rPr>
          <w:rFonts w:ascii="Courier New" w:cs="Courier New" w:eastAsia="Courier New" w:hAnsi="Courier New"/>
          <w:sz w:val="16"/>
          <w:szCs w:val="16"/>
          <w:color w:val="auto"/>
        </w:rPr>
        <w:t>0.8750%</w:t>
      </w:r>
    </w:p>
    <w:p>
      <w:pPr>
        <w:ind w:left="45"/>
        <w:spacing w:after="0" w:line="237" w:lineRule="auto"/>
        <w:rPr>
          <w:sz w:val="20"/>
          <w:szCs w:val="20"/>
          <w:color w:val="auto"/>
        </w:rPr>
      </w:pPr>
      <w:r>
        <w:rPr>
          <w:rFonts w:ascii="Courier New" w:cs="Courier New" w:eastAsia="Courier New" w:hAnsi="Courier New"/>
          <w:sz w:val="16"/>
          <w:szCs w:val="16"/>
          <w:color w:val="auto"/>
        </w:rPr>
        <w:t>Base Rate</w:t>
      </w:r>
    </w:p>
    <w:p>
      <w:pPr>
        <w:ind w:left="5"/>
        <w:spacing w:after="0" w:line="237" w:lineRule="auto"/>
        <w:rPr>
          <w:sz w:val="20"/>
          <w:szCs w:val="20"/>
          <w:color w:val="auto"/>
        </w:rPr>
      </w:pPr>
      <w:r>
        <w:rPr>
          <w:rFonts w:ascii="Courier New" w:cs="Courier New" w:eastAsia="Courier New" w:hAnsi="Courier New"/>
          <w:sz w:val="16"/>
          <w:szCs w:val="16"/>
          <w:color w:val="auto"/>
        </w:rPr>
        <w:t>Eurodollar</w:t>
      </w:r>
    </w:p>
    <w:p>
      <w:pPr>
        <w:ind w:left="45"/>
        <w:spacing w:after="0" w:line="237" w:lineRule="auto"/>
        <w:rPr>
          <w:sz w:val="20"/>
          <w:szCs w:val="20"/>
          <w:color w:val="auto"/>
        </w:rPr>
      </w:pPr>
      <w:r>
        <w:rPr>
          <w:rFonts w:ascii="Courier New" w:cs="Courier New" w:eastAsia="Courier New" w:hAnsi="Courier New"/>
          <w:sz w:val="16"/>
          <w:szCs w:val="16"/>
          <w:color w:val="auto"/>
        </w:rPr>
        <w:t>Rate Baa2</w:t>
      </w:r>
    </w:p>
    <w:p>
      <w:pPr>
        <w:ind w:left="5"/>
        <w:spacing w:after="0" w:line="237" w:lineRule="auto"/>
        <w:rPr>
          <w:sz w:val="20"/>
          <w:szCs w:val="20"/>
          <w:color w:val="auto"/>
        </w:rPr>
      </w:pPr>
      <w:r>
        <w:rPr>
          <w:rFonts w:ascii="Courier New" w:cs="Courier New" w:eastAsia="Courier New" w:hAnsi="Courier New"/>
          <w:sz w:val="16"/>
          <w:szCs w:val="16"/>
          <w:color w:val="auto"/>
        </w:rPr>
        <w:t>by Moody's</w:t>
      </w:r>
    </w:p>
    <w:p>
      <w:pPr>
        <w:ind w:left="45"/>
        <w:spacing w:after="0" w:line="237" w:lineRule="auto"/>
        <w:rPr>
          <w:sz w:val="20"/>
          <w:szCs w:val="20"/>
          <w:color w:val="auto"/>
        </w:rPr>
      </w:pPr>
      <w:r>
        <w:rPr>
          <w:rFonts w:ascii="Courier New" w:cs="Courier New" w:eastAsia="Courier New" w:hAnsi="Courier New"/>
          <w:sz w:val="16"/>
          <w:szCs w:val="16"/>
          <w:color w:val="auto"/>
        </w:rPr>
        <w:t>per annum</w:t>
      </w:r>
    </w:p>
    <w:p>
      <w:pPr>
        <w:ind w:left="45"/>
        <w:spacing w:after="0" w:line="237" w:lineRule="auto"/>
        <w:rPr>
          <w:sz w:val="20"/>
          <w:szCs w:val="20"/>
          <w:color w:val="auto"/>
        </w:rPr>
      </w:pPr>
      <w:r>
        <w:rPr>
          <w:rFonts w:ascii="Courier New" w:cs="Courier New" w:eastAsia="Courier New" w:hAnsi="Courier New"/>
          <w:sz w:val="16"/>
          <w:szCs w:val="16"/>
          <w:color w:val="auto"/>
        </w:rPr>
        <w:t>per annum</w:t>
      </w:r>
    </w:p>
    <w:p>
      <w:pPr>
        <w:jc w:val="center"/>
        <w:ind w:right="9295"/>
        <w:spacing w:after="0" w:line="236" w:lineRule="auto"/>
        <w:rPr>
          <w:sz w:val="20"/>
          <w:szCs w:val="20"/>
          <w:color w:val="auto"/>
        </w:rPr>
      </w:pPr>
      <w:r>
        <w:rPr>
          <w:rFonts w:ascii="Courier New" w:cs="Courier New" w:eastAsia="Courier New" w:hAnsi="Courier New"/>
          <w:sz w:val="16"/>
          <w:szCs w:val="16"/>
          <w:color w:val="auto"/>
        </w:rPr>
        <w:t>plus</w:t>
      </w:r>
    </w:p>
    <w:p>
      <w:pPr>
        <w:jc w:val="center"/>
        <w:ind w:right="9295"/>
        <w:spacing w:after="0" w:line="237" w:lineRule="auto"/>
        <w:rPr>
          <w:sz w:val="20"/>
          <w:szCs w:val="20"/>
          <w:color w:val="auto"/>
        </w:rPr>
      </w:pPr>
      <w:r>
        <w:rPr>
          <w:rFonts w:ascii="Courier New" w:cs="Courier New" w:eastAsia="Courier New" w:hAnsi="Courier New"/>
          <w:sz w:val="16"/>
          <w:szCs w:val="16"/>
          <w:color w:val="auto"/>
        </w:rPr>
        <w:t>0.8750%</w:t>
      </w:r>
    </w:p>
    <w:p>
      <w:pPr>
        <w:jc w:val="center"/>
        <w:ind w:right="9295"/>
        <w:spacing w:after="0" w:line="237" w:lineRule="auto"/>
        <w:rPr>
          <w:sz w:val="20"/>
          <w:szCs w:val="20"/>
          <w:color w:val="auto"/>
        </w:rPr>
      </w:pPr>
      <w:r>
        <w:rPr>
          <w:rFonts w:ascii="Courier New" w:cs="Courier New" w:eastAsia="Courier New" w:hAnsi="Courier New"/>
          <w:sz w:val="16"/>
          <w:szCs w:val="16"/>
          <w:color w:val="auto"/>
        </w:rPr>
        <w:t>per annum</w:t>
      </w:r>
    </w:p>
    <w:p>
      <w:pPr>
        <w:jc w:val="center"/>
        <w:ind w:right="9295"/>
        <w:spacing w:after="0" w:line="237" w:lineRule="auto"/>
        <w:rPr>
          <w:sz w:val="20"/>
          <w:szCs w:val="20"/>
          <w:color w:val="auto"/>
        </w:rPr>
      </w:pPr>
      <w:r>
        <w:rPr>
          <w:rFonts w:ascii="Courier New" w:cs="Courier New" w:eastAsia="Courier New" w:hAnsi="Courier New"/>
          <w:sz w:val="16"/>
          <w:szCs w:val="16"/>
          <w:color w:val="auto"/>
        </w:rPr>
        <w:t>3 BBB- by</w:t>
      </w:r>
    </w:p>
    <w:p>
      <w:pPr>
        <w:jc w:val="center"/>
        <w:ind w:right="9295"/>
        <w:spacing w:after="0"/>
        <w:rPr>
          <w:sz w:val="20"/>
          <w:szCs w:val="20"/>
          <w:color w:val="auto"/>
        </w:rPr>
      </w:pPr>
      <w:r>
        <w:rPr>
          <w:rFonts w:ascii="Courier New" w:cs="Courier New" w:eastAsia="Courier New" w:hAnsi="Courier New"/>
          <w:sz w:val="14"/>
          <w:szCs w:val="14"/>
          <w:color w:val="auto"/>
        </w:rPr>
        <w:t>Standard &amp;</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Poor's or</w:t>
      </w:r>
    </w:p>
    <w:p>
      <w:pPr>
        <w:jc w:val="center"/>
        <w:ind w:right="9295"/>
        <w:spacing w:after="0" w:line="236" w:lineRule="auto"/>
        <w:rPr>
          <w:sz w:val="20"/>
          <w:szCs w:val="20"/>
          <w:color w:val="auto"/>
        </w:rPr>
      </w:pPr>
      <w:r>
        <w:rPr>
          <w:rFonts w:ascii="Courier New" w:cs="Courier New" w:eastAsia="Courier New" w:hAnsi="Courier New"/>
          <w:sz w:val="16"/>
          <w:szCs w:val="16"/>
          <w:color w:val="auto"/>
        </w:rPr>
        <w:t>0.1750%</w:t>
      </w:r>
    </w:p>
    <w:p>
      <w:pPr>
        <w:jc w:val="center"/>
        <w:ind w:right="9295"/>
        <w:spacing w:after="0" w:line="237" w:lineRule="auto"/>
        <w:rPr>
          <w:sz w:val="20"/>
          <w:szCs w:val="20"/>
          <w:color w:val="auto"/>
        </w:rPr>
      </w:pPr>
      <w:r>
        <w:rPr>
          <w:rFonts w:ascii="Courier New" w:cs="Courier New" w:eastAsia="Courier New" w:hAnsi="Courier New"/>
          <w:sz w:val="16"/>
          <w:szCs w:val="16"/>
          <w:color w:val="auto"/>
        </w:rPr>
        <w:t>0.9500%</w:t>
      </w:r>
    </w:p>
    <w:p>
      <w:pPr>
        <w:ind w:left="45"/>
        <w:spacing w:after="0" w:line="237" w:lineRule="auto"/>
        <w:rPr>
          <w:sz w:val="20"/>
          <w:szCs w:val="20"/>
          <w:color w:val="auto"/>
        </w:rPr>
      </w:pPr>
      <w:r>
        <w:rPr>
          <w:rFonts w:ascii="Courier New" w:cs="Courier New" w:eastAsia="Courier New" w:hAnsi="Courier New"/>
          <w:sz w:val="16"/>
          <w:szCs w:val="16"/>
          <w:color w:val="auto"/>
        </w:rPr>
        <w:t>Base Rate</w:t>
      </w:r>
    </w:p>
    <w:p>
      <w:pPr>
        <w:ind w:left="5"/>
        <w:spacing w:after="0" w:line="237" w:lineRule="auto"/>
        <w:rPr>
          <w:sz w:val="20"/>
          <w:szCs w:val="20"/>
          <w:color w:val="auto"/>
        </w:rPr>
      </w:pPr>
      <w:r>
        <w:rPr>
          <w:rFonts w:ascii="Courier New" w:cs="Courier New" w:eastAsia="Courier New" w:hAnsi="Courier New"/>
          <w:sz w:val="16"/>
          <w:szCs w:val="16"/>
          <w:color w:val="auto"/>
        </w:rPr>
        <w:t>Eurodollar</w:t>
      </w:r>
    </w:p>
    <w:p>
      <w:pPr>
        <w:ind w:left="45"/>
        <w:spacing w:after="0" w:line="237" w:lineRule="auto"/>
        <w:rPr>
          <w:sz w:val="20"/>
          <w:szCs w:val="20"/>
          <w:color w:val="auto"/>
        </w:rPr>
      </w:pPr>
      <w:r>
        <w:rPr>
          <w:rFonts w:ascii="Courier New" w:cs="Courier New" w:eastAsia="Courier New" w:hAnsi="Courier New"/>
          <w:sz w:val="16"/>
          <w:szCs w:val="16"/>
          <w:color w:val="auto"/>
        </w:rPr>
        <w:t>Rate Baa3</w:t>
      </w:r>
    </w:p>
    <w:p>
      <w:pPr>
        <w:ind w:left="5"/>
        <w:spacing w:after="0" w:line="237" w:lineRule="auto"/>
        <w:rPr>
          <w:sz w:val="20"/>
          <w:szCs w:val="20"/>
          <w:color w:val="auto"/>
        </w:rPr>
      </w:pPr>
      <w:r>
        <w:rPr>
          <w:rFonts w:ascii="Courier New" w:cs="Courier New" w:eastAsia="Courier New" w:hAnsi="Courier New"/>
          <w:sz w:val="16"/>
          <w:szCs w:val="16"/>
          <w:color w:val="auto"/>
        </w:rPr>
        <w:t>by Moody's</w:t>
      </w:r>
    </w:p>
    <w:p>
      <w:pPr>
        <w:ind w:left="45"/>
        <w:spacing w:after="0" w:line="237" w:lineRule="auto"/>
        <w:rPr>
          <w:sz w:val="20"/>
          <w:szCs w:val="20"/>
          <w:color w:val="auto"/>
        </w:rPr>
      </w:pPr>
      <w:r>
        <w:rPr>
          <w:rFonts w:ascii="Courier New" w:cs="Courier New" w:eastAsia="Courier New" w:hAnsi="Courier New"/>
          <w:sz w:val="16"/>
          <w:szCs w:val="16"/>
          <w:color w:val="auto"/>
        </w:rPr>
        <w:t>per annum</w:t>
      </w:r>
    </w:p>
    <w:p>
      <w:pPr>
        <w:ind w:left="45"/>
        <w:spacing w:after="0" w:line="237" w:lineRule="auto"/>
        <w:rPr>
          <w:sz w:val="20"/>
          <w:szCs w:val="20"/>
          <w:color w:val="auto"/>
        </w:rPr>
      </w:pPr>
      <w:r>
        <w:rPr>
          <w:rFonts w:ascii="Courier New" w:cs="Courier New" w:eastAsia="Courier New" w:hAnsi="Courier New"/>
          <w:sz w:val="16"/>
          <w:szCs w:val="16"/>
          <w:color w:val="auto"/>
        </w:rPr>
        <w:t>per annum</w:t>
      </w:r>
    </w:p>
    <w:p>
      <w:pPr>
        <w:jc w:val="center"/>
        <w:ind w:right="9295"/>
        <w:spacing w:after="0" w:line="236" w:lineRule="auto"/>
        <w:rPr>
          <w:sz w:val="20"/>
          <w:szCs w:val="20"/>
          <w:color w:val="auto"/>
        </w:rPr>
      </w:pPr>
      <w:r>
        <w:rPr>
          <w:rFonts w:ascii="Courier New" w:cs="Courier New" w:eastAsia="Courier New" w:hAnsi="Courier New"/>
          <w:sz w:val="16"/>
          <w:szCs w:val="16"/>
          <w:color w:val="auto"/>
        </w:rPr>
        <w:t>plus</w:t>
      </w:r>
    </w:p>
    <w:p>
      <w:pPr>
        <w:jc w:val="center"/>
        <w:ind w:right="9295"/>
        <w:spacing w:after="0" w:line="237" w:lineRule="auto"/>
        <w:rPr>
          <w:sz w:val="20"/>
          <w:szCs w:val="20"/>
          <w:color w:val="auto"/>
        </w:rPr>
      </w:pPr>
      <w:r>
        <w:rPr>
          <w:rFonts w:ascii="Courier New" w:cs="Courier New" w:eastAsia="Courier New" w:hAnsi="Courier New"/>
          <w:sz w:val="16"/>
          <w:szCs w:val="16"/>
          <w:color w:val="auto"/>
        </w:rPr>
        <w:t>0.9500%</w:t>
      </w:r>
    </w:p>
    <w:p>
      <w:pPr>
        <w:jc w:val="center"/>
        <w:ind w:right="9295"/>
        <w:spacing w:after="0" w:line="237" w:lineRule="auto"/>
        <w:rPr>
          <w:sz w:val="20"/>
          <w:szCs w:val="20"/>
          <w:color w:val="auto"/>
        </w:rPr>
      </w:pPr>
      <w:r>
        <w:rPr>
          <w:rFonts w:ascii="Courier New" w:cs="Courier New" w:eastAsia="Courier New" w:hAnsi="Courier New"/>
          <w:sz w:val="16"/>
          <w:szCs w:val="16"/>
          <w:color w:val="auto"/>
        </w:rPr>
        <w:t>per annum</w:t>
      </w:r>
    </w:p>
    <w:p>
      <w:pPr>
        <w:jc w:val="center"/>
        <w:ind w:right="9295"/>
        <w:spacing w:after="0" w:line="237" w:lineRule="auto"/>
        <w:rPr>
          <w:sz w:val="20"/>
          <w:szCs w:val="20"/>
          <w:color w:val="auto"/>
        </w:rPr>
      </w:pPr>
      <w:r>
        <w:rPr>
          <w:rFonts w:ascii="Courier New" w:cs="Courier New" w:eastAsia="Courier New" w:hAnsi="Courier New"/>
          <w:sz w:val="16"/>
          <w:szCs w:val="16"/>
          <w:color w:val="auto"/>
        </w:rPr>
        <w:t>4 BB+ by</w:t>
      </w:r>
    </w:p>
    <w:p>
      <w:pPr>
        <w:jc w:val="center"/>
        <w:ind w:right="9295"/>
        <w:spacing w:after="0"/>
        <w:rPr>
          <w:sz w:val="20"/>
          <w:szCs w:val="20"/>
          <w:color w:val="auto"/>
        </w:rPr>
      </w:pPr>
      <w:r>
        <w:rPr>
          <w:rFonts w:ascii="Courier New" w:cs="Courier New" w:eastAsia="Courier New" w:hAnsi="Courier New"/>
          <w:sz w:val="14"/>
          <w:szCs w:val="14"/>
          <w:color w:val="auto"/>
        </w:rPr>
        <w:t>Standard &amp;</w:t>
      </w:r>
    </w:p>
    <w:p>
      <w:pPr>
        <w:spacing w:after="0" w:line="18"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Poor's or</w:t>
      </w:r>
    </w:p>
    <w:p>
      <w:pPr>
        <w:jc w:val="center"/>
        <w:ind w:right="9295"/>
        <w:spacing w:after="0" w:line="236" w:lineRule="auto"/>
        <w:rPr>
          <w:sz w:val="20"/>
          <w:szCs w:val="20"/>
          <w:color w:val="auto"/>
        </w:rPr>
      </w:pPr>
      <w:r>
        <w:rPr>
          <w:rFonts w:ascii="Courier New" w:cs="Courier New" w:eastAsia="Courier New" w:hAnsi="Courier New"/>
          <w:sz w:val="16"/>
          <w:szCs w:val="16"/>
          <w:color w:val="auto"/>
        </w:rPr>
        <w:t>Ba1</w:t>
      </w:r>
    </w:p>
    <w:p>
      <w:pPr>
        <w:ind w:left="145"/>
        <w:spacing w:after="0" w:line="237" w:lineRule="auto"/>
        <w:rPr>
          <w:sz w:val="20"/>
          <w:szCs w:val="20"/>
          <w:color w:val="auto"/>
        </w:rPr>
      </w:pPr>
      <w:r>
        <w:rPr>
          <w:rFonts w:ascii="Courier New" w:cs="Courier New" w:eastAsia="Courier New" w:hAnsi="Courier New"/>
          <w:sz w:val="16"/>
          <w:szCs w:val="16"/>
          <w:color w:val="auto"/>
        </w:rPr>
        <w:t>0.2500%</w:t>
      </w:r>
    </w:p>
    <w:p>
      <w:pPr>
        <w:ind w:left="145"/>
        <w:spacing w:after="0" w:line="237" w:lineRule="auto"/>
        <w:rPr>
          <w:sz w:val="20"/>
          <w:szCs w:val="20"/>
          <w:color w:val="auto"/>
        </w:rPr>
      </w:pPr>
      <w:r>
        <w:rPr>
          <w:rFonts w:ascii="Courier New" w:cs="Courier New" w:eastAsia="Courier New" w:hAnsi="Courier New"/>
          <w:sz w:val="16"/>
          <w:szCs w:val="16"/>
          <w:color w:val="auto"/>
        </w:rPr>
        <w:t>1.2500%</w:t>
      </w:r>
    </w:p>
    <w:p>
      <w:pPr>
        <w:jc w:val="center"/>
        <w:ind w:right="9295"/>
        <w:spacing w:after="0" w:line="237" w:lineRule="auto"/>
        <w:rPr>
          <w:sz w:val="20"/>
          <w:szCs w:val="20"/>
          <w:color w:val="auto"/>
        </w:rPr>
      </w:pPr>
      <w:r>
        <w:rPr>
          <w:rFonts w:ascii="Courier New" w:cs="Courier New" w:eastAsia="Courier New" w:hAnsi="Courier New"/>
          <w:sz w:val="16"/>
          <w:szCs w:val="16"/>
          <w:color w:val="auto"/>
        </w:rPr>
        <w:t>Base Rate</w:t>
      </w:r>
    </w:p>
    <w:p>
      <w:pPr>
        <w:jc w:val="center"/>
        <w:ind w:right="9295"/>
        <w:spacing w:after="0"/>
        <w:rPr>
          <w:sz w:val="20"/>
          <w:szCs w:val="20"/>
          <w:color w:val="auto"/>
        </w:rPr>
      </w:pPr>
      <w:r>
        <w:rPr>
          <w:rFonts w:ascii="Courier New" w:cs="Courier New" w:eastAsia="Courier New" w:hAnsi="Courier New"/>
          <w:sz w:val="14"/>
          <w:szCs w:val="14"/>
          <w:color w:val="auto"/>
        </w:rPr>
        <w:t>Eurodollar</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Rate by</w:t>
      </w:r>
    </w:p>
    <w:p>
      <w:pPr>
        <w:sectPr>
          <w:pgSz w:w="11900" w:h="16838" w:orient="portrait"/>
          <w:cols w:equalWidth="0" w:num="1">
            <w:col w:w="10224"/>
          </w:cols>
          <w:pgMar w:left="235" w:top="269" w:right="1440" w:bottom="0" w:gutter="0" w:footer="0" w:header="0"/>
        </w:sectPr>
      </w:pPr>
    </w:p>
    <w:bookmarkStart w:id="196" w:name="page197"/>
    <w:bookmarkEnd w:id="196"/>
    <w:p>
      <w:pPr>
        <w:jc w:val="center"/>
        <w:ind w:right="9299"/>
        <w:spacing w:after="0"/>
        <w:rPr>
          <w:sz w:val="20"/>
          <w:szCs w:val="20"/>
          <w:color w:val="auto"/>
        </w:rPr>
      </w:pPr>
      <w:r>
        <w:rPr>
          <w:rFonts w:ascii="Courier New" w:cs="Courier New" w:eastAsia="Courier New" w:hAnsi="Courier New"/>
          <w:sz w:val="16"/>
          <w:szCs w:val="16"/>
          <w:color w:val="auto"/>
        </w:rPr>
        <w:t>Moody's</w:t>
      </w:r>
    </w:p>
    <w:p>
      <w:pPr>
        <w:spacing w:after="0" w:line="23"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per annum</w:t>
      </w:r>
    </w:p>
    <w:p>
      <w:pPr>
        <w:jc w:val="center"/>
        <w:ind w:right="9299"/>
        <w:spacing w:after="0" w:line="236" w:lineRule="auto"/>
        <w:rPr>
          <w:sz w:val="20"/>
          <w:szCs w:val="20"/>
          <w:color w:val="auto"/>
        </w:rPr>
      </w:pPr>
      <w:r>
        <w:rPr>
          <w:rFonts w:ascii="Courier New" w:cs="Courier New" w:eastAsia="Courier New" w:hAnsi="Courier New"/>
          <w:sz w:val="16"/>
          <w:szCs w:val="16"/>
          <w:color w:val="auto"/>
        </w:rPr>
        <w:t>per annum</w:t>
      </w:r>
    </w:p>
    <w:p>
      <w:pPr>
        <w:jc w:val="center"/>
        <w:ind w:right="9299"/>
        <w:spacing w:after="0" w:line="237" w:lineRule="auto"/>
        <w:rPr>
          <w:sz w:val="20"/>
          <w:szCs w:val="20"/>
          <w:color w:val="auto"/>
        </w:rPr>
      </w:pPr>
      <w:r>
        <w:rPr>
          <w:rFonts w:ascii="Courier New" w:cs="Courier New" w:eastAsia="Courier New" w:hAnsi="Courier New"/>
          <w:sz w:val="16"/>
          <w:szCs w:val="16"/>
          <w:color w:val="auto"/>
        </w:rPr>
        <w:t>plus</w:t>
      </w:r>
    </w:p>
    <w:p>
      <w:pPr>
        <w:jc w:val="center"/>
        <w:ind w:right="9299"/>
        <w:spacing w:after="0" w:line="237" w:lineRule="auto"/>
        <w:rPr>
          <w:sz w:val="20"/>
          <w:szCs w:val="20"/>
          <w:color w:val="auto"/>
        </w:rPr>
      </w:pPr>
      <w:r>
        <w:rPr>
          <w:rFonts w:ascii="Courier New" w:cs="Courier New" w:eastAsia="Courier New" w:hAnsi="Courier New"/>
          <w:sz w:val="16"/>
          <w:szCs w:val="16"/>
          <w:color w:val="auto"/>
        </w:rPr>
        <w:t>1.2500%</w:t>
      </w:r>
    </w:p>
    <w:p>
      <w:pPr>
        <w:jc w:val="center"/>
        <w:ind w:right="9299"/>
        <w:spacing w:after="0" w:line="237" w:lineRule="auto"/>
        <w:rPr>
          <w:sz w:val="20"/>
          <w:szCs w:val="20"/>
          <w:color w:val="auto"/>
        </w:rPr>
      </w:pPr>
      <w:r>
        <w:rPr>
          <w:rFonts w:ascii="Courier New" w:cs="Courier New" w:eastAsia="Courier New" w:hAnsi="Courier New"/>
          <w:sz w:val="16"/>
          <w:szCs w:val="16"/>
          <w:color w:val="auto"/>
        </w:rPr>
        <w:t>per annum</w:t>
      </w:r>
    </w:p>
    <w:p>
      <w:pPr>
        <w:jc w:val="right"/>
        <w:ind w:left="140" w:right="9439" w:firstLine="41"/>
        <w:spacing w:after="0" w:line="270" w:lineRule="auto"/>
        <w:tabs>
          <w:tab w:leader="none" w:pos="372"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or</w:t>
      </w:r>
    </w:p>
    <w:p>
      <w:pPr>
        <w:ind w:left="80"/>
        <w:spacing w:after="0" w:line="238" w:lineRule="auto"/>
        <w:rPr>
          <w:sz w:val="20"/>
          <w:szCs w:val="20"/>
          <w:color w:val="auto"/>
        </w:rPr>
      </w:pPr>
      <w:r>
        <w:rPr>
          <w:rFonts w:ascii="Courier New" w:cs="Courier New" w:eastAsia="Courier New" w:hAnsi="Courier New"/>
          <w:sz w:val="16"/>
          <w:szCs w:val="16"/>
          <w:color w:val="auto"/>
        </w:rPr>
        <w:t>equal to</w:t>
      </w:r>
    </w:p>
    <w:p>
      <w:pPr>
        <w:ind w:left="500" w:hanging="272"/>
        <w:spacing w:after="0" w:line="237" w:lineRule="auto"/>
        <w:tabs>
          <w:tab w:leader="none" w:pos="50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0.3000%</w:t>
      </w:r>
    </w:p>
    <w:p>
      <w:pPr>
        <w:ind w:left="1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1.4500%</w:t>
      </w:r>
    </w:p>
    <w:p>
      <w:pPr>
        <w:jc w:val="center"/>
        <w:ind w:right="9299"/>
        <w:spacing w:after="0" w:line="237" w:lineRule="auto"/>
        <w:rPr>
          <w:sz w:val="20"/>
          <w:szCs w:val="20"/>
          <w:color w:val="auto"/>
        </w:rPr>
      </w:pPr>
      <w:r>
        <w:rPr>
          <w:rFonts w:ascii="Courier New" w:cs="Courier New" w:eastAsia="Courier New" w:hAnsi="Courier New"/>
          <w:sz w:val="16"/>
          <w:szCs w:val="16"/>
          <w:color w:val="auto"/>
        </w:rPr>
        <w:t>Base Rate</w:t>
      </w:r>
    </w:p>
    <w:p>
      <w:pPr>
        <w:jc w:val="center"/>
        <w:ind w:right="9299"/>
        <w:spacing w:after="0" w:line="237" w:lineRule="auto"/>
        <w:rPr>
          <w:sz w:val="20"/>
          <w:szCs w:val="20"/>
          <w:color w:val="auto"/>
        </w:rPr>
      </w:pPr>
      <w:r>
        <w:rPr>
          <w:rFonts w:ascii="Courier New" w:cs="Courier New" w:eastAsia="Courier New" w:hAnsi="Courier New"/>
          <w:sz w:val="16"/>
          <w:szCs w:val="16"/>
          <w:color w:val="auto"/>
        </w:rPr>
        <w:t>plus</w:t>
      </w:r>
    </w:p>
    <w:p>
      <w:pPr>
        <w:jc w:val="center"/>
        <w:ind w:right="9299"/>
        <w:spacing w:after="0"/>
        <w:rPr>
          <w:sz w:val="20"/>
          <w:szCs w:val="20"/>
          <w:color w:val="auto"/>
        </w:rPr>
      </w:pPr>
      <w:r>
        <w:rPr>
          <w:rFonts w:ascii="Courier New" w:cs="Courier New" w:eastAsia="Courier New" w:hAnsi="Courier New"/>
          <w:sz w:val="14"/>
          <w:szCs w:val="14"/>
          <w:color w:val="auto"/>
        </w:rPr>
        <w:t>Eurodollar</w:t>
      </w:r>
    </w:p>
    <w:p>
      <w:pPr>
        <w:spacing w:after="0" w:line="18"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Rate</w:t>
      </w:r>
    </w:p>
    <w:p>
      <w:pPr>
        <w:spacing w:after="0" w:line="236" w:lineRule="auto"/>
        <w:rPr>
          <w:sz w:val="20"/>
          <w:szCs w:val="20"/>
          <w:color w:val="auto"/>
        </w:rPr>
      </w:pPr>
      <w:r>
        <w:rPr>
          <w:rFonts w:ascii="Courier New" w:cs="Courier New" w:eastAsia="Courier New" w:hAnsi="Courier New"/>
          <w:sz w:val="16"/>
          <w:szCs w:val="16"/>
          <w:color w:val="auto"/>
        </w:rPr>
        <w:t>Standard &amp;</w:t>
      </w:r>
    </w:p>
    <w:p>
      <w:pPr>
        <w:ind w:left="40"/>
        <w:spacing w:after="0" w:line="237" w:lineRule="auto"/>
        <w:rPr>
          <w:sz w:val="20"/>
          <w:szCs w:val="20"/>
          <w:color w:val="auto"/>
        </w:rPr>
      </w:pPr>
      <w:r>
        <w:rPr>
          <w:rFonts w:ascii="Courier New" w:cs="Courier New" w:eastAsia="Courier New" w:hAnsi="Courier New"/>
          <w:sz w:val="16"/>
          <w:szCs w:val="16"/>
          <w:color w:val="auto"/>
        </w:rPr>
        <w:t>Poor's or</w:t>
      </w:r>
    </w:p>
    <w:p>
      <w:pPr>
        <w:ind w:left="40"/>
        <w:spacing w:after="0" w:line="237" w:lineRule="auto"/>
        <w:rPr>
          <w:sz w:val="20"/>
          <w:szCs w:val="20"/>
          <w:color w:val="auto"/>
        </w:rPr>
      </w:pPr>
      <w:r>
        <w:rPr>
          <w:rFonts w:ascii="Courier New" w:cs="Courier New" w:eastAsia="Courier New" w:hAnsi="Courier New"/>
          <w:sz w:val="16"/>
          <w:szCs w:val="16"/>
          <w:color w:val="auto"/>
        </w:rPr>
        <w:t>less than</w:t>
      </w:r>
    </w:p>
    <w:p>
      <w:pPr>
        <w:ind w:left="40"/>
        <w:spacing w:after="0" w:line="237" w:lineRule="auto"/>
        <w:rPr>
          <w:sz w:val="20"/>
          <w:szCs w:val="20"/>
          <w:color w:val="auto"/>
        </w:rPr>
      </w:pPr>
      <w:r>
        <w:rPr>
          <w:rFonts w:ascii="Courier New" w:cs="Courier New" w:eastAsia="Courier New" w:hAnsi="Courier New"/>
          <w:sz w:val="16"/>
          <w:szCs w:val="16"/>
          <w:color w:val="auto"/>
        </w:rPr>
        <w:t>per annum</w:t>
      </w:r>
    </w:p>
    <w:p>
      <w:pPr>
        <w:ind w:left="40"/>
        <w:spacing w:after="0" w:line="237" w:lineRule="auto"/>
        <w:rPr>
          <w:sz w:val="20"/>
          <w:szCs w:val="20"/>
          <w:color w:val="auto"/>
        </w:rPr>
      </w:pPr>
      <w:r>
        <w:rPr>
          <w:rFonts w:ascii="Courier New" w:cs="Courier New" w:eastAsia="Courier New" w:hAnsi="Courier New"/>
          <w:sz w:val="16"/>
          <w:szCs w:val="16"/>
          <w:color w:val="auto"/>
        </w:rPr>
        <w:t>per annum</w:t>
      </w:r>
    </w:p>
    <w:p>
      <w:pPr>
        <w:jc w:val="center"/>
        <w:ind w:right="9299"/>
        <w:spacing w:after="0" w:line="237" w:lineRule="auto"/>
        <w:rPr>
          <w:sz w:val="20"/>
          <w:szCs w:val="20"/>
          <w:color w:val="auto"/>
        </w:rPr>
      </w:pPr>
      <w:r>
        <w:rPr>
          <w:rFonts w:ascii="Courier New" w:cs="Courier New" w:eastAsia="Courier New" w:hAnsi="Courier New"/>
          <w:sz w:val="16"/>
          <w:szCs w:val="16"/>
          <w:color w:val="auto"/>
        </w:rPr>
        <w:t>0.2000%</w:t>
      </w:r>
    </w:p>
    <w:p>
      <w:pPr>
        <w:jc w:val="center"/>
        <w:ind w:right="9299"/>
        <w:spacing w:after="0" w:line="237" w:lineRule="auto"/>
        <w:rPr>
          <w:sz w:val="20"/>
          <w:szCs w:val="20"/>
          <w:color w:val="auto"/>
        </w:rPr>
      </w:pPr>
      <w:r>
        <w:rPr>
          <w:rFonts w:ascii="Courier New" w:cs="Courier New" w:eastAsia="Courier New" w:hAnsi="Courier New"/>
          <w:sz w:val="16"/>
          <w:szCs w:val="16"/>
          <w:color w:val="auto"/>
        </w:rPr>
        <w:t>per plus</w:t>
      </w:r>
    </w:p>
    <w:p>
      <w:pPr>
        <w:jc w:val="center"/>
        <w:ind w:right="9299"/>
        <w:spacing w:after="0"/>
        <w:rPr>
          <w:sz w:val="20"/>
          <w:szCs w:val="20"/>
          <w:color w:val="auto"/>
        </w:rPr>
      </w:pPr>
      <w:r>
        <w:rPr>
          <w:rFonts w:ascii="Courier New" w:cs="Courier New" w:eastAsia="Courier New" w:hAnsi="Courier New"/>
          <w:sz w:val="14"/>
          <w:szCs w:val="14"/>
          <w:color w:val="auto"/>
        </w:rPr>
        <w:t>1.4500% or</w:t>
      </w:r>
    </w:p>
    <w:p>
      <w:pPr>
        <w:spacing w:after="0" w:line="18"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equal to</w:t>
      </w:r>
    </w:p>
    <w:p>
      <w:pPr>
        <w:jc w:val="center"/>
        <w:ind w:right="9299"/>
        <w:spacing w:after="0" w:line="236" w:lineRule="auto"/>
        <w:rPr>
          <w:sz w:val="20"/>
          <w:szCs w:val="20"/>
          <w:color w:val="auto"/>
        </w:rPr>
      </w:pPr>
      <w:r>
        <w:rPr>
          <w:rFonts w:ascii="Courier New" w:cs="Courier New" w:eastAsia="Courier New" w:hAnsi="Courier New"/>
          <w:sz w:val="16"/>
          <w:szCs w:val="16"/>
          <w:color w:val="auto"/>
        </w:rPr>
        <w:t>Ba2 by</w:t>
      </w:r>
    </w:p>
    <w:p>
      <w:pPr>
        <w:jc w:val="center"/>
        <w:ind w:right="9299"/>
        <w:spacing w:after="0" w:line="237" w:lineRule="auto"/>
        <w:rPr>
          <w:sz w:val="20"/>
          <w:szCs w:val="20"/>
          <w:color w:val="auto"/>
        </w:rPr>
      </w:pPr>
      <w:r>
        <w:rPr>
          <w:rFonts w:ascii="Courier New" w:cs="Courier New" w:eastAsia="Courier New" w:hAnsi="Courier New"/>
          <w:sz w:val="16"/>
          <w:szCs w:val="16"/>
          <w:color w:val="auto"/>
        </w:rPr>
        <w:t>Moody's</w:t>
      </w:r>
    </w:p>
    <w:p>
      <w:pPr>
        <w:jc w:val="center"/>
        <w:ind w:right="9299"/>
        <w:spacing w:after="0" w:line="237" w:lineRule="auto"/>
        <w:rPr>
          <w:sz w:val="20"/>
          <w:szCs w:val="20"/>
          <w:color w:val="auto"/>
        </w:rPr>
      </w:pPr>
      <w:r>
        <w:rPr>
          <w:rFonts w:ascii="Courier New" w:cs="Courier New" w:eastAsia="Courier New" w:hAnsi="Courier New"/>
          <w:sz w:val="16"/>
          <w:szCs w:val="16"/>
          <w:color w:val="auto"/>
        </w:rPr>
        <w:t>annum per</w:t>
      </w:r>
    </w:p>
    <w:p>
      <w:pPr>
        <w:jc w:val="center"/>
        <w:ind w:right="9299"/>
        <w:spacing w:after="0"/>
        <w:rPr>
          <w:sz w:val="20"/>
          <w:szCs w:val="20"/>
          <w:color w:val="auto"/>
        </w:rPr>
      </w:pPr>
      <w:r>
        <w:rPr>
          <w:rFonts w:ascii="Courier New" w:cs="Courier New" w:eastAsia="Courier New" w:hAnsi="Courier New"/>
          <w:sz w:val="16"/>
          <w:szCs w:val="16"/>
          <w:color w:val="auto"/>
        </w:rPr>
        <w:t>annum</w:t>
      </w:r>
    </w:p>
    <w:p>
      <w:pPr>
        <w:spacing w:after="0" w:line="200" w:lineRule="exact"/>
        <w:rPr>
          <w:sz w:val="20"/>
          <w:szCs w:val="20"/>
          <w:color w:val="auto"/>
        </w:rPr>
      </w:pPr>
    </w:p>
    <w:p>
      <w:pPr>
        <w:spacing w:after="0" w:line="306" w:lineRule="exact"/>
        <w:rPr>
          <w:sz w:val="20"/>
          <w:szCs w:val="20"/>
          <w:color w:val="auto"/>
        </w:rPr>
      </w:pPr>
    </w:p>
    <w:p>
      <w:pPr>
        <w:ind w:right="2879"/>
        <w:spacing w:after="0" w:line="263" w:lineRule="auto"/>
        <w:rPr>
          <w:sz w:val="20"/>
          <w:szCs w:val="20"/>
          <w:color w:val="auto"/>
        </w:rPr>
      </w:pPr>
      <w:r>
        <w:rPr>
          <w:rFonts w:ascii="Courier New" w:cs="Courier New" w:eastAsia="Courier New" w:hAnsi="Courier New"/>
          <w:sz w:val="16"/>
          <w:szCs w:val="16"/>
          <w:color w:val="auto"/>
        </w:rPr>
        <w:t>The applicable rates charged for any day shall be determined by the higher Senior Public Debt Rating in effect as of that day, provided that if the higher Senior Public Debt Rating is more than one level higher than the lower Senior Public Debt Rating, the applicable rate shall be set at one level above the lower Senior Public Debt Rating.</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RCRA. See Section 7.15(a).</w:t>
      </w:r>
    </w:p>
    <w:p>
      <w:pPr>
        <w:spacing w:after="0" w:line="177"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Real Property. All real property heretofore, now, or hereafter owned, operated, or leased by the Borrower or any of its Subsidiaries.</w:t>
      </w:r>
    </w:p>
    <w:p>
      <w:pPr>
        <w:spacing w:after="0" w:line="20"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Reimbursement Obligation. The Borrower's obligation to reimburse the applicable Issuing Bank and the Banks on account of any drawing under any Letter of Credit, all as provided in Section 3.2.</w:t>
      </w:r>
    </w:p>
    <w:p>
      <w:pPr>
        <w:spacing w:after="0" w:line="61" w:lineRule="exact"/>
        <w:rPr>
          <w:sz w:val="20"/>
          <w:szCs w:val="20"/>
          <w:color w:val="auto"/>
        </w:rPr>
      </w:pPr>
    </w:p>
    <w:p>
      <w:pPr>
        <w:ind w:right="2959" w:firstLine="837"/>
        <w:spacing w:after="0" w:line="251" w:lineRule="auto"/>
        <w:rPr>
          <w:sz w:val="20"/>
          <w:szCs w:val="20"/>
          <w:color w:val="auto"/>
        </w:rPr>
      </w:pPr>
      <w:r>
        <w:rPr>
          <w:rFonts w:ascii="Courier New" w:cs="Courier New" w:eastAsia="Courier New" w:hAnsi="Courier New"/>
          <w:sz w:val="16"/>
          <w:szCs w:val="16"/>
          <w:color w:val="auto"/>
        </w:rPr>
        <w:t>Release. Shall have the meaning specified in the Comprehensive Environmental Response, Compensation and Liability Act of 1980, 42 U.S.C. Sections 9601 et seq. ("CERCLA") and the term "Disposal" (or "Disposed") shall have the meaning specified in the Resource Conservation and Recovery Act of 1976, 42 U.S.C. Sections 6901 et seq. ("RCRA") and regulations promulgated thereunder; provided, that in the event either CERCLA or RCRA is amended so as to broaden the meaning of any term defined thereby, such broader meaning shall apply as of the</w:t>
      </w:r>
    </w:p>
    <w:p>
      <w:pPr>
        <w:sectPr>
          <w:pgSz w:w="11900" w:h="16838" w:orient="portrait"/>
          <w:cols w:equalWidth="0" w:num="1">
            <w:col w:w="10219"/>
          </w:cols>
          <w:pgMar w:left="240" w:top="114"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6"/>
          <w:szCs w:val="16"/>
          <w:color w:val="auto"/>
        </w:rPr>
        <w:t>21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-15-</w:t>
      </w:r>
    </w:p>
    <w:p>
      <w:pPr>
        <w:spacing w:after="0" w:line="327" w:lineRule="exact"/>
        <w:rPr>
          <w:sz w:val="20"/>
          <w:szCs w:val="20"/>
          <w:color w:val="auto"/>
        </w:rPr>
      </w:pPr>
    </w:p>
    <w:p>
      <w:pPr>
        <w:ind w:right="3059"/>
        <w:spacing w:after="0" w:line="301" w:lineRule="auto"/>
        <w:rPr>
          <w:sz w:val="20"/>
          <w:szCs w:val="20"/>
          <w:color w:val="auto"/>
        </w:rPr>
      </w:pPr>
      <w:r>
        <w:rPr>
          <w:rFonts w:ascii="Courier New" w:cs="Courier New" w:eastAsia="Courier New" w:hAnsi="Courier New"/>
          <w:sz w:val="14"/>
          <w:szCs w:val="14"/>
          <w:color w:val="auto"/>
        </w:rPr>
        <w:t>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5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Replacement Bank. See Section 6.11.</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Replacement Notice. See Section 6.11.</w:t>
      </w:r>
    </w:p>
    <w:p>
      <w:pPr>
        <w:spacing w:after="0" w:line="177"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Revolving Credit Loans. Collectively, the Syndicated Loans, the Swing Line Loans and the Competitive Bid Loans.</w:t>
      </w:r>
    </w:p>
    <w:p>
      <w:pPr>
        <w:spacing w:after="0" w:line="2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Revolving Credit Maturity Date. June 28, 2002.</w:t>
      </w:r>
    </w:p>
    <w:p>
      <w:pPr>
        <w:spacing w:after="0" w:line="177" w:lineRule="exact"/>
        <w:rPr>
          <w:sz w:val="20"/>
          <w:szCs w:val="20"/>
          <w:color w:val="auto"/>
        </w:rPr>
      </w:pPr>
    </w:p>
    <w:p>
      <w:pPr>
        <w:ind w:right="3059" w:firstLine="837"/>
        <w:spacing w:after="0" w:line="342" w:lineRule="auto"/>
        <w:rPr>
          <w:sz w:val="20"/>
          <w:szCs w:val="20"/>
          <w:color w:val="auto"/>
        </w:rPr>
      </w:pPr>
      <w:r>
        <w:rPr>
          <w:rFonts w:ascii="Courier New" w:cs="Courier New" w:eastAsia="Courier New" w:hAnsi="Courier New"/>
          <w:sz w:val="16"/>
          <w:szCs w:val="16"/>
          <w:color w:val="auto"/>
        </w:rPr>
        <w:t>Revolving Credit Notes. Collectively, the Competitive Bid Notes, the Syndicated Notes and the Swing Line Note.</w:t>
      </w:r>
    </w:p>
    <w:p>
      <w:pPr>
        <w:spacing w:after="0" w:line="20"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Senior Public Debt Rating. The ratings of the Borrower's public unsecured long-term senior debt, without third party credit enhancement, issued by Moody's and Standard &amp; Poor's.</w:t>
      </w:r>
    </w:p>
    <w:p>
      <w:pPr>
        <w:spacing w:after="0" w:line="61"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Shareholder Suits. See the definition of "Consolidated Earnings Before Interest and Taxes, or EBIT".</w:t>
      </w:r>
    </w:p>
    <w:p>
      <w:pPr>
        <w:spacing w:after="0" w:line="20" w:lineRule="exact"/>
        <w:rPr>
          <w:sz w:val="20"/>
          <w:szCs w:val="20"/>
          <w:color w:val="auto"/>
        </w:rPr>
      </w:pPr>
    </w:p>
    <w:p>
      <w:pPr>
        <w:ind w:right="3059" w:firstLine="837"/>
        <w:spacing w:after="0" w:line="342" w:lineRule="auto"/>
        <w:rPr>
          <w:sz w:val="20"/>
          <w:szCs w:val="20"/>
          <w:color w:val="auto"/>
        </w:rPr>
      </w:pPr>
      <w:r>
        <w:rPr>
          <w:rFonts w:ascii="Courier New" w:cs="Courier New" w:eastAsia="Courier New" w:hAnsi="Courier New"/>
          <w:sz w:val="16"/>
          <w:szCs w:val="16"/>
          <w:color w:val="auto"/>
        </w:rPr>
        <w:t>Standard &amp; Poor's. Standard &amp; Poor's Ratings Services, a division of The McGraw-Hill Companies, Inc.</w:t>
      </w:r>
    </w:p>
    <w:p>
      <w:pPr>
        <w:spacing w:after="0" w:line="20"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 and whose financial results are required to be consolidated with the financial results of the designated parent in accordance with GAAP.</w:t>
      </w:r>
    </w:p>
    <w:p>
      <w:pPr>
        <w:spacing w:after="0" w:line="83" w:lineRule="exact"/>
        <w:rPr>
          <w:sz w:val="20"/>
          <w:szCs w:val="20"/>
          <w:color w:val="auto"/>
        </w:rPr>
      </w:pPr>
    </w:p>
    <w:p>
      <w:pPr>
        <w:ind w:right="2959" w:firstLine="837"/>
        <w:spacing w:after="0" w:line="309" w:lineRule="auto"/>
        <w:rPr>
          <w:sz w:val="20"/>
          <w:szCs w:val="20"/>
          <w:color w:val="auto"/>
        </w:rPr>
      </w:pPr>
      <w:r>
        <w:rPr>
          <w:rFonts w:ascii="Courier New" w:cs="Courier New" w:eastAsia="Courier New" w:hAnsi="Courier New"/>
          <w:sz w:val="14"/>
          <w:szCs w:val="14"/>
          <w:color w:val="auto"/>
        </w:rPr>
        <w:t>Swap Contracts.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52" w:lineRule="exact"/>
        <w:rPr>
          <w:sz w:val="20"/>
          <w:szCs w:val="20"/>
          <w:color w:val="auto"/>
        </w:rPr>
      </w:pPr>
    </w:p>
    <w:p>
      <w:pPr>
        <w:ind w:right="2779" w:firstLine="837"/>
        <w:spacing w:after="0" w:line="286" w:lineRule="auto"/>
        <w:rPr>
          <w:sz w:val="20"/>
          <w:szCs w:val="20"/>
          <w:color w:val="auto"/>
        </w:rPr>
      </w:pPr>
      <w:r>
        <w:rPr>
          <w:rFonts w:ascii="Courier New" w:cs="Courier New" w:eastAsia="Courier New" w:hAnsi="Courier New"/>
          <w:sz w:val="14"/>
          <w:szCs w:val="14"/>
          <w:color w:val="auto"/>
        </w:rPr>
        <w:t>Swap Obligations. The maximum amount of any termination or loss payment required to be paid by the Borrower or any Subsidiary with respect to any Swap Contract if such Swap Contract were, at the time of determination, to be terminated by reason of any event of default or early termination event thereunder, whether or not such event of default or early termination event has in fact occurred, provided that, solely with respect to Swap Contracts which are either (a) entered into between the Borrower or any of its Subsidiaries with an investment grade company, or (b) entered into between the Borrower or any of its Subsidiaries with third parties whose obligations thereunder are secured, such maximum amount of termination or loss payment shall be net of any termination or loss payment required to be paid to the Borrower or any</w:t>
      </w:r>
    </w:p>
    <w:p>
      <w:pPr>
        <w:sectPr>
          <w:pgSz w:w="11900" w:h="16838" w:orient="portrait"/>
          <w:cols w:equalWidth="0" w:num="1">
            <w:col w:w="10219"/>
          </w:cols>
          <w:pgMar w:left="240" w:top="269"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6"/>
          <w:szCs w:val="16"/>
          <w:color w:val="auto"/>
        </w:rPr>
        <w:t>22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-16-</w:t>
      </w:r>
    </w:p>
    <w:p>
      <w:pPr>
        <w:spacing w:after="0" w:line="327" w:lineRule="exact"/>
        <w:rPr>
          <w:sz w:val="20"/>
          <w:szCs w:val="20"/>
          <w:color w:val="auto"/>
        </w:rPr>
      </w:pPr>
    </w:p>
    <w:p>
      <w:pPr>
        <w:ind w:right="2879"/>
        <w:spacing w:after="0" w:line="263" w:lineRule="auto"/>
        <w:rPr>
          <w:sz w:val="20"/>
          <w:szCs w:val="20"/>
          <w:color w:val="auto"/>
        </w:rPr>
      </w:pPr>
      <w:r>
        <w:rPr>
          <w:rFonts w:ascii="Courier New" w:cs="Courier New" w:eastAsia="Courier New" w:hAnsi="Courier New"/>
          <w:sz w:val="16"/>
          <w:szCs w:val="16"/>
          <w:color w:val="auto"/>
        </w:rPr>
        <w:t>Subsidiary by such counterparty (other than the Borrower or another Subsidiary) with respect to any Swap Contract if such Swap Contract were, at the time of determination, to be terminated by reason of any event of default or early termination event thereunder, whether or not such event of default or early termination event has in fact occurred.</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Loans. See Section 2.11(a).</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Note. See Section 2.11(a).</w:t>
      </w:r>
    </w:p>
    <w:p>
      <w:pPr>
        <w:spacing w:after="0" w:line="177" w:lineRule="exact"/>
        <w:rPr>
          <w:sz w:val="20"/>
          <w:szCs w:val="20"/>
          <w:color w:val="auto"/>
        </w:rPr>
      </w:pPr>
    </w:p>
    <w:p>
      <w:pPr>
        <w:ind w:right="2779" w:firstLine="837"/>
        <w:spacing w:after="0" w:line="301" w:lineRule="auto"/>
        <w:rPr>
          <w:sz w:val="20"/>
          <w:szCs w:val="20"/>
          <w:color w:val="auto"/>
        </w:rPr>
      </w:pPr>
      <w:r>
        <w:rPr>
          <w:rFonts w:ascii="Courier New" w:cs="Courier New" w:eastAsia="Courier New" w:hAnsi="Courier New"/>
          <w:sz w:val="14"/>
          <w:szCs w:val="14"/>
          <w:color w:val="auto"/>
        </w:rPr>
        <w:t>Swing Line Settlement. The making or receiving of payments, in immediately available funds, by the Banks to or from the Administrative Agent in accordance with Section 2.11 hereof to the extent necessary to cause each Bank's actual share of the outstanding amount of the Syndicated Loans to be equal to such Bank's Commitment Percentage of the outstanding amount of such Syndicated Loans, in any case when, prior to such action, the actual share is not so equal.</w:t>
      </w:r>
    </w:p>
    <w:p>
      <w:pPr>
        <w:spacing w:after="0" w:line="5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Settlement Amount. See Section 2.11(b).</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Settlement Date. See Section 2.11(b).</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Swing Line Settling Bank. See Section 2.11(b).</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Syndicated Loan Request. See Section 2.6(a).</w:t>
      </w:r>
    </w:p>
    <w:p>
      <w:pPr>
        <w:spacing w:after="0" w:line="177"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Syndicated Loans. A borrowing hereunder consisting of one or more loans made by the Banks to the Borrower under the procedure described in Section 2.1(a) and Section 2.11 hereof.</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Syndicated Notes. See Section 2.4(a).</w:t>
      </w:r>
    </w:p>
    <w:p>
      <w:pPr>
        <w:spacing w:after="0" w:line="177" w:lineRule="exact"/>
        <w:rPr>
          <w:sz w:val="20"/>
          <w:szCs w:val="20"/>
          <w:color w:val="auto"/>
        </w:rPr>
      </w:pPr>
    </w:p>
    <w:p>
      <w:pPr>
        <w:ind w:right="3159" w:firstLine="837"/>
        <w:spacing w:after="0" w:line="406" w:lineRule="auto"/>
        <w:rPr>
          <w:sz w:val="20"/>
          <w:szCs w:val="20"/>
          <w:color w:val="auto"/>
        </w:rPr>
      </w:pPr>
      <w:r>
        <w:rPr>
          <w:rFonts w:ascii="Courier New" w:cs="Courier New" w:eastAsia="Courier New" w:hAnsi="Courier New"/>
          <w:sz w:val="14"/>
          <w:szCs w:val="14"/>
          <w:color w:val="auto"/>
        </w:rPr>
        <w:t>Term Loan. The term loan made or to be made by the Banks to the Borrower on the Revolving Credit Maturity Date as contemplated by Section 5.</w:t>
      </w:r>
    </w:p>
    <w:p>
      <w:pPr>
        <w:ind w:right="2779" w:firstLine="837"/>
        <w:spacing w:after="0" w:line="272" w:lineRule="auto"/>
        <w:rPr>
          <w:sz w:val="20"/>
          <w:szCs w:val="20"/>
          <w:color w:val="auto"/>
        </w:rPr>
      </w:pPr>
      <w:r>
        <w:rPr>
          <w:rFonts w:ascii="Courier New" w:cs="Courier New" w:eastAsia="Courier New" w:hAnsi="Courier New"/>
          <w:sz w:val="16"/>
          <w:szCs w:val="16"/>
          <w:color w:val="auto"/>
        </w:rPr>
        <w:t>Term Loan Maturity Date. The date 364 days after the Revolving Credit Maturity Date, or if such date is not a Business Day, then the last Business Day immediately preceding such date, or such earlier date as the Term Loan is paid in full.</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Term Notes. See Section 5.1.</w:t>
      </w:r>
    </w:p>
    <w:p>
      <w:pPr>
        <w:spacing w:after="0" w:line="177" w:lineRule="exact"/>
        <w:rPr>
          <w:sz w:val="20"/>
          <w:szCs w:val="20"/>
          <w:color w:val="auto"/>
        </w:rPr>
      </w:pPr>
    </w:p>
    <w:p>
      <w:pPr>
        <w:ind w:right="2779" w:firstLine="837"/>
        <w:spacing w:after="0" w:line="342" w:lineRule="auto"/>
        <w:rPr>
          <w:sz w:val="20"/>
          <w:szCs w:val="20"/>
          <w:color w:val="auto"/>
        </w:rPr>
      </w:pPr>
      <w:r>
        <w:rPr>
          <w:rFonts w:ascii="Courier New" w:cs="Courier New" w:eastAsia="Courier New" w:hAnsi="Courier New"/>
          <w:sz w:val="16"/>
          <w:szCs w:val="16"/>
          <w:color w:val="auto"/>
        </w:rPr>
        <w:t>Terminated Plans. The Waste Management, Inc. Pension Plan and The Waste Management of Alameda County, Inc. Retirement Plan.</w:t>
      </w:r>
    </w:p>
    <w:p>
      <w:pPr>
        <w:spacing w:after="0" w:line="20"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Total Commitment. Up to $750,000,000, as such amount may be reduced pursuant to Section 2.3 hereof, or, if such Total Commitment has been terminated pursuant to Section 2.3 or Section 13.2 hereof, zero.</w:t>
      </w:r>
    </w:p>
    <w:p>
      <w:pPr>
        <w:spacing w:after="0" w:line="61"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Total Debt. The sum, without duplication, of all (1) Indebtedness of the Borrower and its Subsidiaries on a consolidated basis under subsections (a) through (h) of the definition of "Indebtedness" (provided, however, that Indebtedness (A) under subsection (f) of the definition</w:t>
      </w:r>
    </w:p>
    <w:p>
      <w:pPr>
        <w:sectPr>
          <w:pgSz w:w="11900" w:h="16838" w:orient="portrait"/>
          <w:cols w:equalWidth="0" w:num="1">
            <w:col w:w="10219"/>
          </w:cols>
          <w:pgMar w:left="240" w:top="269"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6"/>
          <w:szCs w:val="16"/>
          <w:color w:val="auto"/>
        </w:rPr>
        <w:t>23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-17-</w:t>
      </w:r>
    </w:p>
    <w:p>
      <w:pPr>
        <w:spacing w:after="0" w:line="327" w:lineRule="exact"/>
        <w:rPr>
          <w:sz w:val="20"/>
          <w:szCs w:val="20"/>
          <w:color w:val="auto"/>
        </w:rPr>
      </w:pPr>
    </w:p>
    <w:p>
      <w:pPr>
        <w:ind w:right="2779"/>
        <w:spacing w:after="0" w:line="309" w:lineRule="auto"/>
        <w:rPr>
          <w:sz w:val="20"/>
          <w:szCs w:val="20"/>
          <w:color w:val="auto"/>
        </w:rPr>
      </w:pPr>
      <w:r>
        <w:rPr>
          <w:rFonts w:ascii="Courier New" w:cs="Courier New" w:eastAsia="Courier New" w:hAnsi="Courier New"/>
          <w:sz w:val="14"/>
          <w:szCs w:val="14"/>
          <w:color w:val="auto"/>
        </w:rPr>
        <w:t>of "Indebtedness" shall be included in such calculation only to the extent that a surety has been called upon to make payment on a bond, and (B) with respect to Permitted Receivables Transactions shall not be included in such calculation), plus (2) Swap Obligations, plus (3) reimbursement obligations of the Borrower and its Subsidiaries with respect to drawings under any letters of credit.</w:t>
      </w:r>
    </w:p>
    <w:p>
      <w:pPr>
        <w:spacing w:after="0" w:line="52"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1.2. RULES OF INTERPRETATION.</w:t>
      </w:r>
    </w:p>
    <w:p>
      <w:pPr>
        <w:spacing w:after="0" w:line="177" w:lineRule="exact"/>
        <w:rPr>
          <w:sz w:val="20"/>
          <w:szCs w:val="20"/>
          <w:color w:val="auto"/>
        </w:rPr>
      </w:pPr>
    </w:p>
    <w:p>
      <w:pPr>
        <w:jc w:val="both"/>
        <w:ind w:left="840" w:right="3159" w:firstLine="830"/>
        <w:spacing w:after="0" w:line="322" w:lineRule="auto"/>
        <w:tabs>
          <w:tab w:leader="none" w:pos="204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43" w:lineRule="exact"/>
        <w:rPr>
          <w:rFonts w:ascii="Courier New" w:cs="Courier New" w:eastAsia="Courier New" w:hAnsi="Courier New"/>
          <w:sz w:val="14"/>
          <w:szCs w:val="14"/>
          <w:color w:val="auto"/>
        </w:rPr>
      </w:pPr>
    </w:p>
    <w:p>
      <w:pPr>
        <w:ind w:left="2040" w:hanging="370"/>
        <w:spacing w:after="0"/>
        <w:tabs>
          <w:tab w:leader="none" w:pos="204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singular includes the plural and the plural includes</w:t>
      </w:r>
    </w:p>
    <w:p>
      <w:pPr>
        <w:spacing w:after="0" w:line="25"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singular.</w:t>
      </w:r>
    </w:p>
    <w:p>
      <w:pPr>
        <w:spacing w:after="0" w:line="148" w:lineRule="exact"/>
        <w:rPr>
          <w:rFonts w:ascii="Courier New" w:cs="Courier New" w:eastAsia="Courier New" w:hAnsi="Courier New"/>
          <w:sz w:val="16"/>
          <w:szCs w:val="16"/>
          <w:color w:val="auto"/>
        </w:rPr>
      </w:pPr>
    </w:p>
    <w:p>
      <w:pPr>
        <w:ind w:left="840" w:right="3719" w:firstLine="830"/>
        <w:spacing w:after="0" w:line="342" w:lineRule="auto"/>
        <w:tabs>
          <w:tab w:leader="none" w:pos="20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any law includes any amendment or modification to such law.</w:t>
      </w:r>
    </w:p>
    <w:p>
      <w:pPr>
        <w:spacing w:after="0" w:line="20" w:lineRule="exact"/>
        <w:rPr>
          <w:rFonts w:ascii="Courier New" w:cs="Courier New" w:eastAsia="Courier New" w:hAnsi="Courier New"/>
          <w:sz w:val="16"/>
          <w:szCs w:val="16"/>
          <w:color w:val="auto"/>
        </w:rPr>
      </w:pPr>
    </w:p>
    <w:p>
      <w:pPr>
        <w:ind w:left="840" w:right="3719" w:firstLine="830"/>
        <w:spacing w:after="0" w:line="342" w:lineRule="auto"/>
        <w:tabs>
          <w:tab w:leader="none" w:pos="20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reference to any Person includes its permitted successors and permitted assigns.</w:t>
      </w:r>
    </w:p>
    <w:p>
      <w:pPr>
        <w:spacing w:after="0" w:line="20" w:lineRule="exact"/>
        <w:rPr>
          <w:rFonts w:ascii="Courier New" w:cs="Courier New" w:eastAsia="Courier New" w:hAnsi="Courier New"/>
          <w:sz w:val="16"/>
          <w:szCs w:val="16"/>
          <w:color w:val="auto"/>
        </w:rPr>
      </w:pPr>
    </w:p>
    <w:p>
      <w:pPr>
        <w:ind w:left="840" w:right="2959" w:firstLine="830"/>
        <w:spacing w:after="0" w:line="272" w:lineRule="auto"/>
        <w:tabs>
          <w:tab w:leader="none" w:pos="20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Accounting terms capitalized but not otherwise defined herein have the meanings assigned to them by generally accepted accounting principles applied on a consistent basis by the accounting entity to which they refer.</w:t>
      </w:r>
    </w:p>
    <w:p>
      <w:pPr>
        <w:spacing w:after="0" w:line="72"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"include", "includes" and "including" are not</w:t>
      </w:r>
    </w:p>
    <w:p>
      <w:pPr>
        <w:spacing w:after="0" w:line="25"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limiting.</w:t>
      </w:r>
    </w:p>
    <w:p>
      <w:pPr>
        <w:spacing w:after="0" w:line="148" w:lineRule="exact"/>
        <w:rPr>
          <w:rFonts w:ascii="Courier New" w:cs="Courier New" w:eastAsia="Courier New" w:hAnsi="Courier New"/>
          <w:sz w:val="16"/>
          <w:szCs w:val="16"/>
          <w:color w:val="auto"/>
        </w:rPr>
      </w:pPr>
    </w:p>
    <w:p>
      <w:pPr>
        <w:jc w:val="both"/>
        <w:ind w:left="840" w:right="2879" w:firstLine="830"/>
        <w:spacing w:after="0" w:line="272" w:lineRule="auto"/>
        <w:tabs>
          <w:tab w:leader="none" w:pos="20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72" w:lineRule="exact"/>
        <w:rPr>
          <w:rFonts w:ascii="Courier New" w:cs="Courier New" w:eastAsia="Courier New" w:hAnsi="Courier New"/>
          <w:sz w:val="16"/>
          <w:szCs w:val="16"/>
          <w:color w:val="auto"/>
        </w:rPr>
      </w:pPr>
    </w:p>
    <w:p>
      <w:pPr>
        <w:ind w:left="840" w:right="3439" w:firstLine="830"/>
        <w:spacing w:after="0" w:line="342" w:lineRule="auto"/>
        <w:tabs>
          <w:tab w:leader="none" w:pos="20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 to a particular "Section " refers to that section of this Agreement unless otherwise indicated.</w:t>
      </w:r>
    </w:p>
    <w:p>
      <w:pPr>
        <w:spacing w:after="0" w:line="20" w:lineRule="exact"/>
        <w:rPr>
          <w:rFonts w:ascii="Courier New" w:cs="Courier New" w:eastAsia="Courier New" w:hAnsi="Courier New"/>
          <w:sz w:val="16"/>
          <w:szCs w:val="16"/>
          <w:color w:val="auto"/>
        </w:rPr>
      </w:pPr>
    </w:p>
    <w:p>
      <w:pPr>
        <w:jc w:val="both"/>
        <w:ind w:left="840" w:right="3159" w:firstLine="830"/>
        <w:spacing w:after="0" w:line="289" w:lineRule="auto"/>
        <w:tabs>
          <w:tab w:leader="none" w:pos="2049"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"hereunder" and words of like import shall refer to this Agreement as a whole and not to any particular section or subdivision of this Agreement.</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 THE SYNDICATED LOAN FACILITIES.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2.1. COMMITMENT TO LEND.</w:t>
      </w:r>
    </w:p>
    <w:p>
      <w:pPr>
        <w:spacing w:after="0" w:line="177" w:lineRule="exact"/>
        <w:rPr>
          <w:sz w:val="20"/>
          <w:szCs w:val="20"/>
          <w:color w:val="auto"/>
        </w:rPr>
      </w:pPr>
    </w:p>
    <w:p>
      <w:pPr>
        <w:ind w:left="840" w:right="2779" w:firstLine="830"/>
        <w:spacing w:after="0" w:line="254" w:lineRule="auto"/>
        <w:tabs>
          <w:tab w:leader="none" w:pos="2049"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set forth in this Agreement, each of the Banks severally agrees to lend to the Borrower and the Borrower may borrow, repay, and reborrow from time to time between the Effective Date and the Revolving Credit Maturity Date, upon notice by the Borrower to the Administrative Agent given in accordance with this Section 2, its Commitment Percentage of the Syndicated Loans as are</w:t>
      </w:r>
    </w:p>
    <w:p>
      <w:pPr>
        <w:sectPr>
          <w:pgSz w:w="11900" w:h="16838" w:orient="portrait"/>
          <w:cols w:equalWidth="0" w:num="1">
            <w:col w:w="10219"/>
          </w:cols>
          <w:pgMar w:left="240" w:top="269"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6"/>
          <w:szCs w:val="16"/>
          <w:color w:val="auto"/>
        </w:rPr>
        <w:t>24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-18-</w:t>
      </w:r>
    </w:p>
    <w:p>
      <w:pPr>
        <w:spacing w:after="0" w:line="327" w:lineRule="exact"/>
        <w:rPr>
          <w:sz w:val="20"/>
          <w:szCs w:val="20"/>
          <w:color w:val="auto"/>
        </w:rPr>
      </w:pPr>
    </w:p>
    <w:p>
      <w:pPr>
        <w:ind w:left="840" w:right="2879"/>
        <w:spacing w:after="0" w:line="263" w:lineRule="auto"/>
        <w:rPr>
          <w:sz w:val="20"/>
          <w:szCs w:val="20"/>
          <w:color w:val="auto"/>
        </w:rPr>
      </w:pPr>
      <w:r>
        <w:rPr>
          <w:rFonts w:ascii="Courier New" w:cs="Courier New" w:eastAsia="Courier New" w:hAnsi="Courier New"/>
          <w:sz w:val="16"/>
          <w:szCs w:val="16"/>
          <w:color w:val="auto"/>
        </w:rPr>
        <w:t>requested by the Borrower; provided that the sum of the outstanding principal amount of the Syndicated Loans (including the Swing Line Loans) and the Maximum Drawing Amount of outstanding Letters of Credit shall not exceed the Total Commitment minus the aggregate amount of Competitive Bid Loans outstanding at such time.</w:t>
      </w:r>
    </w:p>
    <w:p>
      <w:pPr>
        <w:spacing w:after="0" w:line="80" w:lineRule="exact"/>
        <w:rPr>
          <w:sz w:val="20"/>
          <w:szCs w:val="20"/>
          <w:color w:val="auto"/>
        </w:rPr>
      </w:pPr>
    </w:p>
    <w:p>
      <w:pPr>
        <w:ind w:left="840" w:right="2779" w:firstLine="830"/>
        <w:spacing w:after="0" w:line="258" w:lineRule="auto"/>
        <w:tabs>
          <w:tab w:leader="none" w:pos="2049"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date of each request for a Loan or Letter of Credit hereunder, the Borrower shall be deemed to have made a representation and warranty that the conditions set forth in Section 11 and Section 12, as the case may be, have been satisfied on the date of such request. Any unpaid Reimbursement Obligation shall be a Base Rate Loan, as set forth in Section 3.2(a).</w:t>
      </w:r>
    </w:p>
    <w:p>
      <w:pPr>
        <w:spacing w:after="0" w:line="83"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SECTION 2.2. FACILITY FEE. The Borrower agrees to pay to the Administrative Agent for the account of the Banks a fee (the "Facility Fee") on the Total Commitment equal to the Applicable Facility Rate multiplied by the Total Commitment, provided that in the event that the Borrower exercises its option under Section 5 to convert the outstanding Revolving Credit Loans into a Term Loan, the Facility Fee will be equal to the aggregate principal amount of the Term Loan multiplied by the Applicable Facility Rate. The Facility Fee shall be payable for the period from and after the Effective Date quarterly in arrears on the first day of each calendar quarter for the immediately preceding calendar quarter with the first such payment commencing on October 1, 2001 and with a final payment on the Revolving Credit Maturity Date (or on the date of termination in full of the Total Commitment, if earlier), provided that in the event the Borrower opts to convert its outstanding Revolving Credit Loans into a Term Loan, the final payment shall be on the Term Loan Maturity Date (or on the date the Term Loan is paid in full, if earlier). The Facility Fee shall be distributed pro rata among the Banks in accordance with each Bank's Commitment Percentage (as determined prior to the date the Borrower converts the outstanding Revolving Credit Loans into a Term Loan, with respect to the Facility Fee payable on the Term Loan).</w:t>
      </w:r>
    </w:p>
    <w:p>
      <w:pPr>
        <w:spacing w:after="0" w:line="200" w:lineRule="exact"/>
        <w:rPr>
          <w:sz w:val="20"/>
          <w:szCs w:val="20"/>
          <w:color w:val="auto"/>
        </w:rPr>
      </w:pPr>
    </w:p>
    <w:p>
      <w:pPr>
        <w:spacing w:after="0" w:line="24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2.3. REDUCTION OF TOTAL COMMITMENT.</w:t>
      </w:r>
    </w:p>
    <w:p>
      <w:pPr>
        <w:spacing w:after="0" w:line="177" w:lineRule="exact"/>
        <w:rPr>
          <w:sz w:val="20"/>
          <w:szCs w:val="20"/>
          <w:color w:val="auto"/>
        </w:rPr>
      </w:pPr>
    </w:p>
    <w:p>
      <w:pPr>
        <w:ind w:left="840" w:right="2779" w:firstLine="830"/>
        <w:spacing w:after="0" w:line="248" w:lineRule="auto"/>
        <w:tabs>
          <w:tab w:leader="none" w:pos="2049"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Commitment Percentage of the amount specified in such notice or, as the case may be, terminated provided that at no time may (i) the Total Commitment be reduced to an amount less than the sum of (A) the Maximum Drawing Amount of all Letters of Credit, and (B) all Revolving Credit Loans then outstanding.</w:t>
      </w:r>
    </w:p>
    <w:p>
      <w:pPr>
        <w:spacing w:after="0" w:line="94" w:lineRule="exact"/>
        <w:rPr>
          <w:rFonts w:ascii="Courier New" w:cs="Courier New" w:eastAsia="Courier New" w:hAnsi="Courier New"/>
          <w:sz w:val="16"/>
          <w:szCs w:val="16"/>
          <w:color w:val="auto"/>
        </w:rPr>
      </w:pPr>
    </w:p>
    <w:p>
      <w:pPr>
        <w:ind w:left="840" w:right="2959" w:firstLine="830"/>
        <w:spacing w:after="0" w:line="322" w:lineRule="auto"/>
        <w:tabs>
          <w:tab w:leader="none" w:pos="2049"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ectPr>
          <w:pgSz w:w="11900" w:h="16838" w:orient="portrait"/>
          <w:cols w:equalWidth="0" w:num="1">
            <w:col w:w="10219"/>
          </w:cols>
          <w:pgMar w:left="240" w:top="269" w:right="1440" w:bottom="1440" w:gutter="0" w:footer="0" w:header="0"/>
        </w:sectPr>
      </w:pPr>
    </w:p>
    <w:bookmarkStart w:id="201" w:name="page202"/>
    <w:bookmarkEnd w:id="201"/>
    <w:p>
      <w:pPr>
        <w:spacing w:after="0"/>
        <w:rPr>
          <w:sz w:val="20"/>
          <w:szCs w:val="20"/>
          <w:color w:val="auto"/>
        </w:rPr>
      </w:pPr>
      <w:r>
        <w:rPr>
          <w:rFonts w:ascii="Courier New" w:cs="Courier New" w:eastAsia="Courier New" w:hAnsi="Courier New"/>
          <w:sz w:val="16"/>
          <w:szCs w:val="16"/>
          <w:color w:val="auto"/>
        </w:rPr>
        <w:t>25</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-19-</w:t>
      </w:r>
    </w:p>
    <w:p>
      <w:pPr>
        <w:spacing w:after="0" w:line="327" w:lineRule="exact"/>
        <w:rPr>
          <w:sz w:val="20"/>
          <w:szCs w:val="20"/>
          <w:color w:val="auto"/>
        </w:rPr>
      </w:pPr>
    </w:p>
    <w:p>
      <w:pPr>
        <w:ind w:left="560" w:right="2959" w:firstLine="830"/>
        <w:spacing w:after="0" w:line="272" w:lineRule="auto"/>
        <w:tabs>
          <w:tab w:leader="none" w:pos="1769"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will notify the Banks promptly after receiving any notice delivered by the Borrower pursuant to this Section 2.3 and will distribute to each Bank a revised Schedule 1 to this Agreement.</w:t>
      </w:r>
    </w:p>
    <w:p>
      <w:pPr>
        <w:spacing w:after="0" w:line="73"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2.4. THE SYNDICATED NOTES.</w:t>
      </w:r>
    </w:p>
    <w:p>
      <w:pPr>
        <w:spacing w:after="0" w:line="177" w:lineRule="exact"/>
        <w:rPr>
          <w:sz w:val="20"/>
          <w:szCs w:val="20"/>
          <w:color w:val="auto"/>
        </w:rPr>
      </w:pPr>
    </w:p>
    <w:p>
      <w:pPr>
        <w:ind w:left="560" w:right="2779" w:firstLine="830"/>
        <w:spacing w:after="0" w:line="288" w:lineRule="auto"/>
        <w:tabs>
          <w:tab w:leader="none" w:pos="1769"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Syndicated Loans shall be evidenced by separate promissory notes of the Borrower in substantially the form of Exhibit A hereto (each, a "Syndicated Note"), dated as of the Effective Date (or such later date at which a Bank becomes a party hereto pursuant to Section 21) and completed with appropriate insertions. One Syndicated Note shall be payable to the order of each Bank in an amount equal to its maximum Commitment, and shall represent the obligation of the Borrower to pay such Bank such principal amount or, if less, the outstanding principal amount of all Syndicated Loans made by such Bank, plus interest accrued thereon, as set forth herein.</w:t>
      </w:r>
    </w:p>
    <w:p>
      <w:pPr>
        <w:spacing w:after="0" w:line="254" w:lineRule="exact"/>
        <w:rPr>
          <w:rFonts w:ascii="Courier New" w:cs="Courier New" w:eastAsia="Courier New" w:hAnsi="Courier New"/>
          <w:sz w:val="14"/>
          <w:szCs w:val="14"/>
          <w:color w:val="auto"/>
        </w:rPr>
      </w:pPr>
    </w:p>
    <w:p>
      <w:pPr>
        <w:ind w:left="560" w:right="2879" w:firstLine="830"/>
        <w:spacing w:after="0" w:line="281" w:lineRule="auto"/>
        <w:tabs>
          <w:tab w:leader="none" w:pos="1769"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each Bank to make, or cause to be made, in connection with a Drawdown Date of any Syndicated Loan and at the time of receipt of any payment of principal on its Syndicated Note, an appropriate notation on such Bank's records or on the schedule attached to such Bank's Syndicated Note or a continuation of such schedule attached thereto reflecting the making of such Loan, or the receipt of such payment (as the case may be) and each Bank may, prior to any transfer of its Syndicated Note endorse on the reverse side thereof the outstanding principal amount of such Loans evidenced thereby. The outstanding amount of the Syndicated Loans set forth on such Bank's records shall be prima facie evidence of the principal amount thereof owing and unpaid to such Bank, but the failure to record, or any error in so recording, any such amount shall not limit or otherwise affect the obligations of the Borrower hereunder or under such Notes to make payments of principal of or interest on any such Notes when due.</w:t>
      </w:r>
    </w:p>
    <w:p>
      <w:pPr>
        <w:spacing w:after="0" w:line="25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2.5. INTEREST ON SYNDICATED LOANS.</w:t>
      </w:r>
    </w:p>
    <w:p>
      <w:pPr>
        <w:spacing w:after="0" w:line="177" w:lineRule="exact"/>
        <w:rPr>
          <w:sz w:val="20"/>
          <w:szCs w:val="20"/>
          <w:color w:val="auto"/>
        </w:rPr>
      </w:pPr>
    </w:p>
    <w:p>
      <w:pPr>
        <w:ind w:left="560" w:right="2779" w:firstLine="830"/>
        <w:spacing w:after="0" w:line="263" w:lineRule="auto"/>
        <w:tabs>
          <w:tab w:leader="none" w:pos="176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outstanding principal amount of the Syndicated Loans shall bear interest at the rate per annum equal to (i) the Applicable Base Rate on Base Rate Loans, (ii) the Applicable Eurodollar Rate on Eurodollar Loans and (iii) the Applicable Swing Line Rate on Swing Line Loans.</w:t>
      </w:r>
    </w:p>
    <w:p>
      <w:pPr>
        <w:spacing w:after="0" w:line="80" w:lineRule="exact"/>
        <w:rPr>
          <w:rFonts w:ascii="Courier New" w:cs="Courier New" w:eastAsia="Courier New" w:hAnsi="Courier New"/>
          <w:sz w:val="16"/>
          <w:szCs w:val="16"/>
          <w:color w:val="auto"/>
        </w:rPr>
      </w:pPr>
    </w:p>
    <w:p>
      <w:pPr>
        <w:ind w:left="560" w:right="2779" w:firstLine="830"/>
        <w:spacing w:after="0" w:line="250" w:lineRule="auto"/>
        <w:tabs>
          <w:tab w:leader="none" w:pos="1769"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shall be payable (i) quarterly in arrears on the first Business Day of each quarter, with the first such payment commencing October 1, 2001, on Base Rate Loans, (ii) on the last day of the applicable Interest Period, and if such Interest Period is longer than three months, also on the last day of each three month period following the commencement of such Interest Period, on Eurodollar Loans, (iii) on the Revolving Credit Maturity Date for all Revolving Credit Loans, and (iv) on the Term Loan Maturity Date for the Term Loan.</w:t>
      </w:r>
    </w:p>
    <w:p>
      <w:pPr>
        <w:sectPr>
          <w:pgSz w:w="11900" w:h="16838" w:orient="portrait"/>
          <w:cols w:equalWidth="0" w:num="1">
            <w:col w:w="9939"/>
          </w:cols>
          <w:pgMar w:left="520" w:top="269"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6"/>
          <w:szCs w:val="16"/>
          <w:color w:val="auto"/>
        </w:rPr>
        <w:t>26</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-20-</w:t>
      </w:r>
    </w:p>
    <w:p>
      <w:pPr>
        <w:spacing w:after="0" w:line="32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2.6. REQUESTS FOR SYNDICATED LOANS.</w:t>
      </w:r>
    </w:p>
    <w:p>
      <w:pPr>
        <w:spacing w:after="0" w:line="177" w:lineRule="exact"/>
        <w:rPr>
          <w:sz w:val="20"/>
          <w:szCs w:val="20"/>
          <w:color w:val="auto"/>
        </w:rPr>
      </w:pPr>
    </w:p>
    <w:p>
      <w:pPr>
        <w:ind w:left="840" w:right="2779" w:firstLine="830"/>
        <w:spacing w:after="0" w:line="279" w:lineRule="auto"/>
        <w:tabs>
          <w:tab w:leader="none" w:pos="2049"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give to the Administrative Agent written notice in the form of Exhibit D hereto (or telephonic notice confirmed in writing or a facsimile in the form of Exhibit D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Revolving Credit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200" w:lineRule="exact"/>
        <w:rPr>
          <w:rFonts w:ascii="Courier New" w:cs="Courier New" w:eastAsia="Courier New" w:hAnsi="Courier New"/>
          <w:sz w:val="14"/>
          <w:szCs w:val="14"/>
          <w:color w:val="auto"/>
        </w:rPr>
      </w:pPr>
    </w:p>
    <w:p>
      <w:pPr>
        <w:spacing w:after="0" w:line="238" w:lineRule="exact"/>
        <w:rPr>
          <w:rFonts w:ascii="Courier New" w:cs="Courier New" w:eastAsia="Courier New" w:hAnsi="Courier New"/>
          <w:sz w:val="14"/>
          <w:szCs w:val="14"/>
          <w:color w:val="auto"/>
        </w:rPr>
      </w:pPr>
    </w:p>
    <w:p>
      <w:pPr>
        <w:ind w:left="840" w:right="2779" w:firstLine="830"/>
        <w:spacing w:after="0" w:line="282" w:lineRule="auto"/>
        <w:tabs>
          <w:tab w:leader="none" w:pos="2049"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Revolving Credit Loan or the date of issuance of any Letter of Credit (except to the extent (i) of changes resulting from transactions contemplated or permitted by this Agreement and the other Loan Documents, (ii) of changes occurring in the ordinary course of business that either individually or in the aggregate do not result in a Material Adverse Effect, or (iii) that such representations and warranties expressly relate only to an earlier date).</w:t>
      </w:r>
    </w:p>
    <w:p>
      <w:pPr>
        <w:spacing w:after="0" w:line="260" w:lineRule="exact"/>
        <w:rPr>
          <w:rFonts w:ascii="Courier New" w:cs="Courier New" w:eastAsia="Courier New" w:hAnsi="Courier New"/>
          <w:sz w:val="14"/>
          <w:szCs w:val="14"/>
          <w:color w:val="auto"/>
        </w:rPr>
      </w:pPr>
    </w:p>
    <w:p>
      <w:pPr>
        <w:ind w:left="840" w:right="2959" w:firstLine="830"/>
        <w:spacing w:after="0" w:line="291" w:lineRule="auto"/>
        <w:tabs>
          <w:tab w:leader="none" w:pos="2049" w:val="left"/>
        </w:tabs>
        <w:numPr>
          <w:ilvl w:val="1"/>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promptly notify each Bank of each Syndicated Loan Request received by the Administrative Agent</w:t>
      </w:r>
    </w:p>
    <w:p>
      <w:pPr>
        <w:spacing w:after="0" w:line="1" w:lineRule="exact"/>
        <w:rPr>
          <w:rFonts w:ascii="Courier New" w:cs="Courier New" w:eastAsia="Courier New" w:hAnsi="Courier New"/>
          <w:sz w:val="14"/>
          <w:szCs w:val="14"/>
          <w:color w:val="auto"/>
        </w:rPr>
      </w:pPr>
    </w:p>
    <w:p>
      <w:pPr>
        <w:ind w:left="1200" w:hanging="367"/>
        <w:spacing w:after="0"/>
        <w:tabs>
          <w:tab w:leader="none" w:pos="120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proposed Drawdown Date of any Base Rate Loan, or (ii) three</w:t>
      </w:r>
    </w:p>
    <w:p>
      <w:pPr>
        <w:spacing w:after="0" w:line="20" w:lineRule="exact"/>
        <w:rPr>
          <w:rFonts w:ascii="Courier New" w:cs="Courier New" w:eastAsia="Courier New" w:hAnsi="Courier New"/>
          <w:sz w:val="14"/>
          <w:szCs w:val="14"/>
          <w:color w:val="auto"/>
        </w:rPr>
      </w:pPr>
    </w:p>
    <w:p>
      <w:pPr>
        <w:ind w:left="840" w:right="2779"/>
        <w:spacing w:after="0" w:line="30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(3) Eurodollar Business Days prior to the proposed Drawdown Date of any Eurodollar Loan.</w:t>
      </w:r>
    </w:p>
    <w:p>
      <w:pPr>
        <w:spacing w:after="0" w:line="48"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SECTION 2.7. ELECTION OF EURODOLLAR RATE; NOTICE OF ELECTION; INTEREST PERIODS; MINIMUM AMOUNTS.</w:t>
      </w:r>
    </w:p>
    <w:p>
      <w:pPr>
        <w:spacing w:after="0" w:line="20" w:lineRule="exact"/>
        <w:rPr>
          <w:sz w:val="20"/>
          <w:szCs w:val="20"/>
          <w:color w:val="auto"/>
        </w:rPr>
      </w:pPr>
    </w:p>
    <w:p>
      <w:pPr>
        <w:ind w:left="840" w:right="2779" w:firstLine="830"/>
        <w:spacing w:after="0" w:line="290" w:lineRule="auto"/>
        <w:tabs>
          <w:tab w:leader="none" w:pos="204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Borrower may (i) elect to convert any Base Rate Loan or a portion thereof to a Eurodollar Loan, (ii) at the time of any Syndicated Loan Request, specify that such requested Loan shall be a Eurodollar Loan, or (iii) upon expiration of the applicable Interest Period, elect to maintain an existing Eurodollar Loan as such, provided that the Borrower give notice to the Administrative Agent pursuant to Section 2.7(b) hereof. Upon determining any Eurodollar Rate, the Administrative Agent shall</w:t>
      </w:r>
    </w:p>
    <w:p>
      <w:pPr>
        <w:sectPr>
          <w:pgSz w:w="11900" w:h="16838" w:orient="portrait"/>
          <w:cols w:equalWidth="0" w:num="1">
            <w:col w:w="10219"/>
          </w:cols>
          <w:pgMar w:left="240" w:top="269"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6"/>
          <w:szCs w:val="16"/>
          <w:color w:val="auto"/>
        </w:rPr>
        <w:t>27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-21-</w:t>
      </w:r>
    </w:p>
    <w:p>
      <w:pPr>
        <w:spacing w:after="0" w:line="327" w:lineRule="exact"/>
        <w:rPr>
          <w:sz w:val="20"/>
          <w:szCs w:val="20"/>
          <w:color w:val="auto"/>
        </w:rPr>
      </w:pPr>
    </w:p>
    <w:p>
      <w:pPr>
        <w:ind w:left="840" w:right="3159"/>
        <w:spacing w:after="0" w:line="289" w:lineRule="auto"/>
        <w:rPr>
          <w:sz w:val="20"/>
          <w:szCs w:val="20"/>
          <w:color w:val="auto"/>
        </w:rPr>
      </w:pPr>
      <w:r>
        <w:rPr>
          <w:rFonts w:ascii="Courier New" w:cs="Courier New" w:eastAsia="Courier New" w:hAnsi="Courier New"/>
          <w:sz w:val="16"/>
          <w:szCs w:val="16"/>
          <w:color w:val="auto"/>
        </w:rPr>
        <w:t>forthwith provide notice thereof to the Borrower and the Banks, and each such notice to the Borrower shall be considered prima facie correct and binding, absent manifest error.</w:t>
      </w:r>
    </w:p>
    <w:p>
      <w:pPr>
        <w:spacing w:after="0" w:line="61" w:lineRule="exact"/>
        <w:rPr>
          <w:sz w:val="20"/>
          <w:szCs w:val="20"/>
          <w:color w:val="auto"/>
        </w:rPr>
      </w:pPr>
    </w:p>
    <w:p>
      <w:pPr>
        <w:ind w:left="840" w:right="2779" w:firstLine="830"/>
        <w:spacing w:after="0" w:line="279" w:lineRule="auto"/>
        <w:tabs>
          <w:tab w:leader="none" w:pos="2049"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Eurodollar Business Days prior to the making of any Eurodollar Loan or the conversion of any Base Rate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Section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Section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259" w:lineRule="exact"/>
        <w:rPr>
          <w:rFonts w:ascii="Courier New" w:cs="Courier New" w:eastAsia="Courier New" w:hAnsi="Courier New"/>
          <w:sz w:val="14"/>
          <w:szCs w:val="14"/>
          <w:color w:val="auto"/>
        </w:rPr>
      </w:pPr>
    </w:p>
    <w:p>
      <w:pPr>
        <w:ind w:left="840" w:right="3059" w:firstLine="830"/>
        <w:spacing w:after="0" w:line="289" w:lineRule="auto"/>
        <w:tabs>
          <w:tab w:leader="none" w:pos="2049" w:val="left"/>
        </w:tabs>
        <w:numPr>
          <w:ilvl w:val="0"/>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herein to the contrary, the Borrower may not specify an Interest Period that would extend beyond the Revolving Credit Maturity Date.</w:t>
      </w:r>
    </w:p>
    <w:p>
      <w:pPr>
        <w:spacing w:after="0" w:line="60" w:lineRule="exact"/>
        <w:rPr>
          <w:rFonts w:ascii="Courier New" w:cs="Courier New" w:eastAsia="Courier New" w:hAnsi="Courier New"/>
          <w:sz w:val="16"/>
          <w:szCs w:val="16"/>
          <w:color w:val="auto"/>
        </w:rPr>
      </w:pPr>
    </w:p>
    <w:p>
      <w:pPr>
        <w:ind w:left="840" w:right="2959" w:firstLine="830"/>
        <w:spacing w:after="0" w:line="322" w:lineRule="auto"/>
        <w:tabs>
          <w:tab w:leader="none" w:pos="2049"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conversion of Loans pursuant to this Section 2.7 may result in Eurodollar Loans that are less than $5,000,000. In no event shall the Borrower have more than ten (10) different Interest Periods for borrowings of Eurodollar Loans outstanding at any time.</w:t>
      </w:r>
    </w:p>
    <w:p>
      <w:pPr>
        <w:spacing w:after="0" w:line="43" w:lineRule="exact"/>
        <w:rPr>
          <w:rFonts w:ascii="Courier New" w:cs="Courier New" w:eastAsia="Courier New" w:hAnsi="Courier New"/>
          <w:sz w:val="14"/>
          <w:szCs w:val="14"/>
          <w:color w:val="auto"/>
        </w:rPr>
      </w:pPr>
    </w:p>
    <w:p>
      <w:pPr>
        <w:ind w:left="840" w:right="2779" w:firstLine="830"/>
        <w:spacing w:after="0" w:line="280" w:lineRule="auto"/>
        <w:tabs>
          <w:tab w:leader="none" w:pos="2049"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Section 6.7 hereof, if any Affected Bank demands compensation under Section 6.4(c) or (d) with respect to any Eurodollar Loan, the Borrower may at any time, upon at least three (3) 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Section 6.4(c)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260" w:lineRule="exact"/>
        <w:rPr>
          <w:sz w:val="20"/>
          <w:szCs w:val="20"/>
          <w:color w:val="auto"/>
        </w:rPr>
      </w:pPr>
    </w:p>
    <w:p>
      <w:pPr>
        <w:ind w:right="2879" w:firstLine="837"/>
        <w:spacing w:after="0" w:line="309" w:lineRule="auto"/>
        <w:rPr>
          <w:sz w:val="20"/>
          <w:szCs w:val="20"/>
          <w:color w:val="auto"/>
        </w:rPr>
      </w:pPr>
      <w:r>
        <w:rPr>
          <w:rFonts w:ascii="Courier New" w:cs="Courier New" w:eastAsia="Courier New" w:hAnsi="Courier New"/>
          <w:sz w:val="14"/>
          <w:szCs w:val="14"/>
          <w:color w:val="auto"/>
        </w:rPr>
        <w:t>SECTION 2.8. FUNDS FOR SYNDICATED LOANS. Not later than 1:00 p.m. (New York time) on the proposed Drawdown Date of Syndicated Loans, each of the Banks will make available to the Administrative Agent at its Loan Office, in immediately available funds, the amount of its Commitment Percentage of the amount of the requested Loan. Upon receipt from each Bank of</w:t>
      </w:r>
    </w:p>
    <w:p>
      <w:pPr>
        <w:sectPr>
          <w:pgSz w:w="11900" w:h="16838" w:orient="portrait"/>
          <w:cols w:equalWidth="0" w:num="1">
            <w:col w:w="10219"/>
          </w:cols>
          <w:pgMar w:left="240" w:top="269"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6"/>
          <w:szCs w:val="16"/>
          <w:color w:val="auto"/>
        </w:rPr>
        <w:t>28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-22-</w:t>
      </w:r>
    </w:p>
    <w:p>
      <w:pPr>
        <w:spacing w:after="0" w:line="327" w:lineRule="exact"/>
        <w:rPr>
          <w:sz w:val="20"/>
          <w:szCs w:val="20"/>
          <w:color w:val="auto"/>
        </w:rPr>
      </w:pPr>
    </w:p>
    <w:p>
      <w:pPr>
        <w:ind w:right="2779"/>
        <w:spacing w:after="0" w:line="290" w:lineRule="auto"/>
        <w:rPr>
          <w:sz w:val="20"/>
          <w:szCs w:val="20"/>
          <w:color w:val="auto"/>
        </w:rPr>
      </w:pPr>
      <w:r>
        <w:rPr>
          <w:rFonts w:ascii="Courier New" w:cs="Courier New" w:eastAsia="Courier New" w:hAnsi="Courier New"/>
          <w:sz w:val="14"/>
          <w:szCs w:val="14"/>
          <w:color w:val="auto"/>
        </w:rPr>
        <w:t>such amount, and upon receipt of the documents required by Section 11 and Section 12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256" w:lineRule="exact"/>
        <w:rPr>
          <w:sz w:val="20"/>
          <w:szCs w:val="20"/>
          <w:color w:val="auto"/>
        </w:rPr>
      </w:pPr>
    </w:p>
    <w:p>
      <w:pPr>
        <w:ind w:right="2779" w:firstLine="837"/>
        <w:spacing w:after="0" w:line="301" w:lineRule="auto"/>
        <w:rPr>
          <w:sz w:val="20"/>
          <w:szCs w:val="20"/>
          <w:color w:val="auto"/>
        </w:rPr>
      </w:pPr>
      <w:r>
        <w:rPr>
          <w:rFonts w:ascii="Courier New" w:cs="Courier New" w:eastAsia="Courier New" w:hAnsi="Courier New"/>
          <w:sz w:val="14"/>
          <w:szCs w:val="14"/>
          <w:color w:val="auto"/>
        </w:rPr>
        <w:t>SECTION 2.9. MATURITY OF THE REVOLVING CREDIT LOANS AND REIMBURSEMENT OBLIGATIONS. The Borrower promises to pay on the Revolving Credit Maturity Date, and there shall become absolutely due and payable on the Revolving Credit Maturity Date, all of the Revolving Credit Loans and unpaid Reimbursement Obligations outstanding on such date, together with any and all accrued and unpaid interest thereon and any fees and other amounts owing hereunder.</w:t>
      </w:r>
    </w:p>
    <w:p>
      <w:pPr>
        <w:spacing w:after="0" w:line="5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2.10. PREPAYMENTS OR REPAYMENTS OF REVOLVING CREDIT LOANS.</w:t>
      </w:r>
    </w:p>
    <w:p>
      <w:pPr>
        <w:spacing w:after="0" w:line="177" w:lineRule="exact"/>
        <w:rPr>
          <w:sz w:val="20"/>
          <w:szCs w:val="20"/>
          <w:color w:val="auto"/>
        </w:rPr>
      </w:pPr>
    </w:p>
    <w:p>
      <w:pPr>
        <w:ind w:left="840" w:right="2779" w:firstLine="830"/>
        <w:spacing w:after="0" w:line="281" w:lineRule="auto"/>
        <w:tabs>
          <w:tab w:leader="none" w:pos="204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Prepayments: Subject to the terms and conditions of Section 6.7, the Borrower shall have the right, at its election, to repay or prepay the outstanding amount of the Revolving Credit Loans, as a whole or in part, at any time without penalty or premium. The Borrower shall give the Administrative Agent no later than 11:00 a.m. (New York time) (i) on the proposed date of prepayment or repayment of Base Rate Loans, and (ii) three (3) Eurodollar Business Day prior to the proposed date of prepayment or repayment of Eurodollar Loans, written notice (or telephonic notice confirmed in writing or by facsimile) of any proposed prepayment or repayment pursuant to this Section 2.10, specifying the proposed date of prepayment or repayment of such Loans and the principal amount to be paid. Notwithstanding the foregoing, the Borrower may not prepay any Competitive Bid Loans without the consent of the applicable Bank. The Administrative Agent shall promptly notify each Bank by written notice (or telephonic notice confirmed in writing or by facsimile) of such notice of payment.</w:t>
      </w:r>
    </w:p>
    <w:p>
      <w:pPr>
        <w:spacing w:after="0" w:line="255" w:lineRule="exact"/>
        <w:rPr>
          <w:rFonts w:ascii="Courier New" w:cs="Courier New" w:eastAsia="Courier New" w:hAnsi="Courier New"/>
          <w:sz w:val="14"/>
          <w:szCs w:val="14"/>
          <w:color w:val="auto"/>
        </w:rPr>
      </w:pPr>
    </w:p>
    <w:p>
      <w:pPr>
        <w:ind w:left="840" w:right="2779" w:firstLine="830"/>
        <w:spacing w:after="0" w:line="281" w:lineRule="auto"/>
        <w:tabs>
          <w:tab w:leader="none" w:pos="204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Repayments: If at any time the sum of the outstanding principal amount of the Revolving Credit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Revolving Credit Loans, first to Syndicated Loans, then to Competitive Bid Loans, subject to Section 6.7, or (ii) if no Revolving Credit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provided, however, that if the amount of cash collateral held by the Administrative Agent pursuant to this Section 2.10(b) exceeds the Maximum Drawing Amount required to be collateralized from time to time, the Administrative Agent shall return such excess to the Borrower.</w:t>
      </w:r>
    </w:p>
    <w:p>
      <w:pPr>
        <w:sectPr>
          <w:pgSz w:w="11900" w:h="16838" w:orient="portrait"/>
          <w:cols w:equalWidth="0" w:num="1">
            <w:col w:w="10219"/>
          </w:cols>
          <w:pgMar w:left="240" w:top="269"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6"/>
          <w:szCs w:val="16"/>
          <w:color w:val="auto"/>
        </w:rPr>
        <w:t>29</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-23-</w:t>
      </w:r>
    </w:p>
    <w:p>
      <w:pPr>
        <w:spacing w:after="0" w:line="32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2.11. SWING LINE LOANS; SETTLEMENTS.</w:t>
      </w:r>
    </w:p>
    <w:p>
      <w:pPr>
        <w:spacing w:after="0" w:line="177" w:lineRule="exact"/>
        <w:rPr>
          <w:sz w:val="20"/>
          <w:szCs w:val="20"/>
          <w:color w:val="auto"/>
        </w:rPr>
      </w:pPr>
    </w:p>
    <w:p>
      <w:pPr>
        <w:ind w:left="560" w:right="2779" w:firstLine="830"/>
        <w:spacing w:after="0" w:line="278" w:lineRule="auto"/>
        <w:tabs>
          <w:tab w:leader="none" w:pos="1769"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notice and minimum amount requirements set forth in Section 2.6 but otherwise in accordance with the terms and conditions of this Agreement, and solely for ease of administration of the Syndicated Loans, the Administrative Agent may, but shall not be required to, fund Base Rate Loans made in accordance with the provisions of this Agreement ("Swing Line Loans"). The Swing Line Loans shall be evidenced by a promissory note of the Borrower in substantially the form of Exhibit B hereto (the "Swing Line Note") and, at the discretion of the Administrative Agent may be in amounts less than $10,000,000 provided that the outstanding amount of Swing Line Loans advanced by the Administrative Agent hereunder shall not exceed $10,000,000 at any time. Each Bank shall remain severally and unconditionally liable to fund its pro rata share (based upon each Bank's Commitment Percentage) of such Swing Line Loans on each Swing Line Settlement Date and, in the event the Administrative Agent chooses not to fund all Base Rate Loans requested on any date, to fund its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the Administrative Agent.</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560" w:right="2879" w:firstLine="830"/>
        <w:spacing w:after="0" w:line="274" w:lineRule="auto"/>
        <w:tabs>
          <w:tab w:leader="none" w:pos="1769"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Banks shall effect Swing Line Settlements on (i) the Business Day immediately following any day which the Administrative Agent gives written notice to effect a Swing Line Settlement, (ii) the Business Day immediately following the Administrative Agent's becoming aware of the existence of any Default or Event of Default, and (iii) the Revolving Credit Maturity Date (each such date, a "Swing Line Settlement Date"). One (1) Business Day prior to each such Swing Line Settlement Date, the Administrative Agent shall give telephonic notice to the Banks of (A) the respective outstanding amount of Syndicated Loans made by each Bank as at the close of business on the prior day,</w:t>
      </w:r>
    </w:p>
    <w:p>
      <w:pPr>
        <w:spacing w:after="0" w:line="6" w:lineRule="exact"/>
        <w:rPr>
          <w:rFonts w:ascii="Courier New" w:cs="Courier New" w:eastAsia="Courier New" w:hAnsi="Courier New"/>
          <w:sz w:val="14"/>
          <w:szCs w:val="14"/>
          <w:color w:val="auto"/>
        </w:rPr>
      </w:pPr>
    </w:p>
    <w:p>
      <w:pPr>
        <w:ind w:left="560" w:right="2779" w:hanging="7"/>
        <w:spacing w:after="0" w:line="276" w:lineRule="auto"/>
        <w:tabs>
          <w:tab w:leader="none" w:pos="932"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 that any Bank, as applicable (a "Swing Line Settling Bank"), shall pay to effect a Swing Line Settlement (a "Swing Line Settlement Amount") and (C) the portion (if any) of the aggregate Swing Line Settlement Amount to be paid to each Bank. A statement of the Administrative Agent submitted to the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Loan Office in the amount of such Bank's Swing Line Settlement Amount. The Administrative Agent shall, as promptly as practicable during normal business hours on each Swing Line Settlement Date, effect a wire transfer of immediately available funds to each Bank of the Swing Line Settlement Amount to be paid to such Bank. All funds advanced by any Bank as a Swing Line Settling Bank pursuant to this Section 2.11(b) shall for all purposes be treated as a Base Rate Loan made by such Swing Line Settling Bank to the Borrower, and all funds received by any Bank pursuant to this Section 2.11(b) shall for all purposes be treated as repayment of amounts owed by the Borrower with respect to Base Rate Loans made by such Bank.</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560" w:right="2879" w:firstLine="830"/>
        <w:spacing w:after="0" w:line="272" w:lineRule="auto"/>
        <w:tabs>
          <w:tab w:leader="none" w:pos="1769"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may (unless notified to the contrary by any Swing Line Settling Bank by 12:00 noon (New York time) one (1) Business Day prior to the Settlement Date) assume that each Swing Line Settling Bank has made available (or</w:t>
      </w:r>
    </w:p>
    <w:p>
      <w:pPr>
        <w:sectPr>
          <w:pgSz w:w="11900" w:h="16838" w:orient="portrait"/>
          <w:cols w:equalWidth="0" w:num="1">
            <w:col w:w="9939"/>
          </w:cols>
          <w:pgMar w:left="520" w:top="269"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6"/>
          <w:szCs w:val="16"/>
          <w:color w:val="auto"/>
        </w:rPr>
        <w:t>30</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-24-</w:t>
      </w:r>
    </w:p>
    <w:p>
      <w:pPr>
        <w:spacing w:after="0" w:line="327" w:lineRule="exact"/>
        <w:rPr>
          <w:sz w:val="20"/>
          <w:szCs w:val="20"/>
          <w:color w:val="auto"/>
        </w:rPr>
      </w:pPr>
    </w:p>
    <w:p>
      <w:pPr>
        <w:ind w:left="560" w:right="2779"/>
        <w:spacing w:after="0" w:line="276" w:lineRule="auto"/>
        <w:rPr>
          <w:sz w:val="20"/>
          <w:szCs w:val="20"/>
          <w:color w:val="auto"/>
        </w:rPr>
      </w:pPr>
      <w:r>
        <w:rPr>
          <w:rFonts w:ascii="Courier New" w:cs="Courier New" w:eastAsia="Courier New" w:hAnsi="Courier New"/>
          <w:sz w:val="14"/>
          <w:szCs w:val="14"/>
          <w:color w:val="auto"/>
        </w:rPr>
        <w:t>will make available by the time specified in Section 2.11(b)) to the Administrative Agent its Swing Line Settlement Amount, and the Administrative Agent may (but shall not be required to), in reliance upon such assumption, make available to each applicable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Borrower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Borrower, with interest thereon at the Applicable Base Rate.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60" w:right="2879" w:firstLine="830"/>
        <w:spacing w:after="0" w:line="254" w:lineRule="auto"/>
        <w:tabs>
          <w:tab w:leader="none" w:pos="1769"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any Swing Line Settlement Date, any payment by the Borrower of Swing Line Loans hereunder shall be allocated among the Banks, in amounts determined so as to provide that after such application and the related Swing Line Settlement, the outstanding amount of Syndicated Loans of each Bank equals, as nearly as practicable, such Bank's Commitment Percentage of the aggregate amount of Syndicated Loans.</w:t>
      </w:r>
    </w:p>
    <w:p>
      <w:pPr>
        <w:spacing w:after="0" w:line="88"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 LETTERS OF CREDIT.</w:t>
      </w:r>
    </w:p>
    <w:p>
      <w:pPr>
        <w:spacing w:after="0" w:line="177"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SECTION 3.1. LETTER OF CREDIT COMMITMENTS.</w:t>
      </w:r>
    </w:p>
    <w:p>
      <w:pPr>
        <w:spacing w:after="0" w:line="177" w:lineRule="exact"/>
        <w:rPr>
          <w:sz w:val="20"/>
          <w:szCs w:val="20"/>
          <w:color w:val="auto"/>
        </w:rPr>
      </w:pPr>
    </w:p>
    <w:p>
      <w:pPr>
        <w:ind w:left="560" w:right="2779" w:firstLine="830"/>
        <w:spacing w:after="0" w:line="243" w:lineRule="auto"/>
        <w:tabs>
          <w:tab w:leader="none" w:pos="1769"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and the receipt of a Letter of Credit Application by an Issuing Bank, with a copy to the Administrative Agent reflecting the Maximum Drawing Amount of all Letters of Credit (including the requested Letter of Credit), such Issuing Bank, on behalf of the Banks and in reliance upon the representations and warranties of the Borrower contained herein and the agreement of the Banks contained in Section 3.1(b) hereof, agrees to issue Letters of Credit for the account of the Borrower (which may, with such Issuing Bank's consent, incorporate automatic renewals for periods of up to twelve (12) months), in such form as may be requested from time to time by the Borrower and agreed to by the Issuing Bank; provided, however, that, after giving effect to such request, the aggregate Maximum Drawing Amount of all Letters of Credit issued at any time shall not exceed the Total Commitment minus the aggregate outstanding amount of the Revolving Credit Loans. No Letter of Credit shall have an</w:t>
      </w:r>
    </w:p>
    <w:p>
      <w:pPr>
        <w:sectPr>
          <w:pgSz w:w="11900" w:h="16838" w:orient="portrait"/>
          <w:cols w:equalWidth="0" w:num="1">
            <w:col w:w="9939"/>
          </w:cols>
          <w:pgMar w:left="520" w:top="269"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6"/>
          <w:szCs w:val="16"/>
          <w:color w:val="auto"/>
        </w:rPr>
        <w:t>31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-25-</w:t>
      </w:r>
    </w:p>
    <w:p>
      <w:pPr>
        <w:spacing w:after="0" w:line="327" w:lineRule="exact"/>
        <w:rPr>
          <w:sz w:val="20"/>
          <w:szCs w:val="20"/>
          <w:color w:val="auto"/>
        </w:rPr>
      </w:pPr>
    </w:p>
    <w:p>
      <w:pPr>
        <w:ind w:left="840" w:right="3619"/>
        <w:spacing w:after="0" w:line="342" w:lineRule="auto"/>
        <w:rPr>
          <w:sz w:val="20"/>
          <w:szCs w:val="20"/>
          <w:color w:val="auto"/>
        </w:rPr>
      </w:pPr>
      <w:r>
        <w:rPr>
          <w:rFonts w:ascii="Courier New" w:cs="Courier New" w:eastAsia="Courier New" w:hAnsi="Courier New"/>
          <w:sz w:val="16"/>
          <w:szCs w:val="16"/>
          <w:color w:val="auto"/>
        </w:rPr>
        <w:t>expiration date later than five (5) Business Days prior to the Revolving Credit Maturity Date.</w:t>
      </w:r>
    </w:p>
    <w:p>
      <w:pPr>
        <w:spacing w:after="0" w:line="20" w:lineRule="exact"/>
        <w:rPr>
          <w:sz w:val="20"/>
          <w:szCs w:val="20"/>
          <w:color w:val="auto"/>
        </w:rPr>
      </w:pPr>
    </w:p>
    <w:p>
      <w:pPr>
        <w:ind w:left="840" w:right="2779" w:firstLine="830"/>
        <w:spacing w:after="0" w:line="245" w:lineRule="auto"/>
        <w:tabs>
          <w:tab w:leader="none" w:pos="2049"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Letter of Credit shall be denominated in Dollars. Each Bank severally agrees that it shall be absolutely liable, without regard to the occurrence of any Default or Event of Default, the termination of the Total Commitment pursuant to Section 13.2, or any other condition precedent whatsoever, to the extent of such Bank's Commitment Percentage to reimburse the Issuing Bank on demand for the amount of each draft paid by the Issuing Bank under each Letter of Credit to the extent that such amount is not reimbursed by the Borrower pursuant to Section 3.2 (such agreement for a Bank being called herein the "Letter of Credit Participation" of such Bank). Each Bank agrees that its obligation to reimburse the Issuing Bank pursuant to this Section 3.1(b) shall not be affected in any way by any circumstance other than the gross negligence or willful misconduct of the Issuing Bank.</w:t>
      </w:r>
    </w:p>
    <w:p>
      <w:pPr>
        <w:spacing w:after="0" w:line="93" w:lineRule="exact"/>
        <w:rPr>
          <w:rFonts w:ascii="Courier New" w:cs="Courier New" w:eastAsia="Courier New" w:hAnsi="Courier New"/>
          <w:sz w:val="16"/>
          <w:szCs w:val="16"/>
          <w:color w:val="auto"/>
        </w:rPr>
      </w:pPr>
    </w:p>
    <w:p>
      <w:pPr>
        <w:ind w:left="840" w:right="2779" w:firstLine="830"/>
        <w:spacing w:after="0" w:line="258" w:lineRule="auto"/>
        <w:tabs>
          <w:tab w:leader="none" w:pos="2049"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reimbursement payment made by a Bank to the Issuing Bank shall be treated as the purchase by such Bank of a participating interest in the applicable Reimbursement Obligation under Section 3.2 in an amount equal to such payment. Each Bank shall share in accordance with its participating interest in any interest which accrues pursuant to Section 3.2.</w:t>
      </w:r>
    </w:p>
    <w:p>
      <w:pPr>
        <w:spacing w:after="0" w:line="83"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3.2. REIMBURSEMENT OBLIGATION OF THE BORROWER. In order to induce the Issuing Banks to issue, extend and renew each Letter of Credit, the Borrower hereby agrees to reimburse or pay to each Issuing Bank, with respect to each Letter of Credit issued, extended or renewed by such Issuing Bank hereunder as follows:</w:t>
      </w:r>
    </w:p>
    <w:p>
      <w:pPr>
        <w:spacing w:after="0" w:line="80" w:lineRule="exact"/>
        <w:rPr>
          <w:sz w:val="20"/>
          <w:szCs w:val="20"/>
          <w:color w:val="auto"/>
        </w:rPr>
      </w:pPr>
    </w:p>
    <w:p>
      <w:pPr>
        <w:ind w:left="840" w:right="2779" w:firstLine="830"/>
        <w:spacing w:after="0" w:line="246" w:lineRule="auto"/>
        <w:tabs>
          <w:tab w:leader="none" w:pos="2049"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Borrower does not reimburse such Issuing Bank on the Drawdown Date, such amount shall, provided that no Event of Default under Section 13(g) or 13(h) has occurred, become automatically a Syndicated Loan which is a Base Rate Loan advanced hereunder in an amount equal to such sum; and</w:t>
      </w:r>
    </w:p>
    <w:p>
      <w:pPr>
        <w:spacing w:after="0" w:line="96" w:lineRule="exact"/>
        <w:rPr>
          <w:rFonts w:ascii="Courier New" w:cs="Courier New" w:eastAsia="Courier New" w:hAnsi="Courier New"/>
          <w:sz w:val="16"/>
          <w:szCs w:val="16"/>
          <w:color w:val="auto"/>
        </w:rPr>
      </w:pPr>
    </w:p>
    <w:p>
      <w:pPr>
        <w:ind w:left="840" w:right="2779" w:firstLine="830"/>
        <w:spacing w:after="0" w:line="258" w:lineRule="auto"/>
        <w:tabs>
          <w:tab w:leader="none" w:pos="2049"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Revolving Credit Maturity Date or the acceleration of the Reimbursement Obligations with respect to all Letters of Credit in accordance with Section 13, an amount equal to the then Maximum Drawing Amount of all Letters of Credit shall be paid by the Borrower to the Administrative Agent to be held as cash collateral for the applicable Reimbursement Obligations.</w:t>
      </w:r>
    </w:p>
    <w:p>
      <w:pPr>
        <w:spacing w:after="0" w:line="83"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SECTION 3.3. OBLIGATIONS ABSOLUTE. The Borrower's respective obligations under this Section 3 shall be absolute and unconditional under any and all circumstances and irrespective of the occurrence of any Default or Event of Default or any condition precedent whatsoever or any setoff,</w:t>
      </w:r>
    </w:p>
    <w:p>
      <w:pPr>
        <w:sectPr>
          <w:pgSz w:w="11900" w:h="16838" w:orient="portrait"/>
          <w:cols w:equalWidth="0" w:num="1">
            <w:col w:w="10219"/>
          </w:cols>
          <w:pgMar w:left="240" w:top="269"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6"/>
          <w:szCs w:val="16"/>
          <w:color w:val="auto"/>
        </w:rPr>
        <w:t>32</w:t>
      </w:r>
    </w:p>
    <w:p>
      <w:pPr>
        <w:spacing w:after="0" w:line="23"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-26-</w:t>
      </w:r>
    </w:p>
    <w:p>
      <w:pPr>
        <w:ind w:right="2779"/>
        <w:spacing w:after="0" w:line="275" w:lineRule="auto"/>
        <w:rPr>
          <w:sz w:val="20"/>
          <w:szCs w:val="20"/>
          <w:color w:val="auto"/>
        </w:rPr>
      </w:pPr>
      <w:r>
        <w:rPr>
          <w:rFonts w:ascii="Courier New" w:cs="Courier New" w:eastAsia="Courier New" w:hAnsi="Courier New"/>
          <w:sz w:val="14"/>
          <w:szCs w:val="14"/>
          <w:color w:val="auto"/>
        </w:rPr>
        <w:t>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Section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200" w:lineRule="exact"/>
        <w:rPr>
          <w:sz w:val="20"/>
          <w:szCs w:val="20"/>
          <w:color w:val="auto"/>
        </w:rPr>
      </w:pPr>
    </w:p>
    <w:p>
      <w:pPr>
        <w:spacing w:after="0" w:line="249" w:lineRule="exact"/>
        <w:rPr>
          <w:sz w:val="20"/>
          <w:szCs w:val="20"/>
          <w:color w:val="auto"/>
        </w:rPr>
      </w:pPr>
    </w:p>
    <w:p>
      <w:pPr>
        <w:ind w:right="2879" w:firstLine="837"/>
        <w:spacing w:after="0" w:line="250" w:lineRule="auto"/>
        <w:rPr>
          <w:sz w:val="20"/>
          <w:szCs w:val="20"/>
          <w:color w:val="auto"/>
        </w:rPr>
      </w:pPr>
      <w:r>
        <w:rPr>
          <w:rFonts w:ascii="Courier New" w:cs="Courier New" w:eastAsia="Courier New" w:hAnsi="Courier New"/>
          <w:sz w:val="16"/>
          <w:szCs w:val="16"/>
          <w:color w:val="auto"/>
        </w:rPr>
        <w:t>SECTION 3.4. RELIANCE BY THE ISSUING BANKS. To the extent not inconsistent with Section 3.3,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90"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3.5. NOTICE REGARDING LETTERS OF CREDIT. One (1) Business Day prior to the issuance of any Letter of Credit or amendments, extensions or terminations thereof, the applicable Issuing Bank shall notify the Administrative Agent of the terms of such Letter of Credit, amendment, extension or termination. On the day of any drawing under any Letter of Credit, such Issuing Bank shall notify the Administrative Agent of such drawing under any Letter of Credit.</w:t>
      </w:r>
    </w:p>
    <w:p>
      <w:pPr>
        <w:spacing w:after="0" w:line="88" w:lineRule="exact"/>
        <w:rPr>
          <w:sz w:val="20"/>
          <w:szCs w:val="20"/>
          <w:color w:val="auto"/>
        </w:rPr>
      </w:pPr>
    </w:p>
    <w:p>
      <w:pPr>
        <w:ind w:right="2779" w:firstLine="837"/>
        <w:spacing w:after="0" w:line="247" w:lineRule="auto"/>
        <w:rPr>
          <w:sz w:val="20"/>
          <w:szCs w:val="20"/>
          <w:color w:val="auto"/>
        </w:rPr>
      </w:pPr>
      <w:r>
        <w:rPr>
          <w:rFonts w:ascii="Courier New" w:cs="Courier New" w:eastAsia="Courier New" w:hAnsi="Courier New"/>
          <w:sz w:val="16"/>
          <w:szCs w:val="16"/>
          <w:color w:val="auto"/>
        </w:rPr>
        <w:t>SECTION 3.6. LETTER OF CREDIT FEE. The Borrower shall pay a fee (the "Letter of Credit Fee") equal to the Applicable L/C Rate on the Maximum Drawing Amount of the Letters of Credit to the Administrative Agent for the account of the Banks, to be shared pro rata by the Banks in accordance with their respective Commitment Percentages. The Letter of Credit Fee shall be payable quarterly in arrears on the first day of each calendar quarter for the quarter just ended, with the first such payment commencing October 1, 2001, and on the Revolving Credit Maturity Date. In addition, an issuing fee (the "Issuance Fee") with respect to each Letter of Credit to be agreed upon annually between the Borrower and each Issuing Bank shall be payable by the Borrower to such Issuing Bank for its account.</w:t>
      </w:r>
    </w:p>
    <w:p>
      <w:pPr>
        <w:sectPr>
          <w:pgSz w:w="11900" w:h="16838" w:orient="portrait"/>
          <w:cols w:equalWidth="0" w:num="1">
            <w:col w:w="10219"/>
          </w:cols>
          <w:pgMar w:left="240" w:top="269"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6"/>
          <w:szCs w:val="16"/>
          <w:color w:val="auto"/>
        </w:rPr>
        <w:t>33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-27-</w:t>
      </w:r>
    </w:p>
    <w:p>
      <w:pPr>
        <w:spacing w:after="0" w:line="32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4. COMPETITIVE BID LOANS.</w:t>
      </w:r>
    </w:p>
    <w:p>
      <w:pPr>
        <w:spacing w:after="0" w:line="177" w:lineRule="exact"/>
        <w:rPr>
          <w:sz w:val="20"/>
          <w:szCs w:val="20"/>
          <w:color w:val="auto"/>
        </w:rPr>
      </w:pPr>
    </w:p>
    <w:p>
      <w:pPr>
        <w:ind w:right="2779" w:firstLine="837"/>
        <w:spacing w:after="0" w:line="288" w:lineRule="auto"/>
        <w:rPr>
          <w:sz w:val="20"/>
          <w:szCs w:val="20"/>
          <w:color w:val="auto"/>
        </w:rPr>
      </w:pPr>
      <w:r>
        <w:rPr>
          <w:rFonts w:ascii="Courier New" w:cs="Courier New" w:eastAsia="Courier New" w:hAnsi="Courier New"/>
          <w:sz w:val="14"/>
          <w:szCs w:val="14"/>
          <w:color w:val="auto"/>
        </w:rPr>
        <w:t>SECTION 4.1. THE COMPETITIVE BID OPTION. In addition to the Syndicated Loans made pursuant to Section 2 hereof, the Borrower may request Competitive Bid Loans pursuant to the terms of this Section 4. The Banks may, but shall have no obligation to, make such offers and the Borrower may, but shall have no obligation to, accept such offers in the manner set forth in this Section 4. Notwithstanding any other provision herein to the contrary, at no time shall the aggregate principal amount of Competitive Bid Loans outstanding at any time exceed the Total Commitment minus the sum of (a) the aggregate outstanding principal amount of Syndicated Loans (including the Swing Loans), plus (b) the Maximum Drawing Amount of Letters of Credit, outstanding at such time.</w:t>
      </w:r>
    </w:p>
    <w:p>
      <w:pPr>
        <w:spacing w:after="0" w:line="2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4.2. COMPETITIVE BID LOAN ACCOUNTS; COMPETITIVE BID NOTES.</w:t>
      </w:r>
    </w:p>
    <w:p>
      <w:pPr>
        <w:spacing w:after="0" w:line="177" w:lineRule="exact"/>
        <w:rPr>
          <w:sz w:val="20"/>
          <w:szCs w:val="20"/>
          <w:color w:val="auto"/>
        </w:rPr>
      </w:pPr>
    </w:p>
    <w:p>
      <w:pPr>
        <w:ind w:left="840" w:right="2779" w:firstLine="830"/>
        <w:spacing w:after="0" w:line="287" w:lineRule="auto"/>
        <w:tabs>
          <w:tab w:leader="none" w:pos="204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Section 4.2, the Borrower's obligations with respect to Competitive Bid Loans are to be evidenced only as stated herein and not by separate promissory notes.</w:t>
      </w:r>
    </w:p>
    <w:p>
      <w:pPr>
        <w:spacing w:after="0" w:line="71" w:lineRule="exact"/>
        <w:rPr>
          <w:rFonts w:ascii="Courier New" w:cs="Courier New" w:eastAsia="Courier New" w:hAnsi="Courier New"/>
          <w:sz w:val="14"/>
          <w:szCs w:val="14"/>
          <w:color w:val="auto"/>
        </w:rPr>
      </w:pPr>
    </w:p>
    <w:p>
      <w:pPr>
        <w:ind w:left="840" w:right="2779" w:firstLine="830"/>
        <w:spacing w:after="0" w:line="282" w:lineRule="auto"/>
        <w:tabs>
          <w:tab w:leader="none" w:pos="204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Bank may at any time, and from time to time, request that any Competitive Bid Loans outstanding to such Bank be evidenced by a promissory note of the Borrower in substantially the form of Exhibit C hereto (each, a "Competitive Bid Note"), dated as of the Effective Date and completed with appropriate insertions. One Competitive Bid Note shall be payable to the order of each Bank in an amount equal to the Total Commitment, and representing the obligation of the Borrower to pay such Bank such principal amount or, if less, the outstanding principal amount of any and all Competitive Bid Loans made by such Bank, plus interest at the applicable Competitive Bid Rate or Competitive Bid Margin accrued thereon, as set forth herein. Upon execution and delivery by the Borrower of a Competitive Bid Note, the Borrower's obligation to repay any and all Competitive Bid Loans made to it by such Bank and all interest thereon shall thereafter be evidenced by such Competitive Bid Note.</w:t>
      </w:r>
    </w:p>
    <w:p>
      <w:pPr>
        <w:spacing w:after="0" w:line="253" w:lineRule="exact"/>
        <w:rPr>
          <w:rFonts w:ascii="Courier New" w:cs="Courier New" w:eastAsia="Courier New" w:hAnsi="Courier New"/>
          <w:sz w:val="14"/>
          <w:szCs w:val="14"/>
          <w:color w:val="auto"/>
        </w:rPr>
      </w:pPr>
    </w:p>
    <w:p>
      <w:pPr>
        <w:ind w:left="840" w:right="2779" w:firstLine="830"/>
        <w:spacing w:after="0" w:line="282" w:lineRule="auto"/>
        <w:tabs>
          <w:tab w:leader="none" w:pos="2049"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irrevocably authorizes (i) each Bank to make or cause to be made, in connection with a Drawdown Date of any Competitive Bid Loan or at the time of receipt of any payment of principal on such Bank's Competitive Bid Note in the case of a Competitive Bid Note, and (ii) the Administrative Agent to make or cause to be made, in connection with a Drawdown Date of any Competitive Bid Loan or at the time of receipt of any payment of principal on such Bank's Competitive Bid Loan Account in the case of a Competitive Bid Loan Account, an appropriate notation on such Bank's records or on the schedule attached to such Bank's Competitive Bid Note or a continuation of such schedule attached thereto, or the Administrative Agent's records, as applicable, reflecting the making of the Competitive Bid Loan or the receipt of such payment (as the case may be) and such Bank may, prior to any transfer of a Competitive Bid Note,</w:t>
      </w:r>
    </w:p>
    <w:p>
      <w:pPr>
        <w:sectPr>
          <w:pgSz w:w="11900" w:h="16838" w:orient="portrait"/>
          <w:cols w:equalWidth="0" w:num="1">
            <w:col w:w="10219"/>
          </w:cols>
          <w:pgMar w:left="240" w:top="269"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6"/>
          <w:szCs w:val="16"/>
          <w:color w:val="auto"/>
        </w:rPr>
        <w:t>34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-28-</w:t>
      </w:r>
    </w:p>
    <w:p>
      <w:pPr>
        <w:spacing w:after="0" w:line="327" w:lineRule="exact"/>
        <w:rPr>
          <w:sz w:val="20"/>
          <w:szCs w:val="20"/>
          <w:color w:val="auto"/>
        </w:rPr>
      </w:pPr>
    </w:p>
    <w:p>
      <w:pPr>
        <w:ind w:left="840" w:right="2779"/>
        <w:spacing w:after="0" w:line="250" w:lineRule="auto"/>
        <w:rPr>
          <w:sz w:val="20"/>
          <w:szCs w:val="20"/>
          <w:color w:val="auto"/>
        </w:rPr>
      </w:pPr>
      <w:r>
        <w:rPr>
          <w:rFonts w:ascii="Courier New" w:cs="Courier New" w:eastAsia="Courier New" w:hAnsi="Courier New"/>
          <w:sz w:val="16"/>
          <w:szCs w:val="16"/>
          <w:color w:val="auto"/>
        </w:rPr>
        <w:t>endorse on the reverse side thereof the outstanding principal amount of Competitive Bid Loans evidenced thereby. The outstanding amount of the Competitive Bid Loans set forth on such Bank's record or the Administrative Agent's records, as applicable, shall be prima facie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90"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SECTION 4.3. COMPETITIVE BID QUOTE REQUEST; INVITATION FOR COMPETITIVE BID QUOTES.</w:t>
      </w:r>
    </w:p>
    <w:p>
      <w:pPr>
        <w:spacing w:after="0" w:line="20" w:lineRule="exact"/>
        <w:rPr>
          <w:sz w:val="20"/>
          <w:szCs w:val="20"/>
          <w:color w:val="auto"/>
        </w:rPr>
      </w:pPr>
    </w:p>
    <w:p>
      <w:pPr>
        <w:ind w:left="840" w:right="2779" w:firstLine="830"/>
        <w:spacing w:after="0" w:line="288" w:lineRule="auto"/>
        <w:tabs>
          <w:tab w:leader="none" w:pos="2049"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Borrower wishes to request offers to make Competitive Bid Loans under this Section 4, it shall transmit to the Administrative Agent by telex or facsimile a Competitive Bid Quote Request substantially in the form of Exhibit H hereto (a "Competitive Bid Quote Request") so as to be received no later than 1:00 p.m. (New York time) (x) five (5) Eurodollar Business Days prior to the requested Drawdown Date in the case of a Eurodollar Competitive Bid Loan (a "Eurodollar Competitive Bid Loan") or (y) one (1) Business Day prior to the requested Drawdown Date in the case of an Absolute Competitive Bid Loan (an "Absolute Competitive Bid Loan"), specifying:</w:t>
      </w:r>
    </w:p>
    <w:p>
      <w:pPr>
        <w:spacing w:after="0" w:line="254" w:lineRule="exact"/>
        <w:rPr>
          <w:rFonts w:ascii="Courier New" w:cs="Courier New" w:eastAsia="Courier New" w:hAnsi="Courier New"/>
          <w:sz w:val="14"/>
          <w:szCs w:val="14"/>
          <w:color w:val="auto"/>
        </w:rPr>
      </w:pPr>
    </w:p>
    <w:p>
      <w:pPr>
        <w:ind w:left="1660" w:right="3239" w:firstLine="847"/>
        <w:spacing w:after="0" w:line="272" w:lineRule="auto"/>
        <w:tabs>
          <w:tab w:leader="none" w:pos="2869"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requested Drawdown Date (which must be a Eurodollar Business Day in the case of a Eurodollar Competitive Bid Loan or a Business Day in the case of an Absolute Competitive Bid Loan);</w:t>
      </w:r>
    </w:p>
    <w:p>
      <w:pPr>
        <w:spacing w:after="0" w:line="72" w:lineRule="exact"/>
        <w:rPr>
          <w:rFonts w:ascii="Courier New" w:cs="Courier New" w:eastAsia="Courier New" w:hAnsi="Courier New"/>
          <w:sz w:val="16"/>
          <w:szCs w:val="16"/>
          <w:color w:val="auto"/>
        </w:rPr>
      </w:pPr>
    </w:p>
    <w:p>
      <w:pPr>
        <w:ind w:left="1660" w:right="3159" w:firstLine="847"/>
        <w:spacing w:after="0" w:line="289" w:lineRule="auto"/>
        <w:tabs>
          <w:tab w:leader="none" w:pos="2962"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amount of such Competitive Bid Loans, which shall be $10,000,000 or larger multiple of $1,000,000;</w:t>
      </w:r>
    </w:p>
    <w:p>
      <w:pPr>
        <w:spacing w:after="0" w:line="60" w:lineRule="exact"/>
        <w:rPr>
          <w:rFonts w:ascii="Courier New" w:cs="Courier New" w:eastAsia="Courier New" w:hAnsi="Courier New"/>
          <w:sz w:val="16"/>
          <w:szCs w:val="16"/>
          <w:color w:val="auto"/>
        </w:rPr>
      </w:pPr>
    </w:p>
    <w:p>
      <w:pPr>
        <w:ind w:left="1660" w:right="3619" w:firstLine="847"/>
        <w:spacing w:after="0" w:line="348" w:lineRule="auto"/>
        <w:tabs>
          <w:tab w:leader="none" w:pos="3055"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Period(s) applicable thereto, subject to the provisions of the definition of Interest Period; and</w:t>
      </w:r>
    </w:p>
    <w:p>
      <w:pPr>
        <w:spacing w:after="0" w:line="25" w:lineRule="exact"/>
        <w:rPr>
          <w:rFonts w:ascii="Courier New" w:cs="Courier New" w:eastAsia="Courier New" w:hAnsi="Courier New"/>
          <w:sz w:val="14"/>
          <w:szCs w:val="14"/>
          <w:color w:val="auto"/>
        </w:rPr>
      </w:pPr>
    </w:p>
    <w:p>
      <w:pPr>
        <w:ind w:left="1660" w:right="2779" w:firstLine="847"/>
        <w:spacing w:after="0" w:line="289" w:lineRule="auto"/>
        <w:tabs>
          <w:tab w:leader="none" w:pos="2962" w:val="left"/>
        </w:tabs>
        <w:numPr>
          <w:ilvl w:val="1"/>
          <w:numId w:val="1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Competitive Bid Quotes requested are for Eurodollar Competitive Bid Loans or Absolute Competitive Bid Loans.</w:t>
      </w:r>
    </w:p>
    <w:p>
      <w:pPr>
        <w:spacing w:after="0" w:line="61" w:lineRule="exact"/>
        <w:rPr>
          <w:sz w:val="20"/>
          <w:szCs w:val="20"/>
          <w:color w:val="auto"/>
        </w:rPr>
      </w:pPr>
    </w:p>
    <w:p>
      <w:pPr>
        <w:ind w:left="840" w:right="2779"/>
        <w:spacing w:after="0" w:line="258" w:lineRule="auto"/>
        <w:rPr>
          <w:sz w:val="20"/>
          <w:szCs w:val="20"/>
          <w:color w:val="auto"/>
        </w:rPr>
      </w:pPr>
      <w:r>
        <w:rPr>
          <w:rFonts w:ascii="Courier New" w:cs="Courier New" w:eastAsia="Courier New" w:hAnsi="Courier New"/>
          <w:sz w:val="16"/>
          <w:szCs w:val="16"/>
          <w:color w:val="auto"/>
        </w:rPr>
        <w:t>The Borrower may request offers to make Competitive Bid Loans for more than one Interest Period in a single Competitive Bid Quote Request. No new Competitive Bid Quote Request shall be given until the Borrower has notified the Administrative Agent of its acceptance or non-acceptance of the Competitive Bid Quotes relating to any outstanding Competitive Bid Quote Request.</w:t>
      </w:r>
    </w:p>
    <w:p>
      <w:pPr>
        <w:spacing w:after="0" w:line="83" w:lineRule="exact"/>
        <w:rPr>
          <w:sz w:val="20"/>
          <w:szCs w:val="20"/>
          <w:color w:val="auto"/>
        </w:rPr>
      </w:pPr>
    </w:p>
    <w:p>
      <w:pPr>
        <w:ind w:left="840" w:right="2879" w:firstLine="830"/>
        <w:spacing w:after="0" w:line="258" w:lineRule="auto"/>
        <w:tabs>
          <w:tab w:leader="none" w:pos="2049"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receipt of a Competitive Bid Quote Request, the Administrative Agent shall send to the Banks by telecopy or facsimile transmission an Invitation for Competitive Bid Quotes substantially in the form of Exhibit I hereto, which shall constitute an invitation by the Borrower to each Bank to submit Competitive Bid Quotes in accordance with this Section 4.</w:t>
      </w:r>
    </w:p>
    <w:p>
      <w:pPr>
        <w:spacing w:after="0" w:line="83"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SECTION 4.4. ALTERNATIVE MANNER OF PROCEDURE. If, after receipt by the Administrative Agent and each of the Banks of a Competitive Bid Quote Request from the Borrower in accordance with Section 4.3, the Administrative Agent or any Bank shall be unable to complete any procedure of</w:t>
      </w:r>
    </w:p>
    <w:p>
      <w:pPr>
        <w:sectPr>
          <w:pgSz w:w="11900" w:h="16838" w:orient="portrait"/>
          <w:cols w:equalWidth="0" w:num="1">
            <w:col w:w="10219"/>
          </w:cols>
          <w:pgMar w:left="240" w:top="269" w:right="1440" w:bottom="1440" w:gutter="0" w:footer="0" w:header="0"/>
        </w:sectPr>
      </w:pPr>
    </w:p>
    <w:bookmarkStart w:id="211" w:name="page212"/>
    <w:bookmarkEnd w:id="211"/>
    <w:p>
      <w:pPr>
        <w:ind w:left="280"/>
        <w:spacing w:after="0"/>
        <w:rPr>
          <w:sz w:val="20"/>
          <w:szCs w:val="20"/>
          <w:color w:val="auto"/>
        </w:rPr>
      </w:pPr>
      <w:r>
        <w:rPr>
          <w:rFonts w:ascii="Courier New" w:cs="Courier New" w:eastAsia="Courier New" w:hAnsi="Courier New"/>
          <w:sz w:val="16"/>
          <w:szCs w:val="16"/>
          <w:color w:val="auto"/>
        </w:rPr>
        <w:t>35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-29-</w:t>
      </w:r>
    </w:p>
    <w:p>
      <w:pPr>
        <w:spacing w:after="0" w:line="327" w:lineRule="exact"/>
        <w:rPr>
          <w:sz w:val="20"/>
          <w:szCs w:val="20"/>
          <w:color w:val="auto"/>
        </w:rPr>
      </w:pPr>
    </w:p>
    <w:p>
      <w:pPr>
        <w:ind w:right="2779"/>
        <w:spacing w:after="0" w:line="254" w:lineRule="auto"/>
        <w:rPr>
          <w:sz w:val="20"/>
          <w:szCs w:val="20"/>
          <w:color w:val="auto"/>
        </w:rPr>
      </w:pPr>
      <w:r>
        <w:rPr>
          <w:rFonts w:ascii="Courier New" w:cs="Courier New" w:eastAsia="Courier New" w:hAnsi="Courier New"/>
          <w:sz w:val="16"/>
          <w:szCs w:val="16"/>
          <w:color w:val="auto"/>
        </w:rPr>
        <w:t>the auction process described in Sections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8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4.5. SUBMISSION AND CONTENTS OF COMPETITIVE BID QUOTES.</w:t>
      </w:r>
    </w:p>
    <w:p>
      <w:pPr>
        <w:spacing w:after="0" w:line="177" w:lineRule="exact"/>
        <w:rPr>
          <w:sz w:val="20"/>
          <w:szCs w:val="20"/>
          <w:color w:val="auto"/>
        </w:rPr>
      </w:pPr>
    </w:p>
    <w:p>
      <w:pPr>
        <w:ind w:left="840" w:right="2779" w:firstLine="830"/>
        <w:spacing w:after="0" w:line="279" w:lineRule="auto"/>
        <w:tabs>
          <w:tab w:leader="none" w:pos="2049"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may, but shall be under no obligation to, submit a Competitive Bid Quote containing an offer or offers to make Competitive Bid Loans in response to any Competitive Bid Quote Request. Each Competitive Bid Quote must comply with the requirements of this Section 4.5 and must be submitted to the Administrative Agent by telex or facsimile transmission at its offices as specified in or pursuant to Section 23 not later than (x) 2:00 p.m. (New York time) on the fourth Eurodollar Business Day prior to the proposed Drawdown Date, in the case of a Eurodollar Competitive Bid Loan or (y) 10:00 a.m. (New York time) on the proposed Drawdown Date, in the case of an Absolute Competitive Bid Loan, provided that Competitive Bid Quotes may be submitted by the Administrative Agent in its capacity as a Bank only if it submits its Competitive Bid Quote to the Borrower not later than (x) one hour prior to the deadline for the other Banks, in the case of a Eurodollar Competitive Bid Loan or (y) 15 minutes prior to the deadline for the other Banks, in the case of an Absolute Competitive Bid Loan. Subject to the provisions of Sections 11 and 12 hereof, any Competitive Bid Quote so made shall be irrevocable except with the written consent of the Administrative Agent given on the instructions of the Borrower.</w:t>
      </w:r>
    </w:p>
    <w:p>
      <w:pPr>
        <w:spacing w:after="0" w:line="259" w:lineRule="exact"/>
        <w:rPr>
          <w:rFonts w:ascii="Courier New" w:cs="Courier New" w:eastAsia="Courier New" w:hAnsi="Courier New"/>
          <w:sz w:val="14"/>
          <w:szCs w:val="14"/>
          <w:color w:val="auto"/>
        </w:rPr>
      </w:pPr>
    </w:p>
    <w:p>
      <w:pPr>
        <w:ind w:left="840" w:right="2959" w:firstLine="830"/>
        <w:spacing w:after="0" w:line="342" w:lineRule="auto"/>
        <w:tabs>
          <w:tab w:leader="none" w:pos="2049"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Competitive Bid Quote shall be in substantially the form of Exhibit J hereto and shall in any case specify:</w:t>
      </w:r>
    </w:p>
    <w:p>
      <w:pPr>
        <w:spacing w:after="0" w:line="20" w:lineRule="exact"/>
        <w:rPr>
          <w:rFonts w:ascii="Courier New" w:cs="Courier New" w:eastAsia="Courier New" w:hAnsi="Courier New"/>
          <w:sz w:val="16"/>
          <w:szCs w:val="16"/>
          <w:color w:val="auto"/>
        </w:rPr>
      </w:pPr>
    </w:p>
    <w:p>
      <w:pPr>
        <w:ind w:left="2880" w:hanging="373"/>
        <w:spacing w:after="0"/>
        <w:tabs>
          <w:tab w:leader="none" w:pos="2880"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proposed Drawdown Date;</w:t>
      </w:r>
    </w:p>
    <w:p>
      <w:pPr>
        <w:spacing w:after="0" w:line="176" w:lineRule="exact"/>
        <w:rPr>
          <w:rFonts w:ascii="Courier New" w:cs="Courier New" w:eastAsia="Courier New" w:hAnsi="Courier New"/>
          <w:sz w:val="16"/>
          <w:szCs w:val="16"/>
          <w:color w:val="auto"/>
        </w:rPr>
      </w:pPr>
    </w:p>
    <w:p>
      <w:pPr>
        <w:ind w:left="1660" w:right="2779" w:firstLine="847"/>
        <w:spacing w:after="0" w:line="291" w:lineRule="auto"/>
        <w:tabs>
          <w:tab w:leader="none" w:pos="2962" w:val="left"/>
        </w:tabs>
        <w:numPr>
          <w:ilvl w:val="1"/>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Competitive Bid Loan for which each proposal is being made, which principal amount</w:t>
      </w:r>
    </w:p>
    <w:p>
      <w:pPr>
        <w:spacing w:after="0" w:line="1" w:lineRule="exact"/>
        <w:rPr>
          <w:rFonts w:ascii="Courier New" w:cs="Courier New" w:eastAsia="Courier New" w:hAnsi="Courier New"/>
          <w:sz w:val="14"/>
          <w:szCs w:val="14"/>
          <w:color w:val="auto"/>
        </w:rPr>
      </w:pPr>
    </w:p>
    <w:p>
      <w:pPr>
        <w:ind w:left="1660" w:right="2879" w:firstLine="10"/>
        <w:spacing w:after="0" w:line="270" w:lineRule="auto"/>
        <w:tabs>
          <w:tab w:leader="none" w:pos="2032"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may be greater than or less than the Commitment of the quoting Bank, (x) must be $5,000,000 or a larger multiple of $1,000,000, (y) may not exceed the aggregate principal amount of Competitive Bid Loans for which offers were requested and</w:t>
      </w:r>
    </w:p>
    <w:p>
      <w:pPr>
        <w:spacing w:after="0" w:line="1" w:lineRule="exact"/>
        <w:rPr>
          <w:rFonts w:ascii="Courier New" w:cs="Courier New" w:eastAsia="Courier New" w:hAnsi="Courier New"/>
          <w:sz w:val="14"/>
          <w:szCs w:val="14"/>
          <w:color w:val="auto"/>
        </w:rPr>
      </w:pPr>
    </w:p>
    <w:p>
      <w:pPr>
        <w:ind w:left="1660" w:right="3159" w:firstLine="10"/>
        <w:spacing w:after="0" w:line="271" w:lineRule="auto"/>
        <w:tabs>
          <w:tab w:leader="none" w:pos="2032"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be subject to an aggregate limitation as to the principal amount of Competitive Bid Loans for which offers being made by such quoting Bank may be accepted;</w:t>
      </w:r>
    </w:p>
    <w:p>
      <w:pPr>
        <w:spacing w:after="0" w:line="73" w:lineRule="exact"/>
        <w:rPr>
          <w:rFonts w:ascii="Courier New" w:cs="Courier New" w:eastAsia="Courier New" w:hAnsi="Courier New"/>
          <w:sz w:val="16"/>
          <w:szCs w:val="16"/>
          <w:color w:val="auto"/>
        </w:rPr>
      </w:pPr>
    </w:p>
    <w:p>
      <w:pPr>
        <w:ind w:left="1660" w:right="3059" w:firstLine="847"/>
        <w:spacing w:after="0" w:line="342" w:lineRule="auto"/>
        <w:tabs>
          <w:tab w:leader="none" w:pos="3055"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 Period(s) for which Competitive Bid Quotes are being submitted;</w:t>
      </w:r>
    </w:p>
    <w:p>
      <w:pPr>
        <w:spacing w:after="0" w:line="20" w:lineRule="exact"/>
        <w:rPr>
          <w:rFonts w:ascii="Courier New" w:cs="Courier New" w:eastAsia="Courier New" w:hAnsi="Courier New"/>
          <w:sz w:val="16"/>
          <w:szCs w:val="16"/>
          <w:color w:val="auto"/>
        </w:rPr>
      </w:pPr>
    </w:p>
    <w:p>
      <w:pPr>
        <w:ind w:left="1660" w:right="2779" w:firstLine="847"/>
        <w:spacing w:after="0" w:line="258" w:lineRule="auto"/>
        <w:tabs>
          <w:tab w:leader="none" w:pos="2962"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 Eurodollar Competitive Bid Loan, the margin above or below the applicable Eurodollar Rate (the "Competitive Bid Margin") offered for each such Competitive Bid Loan, expressed as a percentage (specified to the nearest 1/10,000th of 1%) to be added to or subtracted from such Eurodollar Rate;</w:t>
      </w:r>
    </w:p>
    <w:p>
      <w:pPr>
        <w:sectPr>
          <w:pgSz w:w="11900" w:h="16838" w:orient="portrait"/>
          <w:cols w:equalWidth="0" w:num="1">
            <w:col w:w="10219"/>
          </w:cols>
          <w:pgMar w:left="240" w:top="269" w:right="1440" w:bottom="1440" w:gutter="0" w:footer="0" w:header="0"/>
        </w:sectPr>
      </w:pPr>
    </w:p>
    <w:bookmarkStart w:id="212" w:name="page213"/>
    <w:bookmarkEnd w:id="212"/>
    <w:p>
      <w:pPr>
        <w:ind w:left="285"/>
        <w:spacing w:after="0"/>
        <w:rPr>
          <w:sz w:val="20"/>
          <w:szCs w:val="20"/>
          <w:color w:val="auto"/>
        </w:rPr>
      </w:pPr>
      <w:r>
        <w:rPr>
          <w:rFonts w:ascii="Courier New" w:cs="Courier New" w:eastAsia="Courier New" w:hAnsi="Courier New"/>
          <w:sz w:val="16"/>
          <w:szCs w:val="16"/>
          <w:color w:val="auto"/>
        </w:rPr>
        <w:t>36</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-30-</w:t>
      </w:r>
    </w:p>
    <w:p>
      <w:pPr>
        <w:spacing w:after="0" w:line="327" w:lineRule="exact"/>
        <w:rPr>
          <w:sz w:val="20"/>
          <w:szCs w:val="20"/>
          <w:color w:val="auto"/>
        </w:rPr>
      </w:pPr>
    </w:p>
    <w:p>
      <w:pPr>
        <w:ind w:left="1665" w:right="2879" w:firstLine="847"/>
        <w:spacing w:after="0" w:line="272" w:lineRule="auto"/>
        <w:tabs>
          <w:tab w:leader="none" w:pos="2874"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Absolute Competitive Bid Loan, the rate of interest per annum (specified to the nearest 1/10,000th of 1%) (the "Competitive Bid Rate") offered for each such Absolute Competitive Bid Loan; and</w:t>
      </w:r>
    </w:p>
    <w:p>
      <w:pPr>
        <w:spacing w:after="0" w:line="72" w:lineRule="exact"/>
        <w:rPr>
          <w:rFonts w:ascii="Courier New" w:cs="Courier New" w:eastAsia="Courier New" w:hAnsi="Courier New"/>
          <w:sz w:val="16"/>
          <w:szCs w:val="16"/>
          <w:color w:val="auto"/>
        </w:rPr>
      </w:pPr>
    </w:p>
    <w:p>
      <w:pPr>
        <w:ind w:left="2985" w:hanging="473"/>
        <w:spacing w:after="0"/>
        <w:tabs>
          <w:tab w:leader="none" w:pos="2985"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identity of the quoting Bank.</w:t>
      </w:r>
    </w:p>
    <w:p>
      <w:pPr>
        <w:spacing w:after="0" w:line="177" w:lineRule="exact"/>
        <w:rPr>
          <w:sz w:val="20"/>
          <w:szCs w:val="20"/>
          <w:color w:val="auto"/>
        </w:rPr>
      </w:pPr>
    </w:p>
    <w:p>
      <w:pPr>
        <w:ind w:left="845" w:right="2959"/>
        <w:spacing w:after="0" w:line="289" w:lineRule="auto"/>
        <w:rPr>
          <w:sz w:val="20"/>
          <w:szCs w:val="20"/>
          <w:color w:val="auto"/>
        </w:rPr>
      </w:pPr>
      <w:r>
        <w:rPr>
          <w:rFonts w:ascii="Courier New" w:cs="Courier New" w:eastAsia="Courier New" w:hAnsi="Courier New"/>
          <w:sz w:val="16"/>
          <w:szCs w:val="16"/>
          <w:color w:val="auto"/>
        </w:rPr>
        <w:t>A Competitive Bid Quote may include up to five separate offers by the quoting Bank with respect to each Interest Period specified in the related Invitation for Competitive Bid Quotes.</w:t>
      </w:r>
    </w:p>
    <w:p>
      <w:pPr>
        <w:spacing w:after="0" w:line="61" w:lineRule="exact"/>
        <w:rPr>
          <w:sz w:val="20"/>
          <w:szCs w:val="20"/>
          <w:color w:val="auto"/>
        </w:rPr>
      </w:pPr>
    </w:p>
    <w:p>
      <w:pPr>
        <w:ind w:left="2045" w:hanging="370"/>
        <w:spacing w:after="0"/>
        <w:tabs>
          <w:tab w:leader="none" w:pos="2045"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Competitive Bid Quote shall be disregarded if it:</w:t>
      </w:r>
    </w:p>
    <w:p>
      <w:pPr>
        <w:spacing w:after="0" w:line="176" w:lineRule="exact"/>
        <w:rPr>
          <w:rFonts w:ascii="Courier New" w:cs="Courier New" w:eastAsia="Courier New" w:hAnsi="Courier New"/>
          <w:sz w:val="16"/>
          <w:szCs w:val="16"/>
          <w:color w:val="auto"/>
        </w:rPr>
      </w:pPr>
    </w:p>
    <w:p>
      <w:pPr>
        <w:ind w:left="2885" w:hanging="373"/>
        <w:spacing w:after="0"/>
        <w:tabs>
          <w:tab w:leader="none" w:pos="2885"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substantially in the form of Exhibit J</w:t>
      </w:r>
    </w:p>
    <w:p>
      <w:pPr>
        <w:spacing w:after="0" w:line="25" w:lineRule="exact"/>
        <w:rPr>
          <w:rFonts w:ascii="Courier New" w:cs="Courier New" w:eastAsia="Courier New" w:hAnsi="Courier New"/>
          <w:sz w:val="16"/>
          <w:szCs w:val="16"/>
          <w:color w:val="auto"/>
        </w:rPr>
      </w:pPr>
    </w:p>
    <w:p>
      <w:pPr>
        <w:ind w:left="16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hereto;</w:t>
      </w:r>
    </w:p>
    <w:p>
      <w:pPr>
        <w:spacing w:after="0" w:line="148" w:lineRule="exact"/>
        <w:rPr>
          <w:rFonts w:ascii="Courier New" w:cs="Courier New" w:eastAsia="Courier New" w:hAnsi="Courier New"/>
          <w:sz w:val="16"/>
          <w:szCs w:val="16"/>
          <w:color w:val="auto"/>
        </w:rPr>
      </w:pPr>
    </w:p>
    <w:p>
      <w:pPr>
        <w:ind w:left="2985" w:hanging="473"/>
        <w:spacing w:after="0"/>
        <w:tabs>
          <w:tab w:leader="none" w:pos="2985"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contains qualifying, conditional or similar</w:t>
      </w:r>
    </w:p>
    <w:p>
      <w:pPr>
        <w:spacing w:after="0" w:line="25" w:lineRule="exact"/>
        <w:rPr>
          <w:rFonts w:ascii="Courier New" w:cs="Courier New" w:eastAsia="Courier New" w:hAnsi="Courier New"/>
          <w:sz w:val="16"/>
          <w:szCs w:val="16"/>
          <w:color w:val="auto"/>
        </w:rPr>
      </w:pPr>
    </w:p>
    <w:p>
      <w:pPr>
        <w:ind w:left="16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language;</w:t>
      </w:r>
    </w:p>
    <w:p>
      <w:pPr>
        <w:spacing w:after="0" w:line="148" w:lineRule="exact"/>
        <w:rPr>
          <w:rFonts w:ascii="Courier New" w:cs="Courier New" w:eastAsia="Courier New" w:hAnsi="Courier New"/>
          <w:sz w:val="16"/>
          <w:szCs w:val="16"/>
          <w:color w:val="auto"/>
        </w:rPr>
      </w:pPr>
    </w:p>
    <w:p>
      <w:pPr>
        <w:ind w:left="1665" w:right="2959" w:firstLine="847"/>
        <w:spacing w:after="0" w:line="289" w:lineRule="auto"/>
        <w:tabs>
          <w:tab w:leader="none" w:pos="3060"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proposes terms other than or in addition to those set forth in the applicable Invitation for Competitive Bid Quotes; or</w:t>
      </w:r>
    </w:p>
    <w:p>
      <w:pPr>
        <w:spacing w:after="0" w:line="60" w:lineRule="exact"/>
        <w:rPr>
          <w:rFonts w:ascii="Courier New" w:cs="Courier New" w:eastAsia="Courier New" w:hAnsi="Courier New"/>
          <w:sz w:val="16"/>
          <w:szCs w:val="16"/>
          <w:color w:val="auto"/>
        </w:rPr>
      </w:pPr>
    </w:p>
    <w:p>
      <w:pPr>
        <w:ind w:left="2985" w:hanging="473"/>
        <w:spacing w:after="0"/>
        <w:tabs>
          <w:tab w:leader="none" w:pos="2985" w:val="left"/>
        </w:tabs>
        <w:numPr>
          <w:ilvl w:val="1"/>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arrives after the time set forth in Section</w:t>
      </w:r>
    </w:p>
    <w:p>
      <w:pPr>
        <w:spacing w:after="0" w:line="25" w:lineRule="exact"/>
        <w:rPr>
          <w:rFonts w:ascii="Courier New" w:cs="Courier New" w:eastAsia="Courier New" w:hAnsi="Courier New"/>
          <w:sz w:val="16"/>
          <w:szCs w:val="16"/>
          <w:color w:val="auto"/>
        </w:rPr>
      </w:pPr>
    </w:p>
    <w:p>
      <w:pPr>
        <w:ind w:left="166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4.5(a) hereof.</w:t>
      </w:r>
    </w:p>
    <w:p>
      <w:pPr>
        <w:spacing w:after="0" w:line="149" w:lineRule="exact"/>
        <w:rPr>
          <w:sz w:val="20"/>
          <w:szCs w:val="20"/>
          <w:color w:val="auto"/>
        </w:rPr>
      </w:pPr>
    </w:p>
    <w:p>
      <w:pPr>
        <w:ind w:left="5" w:right="2879" w:firstLine="837"/>
        <w:spacing w:after="0" w:line="276" w:lineRule="auto"/>
        <w:rPr>
          <w:sz w:val="20"/>
          <w:szCs w:val="20"/>
          <w:color w:val="auto"/>
        </w:rPr>
      </w:pPr>
      <w:r>
        <w:rPr>
          <w:rFonts w:ascii="Courier New" w:cs="Courier New" w:eastAsia="Courier New" w:hAnsi="Courier New"/>
          <w:sz w:val="14"/>
          <w:szCs w:val="14"/>
          <w:color w:val="auto"/>
        </w:rPr>
        <w:t>SECTION 4.6. NOTICE TO BORROWER. The Administrative Agent shall promptly notify the Borrower of the terms (x) of any Competitive Bid Quote submitted by a Bank that is in accordance with Section 4.5 and (y) of any 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w:t>
      </w:r>
    </w:p>
    <w:p>
      <w:pPr>
        <w:spacing w:after="0" w:line="161" w:lineRule="exact"/>
        <w:rPr>
          <w:sz w:val="20"/>
          <w:szCs w:val="20"/>
          <w:color w:val="auto"/>
        </w:rPr>
      </w:pPr>
    </w:p>
    <w:p>
      <w:pPr>
        <w:jc w:val="both"/>
        <w:ind w:left="5" w:right="2879" w:hanging="5"/>
        <w:spacing w:after="0" w:line="383" w:lineRule="auto"/>
        <w:tabs>
          <w:tab w:leader="none" w:pos="377"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applicable, limitations on the aggregate principal amount of Competitive Bid Loans for which offers in any single Competitive Bid Quote may be accepted.</w:t>
      </w:r>
    </w:p>
    <w:p>
      <w:pPr>
        <w:spacing w:after="0" w:line="2" w:lineRule="exact"/>
        <w:rPr>
          <w:sz w:val="20"/>
          <w:szCs w:val="20"/>
          <w:color w:val="auto"/>
        </w:rPr>
      </w:pPr>
    </w:p>
    <w:p>
      <w:pPr>
        <w:ind w:left="5" w:right="3059" w:firstLine="837"/>
        <w:spacing w:after="0" w:line="292" w:lineRule="auto"/>
        <w:rPr>
          <w:sz w:val="20"/>
          <w:szCs w:val="20"/>
          <w:color w:val="auto"/>
        </w:rPr>
      </w:pPr>
      <w:r>
        <w:rPr>
          <w:rFonts w:ascii="Courier New" w:cs="Courier New" w:eastAsia="Courier New" w:hAnsi="Courier New"/>
          <w:sz w:val="14"/>
          <w:szCs w:val="14"/>
          <w:color w:val="auto"/>
        </w:rPr>
        <w:t>SECTION 4.7. ACCEPTANCE AND NOTICE BY BORROWER AND ADMINISTRATIVE AGENT. Not later than 11:00 a.m. (New York time) on (x) the third Eurodollar Business Day prior to the proposed Drawdown Date, in the case of a Eurodollar Competitive Bid Loan or (y) the proposed Drawdown Date, in the case of an Absolute Competitive Bid Loan, the Borrower shall notify the Administrative Agent of its acceptance or non-acceptance of each Competitive Bid Quote in substantially the form of Exhibit K hereto. The Borrower may accept any Competitive Bid Quote in whole or in part; provided that:</w:t>
      </w:r>
    </w:p>
    <w:p>
      <w:pPr>
        <w:spacing w:after="0" w:line="66" w:lineRule="exact"/>
        <w:rPr>
          <w:sz w:val="20"/>
          <w:szCs w:val="20"/>
          <w:color w:val="auto"/>
        </w:rPr>
      </w:pPr>
    </w:p>
    <w:p>
      <w:pPr>
        <w:ind w:left="845" w:right="3159" w:firstLine="830"/>
        <w:spacing w:after="0" w:line="289" w:lineRule="auto"/>
        <w:tabs>
          <w:tab w:leader="none" w:pos="2054"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principal amount of each Competitive Bid Loan may not exceed the applicable amount set forth in the related Competitive Bid Quote Request;</w:t>
      </w:r>
    </w:p>
    <w:p>
      <w:pPr>
        <w:sectPr>
          <w:pgSz w:w="11900" w:h="16838" w:orient="portrait"/>
          <w:cols w:equalWidth="0" w:num="1">
            <w:col w:w="10224"/>
          </w:cols>
          <w:pgMar w:left="235" w:top="269"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6"/>
          <w:szCs w:val="16"/>
          <w:color w:val="auto"/>
        </w:rPr>
        <w:t>37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-31-</w:t>
      </w:r>
    </w:p>
    <w:p>
      <w:pPr>
        <w:spacing w:after="0" w:line="327" w:lineRule="exact"/>
        <w:rPr>
          <w:sz w:val="20"/>
          <w:szCs w:val="20"/>
          <w:color w:val="auto"/>
        </w:rPr>
      </w:pPr>
    </w:p>
    <w:p>
      <w:pPr>
        <w:ind w:left="840" w:right="2779" w:firstLine="830"/>
        <w:spacing w:after="0" w:line="289" w:lineRule="auto"/>
        <w:tabs>
          <w:tab w:leader="none" w:pos="2142"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acceptance of offers may only be made on the basis of ascending Competitive Bid Margins or Competitive Bid Rates, as the case may be, and</w:t>
      </w:r>
    </w:p>
    <w:p>
      <w:pPr>
        <w:spacing w:after="0" w:line="60" w:lineRule="exact"/>
        <w:rPr>
          <w:rFonts w:ascii="Courier New" w:cs="Courier New" w:eastAsia="Courier New" w:hAnsi="Courier New"/>
          <w:sz w:val="16"/>
          <w:szCs w:val="16"/>
          <w:color w:val="auto"/>
        </w:rPr>
      </w:pPr>
    </w:p>
    <w:p>
      <w:pPr>
        <w:ind w:left="840" w:right="2879" w:firstLine="830"/>
        <w:spacing w:after="0" w:line="289" w:lineRule="auto"/>
        <w:tabs>
          <w:tab w:leader="none" w:pos="2235" w:val="left"/>
        </w:tabs>
        <w:numPr>
          <w:ilvl w:val="0"/>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not accept any offer that is described in subsection 4.5(c) or that otherwise fails to comply with the requirements of this Agreement.</w:t>
      </w:r>
    </w:p>
    <w:p>
      <w:pPr>
        <w:spacing w:after="0" w:line="61" w:lineRule="exact"/>
        <w:rPr>
          <w:sz w:val="20"/>
          <w:szCs w:val="20"/>
          <w:color w:val="auto"/>
        </w:rPr>
      </w:pPr>
    </w:p>
    <w:p>
      <w:pPr>
        <w:ind w:right="2779"/>
        <w:spacing w:after="0" w:line="296" w:lineRule="auto"/>
        <w:rPr>
          <w:sz w:val="20"/>
          <w:szCs w:val="20"/>
          <w:color w:val="auto"/>
        </w:rPr>
      </w:pPr>
      <w:r>
        <w:rPr>
          <w:rFonts w:ascii="Courier New" w:cs="Courier New" w:eastAsia="Courier New" w:hAnsi="Courier New"/>
          <w:sz w:val="14"/>
          <w:szCs w:val="14"/>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62" w:lineRule="exact"/>
        <w:rPr>
          <w:sz w:val="20"/>
          <w:szCs w:val="20"/>
          <w:color w:val="auto"/>
        </w:rPr>
      </w:pPr>
    </w:p>
    <w:p>
      <w:pPr>
        <w:ind w:right="2879" w:firstLine="837"/>
        <w:spacing w:after="0" w:line="247" w:lineRule="auto"/>
        <w:rPr>
          <w:sz w:val="20"/>
          <w:szCs w:val="20"/>
          <w:color w:val="auto"/>
        </w:rPr>
      </w:pPr>
      <w:r>
        <w:rPr>
          <w:rFonts w:ascii="Courier New" w:cs="Courier New" w:eastAsia="Courier New" w:hAnsi="Courier New"/>
          <w:sz w:val="16"/>
          <w:szCs w:val="16"/>
          <w:color w:val="auto"/>
        </w:rPr>
        <w:t>SECTION 4.8. ALLOCATION BY ADMINISTRATIVE AGENT. If offers are made by two or more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95"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SECTION 4.9. FUNDING OF COMPETITIVE BID LOANS. If, on or prior to the Drawdown Date of any Competitive Bid Loan, the Total Commitment has not terminated in full and if, on such Drawdown Date, the applicable conditions of Section Sections 11 and 12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90"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SECTION 4.10. FUNDING LOSSES. If, after acceptance of any Competitive Bid Quote pursuant to Section 4, the Borrower (i) fails to borrow any Competitive Bid Loan so accepted on the 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Section 6.7.</w:t>
      </w:r>
    </w:p>
    <w:p>
      <w:pPr>
        <w:spacing w:after="0" w:line="95"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4.11. REPAYMENT OF COMPETITIVE BID LOANS; INTEREST. The principal of each Competitive Bid Loan shall become absolutely due and payable by the Borrower on the last day of the Interest Period relating 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w:t>
      </w:r>
    </w:p>
    <w:p>
      <w:pPr>
        <w:sectPr>
          <w:pgSz w:w="11900" w:h="16838" w:orient="portrait"/>
          <w:cols w:equalWidth="0" w:num="1">
            <w:col w:w="10219"/>
          </w:cols>
          <w:pgMar w:left="240" w:top="269"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6"/>
          <w:szCs w:val="16"/>
          <w:color w:val="auto"/>
        </w:rPr>
        <w:t>38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-32-</w:t>
      </w:r>
    </w:p>
    <w:p>
      <w:pPr>
        <w:spacing w:after="0" w:line="327" w:lineRule="exact"/>
        <w:rPr>
          <w:sz w:val="20"/>
          <w:szCs w:val="20"/>
          <w:color w:val="auto"/>
        </w:rPr>
      </w:pPr>
    </w:p>
    <w:p>
      <w:pPr>
        <w:ind w:right="2779"/>
        <w:spacing w:after="0" w:line="250" w:lineRule="auto"/>
        <w:rPr>
          <w:sz w:val="20"/>
          <w:szCs w:val="20"/>
          <w:color w:val="auto"/>
        </w:rPr>
      </w:pPr>
      <w:r>
        <w:rPr>
          <w:rFonts w:ascii="Courier New" w:cs="Courier New" w:eastAsia="Courier New" w:hAnsi="Courier New"/>
          <w:sz w:val="16"/>
          <w:szCs w:val="16"/>
          <w:color w:val="auto"/>
        </w:rPr>
        <w:t>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Revolving Credit Maturity Date for all Revolving Credit Loans. Subject to the terms of this Agreement, the Borrower may make Competitive Bid Quote Requests with respect to new borrowings of any amounts so repaid prior to the Revolving Credit Maturity Date.</w:t>
      </w:r>
    </w:p>
    <w:p>
      <w:pPr>
        <w:spacing w:after="0" w:line="9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5. THE TERM LOAN.</w:t>
      </w:r>
    </w:p>
    <w:p>
      <w:pPr>
        <w:spacing w:after="0" w:line="177" w:lineRule="exact"/>
        <w:rPr>
          <w:sz w:val="20"/>
          <w:szCs w:val="20"/>
          <w:color w:val="auto"/>
        </w:rPr>
      </w:pPr>
    </w:p>
    <w:p>
      <w:pPr>
        <w:ind w:right="2779" w:firstLine="837"/>
        <w:spacing w:after="0" w:line="278" w:lineRule="auto"/>
        <w:rPr>
          <w:sz w:val="20"/>
          <w:szCs w:val="20"/>
          <w:color w:val="auto"/>
        </w:rPr>
      </w:pPr>
      <w:r>
        <w:rPr>
          <w:rFonts w:ascii="Courier New" w:cs="Courier New" w:eastAsia="Courier New" w:hAnsi="Courier New"/>
          <w:sz w:val="14"/>
          <w:szCs w:val="14"/>
          <w:color w:val="auto"/>
        </w:rPr>
        <w:t>SECTION 5.1. CONVERSION OF REVOLVING CREDIT LOANS; THE TERM LOAN. Upon three (3) days prior written notice to the Administrative Agent and the Banks, and subject to the terms and conditions set forth in this Agreement, including, without limitation, the satisfaction of the conditions set forth in Section 12 hereof and the execution and delivery by the Borrower of the Term Notes to the Banks, on the Revolving Credit Maturity Date the aggregate amount of the outstanding Revolving Credit Loans at such date shall, at the option of the Borrower, be converted into a Term Loan in the aggregate principal amount equal to the aggregate outstanding principal balance of the Revolving Credit Loans on such date, held severally by the Banks in accordance with their Commitment Percentages and the Commitments hereunder shall terminate. The Term Loan outstanding after conversion shall be evidenced by the separate Term Notes (the "Term Notes") of the Borrower payable to the order of each Bank, each dated as of the Revolving Credit Maturity Date and in substantially the form of Exhibit L hereto, completed with appropriate insertions. On the Revolving Credit Maturity Date, the Borrower shall pay to the Administrative Agent for the pro rata accounts of the Banks, all interest accrued to such date on the Revolving Credit Loans, any Facility Fees and other fees payable to the Administrative Agent and the Banks hereunder and, as soon as reasonably practicable after such payment, each Bank shall surrender to the Borrower its Revolving Credit Note against receipt of its Term Note evidencing the amount of the outstanding Revolving Credit Loans so converted.</w:t>
      </w:r>
    </w:p>
    <w:p>
      <w:pPr>
        <w:spacing w:after="0" w:line="200" w:lineRule="exact"/>
        <w:rPr>
          <w:sz w:val="20"/>
          <w:szCs w:val="20"/>
          <w:color w:val="auto"/>
        </w:rPr>
      </w:pPr>
    </w:p>
    <w:p>
      <w:pPr>
        <w:spacing w:after="0" w:line="240"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SECTION 5.2. THE TERM NOTES. Each Term Note shall represent the obligation of the Borrower to pay to such Bank the principal amount of the Term Loan evidenced by the Term Note plus interest accrued thereon, as set forth below. The Borrower irrevocably authorizes each Bank to make or cause to be made a notation on such Bank's Term Note Record reflecting the original principal amount of such Bank's Commitment Percentage of the Term Loan and, at or about the time of such Bank's receipt of any principal payment on such Bank's Term Note, an appropriate notation on such Bank's Term Note Record reflecting such payment. The aggregate unpaid amount set forth on such Bank's Term Note Record shall be prima facie evidence of the principal amount thereof owing and unpaid to such Bank, but the failure to record, or any error in so recording, any such amount on such Bank's Term Note Record shall not affect the obligations of the Borrower hereunder or under any Term Note to make payments of principal of and interest on any Term Note when due.</w:t>
      </w:r>
    </w:p>
    <w:p>
      <w:pPr>
        <w:spacing w:after="0" w:line="93"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5.3. REPAYMENTS OF THE TERM LOAN. The Borrower promises to pay to the Administrative Agent for the account of the Banks the principal amount of the Term Loan on the Term Loan Maturity Date in an amount equal to the unpaid balance of the Term Loan, together with all accrued interest and fees on such date.</w:t>
      </w:r>
    </w:p>
    <w:p>
      <w:pPr>
        <w:sectPr>
          <w:pgSz w:w="11900" w:h="16838" w:orient="portrait"/>
          <w:cols w:equalWidth="0" w:num="1">
            <w:col w:w="10219"/>
          </w:cols>
          <w:pgMar w:left="240" w:top="269"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6"/>
          <w:szCs w:val="16"/>
          <w:color w:val="auto"/>
        </w:rPr>
        <w:t>39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-33-</w:t>
      </w:r>
    </w:p>
    <w:p>
      <w:pPr>
        <w:spacing w:after="0" w:line="327" w:lineRule="exact"/>
        <w:rPr>
          <w:sz w:val="20"/>
          <w:szCs w:val="20"/>
          <w:color w:val="auto"/>
        </w:rPr>
      </w:pPr>
    </w:p>
    <w:p>
      <w:pPr>
        <w:ind w:right="2879" w:firstLine="837"/>
        <w:spacing w:after="0" w:line="282" w:lineRule="auto"/>
        <w:rPr>
          <w:sz w:val="20"/>
          <w:szCs w:val="20"/>
          <w:color w:val="auto"/>
        </w:rPr>
      </w:pPr>
      <w:r>
        <w:rPr>
          <w:rFonts w:ascii="Courier New" w:cs="Courier New" w:eastAsia="Courier New" w:hAnsi="Courier New"/>
          <w:sz w:val="14"/>
          <w:szCs w:val="14"/>
          <w:color w:val="auto"/>
        </w:rPr>
        <w:t>SECTION 5.4. OPTIONAL PREPAYMENT OF TERM LOAN. The Borrower shall have the right at any time to prepay the Term Loan on or before the Term Loan Maturity Date, as a whole, or in part, upon not less than one (1) Business Day prior written notice to the Administrative Agent, without premium or penalty, provided that (a) each partial prepayment shall be in the principal amount of $5,000,000 or an integral multiple thereof, (b) any portion of any Eurodollar Loan which has been prepaid on any day other than the last day of the Interest Period relating thereto shall be subject to the payment by the Borrower of any applicable costs associated with such prepayment as set forth in Section 6.7 hereof, and (c) each partial prepayment shall be allocated among the Banks, in proportion, as nearly as practicable, to the respective outstanding amount of each Bank's Term Note, with adjustments to the extent practicable to equalize any prior prepayments not exactly in proportion. Any prepayment of principal of the Term Loan shall include all interest accrued on such amount to the date of prepayment. No amount repaid with respect to the Term Loan may be reborrowed.</w:t>
      </w:r>
    </w:p>
    <w:p>
      <w:pPr>
        <w:spacing w:after="0" w:line="25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5.5. INTEREST ON TERM LOAN.</w:t>
      </w:r>
    </w:p>
    <w:p>
      <w:pPr>
        <w:spacing w:after="0" w:line="177" w:lineRule="exact"/>
        <w:rPr>
          <w:sz w:val="20"/>
          <w:szCs w:val="20"/>
          <w:color w:val="auto"/>
        </w:rPr>
      </w:pPr>
    </w:p>
    <w:p>
      <w:pPr>
        <w:ind w:left="840" w:right="2779" w:firstLine="837"/>
        <w:spacing w:after="0" w:line="248" w:lineRule="auto"/>
        <w:rPr>
          <w:sz w:val="20"/>
          <w:szCs w:val="20"/>
          <w:color w:val="auto"/>
        </w:rPr>
      </w:pPr>
      <w:r>
        <w:rPr>
          <w:rFonts w:ascii="Courier New" w:cs="Courier New" w:eastAsia="Courier New" w:hAnsi="Courier New"/>
          <w:sz w:val="16"/>
          <w:szCs w:val="16"/>
          <w:color w:val="auto"/>
        </w:rPr>
        <w:t>SECTION 5.5.1. NOTIFICATION BY BORROWER. The Borrower shall notify the Administrative Agent, such notice to be irrevocable, at least three (3) Eurodollar Business Days prior to the Drawdown Date of the Term Loan if all or any portion of the Term Loan is to be a Eurodollar Loan. After the Term Loan has been made, the provisions of Section 2 shall apply mutatis mutandis with respect to all or any portion of the Term Loan so that the Borrower may have the same interest rate options and interest rates with respect to all or any portion of the Term Loan as it would be entitled to with respect to the Syndicated Loans.</w:t>
      </w:r>
    </w:p>
    <w:p>
      <w:pPr>
        <w:spacing w:after="0" w:line="95" w:lineRule="exact"/>
        <w:rPr>
          <w:sz w:val="20"/>
          <w:szCs w:val="20"/>
          <w:color w:val="auto"/>
        </w:rPr>
      </w:pPr>
    </w:p>
    <w:p>
      <w:pPr>
        <w:ind w:left="840" w:right="2879" w:firstLine="837"/>
        <w:spacing w:after="0" w:line="258" w:lineRule="auto"/>
        <w:rPr>
          <w:sz w:val="20"/>
          <w:szCs w:val="20"/>
          <w:color w:val="auto"/>
        </w:rPr>
      </w:pPr>
      <w:r>
        <w:rPr>
          <w:rFonts w:ascii="Courier New" w:cs="Courier New" w:eastAsia="Courier New" w:hAnsi="Courier New"/>
          <w:sz w:val="16"/>
          <w:szCs w:val="16"/>
          <w:color w:val="auto"/>
        </w:rPr>
        <w:t>SECTION 5.5.2. AMOUNTS, ETC. Any portion of the Term Loan which is a Eurodollar Loan relating to any Interest Period shall be in the amount of $5,000,000 or a whole multiple or $1,000,000 in excess thereof. No Interest Period relating to the Term Loan or any portion thereof which is a Eurodollar Loan shall extend beyond the Term Loan Maturity Date.</w:t>
      </w:r>
    </w:p>
    <w:p>
      <w:pPr>
        <w:spacing w:after="0" w:line="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6. PROVISIONS RELATING TO ALL LOANS AND LETTERS OF CREDIT.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6.1. PAYMENTS.</w:t>
      </w:r>
    </w:p>
    <w:p>
      <w:pPr>
        <w:spacing w:after="0" w:line="177" w:lineRule="exact"/>
        <w:rPr>
          <w:sz w:val="20"/>
          <w:szCs w:val="20"/>
          <w:color w:val="auto"/>
        </w:rPr>
      </w:pPr>
    </w:p>
    <w:p>
      <w:pPr>
        <w:ind w:left="840" w:right="2779" w:firstLine="830"/>
        <w:spacing w:after="0" w:line="280" w:lineRule="auto"/>
        <w:tabs>
          <w:tab w:leader="none" w:pos="204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of principal, interest, Reimbursement Obligations, fees (other than the Issuance Fee) and any other amounts due hereunder or under any of the other Loan Documents shall be made to the Administrative Agent at its Loan Office in immediately available funds by 11:00 a.m. (New York time) on any due date. Subject to the provisions of Section 30,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Letters of Credit and the Term Loan, (2) the Administrative Agent in the case of payments with respect to Swing Line Loans, and (3) the appropriate Bank(s), in the case of payments with respect to Competitive Bid Loans. If such payment is received by the Administrative Agent after 1:00 p.m. (New York time) on any Business Day, such</w:t>
      </w:r>
    </w:p>
    <w:p>
      <w:pPr>
        <w:sectPr>
          <w:pgSz w:w="11900" w:h="16838" w:orient="portrait"/>
          <w:cols w:equalWidth="0" w:num="1">
            <w:col w:w="10219"/>
          </w:cols>
          <w:pgMar w:left="240" w:top="269"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6"/>
          <w:szCs w:val="16"/>
          <w:color w:val="auto"/>
        </w:rPr>
        <w:t>40</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-34-</w:t>
      </w:r>
    </w:p>
    <w:p>
      <w:pPr>
        <w:spacing w:after="0" w:line="327" w:lineRule="exact"/>
        <w:rPr>
          <w:sz w:val="20"/>
          <w:szCs w:val="20"/>
          <w:color w:val="auto"/>
        </w:rPr>
      </w:pPr>
    </w:p>
    <w:p>
      <w:pPr>
        <w:ind w:left="560" w:right="2879"/>
        <w:spacing w:after="0" w:line="276" w:lineRule="auto"/>
        <w:rPr>
          <w:sz w:val="20"/>
          <w:szCs w:val="20"/>
          <w:color w:val="auto"/>
        </w:rPr>
      </w:pPr>
      <w:r>
        <w:rPr>
          <w:rFonts w:ascii="Courier New" w:cs="Courier New" w:eastAsia="Courier New" w:hAnsi="Courier New"/>
          <w:sz w:val="14"/>
          <w:szCs w:val="14"/>
          <w:color w:val="auto"/>
        </w:rPr>
        <w:t>transfer shall be made by the Administrative Agent to the applicable Bank(s) on the next Business Day. In the event that the Administrative Agent fails to make such transfer to any Bank as set forth above, the Administrative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Commitment Percentage of such payment in the case of payments under clause (1) above, or (B)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w:t>
      </w:r>
    </w:p>
    <w:p>
      <w:pPr>
        <w:spacing w:after="0" w:line="158" w:lineRule="exact"/>
        <w:rPr>
          <w:sz w:val="20"/>
          <w:szCs w:val="20"/>
          <w:color w:val="auto"/>
        </w:rPr>
      </w:pPr>
    </w:p>
    <w:p>
      <w:pPr>
        <w:ind w:left="560" w:right="2879" w:hanging="7"/>
        <w:spacing w:after="0" w:line="259" w:lineRule="auto"/>
        <w:tabs>
          <w:tab w:leader="none" w:pos="1025" w:val="left"/>
        </w:tabs>
        <w:numPr>
          <w:ilvl w:val="0"/>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statement of such Bank submitted to the applicable Administrative Agent with respect to any amounts owing under this paragraph shall be prima facie evidence of the amount due and owing to such Bank by the Administrative Agent.</w:t>
      </w:r>
    </w:p>
    <w:p>
      <w:pPr>
        <w:spacing w:after="0" w:line="84" w:lineRule="exact"/>
        <w:rPr>
          <w:rFonts w:ascii="Courier New" w:cs="Courier New" w:eastAsia="Courier New" w:hAnsi="Courier New"/>
          <w:sz w:val="16"/>
          <w:szCs w:val="16"/>
          <w:color w:val="auto"/>
        </w:rPr>
      </w:pPr>
    </w:p>
    <w:p>
      <w:pPr>
        <w:ind w:left="560" w:right="2779" w:firstLine="830"/>
        <w:spacing w:after="0" w:line="278" w:lineRule="auto"/>
        <w:tabs>
          <w:tab w:leader="none" w:pos="1769"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by the Borrower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is compelled by law to make such deduction or withholding. If any such obligation is imposed upon the Borrower with respect to any amount payable by it hereunder or under any of the other Loan Documents, the Borrower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The Borrower will deliver promptly to the Administrative Agent certificates or other valid vouchers for all taxes or other charges deducted from or paid with respect to payments made by the Borrower hereunder or under such other Loan Document.</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560" w:right="2779" w:firstLine="830"/>
        <w:spacing w:after="0" w:line="282" w:lineRule="auto"/>
        <w:tabs>
          <w:tab w:leader="none" w:pos="1769" w:val="left"/>
        </w:tabs>
        <w:numPr>
          <w:ilvl w:val="1"/>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w:t>
      </w:r>
    </w:p>
    <w:p>
      <w:pPr>
        <w:sectPr>
          <w:pgSz w:w="11900" w:h="16838" w:orient="portrait"/>
          <w:cols w:equalWidth="0" w:num="1">
            <w:col w:w="9939"/>
          </w:cols>
          <w:pgMar w:left="520" w:top="269" w:right="1440" w:bottom="1440" w:gutter="0" w:footer="0" w:header="0"/>
        </w:sectPr>
      </w:pPr>
    </w:p>
    <w:bookmarkStart w:id="217" w:name="page218"/>
    <w:bookmarkEnd w:id="217"/>
    <w:p>
      <w:pPr>
        <w:ind w:left="280"/>
        <w:spacing w:after="0"/>
        <w:rPr>
          <w:sz w:val="20"/>
          <w:szCs w:val="20"/>
          <w:color w:val="auto"/>
        </w:rPr>
      </w:pPr>
      <w:r>
        <w:rPr>
          <w:rFonts w:ascii="Courier New" w:cs="Courier New" w:eastAsia="Courier New" w:hAnsi="Courier New"/>
          <w:sz w:val="16"/>
          <w:szCs w:val="16"/>
          <w:color w:val="auto"/>
        </w:rPr>
        <w:t>41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-35-</w:t>
      </w:r>
    </w:p>
    <w:p>
      <w:pPr>
        <w:spacing w:after="0" w:line="327" w:lineRule="exact"/>
        <w:rPr>
          <w:sz w:val="20"/>
          <w:szCs w:val="20"/>
          <w:color w:val="auto"/>
        </w:rPr>
      </w:pPr>
    </w:p>
    <w:p>
      <w:pPr>
        <w:ind w:left="840" w:right="2879"/>
        <w:spacing w:after="0" w:line="244" w:lineRule="auto"/>
        <w:rPr>
          <w:sz w:val="20"/>
          <w:szCs w:val="20"/>
          <w:color w:val="auto"/>
        </w:rPr>
      </w:pPr>
      <w:r>
        <w:rPr>
          <w:rFonts w:ascii="Courier New" w:cs="Courier New" w:eastAsia="Courier New" w:hAnsi="Courier New"/>
          <w:sz w:val="16"/>
          <w:szCs w:val="16"/>
          <w:color w:val="auto"/>
        </w:rPr>
        <w:t>form expires or becomes obsolete or after the occurrence of any event requiring a change in the most recent form previously delivered by it to the Borrower, and such extensions or renewals thereof as may reasonably be requested by the Borrower, certifying in the case of a Form W-8BEN or W-8ECI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98" w:lineRule="exact"/>
        <w:rPr>
          <w:sz w:val="20"/>
          <w:szCs w:val="20"/>
          <w:color w:val="auto"/>
        </w:rPr>
      </w:pPr>
    </w:p>
    <w:p>
      <w:pPr>
        <w:ind w:left="840" w:right="2779" w:firstLine="830"/>
        <w:spacing w:after="0" w:line="278" w:lineRule="auto"/>
        <w:tabs>
          <w:tab w:leader="none" w:pos="204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not be required to pay any additional amounts to any Non-U.S. Bank in respect of United States Federal withholding tax pursuant to Section 18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Borrower;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pacing w:after="0" w:line="261" w:lineRule="exact"/>
        <w:rPr>
          <w:rFonts w:ascii="Courier New" w:cs="Courier New" w:eastAsia="Courier New" w:hAnsi="Courier New"/>
          <w:sz w:val="14"/>
          <w:szCs w:val="14"/>
          <w:color w:val="auto"/>
        </w:rPr>
      </w:pPr>
    </w:p>
    <w:p>
      <w:pPr>
        <w:ind w:left="840" w:right="2879" w:firstLine="830"/>
        <w:spacing w:after="0" w:line="301" w:lineRule="auto"/>
        <w:tabs>
          <w:tab w:leader="none" w:pos="204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each Bank agrees to use reasonable efforts (consistent with legal and regulatory restrictions) to change its lending office to avoid or to minimize any amounts otherwise payable under Section 18 in each case solely if such change can be made in a manner so that such Bank, in its sole determination, suffers no legal, economic or regulatory disadvantage.</w:t>
      </w:r>
    </w:p>
    <w:p>
      <w:pPr>
        <w:spacing w:after="0" w:line="59" w:lineRule="exact"/>
        <w:rPr>
          <w:sz w:val="20"/>
          <w:szCs w:val="20"/>
          <w:color w:val="auto"/>
        </w:rPr>
      </w:pPr>
    </w:p>
    <w:p>
      <w:pPr>
        <w:ind w:right="2779" w:firstLine="837"/>
        <w:spacing w:after="0" w:line="288" w:lineRule="auto"/>
        <w:rPr>
          <w:sz w:val="20"/>
          <w:szCs w:val="20"/>
          <w:color w:val="auto"/>
        </w:rPr>
      </w:pPr>
      <w:r>
        <w:rPr>
          <w:rFonts w:ascii="Courier New" w:cs="Courier New" w:eastAsia="Courier New" w:hAnsi="Courier New"/>
          <w:sz w:val="14"/>
          <w:szCs w:val="14"/>
          <w:color w:val="auto"/>
        </w:rPr>
        <w:t>SECTION 6.2. COMPUTATIONS. Except as otherwise expressly provided herein, all computations of interest, Facility Fees, Letter of Credit Fees or other fees shall be based on a 360-day year and paid for the actual number of days elapsed, except that computations based on the Base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w:t>
      </w:r>
    </w:p>
    <w:p>
      <w:pPr>
        <w:sectPr>
          <w:pgSz w:w="11900" w:h="16838" w:orient="portrait"/>
          <w:cols w:equalWidth="0" w:num="1">
            <w:col w:w="10219"/>
          </w:cols>
          <w:pgMar w:left="240" w:top="269"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6"/>
          <w:szCs w:val="16"/>
          <w:color w:val="auto"/>
        </w:rPr>
        <w:t>42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-36-</w:t>
      </w:r>
    </w:p>
    <w:p>
      <w:pPr>
        <w:spacing w:after="0" w:line="327" w:lineRule="exact"/>
        <w:rPr>
          <w:sz w:val="20"/>
          <w:szCs w:val="20"/>
          <w:color w:val="auto"/>
        </w:rPr>
      </w:pPr>
    </w:p>
    <w:p>
      <w:pPr>
        <w:jc w:val="both"/>
        <w:ind w:right="2959"/>
        <w:spacing w:after="0" w:line="289" w:lineRule="auto"/>
        <w:rPr>
          <w:sz w:val="20"/>
          <w:szCs w:val="20"/>
          <w:color w:val="auto"/>
        </w:rPr>
      </w:pPr>
      <w:r>
        <w:rPr>
          <w:rFonts w:ascii="Courier New" w:cs="Courier New" w:eastAsia="Courier New" w:hAnsi="Courier New"/>
          <w:sz w:val="16"/>
          <w:szCs w:val="16"/>
          <w:color w:val="auto"/>
        </w:rPr>
        <w:t>next succeeding calendar month or after the Revolving Credit Maturity Date, or Term Loan Maturity Date, as the case may be, it shall be deemed to end on the next preceding Business Day.</w:t>
      </w:r>
    </w:p>
    <w:p>
      <w:pPr>
        <w:spacing w:after="0" w:line="61" w:lineRule="exact"/>
        <w:rPr>
          <w:sz w:val="20"/>
          <w:szCs w:val="20"/>
          <w:color w:val="auto"/>
        </w:rPr>
      </w:pPr>
    </w:p>
    <w:p>
      <w:pPr>
        <w:ind w:right="2779" w:firstLine="837"/>
        <w:spacing w:after="0" w:line="276" w:lineRule="auto"/>
        <w:rPr>
          <w:sz w:val="20"/>
          <w:szCs w:val="20"/>
          <w:color w:val="auto"/>
        </w:rPr>
      </w:pPr>
      <w:r>
        <w:rPr>
          <w:rFonts w:ascii="Courier New" w:cs="Courier New" w:eastAsia="Courier New" w:hAnsi="Courier New"/>
          <w:sz w:val="14"/>
          <w:szCs w:val="14"/>
          <w:color w:val="auto"/>
        </w:rPr>
        <w:t>SECTION 6.3. ILLEGALITY; INABILITY TO DETERMINE EURODOLLAR RATE. Notwithstanding any other provision of this Agreement (other than Section 6.9), if (a) the introduction of, any change in, or any change in the interpretation of, any law or regulation applicable to any Bank or the Administrative Agent shall make it unlawful, or any central bank or other governmental authority having jurisdiction thereof shall assert that it is unlawful, for any Bank or the Administrative Agent to perform its obligations in respect of any Eurodollar Loans, or (b) if any Bank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the Administrative Agent in any Eurodollar interbank market, or (iii) the Eurodollar Rate does not or will not accurately reflect the cost to the Bank or the Administrative Agent of obtaining or maintaining the Eurodollar Loans during any Interest Period, then such Bank or the Administrative Agent shall promptly give telephonic, telex or cable notice of such determination to the Borrower (which notice shall be conclusive and binding upon the Borrower). Upon such notification by the Bank or the Administrative Agent, the obligation of the Banks and the Administrative Agent to make Eurodollar Loans shall be suspended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200" w:lineRule="exact"/>
        <w:rPr>
          <w:sz w:val="20"/>
          <w:szCs w:val="20"/>
          <w:color w:val="auto"/>
        </w:rPr>
      </w:pPr>
    </w:p>
    <w:p>
      <w:pPr>
        <w:spacing w:after="0" w:line="249"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6.4.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94" w:lineRule="exact"/>
        <w:rPr>
          <w:sz w:val="20"/>
          <w:szCs w:val="20"/>
          <w:color w:val="auto"/>
        </w:rPr>
      </w:pPr>
    </w:p>
    <w:p>
      <w:pPr>
        <w:ind w:left="840" w:right="2779" w:firstLine="830"/>
        <w:spacing w:after="0" w:line="301" w:lineRule="auto"/>
        <w:tabs>
          <w:tab w:leader="none" w:pos="2049"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58" w:lineRule="exact"/>
        <w:rPr>
          <w:rFonts w:ascii="Courier New" w:cs="Courier New" w:eastAsia="Courier New" w:hAnsi="Courier New"/>
          <w:sz w:val="14"/>
          <w:szCs w:val="14"/>
          <w:color w:val="auto"/>
        </w:rPr>
      </w:pPr>
    </w:p>
    <w:p>
      <w:pPr>
        <w:ind w:left="840" w:right="2779" w:firstLine="830"/>
        <w:spacing w:after="0" w:line="258" w:lineRule="auto"/>
        <w:tabs>
          <w:tab w:leader="none" w:pos="2049"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ectPr>
          <w:pgSz w:w="11900" w:h="16838" w:orient="portrait"/>
          <w:cols w:equalWidth="0" w:num="1">
            <w:col w:w="10219"/>
          </w:cols>
          <w:pgMar w:left="240" w:top="269" w:right="1440" w:bottom="1440" w:gutter="0" w:footer="0" w:header="0"/>
        </w:sectPr>
      </w:pPr>
    </w:p>
    <w:bookmarkStart w:id="219" w:name="page220"/>
    <w:bookmarkEnd w:id="219"/>
    <w:p>
      <w:pPr>
        <w:ind w:left="280"/>
        <w:spacing w:after="0"/>
        <w:rPr>
          <w:sz w:val="20"/>
          <w:szCs w:val="20"/>
          <w:color w:val="auto"/>
        </w:rPr>
      </w:pPr>
      <w:r>
        <w:rPr>
          <w:rFonts w:ascii="Courier New" w:cs="Courier New" w:eastAsia="Courier New" w:hAnsi="Courier New"/>
          <w:sz w:val="16"/>
          <w:szCs w:val="16"/>
          <w:color w:val="auto"/>
        </w:rPr>
        <w:t>43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-37-</w:t>
      </w:r>
    </w:p>
    <w:p>
      <w:pPr>
        <w:spacing w:after="0" w:line="327" w:lineRule="exact"/>
        <w:rPr>
          <w:sz w:val="20"/>
          <w:szCs w:val="20"/>
          <w:color w:val="auto"/>
        </w:rPr>
      </w:pPr>
    </w:p>
    <w:p>
      <w:pPr>
        <w:ind w:left="840" w:right="2779" w:firstLine="830"/>
        <w:spacing w:after="0" w:line="288" w:lineRule="auto"/>
        <w:tabs>
          <w:tab w:leader="none" w:pos="2049"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6.5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254" w:lineRule="exact"/>
        <w:rPr>
          <w:rFonts w:ascii="Courier New" w:cs="Courier New" w:eastAsia="Courier New" w:hAnsi="Courier New"/>
          <w:sz w:val="14"/>
          <w:szCs w:val="14"/>
          <w:color w:val="auto"/>
        </w:rPr>
      </w:pPr>
    </w:p>
    <w:p>
      <w:pPr>
        <w:ind w:left="840" w:right="2779" w:firstLine="830"/>
        <w:spacing w:after="0" w:line="263" w:lineRule="auto"/>
        <w:tabs>
          <w:tab w:leader="none" w:pos="2049"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80" w:lineRule="exact"/>
        <w:rPr>
          <w:rFonts w:ascii="Courier New" w:cs="Courier New" w:eastAsia="Courier New" w:hAnsi="Courier New"/>
          <w:sz w:val="16"/>
          <w:szCs w:val="16"/>
          <w:color w:val="auto"/>
        </w:rPr>
      </w:pPr>
    </w:p>
    <w:p>
      <w:pPr>
        <w:ind w:left="1660" w:right="2779" w:firstLine="847"/>
        <w:spacing w:after="0" w:line="272" w:lineRule="auto"/>
        <w:tabs>
          <w:tab w:leader="none" w:pos="2869"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increase the cost to such Bank of making, funding, issuing, renewing, extending or maintaining the Loans or such Bank's Commitment or issuing or participating in Letters of Credit;</w:t>
      </w:r>
    </w:p>
    <w:p>
      <w:pPr>
        <w:spacing w:after="0" w:line="72" w:lineRule="exact"/>
        <w:rPr>
          <w:rFonts w:ascii="Courier New" w:cs="Courier New" w:eastAsia="Courier New" w:hAnsi="Courier New"/>
          <w:sz w:val="16"/>
          <w:szCs w:val="16"/>
          <w:color w:val="auto"/>
        </w:rPr>
      </w:pPr>
    </w:p>
    <w:p>
      <w:pPr>
        <w:ind w:left="1660" w:right="2779" w:firstLine="847"/>
        <w:spacing w:after="0" w:line="272" w:lineRule="auto"/>
        <w:tabs>
          <w:tab w:leader="none" w:pos="2962"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reduce the amount of principal, interest or other amount payable to such Bank hereunder on account of such Bank's Commitment, the Loans or the Reimbursement Obligations; or</w:t>
      </w:r>
    </w:p>
    <w:p>
      <w:pPr>
        <w:spacing w:after="0" w:line="72" w:lineRule="exact"/>
        <w:rPr>
          <w:rFonts w:ascii="Courier New" w:cs="Courier New" w:eastAsia="Courier New" w:hAnsi="Courier New"/>
          <w:sz w:val="16"/>
          <w:szCs w:val="16"/>
          <w:color w:val="auto"/>
        </w:rPr>
      </w:pPr>
    </w:p>
    <w:p>
      <w:pPr>
        <w:ind w:left="1660" w:right="2779" w:firstLine="847"/>
        <w:spacing w:after="0" w:line="258" w:lineRule="auto"/>
        <w:tabs>
          <w:tab w:leader="none" w:pos="3055" w:val="left"/>
        </w:tabs>
        <w:numPr>
          <w:ilvl w:val="1"/>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83" w:lineRule="exact"/>
        <w:rPr>
          <w:sz w:val="20"/>
          <w:szCs w:val="20"/>
          <w:color w:val="auto"/>
        </w:rPr>
      </w:pPr>
    </w:p>
    <w:p>
      <w:pPr>
        <w:ind w:left="840" w:right="2779" w:firstLine="837"/>
        <w:spacing w:after="0" w:line="296" w:lineRule="auto"/>
        <w:rPr>
          <w:sz w:val="20"/>
          <w:szCs w:val="20"/>
          <w:color w:val="auto"/>
        </w:rPr>
      </w:pPr>
      <w:r>
        <w:rPr>
          <w:rFonts w:ascii="Courier New" w:cs="Courier New" w:eastAsia="Courier New" w:hAnsi="Courier New"/>
          <w:sz w:val="14"/>
          <w:szCs w:val="14"/>
          <w:color w:val="auto"/>
        </w:rPr>
        <w:t>then, and in each such case, the Borrower will, upon demand made by such Bank at any time and from time to time as often as the occasion therefore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62" w:lineRule="exact"/>
        <w:rPr>
          <w:sz w:val="20"/>
          <w:szCs w:val="20"/>
          <w:color w:val="auto"/>
        </w:rPr>
      </w:pPr>
    </w:p>
    <w:p>
      <w:pPr>
        <w:ind w:right="2779" w:firstLine="837"/>
        <w:spacing w:after="0" w:line="244" w:lineRule="auto"/>
        <w:rPr>
          <w:sz w:val="20"/>
          <w:szCs w:val="20"/>
          <w:color w:val="auto"/>
        </w:rPr>
      </w:pPr>
      <w:r>
        <w:rPr>
          <w:rFonts w:ascii="Courier New" w:cs="Courier New" w:eastAsia="Courier New" w:hAnsi="Courier New"/>
          <w:sz w:val="16"/>
          <w:szCs w:val="16"/>
          <w:color w:val="auto"/>
        </w:rPr>
        <w:t>SECTION 6.5. CAPITAL ADEQUACY. If any Bank shall have determined that, after the date hereof, (a)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or (b) compliance by such Bank or the Administrative Agent or any corporation controlling such Bank or the Administrative Agent with any law, governmental rule, regulation, policy, guideline or directive (whether or not having the force of law and including any determination by such central bank or other governmental authority that for purposes of capital adequacy requirements the Commitments hereunder do not constitute commitments with an original maturity of one year or less) of any such entity regarding capital adequacy, has or would</w:t>
      </w:r>
    </w:p>
    <w:p>
      <w:pPr>
        <w:sectPr>
          <w:pgSz w:w="11900" w:h="16838" w:orient="portrait"/>
          <w:cols w:equalWidth="0" w:num="1">
            <w:col w:w="10219"/>
          </w:cols>
          <w:pgMar w:left="240" w:top="269" w:right="1440" w:bottom="1440" w:gutter="0" w:footer="0" w:header="0"/>
        </w:sectPr>
      </w:pPr>
    </w:p>
    <w:bookmarkStart w:id="220" w:name="page221"/>
    <w:bookmarkEnd w:id="220"/>
    <w:p>
      <w:pPr>
        <w:ind w:left="280"/>
        <w:spacing w:after="0"/>
        <w:rPr>
          <w:sz w:val="20"/>
          <w:szCs w:val="20"/>
          <w:color w:val="auto"/>
        </w:rPr>
      </w:pPr>
      <w:r>
        <w:rPr>
          <w:rFonts w:ascii="Courier New" w:cs="Courier New" w:eastAsia="Courier New" w:hAnsi="Courier New"/>
          <w:sz w:val="16"/>
          <w:szCs w:val="16"/>
          <w:color w:val="auto"/>
        </w:rPr>
        <w:t>44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-38-</w:t>
      </w:r>
    </w:p>
    <w:p>
      <w:pPr>
        <w:spacing w:after="0" w:line="327" w:lineRule="exact"/>
        <w:rPr>
          <w:sz w:val="20"/>
          <w:szCs w:val="20"/>
          <w:color w:val="auto"/>
        </w:rPr>
      </w:pPr>
    </w:p>
    <w:p>
      <w:pPr>
        <w:ind w:right="2779"/>
        <w:spacing w:after="0" w:line="286" w:lineRule="auto"/>
        <w:rPr>
          <w:sz w:val="20"/>
          <w:szCs w:val="20"/>
          <w:color w:val="auto"/>
        </w:rPr>
      </w:pPr>
      <w:r>
        <w:rPr>
          <w:rFonts w:ascii="Courier New" w:cs="Courier New" w:eastAsia="Courier New" w:hAnsi="Courier New"/>
          <w:sz w:val="14"/>
          <w:szCs w:val="14"/>
          <w:color w:val="auto"/>
        </w:rPr>
        <w:t>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257" w:lineRule="exact"/>
        <w:rPr>
          <w:sz w:val="20"/>
          <w:szCs w:val="20"/>
          <w:color w:val="auto"/>
        </w:rPr>
      </w:pPr>
    </w:p>
    <w:p>
      <w:pPr>
        <w:ind w:right="2879" w:firstLine="837"/>
        <w:spacing w:after="0" w:line="298" w:lineRule="auto"/>
        <w:rPr>
          <w:sz w:val="20"/>
          <w:szCs w:val="20"/>
          <w:color w:val="auto"/>
        </w:rPr>
      </w:pPr>
      <w:r>
        <w:rPr>
          <w:rFonts w:ascii="Courier New" w:cs="Courier New" w:eastAsia="Courier New" w:hAnsi="Courier New"/>
          <w:sz w:val="14"/>
          <w:szCs w:val="14"/>
          <w:color w:val="auto"/>
        </w:rPr>
        <w:t>SECTION 6.6. CERTIFICATE. A certificate setting forth the additional amounts payable pursuant to Section 6.4 or Section 6.5 and a reasonable explanation of such amounts which are due, submitted by any Bank to the Borrower, shall be conclusive, absent manifest error, that such amounts are due and owing; provided that no Bank shall be entitled to additional amounts with respect to events or circumstances occurring more than one hundred and twenty (120) days prior to the delivery of such certificate.</w:t>
      </w:r>
    </w:p>
    <w:p>
      <w:pPr>
        <w:spacing w:after="0" w:line="250"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SECTION 6.7. EURODOLLAR AND COMPETITIVE BID INDEMNITY. The Borrower agrees to indemnify the Banks and the Administrative Agent and to hold them harmless from and against any reasonable loss, cost or expense 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after the Borrower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2779" w:firstLine="837"/>
        <w:spacing w:after="0" w:line="289" w:lineRule="auto"/>
        <w:rPr>
          <w:sz w:val="20"/>
          <w:szCs w:val="20"/>
          <w:color w:val="auto"/>
        </w:rPr>
      </w:pPr>
      <w:r>
        <w:rPr>
          <w:rFonts w:ascii="Courier New" w:cs="Courier New" w:eastAsia="Courier New" w:hAnsi="Courier New"/>
          <w:sz w:val="16"/>
          <w:szCs w:val="16"/>
          <w:color w:val="auto"/>
        </w:rPr>
        <w:t>SECTION 6.8. INTEREST ON OVERDUE AMOUNTS. Overdue principal and (to the extent permitted by applicable law) interest on the Loans and all other overdue amounts payable hereunder or under</w:t>
      </w:r>
    </w:p>
    <w:p>
      <w:pPr>
        <w:sectPr>
          <w:pgSz w:w="11900" w:h="16838" w:orient="portrait"/>
          <w:cols w:equalWidth="0" w:num="1">
            <w:col w:w="10219"/>
          </w:cols>
          <w:pgMar w:left="240" w:top="269" w:right="1440" w:bottom="1440" w:gutter="0" w:footer="0" w:header="0"/>
        </w:sectPr>
      </w:pPr>
    </w:p>
    <w:bookmarkStart w:id="221" w:name="page222"/>
    <w:bookmarkEnd w:id="221"/>
    <w:p>
      <w:pPr>
        <w:ind w:left="285"/>
        <w:spacing w:after="0"/>
        <w:rPr>
          <w:sz w:val="20"/>
          <w:szCs w:val="20"/>
          <w:color w:val="auto"/>
        </w:rPr>
      </w:pPr>
      <w:r>
        <w:rPr>
          <w:rFonts w:ascii="Courier New" w:cs="Courier New" w:eastAsia="Courier New" w:hAnsi="Courier New"/>
          <w:sz w:val="16"/>
          <w:szCs w:val="16"/>
          <w:color w:val="auto"/>
        </w:rPr>
        <w:t>45</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-39-</w:t>
      </w:r>
    </w:p>
    <w:p>
      <w:pPr>
        <w:spacing w:after="0" w:line="327" w:lineRule="exact"/>
        <w:rPr>
          <w:sz w:val="20"/>
          <w:szCs w:val="20"/>
          <w:color w:val="auto"/>
        </w:rPr>
      </w:pPr>
    </w:p>
    <w:p>
      <w:pPr>
        <w:ind w:left="5" w:right="2779"/>
        <w:spacing w:after="0" w:line="348" w:lineRule="auto"/>
        <w:rPr>
          <w:sz w:val="20"/>
          <w:szCs w:val="20"/>
          <w:color w:val="auto"/>
        </w:rPr>
      </w:pPr>
      <w:r>
        <w:rPr>
          <w:rFonts w:ascii="Courier New" w:cs="Courier New" w:eastAsia="Courier New" w:hAnsi="Courier New"/>
          <w:sz w:val="14"/>
          <w:szCs w:val="14"/>
          <w:color w:val="auto"/>
        </w:rPr>
        <w:t>any of the other Loan Documents shall bear interest compounded monthly and payable on demand at a rate per annum equal to the Applicable Base Rate plus 2%, until such amount shall be paid in full (after as well as before judgment).</w:t>
      </w:r>
    </w:p>
    <w:p>
      <w:pPr>
        <w:spacing w:after="0" w:line="26" w:lineRule="exact"/>
        <w:rPr>
          <w:sz w:val="20"/>
          <w:szCs w:val="20"/>
          <w:color w:val="auto"/>
        </w:rPr>
      </w:pPr>
    </w:p>
    <w:p>
      <w:pPr>
        <w:ind w:left="5" w:right="2879" w:firstLine="837"/>
        <w:spacing w:after="0" w:line="250" w:lineRule="auto"/>
        <w:rPr>
          <w:sz w:val="20"/>
          <w:szCs w:val="20"/>
          <w:color w:val="auto"/>
        </w:rPr>
      </w:pPr>
      <w:r>
        <w:rPr>
          <w:rFonts w:ascii="Courier New" w:cs="Courier New" w:eastAsia="Courier New" w:hAnsi="Courier New"/>
          <w:sz w:val="16"/>
          <w:szCs w:val="16"/>
          <w:color w:val="auto"/>
        </w:rPr>
        <w:t>SECTION 6.9. INTEREST LIMITATION. 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and 12 U.S.C. Section 85, as amended).</w:t>
      </w:r>
    </w:p>
    <w:p>
      <w:pPr>
        <w:spacing w:after="0" w:line="90" w:lineRule="exact"/>
        <w:rPr>
          <w:sz w:val="20"/>
          <w:szCs w:val="20"/>
          <w:color w:val="auto"/>
        </w:rPr>
      </w:pPr>
    </w:p>
    <w:p>
      <w:pPr>
        <w:jc w:val="both"/>
        <w:ind w:left="5" w:right="2879" w:firstLine="837"/>
        <w:spacing w:after="0" w:line="284" w:lineRule="auto"/>
        <w:rPr>
          <w:sz w:val="20"/>
          <w:szCs w:val="20"/>
          <w:color w:val="auto"/>
        </w:rPr>
      </w:pPr>
      <w:r>
        <w:rPr>
          <w:rFonts w:ascii="Courier New" w:cs="Courier New" w:eastAsia="Courier New" w:hAnsi="Courier New"/>
          <w:sz w:val="14"/>
          <w:szCs w:val="14"/>
          <w:color w:val="auto"/>
        </w:rPr>
        <w:t>SECTION 6.10. REASONABLE EFFORTS TO MITIGATE. Each Bank agrees that as promptly as practicable after it becomes aware of the occurrence of an event or the existence of a condition that would cause it to be affected under Sections</w:t>
      </w:r>
    </w:p>
    <w:p>
      <w:pPr>
        <w:spacing w:after="0" w:line="2" w:lineRule="exact"/>
        <w:rPr>
          <w:sz w:val="20"/>
          <w:szCs w:val="20"/>
          <w:color w:val="auto"/>
        </w:rPr>
      </w:pPr>
    </w:p>
    <w:p>
      <w:pPr>
        <w:ind w:left="5" w:right="2779"/>
        <w:spacing w:after="0" w:line="281" w:lineRule="auto"/>
        <w:rPr>
          <w:sz w:val="20"/>
          <w:szCs w:val="20"/>
          <w:color w:val="auto"/>
        </w:rPr>
      </w:pPr>
      <w:r>
        <w:rPr>
          <w:rFonts w:ascii="Courier New" w:cs="Courier New" w:eastAsia="Courier New" w:hAnsi="Courier New"/>
          <w:sz w:val="14"/>
          <w:szCs w:val="14"/>
          <w:color w:val="auto"/>
        </w:rPr>
        <w:t>6.3, 6.4 or 6.5,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76"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SECTION 6.11. REPLACEMENT OF BANKS. If any Bank (an "Affected Bank")</w:t>
      </w:r>
    </w:p>
    <w:p>
      <w:pPr>
        <w:spacing w:after="0" w:line="26" w:lineRule="exact"/>
        <w:rPr>
          <w:sz w:val="20"/>
          <w:szCs w:val="20"/>
          <w:color w:val="auto"/>
        </w:rPr>
      </w:pPr>
    </w:p>
    <w:p>
      <w:pPr>
        <w:ind w:left="5" w:right="2779" w:hanging="5"/>
        <w:spacing w:after="0" w:line="275" w:lineRule="auto"/>
        <w:tabs>
          <w:tab w:leader="none" w:pos="377"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demand upon the Borrower for (or if the Borrower is otherwise required to pay) amounts pursuant to Sections 6.4 or 6.5, (ii) is unable to make or maintain Eurodollar Loans as a result of a condition described in Section 6.3, or (iii) defaults in its obligation to make Loans or to participate in Letters of Credit in accordance with the terms of this Agreement (such Bank being referred to as a "Defaulting Bank"), the Borrower may, within 90 days of receipt of such demand, notice (or the occurrence of such other event causing the Borrower to be required to pay such compensation or causing Section 6.3 to be applicable), or default,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or (C) designate a Replacement Bank reasonably satisfactory to the Administrative Agent. If any satisfactory Replacement Bank shall be obtained, and/or any of the non-Affected Banks shall agree to acquire and assume all of the Affected Bank's Loans and Commitment, and to participate in Letters of Credit then such Affected Bank shall, so long as no Event of Default shall have occurred and be continuing, assign, in accordance with Section 21, all of its Commitment, Loans, Notes and other rights and obligations under this Agreement and all other Loan Documents to such Replacement Bank or non-Affected Banks, as the case may be, in exchange for payment of the</w:t>
      </w:r>
    </w:p>
    <w:p>
      <w:pPr>
        <w:sectPr>
          <w:pgSz w:w="11900" w:h="16838" w:orient="portrait"/>
          <w:cols w:equalWidth="0" w:num="1">
            <w:col w:w="10224"/>
          </w:cols>
          <w:pgMar w:left="235" w:top="269"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6"/>
          <w:szCs w:val="16"/>
          <w:color w:val="auto"/>
        </w:rPr>
        <w:t>46</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-40-</w:t>
      </w:r>
    </w:p>
    <w:p>
      <w:pPr>
        <w:spacing w:after="0" w:line="327" w:lineRule="exact"/>
        <w:rPr>
          <w:sz w:val="20"/>
          <w:szCs w:val="20"/>
          <w:color w:val="auto"/>
        </w:rPr>
      </w:pPr>
    </w:p>
    <w:p>
      <w:pPr>
        <w:ind w:right="2779"/>
        <w:spacing w:after="0" w:line="246" w:lineRule="auto"/>
        <w:rPr>
          <w:sz w:val="20"/>
          <w:szCs w:val="20"/>
          <w:color w:val="auto"/>
        </w:rPr>
      </w:pPr>
      <w:r>
        <w:rPr>
          <w:rFonts w:ascii="Courier New" w:cs="Courier New" w:eastAsia="Courier New" w:hAnsi="Courier New"/>
          <w:sz w:val="16"/>
          <w:szCs w:val="16"/>
          <w:color w:val="auto"/>
        </w:rPr>
        <w:t>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Borrower shall have paid to such Affected Bank all amounts properly demanded and unreimbursed under Sections 6.4, 6.5 and 6.7. Upon the effective date of such assignment, the Borrower shall issue replacement Notes to such Replacement Bank and/or non-Affected Banks, as the case may be, and such Replacement Bank shall become a "Bank" for all purposes under this Agreement and the other Loan Documents.</w:t>
      </w:r>
    </w:p>
    <w:p>
      <w:pPr>
        <w:spacing w:after="0" w:line="96"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SECTION 6.12. ADVANCES BY ADMINISTRATIVE AGENT. The Administrative Agent may (unless earlier notified to the contrary by any Bank by 12:00 noon (New York time) one (1) Business Day prior to any Drawdown Date) assume that each Bank has made available (or will before the end of such Business Day make available) to the Administrative Agent the amount of such Bank's Commitment Percentage with respect to the Loans (or, in the case of Competitive Bid Loans, the amount of such Bank's accepted offers of such Loans, if any) to be made on such Drawdown Date, and the Administrative Agent may (but shall not be required to), in reliance upon such assumption, make available to the Borrower a corresponding amount. If any Bank makes such amount available to the Administrative Agent on a date after such Drawdown Date, such Bank shall pay the Administrative Agent on demand an amount equal to the product of (i) the average, computed for the period referred to in clause (iii) below, of the weighted average annual interest rate paid by the Administrative Agent for federal funds acquired by the Administrative Agent during each day included in such period times (ii) the amount equal to such Bank's Commitment Percentage of such Syndicated Loan (or, in the case of Competitive Bid Loans and Swing Line Loans, the amount of such Bank's accepted offer of such Competitive Bid Loans, if any, and portion of such Swing Line Loans) or the Term Loan, as the case may be, times (iii) a fraction, the numerator of which is the number of days that elapse from and including such Drawdown Date to but not including the date on which the amount equal to such Bank's Commitment Percentage of such Loans, or the amount of such Bank's accepted offers of such Competitive Bid Loans, if any, and portion of Swing Line Loans, shall become immediately available to the Administrative Agent, and the denominator of which is 365. A statement of the Administrative Agent submitted to such Bank with respect to any amounts owing under this paragraph shall be prima facie evidence of the amount due and owing to the Administrative Agent by such Bank. If such amount is not in fact made available to the Administrative Agent by such Bank within three (3) Business Days of such Drawdown Date, the Administrative Agent shall be entitled to recover such amount from such Borrower, with interest thereon at the applicable rate per annum.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7. REPRESENTATIONS AND WARRANTIES. The Borrower (and the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Guarantor, where applicable) represents and warrants to the Banks that:</w:t>
      </w:r>
    </w:p>
    <w:p>
      <w:pPr>
        <w:spacing w:after="0" w:line="14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7.1. CORPORATE AUTHORITY.</w:t>
      </w:r>
    </w:p>
    <w:p>
      <w:pPr>
        <w:spacing w:after="0" w:line="177" w:lineRule="exact"/>
        <w:rPr>
          <w:sz w:val="20"/>
          <w:szCs w:val="20"/>
          <w:color w:val="auto"/>
        </w:rPr>
      </w:pPr>
    </w:p>
    <w:p>
      <w:pPr>
        <w:ind w:left="840" w:right="2779" w:firstLine="830"/>
        <w:spacing w:after="0" w:line="289" w:lineRule="auto"/>
        <w:tabs>
          <w:tab w:leader="none" w:pos="2049"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GOOD STANDING. The Borrower and each of its Material Subsidiaries (i) is duly organized, validly existing and in good standing under the laws of</w:t>
      </w:r>
    </w:p>
    <w:p>
      <w:pPr>
        <w:sectPr>
          <w:pgSz w:w="11900" w:h="16838" w:orient="portrait"/>
          <w:cols w:equalWidth="0" w:num="1">
            <w:col w:w="10219"/>
          </w:cols>
          <w:pgMar w:left="240" w:top="269"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6"/>
          <w:szCs w:val="16"/>
          <w:color w:val="auto"/>
        </w:rPr>
        <w:t>47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-41-</w:t>
      </w:r>
    </w:p>
    <w:p>
      <w:pPr>
        <w:spacing w:after="0" w:line="327" w:lineRule="exact"/>
        <w:rPr>
          <w:sz w:val="20"/>
          <w:szCs w:val="20"/>
          <w:color w:val="auto"/>
        </w:rPr>
      </w:pPr>
    </w:p>
    <w:p>
      <w:pPr>
        <w:ind w:left="840" w:right="2779"/>
        <w:spacing w:after="0" w:line="296" w:lineRule="auto"/>
        <w:rPr>
          <w:sz w:val="20"/>
          <w:szCs w:val="20"/>
          <w:color w:val="auto"/>
        </w:rPr>
      </w:pPr>
      <w:r>
        <w:rPr>
          <w:rFonts w:ascii="Courier New" w:cs="Courier New" w:eastAsia="Courier New" w:hAnsi="Courier New"/>
          <w:sz w:val="14"/>
          <w:szCs w:val="14"/>
          <w:color w:val="auto"/>
        </w:rPr>
        <w:t>its respective jurisdiction of formation, (ii) 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62" w:lineRule="exact"/>
        <w:rPr>
          <w:sz w:val="20"/>
          <w:szCs w:val="20"/>
          <w:color w:val="auto"/>
        </w:rPr>
      </w:pPr>
    </w:p>
    <w:p>
      <w:pPr>
        <w:ind w:left="840" w:right="2779" w:firstLine="830"/>
        <w:spacing w:after="0" w:line="291" w:lineRule="auto"/>
        <w:tabs>
          <w:tab w:leader="none" w:pos="2049" w:val="left"/>
        </w:tabs>
        <w:numPr>
          <w:ilvl w:val="1"/>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The execution, delivery and performance of its Loan Documents and the transactions contemplated hereby and thereby</w:t>
      </w:r>
    </w:p>
    <w:p>
      <w:pPr>
        <w:spacing w:after="0" w:line="1" w:lineRule="exact"/>
        <w:rPr>
          <w:rFonts w:ascii="Courier New" w:cs="Courier New" w:eastAsia="Courier New" w:hAnsi="Courier New"/>
          <w:sz w:val="14"/>
          <w:szCs w:val="14"/>
          <w:color w:val="auto"/>
        </w:rPr>
      </w:pPr>
    </w:p>
    <w:p>
      <w:pPr>
        <w:ind w:left="840" w:right="3059" w:hanging="7"/>
        <w:spacing w:after="0" w:line="270" w:lineRule="auto"/>
        <w:tabs>
          <w:tab w:leader="none" w:pos="1212"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are within the corporate authority of the Borrower and the Guarantor, (ii) have been duly authorized by all necessary corporate proceedings on the part of each of the Borrower and the Guarantor,</w:t>
      </w:r>
    </w:p>
    <w:p>
      <w:pPr>
        <w:spacing w:after="0" w:line="1" w:lineRule="exact"/>
        <w:rPr>
          <w:rFonts w:ascii="Courier New" w:cs="Courier New" w:eastAsia="Courier New" w:hAnsi="Courier New"/>
          <w:sz w:val="14"/>
          <w:szCs w:val="14"/>
          <w:color w:val="auto"/>
        </w:rPr>
      </w:pPr>
    </w:p>
    <w:p>
      <w:pPr>
        <w:ind w:left="840" w:right="2779" w:hanging="7"/>
        <w:spacing w:after="0" w:line="282" w:lineRule="auto"/>
        <w:tabs>
          <w:tab w:leader="none" w:pos="1398"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 not conflict with or result in any breach or contravention of any provision of law, statute, rule or regulation to which any of the Borrower or the Guarantor or any of their Subsidiaries is subject or any judgment, order, writ, injunction, license or permit applicable to the Borrower, the Guarantor or any of their Subsidiaries so as to have a Material Adverse Effect, and (iv) do not conflict with any provision of the corporate charter or bylaws of the Borrower, the Guarantor or any Material Subsidiary or any agreement or other instrument binding upon the Borrower, the Guarantor or any of their Material Subsidiaries, except for those conflicts with any such agreement or instrument which could not reasonably be expected to have a Material Adverse Effect.</w:t>
      </w:r>
    </w:p>
    <w:p>
      <w:pPr>
        <w:spacing w:after="0" w:line="255" w:lineRule="exact"/>
        <w:rPr>
          <w:rFonts w:ascii="Courier New" w:cs="Courier New" w:eastAsia="Courier New" w:hAnsi="Courier New"/>
          <w:sz w:val="14"/>
          <w:szCs w:val="14"/>
          <w:color w:val="auto"/>
        </w:rPr>
      </w:pPr>
    </w:p>
    <w:p>
      <w:pPr>
        <w:ind w:left="840" w:right="2779" w:firstLine="830"/>
        <w:spacing w:after="0" w:line="251" w:lineRule="auto"/>
        <w:tabs>
          <w:tab w:leader="none" w:pos="2049" w:val="left"/>
        </w:tabs>
        <w:numPr>
          <w:ilvl w:val="1"/>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ENFORCEABILITY.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94"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7.2. GOVERNMENTAL AND OTHER APPROVALS. The execution, delivery and performance of the Loan Documents by the Borrower and the Guarantor and the consummation by the Borrower and the Guarantor of the 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its covenants contained in Sections 8, 9 and 10 hereof.</w:t>
      </w:r>
    </w:p>
    <w:p>
      <w:pPr>
        <w:spacing w:after="0" w:line="94"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7.3. TITLE TO PROPERTIES; LEASES. The Borrower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Liens except Permitted Liens.</w:t>
      </w:r>
    </w:p>
    <w:p>
      <w:pPr>
        <w:spacing w:after="0" w:line="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7.4. FINANCIAL STATEMENTS; SOLVENCY.</w:t>
      </w:r>
    </w:p>
    <w:p>
      <w:pPr>
        <w:spacing w:after="0" w:line="177" w:lineRule="exact"/>
        <w:rPr>
          <w:sz w:val="20"/>
          <w:szCs w:val="20"/>
          <w:color w:val="auto"/>
        </w:rPr>
      </w:pPr>
    </w:p>
    <w:p>
      <w:pPr>
        <w:ind w:left="840" w:right="2959" w:firstLine="830"/>
        <w:spacing w:after="0" w:line="289" w:lineRule="auto"/>
        <w:tabs>
          <w:tab w:leader="none" w:pos="2049"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furnished to the Banks consolidated balance sheets of the Borrower and its Subsidiaries dated the Balance Sheet Date and consolidated statements</w:t>
      </w:r>
    </w:p>
    <w:p>
      <w:pPr>
        <w:sectPr>
          <w:pgSz w:w="11900" w:h="16838" w:orient="portrait"/>
          <w:cols w:equalWidth="0" w:num="1">
            <w:col w:w="10219"/>
          </w:cols>
          <w:pgMar w:left="240" w:top="269"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6"/>
          <w:szCs w:val="16"/>
          <w:color w:val="auto"/>
        </w:rPr>
        <w:t>48</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-42-</w:t>
      </w:r>
    </w:p>
    <w:p>
      <w:pPr>
        <w:spacing w:after="0" w:line="149" w:lineRule="exact"/>
        <w:rPr>
          <w:sz w:val="20"/>
          <w:szCs w:val="20"/>
          <w:color w:val="auto"/>
        </w:rPr>
      </w:pPr>
    </w:p>
    <w:p>
      <w:pPr>
        <w:ind w:left="840" w:right="2779"/>
        <w:spacing w:after="0" w:line="279" w:lineRule="auto"/>
        <w:rPr>
          <w:sz w:val="20"/>
          <w:szCs w:val="20"/>
          <w:color w:val="auto"/>
        </w:rPr>
      </w:pPr>
      <w:r>
        <w:rPr>
          <w:rFonts w:ascii="Courier New" w:cs="Courier New" w:eastAsia="Courier New" w:hAnsi="Courier New"/>
          <w:sz w:val="14"/>
          <w:szCs w:val="14"/>
          <w:color w:val="auto"/>
        </w:rPr>
        <w:t>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in all material respects, the financial condition of the Borrower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200" w:lineRule="exact"/>
        <w:rPr>
          <w:sz w:val="20"/>
          <w:szCs w:val="20"/>
          <w:color w:val="auto"/>
        </w:rPr>
      </w:pPr>
    </w:p>
    <w:p>
      <w:pPr>
        <w:spacing w:after="0" w:line="244" w:lineRule="exact"/>
        <w:rPr>
          <w:sz w:val="20"/>
          <w:szCs w:val="20"/>
          <w:color w:val="auto"/>
        </w:rPr>
      </w:pPr>
    </w:p>
    <w:p>
      <w:pPr>
        <w:ind w:left="840" w:right="2879" w:firstLine="830"/>
        <w:spacing w:after="0" w:line="251" w:lineRule="auto"/>
        <w:tabs>
          <w:tab w:leader="none" w:pos="2049" w:val="left"/>
        </w:tabs>
        <w:numPr>
          <w:ilvl w:val="0"/>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and its Subsidiaries on a consolidated basis (both before and after giving effect to the transactions contemplated by this Agreement)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94" w:lineRule="exact"/>
        <w:rPr>
          <w:sz w:val="20"/>
          <w:szCs w:val="20"/>
          <w:color w:val="auto"/>
        </w:rPr>
      </w:pPr>
    </w:p>
    <w:p>
      <w:pPr>
        <w:ind w:right="3059" w:firstLine="837"/>
        <w:spacing w:after="0" w:line="258" w:lineRule="auto"/>
        <w:rPr>
          <w:sz w:val="20"/>
          <w:szCs w:val="20"/>
          <w:color w:val="auto"/>
        </w:rPr>
      </w:pPr>
      <w:r>
        <w:rPr>
          <w:rFonts w:ascii="Courier New" w:cs="Courier New" w:eastAsia="Courier New" w:hAnsi="Courier New"/>
          <w:sz w:val="16"/>
          <w:szCs w:val="16"/>
          <w:color w:val="auto"/>
        </w:rPr>
        <w:t>SECTION 7.5. NO MATERIAL CHANGES, ETC. Since the Balance Sheet Date, there have been no material adverse changes in the consolidated financial condition, business, assets or liabilities (contingent or otherwise) of the Borrower and its Subsidiaries, taken as a whole, other than the Shareholder Suits and changes in the ordinary course of business which have not had a Material Adverse Effect.</w:t>
      </w:r>
    </w:p>
    <w:p>
      <w:pPr>
        <w:spacing w:after="0" w:line="83" w:lineRule="exact"/>
        <w:rPr>
          <w:sz w:val="20"/>
          <w:szCs w:val="20"/>
          <w:color w:val="auto"/>
        </w:rPr>
      </w:pPr>
    </w:p>
    <w:p>
      <w:pPr>
        <w:ind w:right="3059" w:firstLine="837"/>
        <w:spacing w:after="0" w:line="254" w:lineRule="auto"/>
        <w:rPr>
          <w:sz w:val="20"/>
          <w:szCs w:val="20"/>
          <w:color w:val="auto"/>
        </w:rPr>
      </w:pPr>
      <w:r>
        <w:rPr>
          <w:rFonts w:ascii="Courier New" w:cs="Courier New" w:eastAsia="Courier New" w:hAnsi="Courier New"/>
          <w:sz w:val="16"/>
          <w:szCs w:val="16"/>
          <w:color w:val="auto"/>
        </w:rPr>
        <w:t>SECTION 7.6. FRANCHISES, PATENTS, COPYRIGHTS, ETC. The Borrower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88" w:lineRule="exact"/>
        <w:rPr>
          <w:sz w:val="20"/>
          <w:szCs w:val="20"/>
          <w:color w:val="auto"/>
        </w:rPr>
      </w:pPr>
    </w:p>
    <w:p>
      <w:pPr>
        <w:jc w:val="both"/>
        <w:ind w:right="2779" w:firstLine="837"/>
        <w:spacing w:after="0" w:line="301" w:lineRule="auto"/>
        <w:rPr>
          <w:sz w:val="20"/>
          <w:szCs w:val="20"/>
          <w:color w:val="auto"/>
        </w:rPr>
      </w:pPr>
      <w:r>
        <w:rPr>
          <w:rFonts w:ascii="Courier New" w:cs="Courier New" w:eastAsia="Courier New" w:hAnsi="Courier New"/>
          <w:sz w:val="14"/>
          <w:szCs w:val="14"/>
          <w:color w:val="auto"/>
        </w:rPr>
        <w:t>SECTION 7.7. LITIGATION. Except as set forth on Schedule 7.7 or in the Disclosure Documents, there are no actions, suits, proceedings or investigations of any kind pending or, to the knowledge of the Borrower, threatened against the Borrower or any of its Subsidiaries before any court, tribunal or administrative agency or board which, either in any case or in the aggregate, could reasonably be expected to have a Material Adverse Effect.</w:t>
      </w:r>
    </w:p>
    <w:p>
      <w:pPr>
        <w:spacing w:after="0" w:line="59"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7.8. NO MATERIALLY ADVERSE CONTRACTS, ETC. Neither the Borrower nor any of its Subsidiaries is subject to any charter, corporate or other legal restriction, or any judgment, decree, order, rule or regulation which in the judgment of the Borrower's or such Subsidiary's officers has or could reasonably be expected in the future to have a Material Adverse Effect.</w:t>
      </w:r>
    </w:p>
    <w:p>
      <w:pPr>
        <w:sectPr>
          <w:pgSz w:w="11900" w:h="16838" w:orient="portrait"/>
          <w:cols w:equalWidth="0" w:num="1">
            <w:col w:w="10219"/>
          </w:cols>
          <w:pgMar w:left="240" w:top="269" w:right="1440" w:bottom="1440" w:gutter="0" w:footer="0" w:header="0"/>
        </w:sectPr>
      </w:pPr>
    </w:p>
    <w:bookmarkStart w:id="225" w:name="page226"/>
    <w:bookmarkEnd w:id="225"/>
    <w:p>
      <w:pPr>
        <w:ind w:left="280"/>
        <w:spacing w:after="0"/>
        <w:rPr>
          <w:sz w:val="20"/>
          <w:szCs w:val="20"/>
          <w:color w:val="auto"/>
        </w:rPr>
      </w:pPr>
      <w:r>
        <w:rPr>
          <w:rFonts w:ascii="Courier New" w:cs="Courier New" w:eastAsia="Courier New" w:hAnsi="Courier New"/>
          <w:sz w:val="16"/>
          <w:szCs w:val="16"/>
          <w:color w:val="auto"/>
        </w:rPr>
        <w:t>49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-43-</w:t>
      </w:r>
    </w:p>
    <w:p>
      <w:pPr>
        <w:spacing w:after="0" w:line="327" w:lineRule="exact"/>
        <w:rPr>
          <w:sz w:val="20"/>
          <w:szCs w:val="20"/>
          <w:color w:val="auto"/>
        </w:rPr>
      </w:pPr>
    </w:p>
    <w:p>
      <w:pPr>
        <w:ind w:right="2879"/>
        <w:spacing w:after="0" w:line="322" w:lineRule="auto"/>
        <w:rPr>
          <w:sz w:val="20"/>
          <w:szCs w:val="20"/>
          <w:color w:val="auto"/>
        </w:rPr>
      </w:pPr>
      <w:r>
        <w:rPr>
          <w:rFonts w:ascii="Courier New" w:cs="Courier New" w:eastAsia="Courier New" w:hAnsi="Courier New"/>
          <w:sz w:val="14"/>
          <w:szCs w:val="14"/>
          <w:color w:val="auto"/>
        </w:rPr>
        <w:t>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43" w:lineRule="exact"/>
        <w:rPr>
          <w:sz w:val="20"/>
          <w:szCs w:val="20"/>
          <w:color w:val="auto"/>
        </w:rPr>
      </w:pPr>
    </w:p>
    <w:p>
      <w:pPr>
        <w:ind w:right="2779" w:firstLine="837"/>
        <w:spacing w:after="0" w:line="296" w:lineRule="auto"/>
        <w:rPr>
          <w:sz w:val="20"/>
          <w:szCs w:val="20"/>
          <w:color w:val="auto"/>
        </w:rPr>
      </w:pPr>
      <w:r>
        <w:rPr>
          <w:rFonts w:ascii="Courier New" w:cs="Courier New" w:eastAsia="Courier New" w:hAnsi="Courier New"/>
          <w:sz w:val="14"/>
          <w:szCs w:val="14"/>
          <w:color w:val="auto"/>
        </w:rPr>
        <w:t>SECTION 7.9. COMPLIANCE WITH OTHER INSTRUMENTS, LAWS, ETC. Neither the Borrower nor any of its Subsidiaries is (a) violating any provision of its charter documents or by-laws or (b) violating any agreement or 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62" w:lineRule="exact"/>
        <w:rPr>
          <w:sz w:val="20"/>
          <w:szCs w:val="20"/>
          <w:color w:val="auto"/>
        </w:rPr>
      </w:pPr>
    </w:p>
    <w:p>
      <w:pPr>
        <w:ind w:right="2779" w:firstLine="837"/>
        <w:spacing w:after="0" w:line="278" w:lineRule="auto"/>
        <w:rPr>
          <w:sz w:val="20"/>
          <w:szCs w:val="20"/>
          <w:color w:val="auto"/>
        </w:rPr>
      </w:pPr>
      <w:r>
        <w:rPr>
          <w:rFonts w:ascii="Courier New" w:cs="Courier New" w:eastAsia="Courier New" w:hAnsi="Courier New"/>
          <w:sz w:val="14"/>
          <w:szCs w:val="14"/>
          <w:color w:val="auto"/>
        </w:rPr>
        <w:t>SECTION 7.10. TAX STATUS. The Borrower and its Subsidiaries have filed all federal, state, provincial and territorial income and all other tax returns, reports and declarations (or obtained extensions with respect thereto) 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200" w:lineRule="exact"/>
        <w:rPr>
          <w:sz w:val="20"/>
          <w:szCs w:val="20"/>
          <w:color w:val="auto"/>
        </w:rPr>
      </w:pPr>
    </w:p>
    <w:p>
      <w:pPr>
        <w:spacing w:after="0" w:line="245"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SECTION 7.11. NO EVENT OF DEFAULT. No Default or Event of Default has occurred hereunder and is continuing.</w:t>
      </w:r>
    </w:p>
    <w:p>
      <w:pPr>
        <w:spacing w:after="0" w:line="20"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7.12. HOLDING COMPANY AND INVESTMENT COMPANY ACTS. Neither the Borrower nor any of its Subsidiaries is a "holding company", or a "subsidiary company" of a "holding company",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w:t>
      </w:r>
    </w:p>
    <w:p>
      <w:pPr>
        <w:spacing w:after="0" w:line="88"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SECTION 7.13. ABSENCE OF FINANCING STATEMENTS, ETC. Except as permitted by Section 9.1 of this Agreement, there is no Indebtedness senior to the Obligations, and except for Permitted Liens, there are no Liens, or any effective financing statement, security agreement, chattel mortgage, real estate mortgage or other document filed or recorded with any filing records, registry, or other</w:t>
      </w:r>
    </w:p>
    <w:p>
      <w:pPr>
        <w:sectPr>
          <w:pgSz w:w="11900" w:h="16838" w:orient="portrait"/>
          <w:cols w:equalWidth="0" w:num="1">
            <w:col w:w="10219"/>
          </w:cols>
          <w:pgMar w:left="240" w:top="269" w:right="1440" w:bottom="1440" w:gutter="0" w:footer="0" w:header="0"/>
        </w:sectPr>
      </w:pPr>
    </w:p>
    <w:bookmarkStart w:id="226" w:name="page227"/>
    <w:bookmarkEnd w:id="226"/>
    <w:p>
      <w:pPr>
        <w:ind w:left="280"/>
        <w:spacing w:after="0"/>
        <w:rPr>
          <w:sz w:val="20"/>
          <w:szCs w:val="20"/>
          <w:color w:val="auto"/>
        </w:rPr>
      </w:pPr>
      <w:r>
        <w:rPr>
          <w:rFonts w:ascii="Courier New" w:cs="Courier New" w:eastAsia="Courier New" w:hAnsi="Courier New"/>
          <w:sz w:val="16"/>
          <w:szCs w:val="16"/>
          <w:color w:val="auto"/>
        </w:rPr>
        <w:t>50</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-44-</w:t>
      </w:r>
    </w:p>
    <w:p>
      <w:pPr>
        <w:spacing w:after="0" w:line="327" w:lineRule="exact"/>
        <w:rPr>
          <w:sz w:val="20"/>
          <w:szCs w:val="20"/>
          <w:color w:val="auto"/>
        </w:rPr>
      </w:pPr>
    </w:p>
    <w:p>
      <w:pPr>
        <w:ind w:right="2879"/>
        <w:spacing w:after="0" w:line="289" w:lineRule="auto"/>
        <w:rPr>
          <w:sz w:val="20"/>
          <w:szCs w:val="20"/>
          <w:color w:val="auto"/>
        </w:rPr>
      </w:pPr>
      <w:r>
        <w:rPr>
          <w:rFonts w:ascii="Courier New" w:cs="Courier New" w:eastAsia="Courier New" w:hAnsi="Courier New"/>
          <w:sz w:val="16"/>
          <w:szCs w:val="16"/>
          <w:color w:val="auto"/>
        </w:rPr>
        <w:t>public office, which purports to cover, affect or give notice of any present or possible future Lien on any assets or property of the Borrower or any of its Subsidiaries or right thereunder.</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7.14. EMPLOYEE BENEFIT PLANS.</w:t>
      </w:r>
    </w:p>
    <w:p>
      <w:pPr>
        <w:spacing w:after="0" w:line="177" w:lineRule="exact"/>
        <w:rPr>
          <w:sz w:val="20"/>
          <w:szCs w:val="20"/>
          <w:color w:val="auto"/>
        </w:rPr>
      </w:pPr>
    </w:p>
    <w:p>
      <w:pPr>
        <w:ind w:left="840" w:right="2779" w:firstLine="837"/>
        <w:spacing w:after="0" w:line="290" w:lineRule="auto"/>
        <w:rPr>
          <w:sz w:val="20"/>
          <w:szCs w:val="20"/>
          <w:color w:val="auto"/>
        </w:rPr>
      </w:pPr>
      <w:r>
        <w:rPr>
          <w:rFonts w:ascii="Courier New" w:cs="Courier New" w:eastAsia="Courier New" w:hAnsi="Courier New"/>
          <w:sz w:val="14"/>
          <w:szCs w:val="14"/>
          <w:color w:val="auto"/>
        </w:rPr>
        <w:t>SECTION 7.14.1. IN GENERAL. Each Employee Benefit Plan has been maintained and operated in compliance with the provisions of ERISA and, to the extent applicable, the Code, including but not limited to the 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Section 103(d) of ERISA, with respect to each Guaranteed Pension Plan.</w:t>
      </w:r>
    </w:p>
    <w:p>
      <w:pPr>
        <w:spacing w:after="0" w:line="64" w:lineRule="exact"/>
        <w:rPr>
          <w:sz w:val="20"/>
          <w:szCs w:val="20"/>
          <w:color w:val="auto"/>
        </w:rPr>
      </w:pPr>
    </w:p>
    <w:p>
      <w:pPr>
        <w:ind w:left="840" w:right="2779" w:firstLine="837"/>
        <w:spacing w:after="0" w:line="248" w:lineRule="auto"/>
        <w:rPr>
          <w:sz w:val="20"/>
          <w:szCs w:val="20"/>
          <w:color w:val="auto"/>
        </w:rPr>
      </w:pPr>
      <w:r>
        <w:rPr>
          <w:rFonts w:ascii="Courier New" w:cs="Courier New" w:eastAsia="Courier New" w:hAnsi="Courier New"/>
          <w:sz w:val="16"/>
          <w:szCs w:val="16"/>
          <w:color w:val="auto"/>
        </w:rPr>
        <w:t>SECTION 7.14.2. TERMINABILITY OF WELFARE PLANS. Under each Employee Benefit Plan which is an employee welfare benefit plan within the meaning of Section 3(1) or Section 3(2)(B) of ERISA, no benefits are due unless the event giving rise to the benefit entitlement occurs prior to plan termination (except as required by Title I, Part 6 of ERISA). The Borrower or an ERISA Affiliate, as appropriate, may terminate each such Plan at any time (or at any time subsequent to the expiration of any applicable bargaining agreement) in the discretion of the Borrower or such ERISA Affiliate without material liability to any Person.</w:t>
      </w:r>
    </w:p>
    <w:p>
      <w:pPr>
        <w:spacing w:after="0" w:line="95" w:lineRule="exact"/>
        <w:rPr>
          <w:sz w:val="20"/>
          <w:szCs w:val="20"/>
          <w:color w:val="auto"/>
        </w:rPr>
      </w:pPr>
    </w:p>
    <w:p>
      <w:pPr>
        <w:ind w:left="840" w:right="2779" w:firstLine="837"/>
        <w:spacing w:after="0" w:line="278" w:lineRule="auto"/>
        <w:rPr>
          <w:sz w:val="20"/>
          <w:szCs w:val="20"/>
          <w:color w:val="auto"/>
        </w:rPr>
      </w:pPr>
      <w:r>
        <w:rPr>
          <w:rFonts w:ascii="Courier New" w:cs="Courier New" w:eastAsia="Courier New" w:hAnsi="Courier New"/>
          <w:sz w:val="14"/>
          <w:szCs w:val="14"/>
          <w:color w:val="auto"/>
        </w:rPr>
        <w:t>SECTION 7.14.3. GUARANTEED PENSION PLANS. Each contribution required to be made to a Guaranteed Pension Plan, whether required to be made to avoid the incurrence of an accumulated funding deficiency, the notice or lien provisions of Section 302(f)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the aggregate benefit liabilities of all such Guaranteed Pension Plans within the meaning of Section 4001 of ERISA did not exceed the aggregate value of the assets of all such Guaranteed Pension Plans, disregarding for this purpose the benefit liabilities and assets of any Guaranteed Pension Plan with assets in excess of benefit liabilities.</w:t>
      </w:r>
    </w:p>
    <w:p>
      <w:pPr>
        <w:spacing w:after="0" w:line="261" w:lineRule="exact"/>
        <w:rPr>
          <w:sz w:val="20"/>
          <w:szCs w:val="20"/>
          <w:color w:val="auto"/>
        </w:rPr>
      </w:pPr>
    </w:p>
    <w:p>
      <w:pPr>
        <w:ind w:left="840" w:right="2779" w:firstLine="837"/>
        <w:spacing w:after="0" w:line="250" w:lineRule="auto"/>
        <w:rPr>
          <w:sz w:val="20"/>
          <w:szCs w:val="20"/>
          <w:color w:val="auto"/>
        </w:rPr>
      </w:pPr>
      <w:r>
        <w:rPr>
          <w:rFonts w:ascii="Courier New" w:cs="Courier New" w:eastAsia="Courier New" w:hAnsi="Courier New"/>
          <w:sz w:val="16"/>
          <w:szCs w:val="16"/>
          <w:color w:val="auto"/>
        </w:rPr>
        <w:t>SECTION 7.14.4. MULTIEMPLOYER PLANS. Neither the Borrower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Borrower nor any ERISA Affiliate has been notified that any Multiemployer Plan is in reorganization or insolvent under and within the meaning of Section 4241 or Section 4245 of ERISA or</w:t>
      </w:r>
    </w:p>
    <w:p>
      <w:pPr>
        <w:sectPr>
          <w:pgSz w:w="11900" w:h="16838" w:orient="portrait"/>
          <w:cols w:equalWidth="0" w:num="1">
            <w:col w:w="10219"/>
          </w:cols>
          <w:pgMar w:left="240" w:top="269" w:right="1440" w:bottom="1440" w:gutter="0" w:footer="0" w:header="0"/>
        </w:sectPr>
      </w:pPr>
    </w:p>
    <w:bookmarkStart w:id="227" w:name="page228"/>
    <w:bookmarkEnd w:id="227"/>
    <w:p>
      <w:pPr>
        <w:ind w:left="280"/>
        <w:spacing w:after="0"/>
        <w:rPr>
          <w:sz w:val="20"/>
          <w:szCs w:val="20"/>
          <w:color w:val="auto"/>
        </w:rPr>
      </w:pPr>
      <w:r>
        <w:rPr>
          <w:rFonts w:ascii="Courier New" w:cs="Courier New" w:eastAsia="Courier New" w:hAnsi="Courier New"/>
          <w:sz w:val="16"/>
          <w:szCs w:val="16"/>
          <w:color w:val="auto"/>
        </w:rPr>
        <w:t>51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-45-</w:t>
      </w:r>
    </w:p>
    <w:p>
      <w:pPr>
        <w:spacing w:after="0" w:line="327" w:lineRule="exact"/>
        <w:rPr>
          <w:sz w:val="20"/>
          <w:szCs w:val="20"/>
          <w:color w:val="auto"/>
        </w:rPr>
      </w:pPr>
    </w:p>
    <w:p>
      <w:pPr>
        <w:ind w:left="840" w:right="2779"/>
        <w:spacing w:after="0" w:line="342" w:lineRule="auto"/>
        <w:rPr>
          <w:sz w:val="20"/>
          <w:szCs w:val="20"/>
          <w:color w:val="auto"/>
        </w:rPr>
      </w:pPr>
      <w:r>
        <w:rPr>
          <w:rFonts w:ascii="Courier New" w:cs="Courier New" w:eastAsia="Courier New" w:hAnsi="Courier New"/>
          <w:sz w:val="16"/>
          <w:szCs w:val="16"/>
          <w:color w:val="auto"/>
        </w:rPr>
        <w:t>that any Multiemployer Plan intends to terminate or has been terminated under Section 4041A of ERISA.</w:t>
      </w:r>
    </w:p>
    <w:p>
      <w:pPr>
        <w:spacing w:after="0" w:line="20"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7.15. ENVIRONMENTAL COMPLIANCE. The Borrower and its Subsidiaries have taken all steps that they have deemed reasonably necessary to investigate the past and present condition and usage of the Real Property and the operations conducted by the Borrower and its Subsidiaries and, based upon such diligent investigation, have determined that, except as set forth on Schedule 7.15 or in the Disclosure Documents:</w:t>
      </w:r>
    </w:p>
    <w:p>
      <w:pPr>
        <w:spacing w:after="0" w:line="83" w:lineRule="exact"/>
        <w:rPr>
          <w:sz w:val="20"/>
          <w:szCs w:val="20"/>
          <w:color w:val="auto"/>
        </w:rPr>
      </w:pPr>
    </w:p>
    <w:p>
      <w:pPr>
        <w:ind w:left="840" w:right="2779" w:firstLine="830"/>
        <w:spacing w:after="0" w:line="244" w:lineRule="auto"/>
        <w:tabs>
          <w:tab w:leader="none" w:pos="2049"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Borrower, its Material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98" w:lineRule="exact"/>
        <w:rPr>
          <w:rFonts w:ascii="Courier New" w:cs="Courier New" w:eastAsia="Courier New" w:hAnsi="Courier New"/>
          <w:sz w:val="16"/>
          <w:szCs w:val="16"/>
          <w:color w:val="auto"/>
        </w:rPr>
      </w:pPr>
    </w:p>
    <w:p>
      <w:pPr>
        <w:ind w:left="840" w:right="2879" w:firstLine="830"/>
        <w:spacing w:after="0" w:line="277" w:lineRule="auto"/>
        <w:tabs>
          <w:tab w:leader="none" w:pos="2049"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with respect to any such matters that could not reasonably be expected to have a Material Adverse Effect, neither the Borrower nor any of its Material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Material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200" w:lineRule="exact"/>
        <w:rPr>
          <w:rFonts w:ascii="Courier New" w:cs="Courier New" w:eastAsia="Courier New" w:hAnsi="Courier New"/>
          <w:sz w:val="14"/>
          <w:szCs w:val="14"/>
          <w:color w:val="auto"/>
        </w:rPr>
      </w:pPr>
    </w:p>
    <w:p>
      <w:pPr>
        <w:spacing w:after="0" w:line="245" w:lineRule="exact"/>
        <w:rPr>
          <w:rFonts w:ascii="Courier New" w:cs="Courier New" w:eastAsia="Courier New" w:hAnsi="Courier New"/>
          <w:sz w:val="14"/>
          <w:szCs w:val="14"/>
          <w:color w:val="auto"/>
        </w:rPr>
      </w:pPr>
    </w:p>
    <w:p>
      <w:pPr>
        <w:ind w:left="840" w:right="2879" w:firstLine="830"/>
        <w:spacing w:after="0" w:line="309" w:lineRule="auto"/>
        <w:tabs>
          <w:tab w:leader="none" w:pos="2049"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those occurrences or situations that could not reasonably be expected to have a Material Adverse Effect, (i) no portion of the Real Property or other assets of the Borrower and its Material Subsidiaries has been used for the handling, processing, storage or disposal of Hazardous Substances except in accordance with</w:t>
      </w:r>
    </w:p>
    <w:p>
      <w:pPr>
        <w:sectPr>
          <w:pgSz w:w="11900" w:h="16838" w:orient="portrait"/>
          <w:cols w:equalWidth="0" w:num="1">
            <w:col w:w="10219"/>
          </w:cols>
          <w:pgMar w:left="240" w:top="269"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6"/>
          <w:szCs w:val="16"/>
          <w:color w:val="auto"/>
        </w:rPr>
        <w:t>52</w:t>
      </w:r>
    </w:p>
    <w:p>
      <w:pPr>
        <w:spacing w:after="0" w:line="355"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-46-</w:t>
      </w:r>
    </w:p>
    <w:p>
      <w:pPr>
        <w:spacing w:after="0" w:line="355" w:lineRule="exact"/>
        <w:rPr>
          <w:sz w:val="20"/>
          <w:szCs w:val="20"/>
          <w:color w:val="auto"/>
        </w:rPr>
      </w:pPr>
    </w:p>
    <w:p>
      <w:pPr>
        <w:ind w:left="840" w:right="2779"/>
        <w:spacing w:after="0" w:line="281" w:lineRule="auto"/>
        <w:rPr>
          <w:sz w:val="20"/>
          <w:szCs w:val="20"/>
          <w:color w:val="auto"/>
        </w:rPr>
      </w:pPr>
      <w:r>
        <w:rPr>
          <w:rFonts w:ascii="Courier New" w:cs="Courier New" w:eastAsia="Courier New" w:hAnsi="Courier New"/>
          <w:sz w:val="14"/>
          <w:szCs w:val="14"/>
          <w:color w:val="auto"/>
        </w:rPr>
        <w:t>applicable Environmental Laws; (ii) in the course of any activities conducted by the Borrower, its Material Subsidiaries, or operators of the Real Property or other assets of the Borrower and its Material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its Material Subsidiaries; and (iv) any Hazardous Substances that have been generated on the Real Property or other assets of the Borrower or its Material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256"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SECTION 7.16. DISCLOSURE. No representation or warranty made by the Borrower or the Guarantor in this Agreement or in any agreement, instrument, document, certificate, or financial statement furnished to the Banks or 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90" w:lineRule="exact"/>
        <w:rPr>
          <w:sz w:val="20"/>
          <w:szCs w:val="20"/>
          <w:color w:val="auto"/>
        </w:rPr>
      </w:pPr>
    </w:p>
    <w:p>
      <w:pPr>
        <w:ind w:right="2779" w:firstLine="837"/>
        <w:spacing w:after="0" w:line="288" w:lineRule="auto"/>
        <w:rPr>
          <w:sz w:val="20"/>
          <w:szCs w:val="20"/>
          <w:color w:val="auto"/>
        </w:rPr>
      </w:pPr>
      <w:r>
        <w:rPr>
          <w:rFonts w:ascii="Courier New" w:cs="Courier New" w:eastAsia="Courier New" w:hAnsi="Courier New"/>
          <w:sz w:val="14"/>
          <w:szCs w:val="14"/>
          <w:color w:val="auto"/>
        </w:rPr>
        <w:t>SECTION 7.17. PERMITS AND GOVERNMENTAL AUTHORITY. All permits (other than those the absence of which could not reasonably be expected to have a Material Adverse Effect) required for the construction and operation of all landfills currently owned or operated by the Borrower or any of its Material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255"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8. AFFIRMATIVE COVENANTS OF THE BORROWER. The Borrower agrees that, so long as any Obligation or any Letter of Credit is outstanding or the Banks have any obligation to make Loans, or any Issuing Bank has any obligation to issue, extend or renew any Letters of Credit hereunder, or the Banks have any obligations to reimburse any Issuing Bank for drawings honored under any Letter of Credit, it shall, and shall cause its Subsidiaries to, comply with the following covenants:</w:t>
      </w:r>
    </w:p>
    <w:p>
      <w:pPr>
        <w:spacing w:after="0" w:line="88"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8.1. PUNCTUAL PAYMENT. The Borrower will duly and punctually pay or cause to be paid the principal and interest on the Loans, all Reimbursement Obligations, fees and other amounts provided for in this Agreement and the other Loan Documents, all in accordance with the terms of this Agreement and such other Loan Documents.</w:t>
      </w:r>
    </w:p>
    <w:p>
      <w:pPr>
        <w:spacing w:after="0" w:line="80"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SECTION 8.2. MAINTENANCE OF U.S. OFFICE. The Borrower will maintain its chief executive offices at Houston, Texas, or at such other place in the United States of America as the Borrower shall designate upon 30 days' prior written notice to the Administrative Agent.</w:t>
      </w:r>
    </w:p>
    <w:p>
      <w:pPr>
        <w:sectPr>
          <w:pgSz w:w="11900" w:h="16838" w:orient="portrait"/>
          <w:cols w:equalWidth="0" w:num="1">
            <w:col w:w="10219"/>
          </w:cols>
          <w:pgMar w:left="240" w:top="269" w:right="1440" w:bottom="1440" w:gutter="0" w:footer="0" w:header="0"/>
        </w:sectPr>
      </w:pPr>
    </w:p>
    <w:bookmarkStart w:id="229" w:name="page230"/>
    <w:bookmarkEnd w:id="229"/>
    <w:p>
      <w:pPr>
        <w:ind w:left="280"/>
        <w:spacing w:after="0"/>
        <w:rPr>
          <w:sz w:val="20"/>
          <w:szCs w:val="20"/>
          <w:color w:val="auto"/>
        </w:rPr>
      </w:pPr>
      <w:r>
        <w:rPr>
          <w:rFonts w:ascii="Courier New" w:cs="Courier New" w:eastAsia="Courier New" w:hAnsi="Courier New"/>
          <w:sz w:val="16"/>
          <w:szCs w:val="16"/>
          <w:color w:val="auto"/>
        </w:rPr>
        <w:t>53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-47-</w:t>
      </w:r>
    </w:p>
    <w:p>
      <w:pPr>
        <w:spacing w:after="0" w:line="327"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8.3. RECORDS AND ACCOUNTS. The Borrower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88" w:lineRule="exact"/>
        <w:rPr>
          <w:sz w:val="20"/>
          <w:szCs w:val="20"/>
          <w:color w:val="auto"/>
        </w:rPr>
      </w:pPr>
    </w:p>
    <w:p>
      <w:pPr>
        <w:ind w:right="3059" w:firstLine="837"/>
        <w:spacing w:after="0" w:line="342" w:lineRule="auto"/>
        <w:rPr>
          <w:sz w:val="20"/>
          <w:szCs w:val="20"/>
          <w:color w:val="auto"/>
        </w:rPr>
      </w:pPr>
      <w:r>
        <w:rPr>
          <w:rFonts w:ascii="Courier New" w:cs="Courier New" w:eastAsia="Courier New" w:hAnsi="Courier New"/>
          <w:sz w:val="16"/>
          <w:szCs w:val="16"/>
          <w:color w:val="auto"/>
        </w:rPr>
        <w:t>SECTION 8.4. FINANCIAL STATEMENTS, CERTIFICATES AND INFORMATION. The Borrower will deliver to the Banks:</w:t>
      </w:r>
    </w:p>
    <w:p>
      <w:pPr>
        <w:spacing w:after="0" w:line="20" w:lineRule="exact"/>
        <w:rPr>
          <w:sz w:val="20"/>
          <w:szCs w:val="20"/>
          <w:color w:val="auto"/>
        </w:rPr>
      </w:pPr>
    </w:p>
    <w:p>
      <w:pPr>
        <w:ind w:left="840" w:right="2779" w:firstLine="830"/>
        <w:spacing w:after="0" w:line="279" w:lineRule="auto"/>
        <w:tabs>
          <w:tab w:leader="none" w:pos="2049"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not later than 100 days after the end of each fiscal year of the Borrower, the consolidated balance sheet of the Borrower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PricewaterhouseCoopers LLP or Arthur Andersen LLP or by other nationally recognized independent auditors selected by the Borrower and reasonably satisfactory to the Administrative Agent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200" w:lineRule="exact"/>
        <w:rPr>
          <w:rFonts w:ascii="Courier New" w:cs="Courier New" w:eastAsia="Courier New" w:hAnsi="Courier New"/>
          <w:sz w:val="14"/>
          <w:szCs w:val="14"/>
          <w:color w:val="auto"/>
        </w:rPr>
      </w:pPr>
    </w:p>
    <w:p>
      <w:pPr>
        <w:spacing w:after="0" w:line="243" w:lineRule="exact"/>
        <w:rPr>
          <w:rFonts w:ascii="Courier New" w:cs="Courier New" w:eastAsia="Courier New" w:hAnsi="Courier New"/>
          <w:sz w:val="14"/>
          <w:szCs w:val="14"/>
          <w:color w:val="auto"/>
        </w:rPr>
      </w:pPr>
    </w:p>
    <w:p>
      <w:pPr>
        <w:ind w:left="840" w:right="2779" w:firstLine="830"/>
        <w:spacing w:after="0" w:line="280" w:lineRule="auto"/>
        <w:tabs>
          <w:tab w:leader="none" w:pos="2049"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not later than 60 days after the end of each of the first three fiscal quarters of each fiscal year of the Borrower, copies of the consolidated balance sheet and statement of operations of the Borrower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in all material respects, the consolidated financial condition of the Borrower and its Subsidiaries on a consolidated basis as at the close of business on the date thereof and the results of operations for the period then ended, subject to year-end adjustments and the exclusion of detailed footnotes;</w:t>
      </w:r>
    </w:p>
    <w:p>
      <w:pPr>
        <w:spacing w:after="0" w:line="200" w:lineRule="exact"/>
        <w:rPr>
          <w:rFonts w:ascii="Courier New" w:cs="Courier New" w:eastAsia="Courier New" w:hAnsi="Courier New"/>
          <w:sz w:val="14"/>
          <w:szCs w:val="14"/>
          <w:color w:val="auto"/>
        </w:rPr>
      </w:pPr>
    </w:p>
    <w:p>
      <w:pPr>
        <w:spacing w:after="0" w:line="244" w:lineRule="exact"/>
        <w:rPr>
          <w:rFonts w:ascii="Courier New" w:cs="Courier New" w:eastAsia="Courier New" w:hAnsi="Courier New"/>
          <w:sz w:val="14"/>
          <w:szCs w:val="14"/>
          <w:color w:val="auto"/>
        </w:rPr>
      </w:pPr>
    </w:p>
    <w:p>
      <w:pPr>
        <w:ind w:left="840" w:right="2779" w:firstLine="830"/>
        <w:spacing w:after="0" w:line="292" w:lineRule="auto"/>
        <w:tabs>
          <w:tab w:leader="none" w:pos="2049"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simultaneously with the delivery of the financial statements referred to in (a) and (b) above, a certificate in the form of Exhibit F hereto (the "Compliance Certificate") signed by the CFO or the CAO or the Borrower's corporate treasurer, stating that the Borrower and its Subsidiaries are in compliance with the covenants contained in Section Section 8, 9 and 10 hereof as of the end of the applicable period and setting forth in reasonable detail computations evidencing such compliance with respect to the covenants contained</w:t>
      </w:r>
    </w:p>
    <w:p>
      <w:pPr>
        <w:sectPr>
          <w:pgSz w:w="11900" w:h="16838" w:orient="portrait"/>
          <w:cols w:equalWidth="0" w:num="1">
            <w:col w:w="10219"/>
          </w:cols>
          <w:pgMar w:left="240" w:top="269"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6"/>
          <w:szCs w:val="16"/>
          <w:color w:val="auto"/>
        </w:rPr>
        <w:t>54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-48-</w:t>
      </w:r>
    </w:p>
    <w:p>
      <w:pPr>
        <w:spacing w:after="0" w:line="327" w:lineRule="exact"/>
        <w:rPr>
          <w:sz w:val="20"/>
          <w:szCs w:val="20"/>
          <w:color w:val="auto"/>
        </w:rPr>
      </w:pPr>
    </w:p>
    <w:p>
      <w:pPr>
        <w:ind w:left="840" w:right="2959"/>
        <w:spacing w:after="0" w:line="296" w:lineRule="auto"/>
        <w:rPr>
          <w:sz w:val="20"/>
          <w:szCs w:val="20"/>
          <w:color w:val="auto"/>
        </w:rPr>
      </w:pPr>
      <w:r>
        <w:rPr>
          <w:rFonts w:ascii="Courier New" w:cs="Courier New" w:eastAsia="Courier New" w:hAnsi="Courier New"/>
          <w:sz w:val="14"/>
          <w:szCs w:val="14"/>
          <w:color w:val="auto"/>
        </w:rPr>
        <w:t>in Section 10 hereof and that no Default or Event of Default exists, provided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62" w:lineRule="exact"/>
        <w:rPr>
          <w:sz w:val="20"/>
          <w:szCs w:val="20"/>
          <w:color w:val="auto"/>
        </w:rPr>
      </w:pPr>
    </w:p>
    <w:p>
      <w:pPr>
        <w:ind w:left="840" w:right="2879" w:firstLine="830"/>
        <w:spacing w:after="0" w:line="272" w:lineRule="auto"/>
        <w:tabs>
          <w:tab w:leader="none" w:pos="2049"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filing or mailing thereof, copies of all material of a financial nature filed with the Securities and Exchange Commission or sent to the Borrower's and its Subsidiaries' stockholders generally; and</w:t>
      </w:r>
    </w:p>
    <w:p>
      <w:pPr>
        <w:spacing w:after="0" w:line="72" w:lineRule="exact"/>
        <w:rPr>
          <w:rFonts w:ascii="Courier New" w:cs="Courier New" w:eastAsia="Courier New" w:hAnsi="Courier New"/>
          <w:sz w:val="16"/>
          <w:szCs w:val="16"/>
          <w:color w:val="auto"/>
        </w:rPr>
      </w:pPr>
    </w:p>
    <w:p>
      <w:pPr>
        <w:ind w:left="840" w:right="3239" w:firstLine="830"/>
        <w:spacing w:after="0" w:line="342" w:lineRule="auto"/>
        <w:tabs>
          <w:tab w:leader="none" w:pos="2049"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such other financial data and other information as the Banks may reasonably request.</w:t>
      </w:r>
    </w:p>
    <w:p>
      <w:pPr>
        <w:spacing w:after="0" w:line="20" w:lineRule="exact"/>
        <w:rPr>
          <w:sz w:val="20"/>
          <w:szCs w:val="20"/>
          <w:color w:val="auto"/>
        </w:rPr>
      </w:pPr>
    </w:p>
    <w:p>
      <w:pPr>
        <w:ind w:right="2879" w:firstLine="837"/>
        <w:spacing w:after="0" w:line="296" w:lineRule="auto"/>
        <w:rPr>
          <w:sz w:val="20"/>
          <w:szCs w:val="20"/>
          <w:color w:val="auto"/>
        </w:rPr>
      </w:pPr>
      <w:r>
        <w:rPr>
          <w:rFonts w:ascii="Courier New" w:cs="Courier New" w:eastAsia="Courier New" w:hAnsi="Courier New"/>
          <w:sz w:val="14"/>
          <w:szCs w:val="14"/>
          <w:color w:val="auto"/>
        </w:rPr>
        <w:t>The Borrower hereby authorizes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62" w:lineRule="exact"/>
        <w:rPr>
          <w:sz w:val="20"/>
          <w:szCs w:val="20"/>
          <w:color w:val="auto"/>
        </w:rPr>
      </w:pPr>
    </w:p>
    <w:p>
      <w:pPr>
        <w:ind w:right="2779" w:firstLine="837"/>
        <w:spacing w:after="0" w:line="281" w:lineRule="auto"/>
        <w:rPr>
          <w:sz w:val="20"/>
          <w:szCs w:val="20"/>
          <w:color w:val="auto"/>
        </w:rPr>
      </w:pPr>
      <w:r>
        <w:rPr>
          <w:rFonts w:ascii="Courier New" w:cs="Courier New" w:eastAsia="Courier New" w:hAnsi="Courier New"/>
          <w:sz w:val="14"/>
          <w:szCs w:val="14"/>
          <w:color w:val="auto"/>
        </w:rPr>
        <w:t>SECTION 8.5. EXISTENCE AND CONDUCT OF BUSINESS. The Borrower will, and will cause each Material Subsidiary, to do or cause to be done all things necessary to preserve and keep in full force and effect its existence, rights and franchises; and effect and maintain its foreign qualifications (except where the failure of the Borrower or any Material Subsidiary to remain so qualified could not reasonably be expected to have a Material Adverse Effect), licensing, domestication or authorization, except as any of the foregoing may be terminated by its Board of Directors in the exercise of its reasonable judgment; provided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businesses, and any additional businesses acquired pursuant to the terms of Section 9.4(a) hereunder.</w:t>
      </w:r>
    </w:p>
    <w:p>
      <w:pPr>
        <w:spacing w:after="0" w:line="256"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SECTION 8.6. MAINTENANCE OF PROPERTIES. The Borrower will, and will cause its Material Subsidiaries to, cause all material properties used or useful in the conduct of 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Borrower and its Material Subsidiaries may be necessary so that the businesses carried on in connection therewith may be properly and advantageously conducted at all times; provided, however,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ectPr>
          <w:pgSz w:w="11900" w:h="16838" w:orient="portrait"/>
          <w:cols w:equalWidth="0" w:num="1">
            <w:col w:w="10219"/>
          </w:cols>
          <w:pgMar w:left="240" w:top="269" w:right="1440" w:bottom="1440" w:gutter="0" w:footer="0" w:header="0"/>
        </w:sectPr>
      </w:pPr>
    </w:p>
    <w:bookmarkStart w:id="231" w:name="page232"/>
    <w:bookmarkEnd w:id="231"/>
    <w:p>
      <w:pPr>
        <w:ind w:left="285"/>
        <w:spacing w:after="0"/>
        <w:rPr>
          <w:sz w:val="20"/>
          <w:szCs w:val="20"/>
          <w:color w:val="auto"/>
        </w:rPr>
      </w:pPr>
      <w:r>
        <w:rPr>
          <w:rFonts w:ascii="Courier New" w:cs="Courier New" w:eastAsia="Courier New" w:hAnsi="Courier New"/>
          <w:sz w:val="16"/>
          <w:szCs w:val="16"/>
          <w:color w:val="auto"/>
        </w:rPr>
        <w:t>55</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-49-</w:t>
      </w:r>
    </w:p>
    <w:p>
      <w:pPr>
        <w:spacing w:after="0" w:line="327" w:lineRule="exact"/>
        <w:rPr>
          <w:sz w:val="20"/>
          <w:szCs w:val="20"/>
          <w:color w:val="auto"/>
        </w:rPr>
      </w:pPr>
    </w:p>
    <w:p>
      <w:pPr>
        <w:ind w:left="5" w:right="2779" w:firstLine="837"/>
        <w:spacing w:after="0" w:line="244" w:lineRule="auto"/>
        <w:rPr>
          <w:sz w:val="20"/>
          <w:szCs w:val="20"/>
          <w:color w:val="auto"/>
        </w:rPr>
      </w:pPr>
      <w:r>
        <w:rPr>
          <w:rFonts w:ascii="Courier New" w:cs="Courier New" w:eastAsia="Courier New" w:hAnsi="Courier New"/>
          <w:sz w:val="16"/>
          <w:szCs w:val="16"/>
          <w:color w:val="auto"/>
        </w:rPr>
        <w:t>SECTION 8.7. INSURANCE. The Borrower will, and will cause its Subsidiaries to, maintain with financially sound and reputable insurance companies (including captive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Borrower and its Subsidiaries, in amounts substantially similar to the existing coverage policies maintained by the Borrower and its Subsidiaries, copies of which have been provided to the Administrative Agent.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98" w:lineRule="exact"/>
        <w:rPr>
          <w:sz w:val="20"/>
          <w:szCs w:val="20"/>
          <w:color w:val="auto"/>
        </w:rPr>
      </w:pPr>
    </w:p>
    <w:p>
      <w:pPr>
        <w:ind w:left="5" w:right="2779" w:firstLine="837"/>
        <w:spacing w:after="0" w:line="282" w:lineRule="auto"/>
        <w:rPr>
          <w:sz w:val="20"/>
          <w:szCs w:val="20"/>
          <w:color w:val="auto"/>
        </w:rPr>
      </w:pPr>
      <w:r>
        <w:rPr>
          <w:rFonts w:ascii="Courier New" w:cs="Courier New" w:eastAsia="Courier New" w:hAnsi="Courier New"/>
          <w:sz w:val="14"/>
          <w:szCs w:val="14"/>
          <w:color w:val="auto"/>
        </w:rPr>
        <w:t>SECTION 8.8. TAXES. The Borrower will, and will cause its Subsidiaries to, duly pay and discharge, or cause to be paid and discharged, before the same shall become overdue, all taxes, assessments and other governmental charges imposed upon it and its real properties, sales and activities, or any part thereof, or upon the income or profits therefrom, as well as all claims for labor, materials, or supplies, which if unpaid might by law become a Lien upon any of its property; provided, however,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provided, further, that the Borrower or such Subsidiary will pay all such taxes, assessments, charges, levies or claims prior to foreclosure on any Lien which may have attached as security therefor.</w:t>
      </w:r>
    </w:p>
    <w:p>
      <w:pPr>
        <w:spacing w:after="0" w:line="253" w:lineRule="exact"/>
        <w:rPr>
          <w:sz w:val="20"/>
          <w:szCs w:val="20"/>
          <w:color w:val="auto"/>
        </w:rPr>
      </w:pPr>
    </w:p>
    <w:p>
      <w:pPr>
        <w:ind w:left="5" w:right="2779" w:firstLine="837"/>
        <w:spacing w:after="0" w:line="248" w:lineRule="auto"/>
        <w:rPr>
          <w:sz w:val="20"/>
          <w:szCs w:val="20"/>
          <w:color w:val="auto"/>
        </w:rPr>
      </w:pPr>
      <w:r>
        <w:rPr>
          <w:rFonts w:ascii="Courier New" w:cs="Courier New" w:eastAsia="Courier New" w:hAnsi="Courier New"/>
          <w:sz w:val="16"/>
          <w:szCs w:val="16"/>
          <w:color w:val="auto"/>
        </w:rPr>
        <w:t>SECTION 8.9. INSPECTION OF PROPERTIES, BOOKS AND CONTRACTS. The Borrower will, and will cause its Material Subsidiaries to, permit the Administrative Agent or any Bank or any of their designated representatives, upon reasonable notice, to visit and inspect any of the properties of the Borrower and its Material Subsidiaries, to examine the books of account of the Borrower and its Material Subsidiaries, or contracts (and to make copies thereof and extracts therefrom), and to discuss the affairs, finances and accounts of the Borrower and its Material Subsidiaries with, and to be advised as to the same by, their officers, all at such times and intervals as may be reasonably requested.</w:t>
      </w:r>
    </w:p>
    <w:p>
      <w:pPr>
        <w:spacing w:after="0" w:line="95" w:lineRule="exact"/>
        <w:rPr>
          <w:sz w:val="20"/>
          <w:szCs w:val="20"/>
          <w:color w:val="auto"/>
        </w:rPr>
      </w:pPr>
    </w:p>
    <w:p>
      <w:pPr>
        <w:ind w:left="5" w:right="2779" w:firstLine="837"/>
        <w:spacing w:after="0" w:line="274" w:lineRule="auto"/>
        <w:rPr>
          <w:sz w:val="20"/>
          <w:szCs w:val="20"/>
          <w:color w:val="auto"/>
        </w:rPr>
      </w:pPr>
      <w:r>
        <w:rPr>
          <w:rFonts w:ascii="Courier New" w:cs="Courier New" w:eastAsia="Courier New" w:hAnsi="Courier New"/>
          <w:sz w:val="14"/>
          <w:szCs w:val="14"/>
          <w:color w:val="auto"/>
        </w:rPr>
        <w:t>SECTION 8.10. COMPLIANCE WITH LAWS, CONTRACTS, LICENSES AND PERMITS; MAINTENANCE OF MATERIAL LICENSES AND PERMITS. The Borrower will, and will cause each Subsidiary to, (i) comply with the provisions of its charter documents and by-laws; (ii) comply with all agreements and instruments by which it or any of its properties may be bound except where noncompliance could not reasonably be expected to have a Material Adverse Effect; (iii) comply with all applicable laws and regulations (including Environmental Laws), decrees, orders, judgments, licenses and permits, including, without limitation, all environmental permits ("Applicable Requirements"), except where noncompliance with such Applicable Requirements could not reasonably be expected to have a Material Adverse Effect;</w:t>
      </w:r>
    </w:p>
    <w:p>
      <w:pPr>
        <w:spacing w:after="0" w:line="6" w:lineRule="exact"/>
        <w:rPr>
          <w:sz w:val="20"/>
          <w:szCs w:val="20"/>
          <w:color w:val="auto"/>
        </w:rPr>
      </w:pPr>
    </w:p>
    <w:p>
      <w:pPr>
        <w:ind w:left="5" w:right="3159" w:hanging="5"/>
        <w:spacing w:after="0" w:line="305" w:lineRule="auto"/>
        <w:tabs>
          <w:tab w:leader="none" w:pos="47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all operating permits for all landfills now owned or hereafter acquired, except where the failure to do so could not</w:t>
      </w:r>
    </w:p>
    <w:p>
      <w:pPr>
        <w:sectPr>
          <w:pgSz w:w="11900" w:h="16838" w:orient="portrait"/>
          <w:cols w:equalWidth="0" w:num="1">
            <w:col w:w="10224"/>
          </w:cols>
          <w:pgMar w:left="235" w:top="269"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6"/>
          <w:szCs w:val="16"/>
          <w:color w:val="auto"/>
        </w:rPr>
        <w:t>56</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-50-</w:t>
      </w:r>
    </w:p>
    <w:p>
      <w:pPr>
        <w:spacing w:after="0" w:line="327" w:lineRule="exact"/>
        <w:rPr>
          <w:sz w:val="20"/>
          <w:szCs w:val="20"/>
          <w:color w:val="auto"/>
        </w:rPr>
      </w:pPr>
    </w:p>
    <w:p>
      <w:pPr>
        <w:ind w:right="2879"/>
        <w:spacing w:after="0" w:line="246" w:lineRule="auto"/>
        <w:rPr>
          <w:sz w:val="20"/>
          <w:szCs w:val="20"/>
          <w:color w:val="auto"/>
        </w:rPr>
      </w:pPr>
      <w:r>
        <w:rPr>
          <w:rFonts w:ascii="Courier New" w:cs="Courier New" w:eastAsia="Courier New" w:hAnsi="Courier New"/>
          <w:sz w:val="16"/>
          <w:szCs w:val="16"/>
          <w:color w:val="auto"/>
        </w:rPr>
        <w:t>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Material Subsidiary may fulfill any of its obligations hereunder or under any other Loan Document, the Borrower will immediately take or cause to be taken all reasonable steps within the power of the Borrower or such Material Subsidiary to obtain such authorization, consent, approval, permit or license and furnish the Banks with evidence thereof.</w:t>
      </w:r>
    </w:p>
    <w:p>
      <w:pPr>
        <w:spacing w:after="0" w:line="96" w:lineRule="exact"/>
        <w:rPr>
          <w:sz w:val="20"/>
          <w:szCs w:val="20"/>
          <w:color w:val="auto"/>
        </w:rPr>
      </w:pPr>
    </w:p>
    <w:p>
      <w:pPr>
        <w:ind w:right="2779" w:firstLine="837"/>
        <w:spacing w:after="0" w:line="242" w:lineRule="auto"/>
        <w:rPr>
          <w:sz w:val="20"/>
          <w:szCs w:val="20"/>
          <w:color w:val="auto"/>
        </w:rPr>
      </w:pPr>
      <w:r>
        <w:rPr>
          <w:rFonts w:ascii="Courier New" w:cs="Courier New" w:eastAsia="Courier New" w:hAnsi="Courier New"/>
          <w:sz w:val="16"/>
          <w:szCs w:val="16"/>
          <w:color w:val="auto"/>
        </w:rPr>
        <w:t>SECTION 8.11. ENVIRONMENTAL INDEMNIFICATION. The Borrower covenants and agrees that it will indemnify and hold the Banks, the Issuing Banks and the Administrative Agent and their respective affiliates, and each of 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105"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8.12. FURTHER ASSURANCES. The Borrower and the Guarantor will cooperate with the Administrative Agent and execute such further instruments and documents as the Administrative Agent shall reasonably request to carry out to the Majority Banks' satisfaction the transactions contemplated by this Agreement.</w:t>
      </w:r>
    </w:p>
    <w:p>
      <w:pPr>
        <w:spacing w:after="0" w:line="80"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SECTION 8.13. NOTICE OF POTENTIAL CLAIMS OR LITIGATION. The Borrower shall deliver to the Banks, within 30 days of receipt thereof, written notice of the initiation of any action, claim, complaint, or any other notice of dispute or litigation against the Borrower or any of its Subsidiaries wherein the asserted, demanded or alleged liability is in excess of $25,000,000 or which questions the validity or enforceability of any Loan Document, together with a copy of each such complaint or other notice received by the Borrower or any of its Subsidiaries if requested by the Administrative Agent.</w:t>
      </w:r>
    </w:p>
    <w:p>
      <w:pPr>
        <w:spacing w:after="0" w:line="94" w:lineRule="exact"/>
        <w:rPr>
          <w:sz w:val="20"/>
          <w:szCs w:val="20"/>
          <w:color w:val="auto"/>
        </w:rPr>
      </w:pPr>
    </w:p>
    <w:p>
      <w:pPr>
        <w:ind w:right="3519" w:firstLine="837"/>
        <w:spacing w:after="0" w:line="342" w:lineRule="auto"/>
        <w:rPr>
          <w:sz w:val="20"/>
          <w:szCs w:val="20"/>
          <w:color w:val="auto"/>
        </w:rPr>
      </w:pPr>
      <w:r>
        <w:rPr>
          <w:rFonts w:ascii="Courier New" w:cs="Courier New" w:eastAsia="Courier New" w:hAnsi="Courier New"/>
          <w:sz w:val="16"/>
          <w:szCs w:val="16"/>
          <w:color w:val="auto"/>
        </w:rPr>
        <w:t>SECTION 8.14. NOTICE OF CERTAIN EVENTS CONCERNING INSURANCE AND ENVIRONMENTAL CLAIMS.</w:t>
      </w:r>
    </w:p>
    <w:p>
      <w:pPr>
        <w:spacing w:after="0" w:line="20" w:lineRule="exact"/>
        <w:rPr>
          <w:sz w:val="20"/>
          <w:szCs w:val="20"/>
          <w:color w:val="auto"/>
        </w:rPr>
      </w:pPr>
    </w:p>
    <w:p>
      <w:pPr>
        <w:ind w:left="840" w:right="2779" w:firstLine="830"/>
        <w:spacing w:after="0" w:line="272" w:lineRule="auto"/>
        <w:tabs>
          <w:tab w:leader="none" w:pos="2049"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will provide the Banks with written notice as to any material cancellation or material adverse change in any insurance of the Borrower or any of its Material Subsidiaries within ten (10) Business Days after the Borrower's or any of</w:t>
      </w:r>
    </w:p>
    <w:p>
      <w:pPr>
        <w:sectPr>
          <w:pgSz w:w="11900" w:h="16838" w:orient="portrait"/>
          <w:cols w:equalWidth="0" w:num="1">
            <w:col w:w="10219"/>
          </w:cols>
          <w:pgMar w:left="240" w:top="269" w:right="1440" w:bottom="1440" w:gutter="0" w:footer="0" w:header="0"/>
        </w:sectPr>
      </w:pPr>
    </w:p>
    <w:bookmarkStart w:id="233" w:name="page234"/>
    <w:bookmarkEnd w:id="233"/>
    <w:p>
      <w:pPr>
        <w:ind w:left="280"/>
        <w:spacing w:after="0"/>
        <w:rPr>
          <w:sz w:val="20"/>
          <w:szCs w:val="20"/>
          <w:color w:val="auto"/>
        </w:rPr>
      </w:pPr>
      <w:r>
        <w:rPr>
          <w:rFonts w:ascii="Courier New" w:cs="Courier New" w:eastAsia="Courier New" w:hAnsi="Courier New"/>
          <w:sz w:val="16"/>
          <w:szCs w:val="16"/>
          <w:color w:val="auto"/>
        </w:rPr>
        <w:t>57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-51-</w:t>
      </w:r>
    </w:p>
    <w:p>
      <w:pPr>
        <w:spacing w:after="0" w:line="200" w:lineRule="exact"/>
        <w:rPr>
          <w:sz w:val="20"/>
          <w:szCs w:val="20"/>
          <w:color w:val="auto"/>
        </w:rPr>
      </w:pPr>
    </w:p>
    <w:p>
      <w:pPr>
        <w:spacing w:after="0" w:line="306" w:lineRule="exact"/>
        <w:rPr>
          <w:sz w:val="20"/>
          <w:szCs w:val="20"/>
          <w:color w:val="auto"/>
        </w:rPr>
      </w:pPr>
    </w:p>
    <w:p>
      <w:pPr>
        <w:ind w:left="840" w:right="3059"/>
        <w:spacing w:after="0" w:line="289" w:lineRule="auto"/>
        <w:rPr>
          <w:sz w:val="20"/>
          <w:szCs w:val="20"/>
          <w:color w:val="auto"/>
        </w:rPr>
      </w:pPr>
      <w:r>
        <w:rPr>
          <w:rFonts w:ascii="Courier New" w:cs="Courier New" w:eastAsia="Courier New" w:hAnsi="Courier New"/>
          <w:sz w:val="16"/>
          <w:szCs w:val="16"/>
          <w:color w:val="auto"/>
        </w:rPr>
        <w:t>its Material Subsidiary's receipt of any notice (whether formal or informal) of such material cancellation or material change by any of its insurers.</w:t>
      </w:r>
    </w:p>
    <w:p>
      <w:pPr>
        <w:spacing w:after="0" w:line="61" w:lineRule="exact"/>
        <w:rPr>
          <w:sz w:val="20"/>
          <w:szCs w:val="20"/>
          <w:color w:val="auto"/>
        </w:rPr>
      </w:pPr>
    </w:p>
    <w:p>
      <w:pPr>
        <w:ind w:left="2040" w:hanging="370"/>
        <w:spacing w:after="0"/>
        <w:tabs>
          <w:tab w:leader="none" w:pos="2040" w:val="left"/>
        </w:tabs>
        <w:numPr>
          <w:ilvl w:val="1"/>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will promptly, and in any event within ten</w:t>
      </w:r>
    </w:p>
    <w:p>
      <w:pPr>
        <w:spacing w:after="0" w:line="25" w:lineRule="exact"/>
        <w:rPr>
          <w:rFonts w:ascii="Courier New" w:cs="Courier New" w:eastAsia="Courier New" w:hAnsi="Courier New"/>
          <w:sz w:val="16"/>
          <w:szCs w:val="16"/>
          <w:color w:val="auto"/>
        </w:rPr>
      </w:pPr>
    </w:p>
    <w:p>
      <w:pPr>
        <w:ind w:left="840" w:right="3339" w:hanging="7"/>
        <w:spacing w:after="0" w:line="383" w:lineRule="auto"/>
        <w:tabs>
          <w:tab w:leader="none" w:pos="1305"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of the Borrower's obtaining knowledge thereof, notify the Banks in writing of any of the following events:</w:t>
      </w:r>
    </w:p>
    <w:p>
      <w:pPr>
        <w:spacing w:after="0" w:line="2" w:lineRule="exact"/>
        <w:rPr>
          <w:rFonts w:ascii="Courier New" w:cs="Courier New" w:eastAsia="Courier New" w:hAnsi="Courier New"/>
          <w:sz w:val="14"/>
          <w:szCs w:val="14"/>
          <w:color w:val="auto"/>
        </w:rPr>
      </w:pPr>
    </w:p>
    <w:p>
      <w:pPr>
        <w:ind w:left="1660" w:right="2879" w:firstLine="847"/>
        <w:spacing w:after="0" w:line="309" w:lineRule="auto"/>
        <w:tabs>
          <w:tab w:leader="none" w:pos="2869"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Material Subsidiary's obtaining knowledge of any violation of any Environmental Law regarding the Real Property or the Borrower's or any Subsidiary's operations which violation could reasonably be expected to have a Material Adverse Effect;</w:t>
      </w:r>
    </w:p>
    <w:p>
      <w:pPr>
        <w:spacing w:after="0" w:line="52" w:lineRule="exact"/>
        <w:rPr>
          <w:rFonts w:ascii="Courier New" w:cs="Courier New" w:eastAsia="Courier New" w:hAnsi="Courier New"/>
          <w:sz w:val="14"/>
          <w:szCs w:val="14"/>
          <w:color w:val="auto"/>
        </w:rPr>
      </w:pPr>
    </w:p>
    <w:p>
      <w:pPr>
        <w:ind w:left="1660" w:right="2779" w:firstLine="847"/>
        <w:spacing w:after="0" w:line="263" w:lineRule="auto"/>
        <w:tabs>
          <w:tab w:leader="none" w:pos="2962" w:val="left"/>
        </w:tabs>
        <w:numPr>
          <w:ilvl w:val="2"/>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Borrower's or any Material Subsidiary's obtaining knowledge of any potential or known Release, or threat of Release, of any Hazardous Substance at, from, or into the Real Property which could reasonably be expected to have a Material Adverse Effect;</w:t>
      </w:r>
    </w:p>
    <w:p>
      <w:pPr>
        <w:spacing w:after="0" w:line="80" w:lineRule="exact"/>
        <w:rPr>
          <w:rFonts w:ascii="Courier New" w:cs="Courier New" w:eastAsia="Courier New" w:hAnsi="Courier New"/>
          <w:sz w:val="16"/>
          <w:szCs w:val="16"/>
          <w:color w:val="auto"/>
        </w:rPr>
      </w:pPr>
    </w:p>
    <w:p>
      <w:pPr>
        <w:ind w:left="1660" w:right="2879" w:firstLine="847"/>
        <w:spacing w:after="0" w:line="274" w:lineRule="auto"/>
        <w:tabs>
          <w:tab w:leader="none" w:pos="3055"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Material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Material Subsidiary's or any Person's operation of the Real Property,</w:t>
      </w:r>
    </w:p>
    <w:p>
      <w:pPr>
        <w:spacing w:after="0" w:line="6" w:lineRule="exact"/>
        <w:rPr>
          <w:rFonts w:ascii="Courier New" w:cs="Courier New" w:eastAsia="Courier New" w:hAnsi="Courier New"/>
          <w:sz w:val="14"/>
          <w:szCs w:val="14"/>
          <w:color w:val="auto"/>
        </w:rPr>
      </w:pPr>
    </w:p>
    <w:p>
      <w:pPr>
        <w:ind w:left="1660" w:right="2779"/>
        <w:spacing w:after="0" w:line="248"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(B) contamination on, from, or into the Real Property, or (C) investigation or remediation of offsite locations at which the Borrower, any Material Subsidiary, or its predecessors are alleged to have directly or indirectly Disposed of Hazardous Substances, and with respect to which the asserted, demanded or alleged liability associated therewith exceeds $35,000,000; or</w:t>
      </w:r>
    </w:p>
    <w:p>
      <w:pPr>
        <w:spacing w:after="0" w:line="92" w:lineRule="exact"/>
        <w:rPr>
          <w:rFonts w:ascii="Courier New" w:cs="Courier New" w:eastAsia="Courier New" w:hAnsi="Courier New"/>
          <w:sz w:val="14"/>
          <w:szCs w:val="14"/>
          <w:color w:val="auto"/>
        </w:rPr>
      </w:pPr>
    </w:p>
    <w:p>
      <w:pPr>
        <w:ind w:left="1660" w:right="2779" w:firstLine="847"/>
        <w:spacing w:after="0" w:line="290" w:lineRule="auto"/>
        <w:tabs>
          <w:tab w:leader="none" w:pos="2962" w:val="left"/>
        </w:tabs>
        <w:numPr>
          <w:ilvl w:val="2"/>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Borrower's or any Material Subsidiary's obtaining knowledge that any expense or loss which individually or in the aggregate exceeds $35,000,000 has been incurred by such governmental authority in connection with the assessment, containment, removal or remediation of any Hazardous Substances with respect to which the Borrower or any Material Subsidiary has been alleged to be liable by such governmental authority or for which a Lien may be imposed on the Real Property by such governmental authority.</w:t>
      </w:r>
    </w:p>
    <w:p>
      <w:pPr>
        <w:spacing w:after="0" w:line="64"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SECTION 8.15. NOTICE OF DEFAULT. The Borrower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$25,000,000 as to which the Borrower or any of its Material Subsidiaries is a party or obligor, whether as principal or surety, the Borrower shall promptly upon obtaining actual knowledge thereof give written notice thereof to the Banks, describing the notice of action and the nature of the claimed default.</w:t>
      </w:r>
    </w:p>
    <w:p>
      <w:pPr>
        <w:sectPr>
          <w:pgSz w:w="11900" w:h="16838" w:orient="portrait"/>
          <w:cols w:equalWidth="0" w:num="1">
            <w:col w:w="10219"/>
          </w:cols>
          <w:pgMar w:left="240" w:top="269" w:right="1440" w:bottom="1440" w:gutter="0" w:footer="0" w:header="0"/>
        </w:sectPr>
      </w:pPr>
    </w:p>
    <w:bookmarkStart w:id="234" w:name="page235"/>
    <w:bookmarkEnd w:id="234"/>
    <w:p>
      <w:pPr>
        <w:ind w:left="280"/>
        <w:spacing w:after="0"/>
        <w:rPr>
          <w:sz w:val="20"/>
          <w:szCs w:val="20"/>
          <w:color w:val="auto"/>
        </w:rPr>
      </w:pPr>
      <w:r>
        <w:rPr>
          <w:rFonts w:ascii="Courier New" w:cs="Courier New" w:eastAsia="Courier New" w:hAnsi="Courier New"/>
          <w:sz w:val="16"/>
          <w:szCs w:val="16"/>
          <w:color w:val="auto"/>
        </w:rPr>
        <w:t>58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-52-</w:t>
      </w:r>
    </w:p>
    <w:p>
      <w:pPr>
        <w:spacing w:after="0" w:line="327"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8.16. USE OF PROCEEDS. The proceeds of the Loans shall be used for general corporate purposes, to provide working capital, to provide letters of credit and to refinance existing Indebtedness of the Borrower and its Subsidiaries. No proceeds of the Loans shall be used in any way that will violate Regulations U or X of the Board of Governors of the Federal Reserve System.</w:t>
      </w:r>
    </w:p>
    <w:p>
      <w:pPr>
        <w:spacing w:after="0" w:line="83" w:lineRule="exact"/>
        <w:rPr>
          <w:sz w:val="20"/>
          <w:szCs w:val="20"/>
          <w:color w:val="auto"/>
        </w:rPr>
      </w:pPr>
    </w:p>
    <w:p>
      <w:pPr>
        <w:ind w:right="2779" w:firstLine="837"/>
        <w:spacing w:after="0" w:line="244" w:lineRule="auto"/>
        <w:rPr>
          <w:sz w:val="20"/>
          <w:szCs w:val="20"/>
          <w:color w:val="auto"/>
        </w:rPr>
      </w:pPr>
      <w:r>
        <w:rPr>
          <w:rFonts w:ascii="Courier New" w:cs="Courier New" w:eastAsia="Courier New" w:hAnsi="Courier New"/>
          <w:sz w:val="16"/>
          <w:szCs w:val="16"/>
          <w:color w:val="auto"/>
        </w:rPr>
        <w:t>SECTION 8.17. CERTAIN TRANSACTIONS. Except as disclosed in the Disclosure Documents prior to the Effective Date, and except for arm's length transactions pursuant to which the Borrower or any Subsidiary makes payments in the ordinary course of business upon terms no less favorable than the Borrower or such Subsidiary could obtain from third parties,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98"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9. CERTAIN NEGATIVE COVENANTS OF THE BORROWER. The Borrower agrees that, so long as any Obligation or Letter of Credit is outstanding or the Banks have any obligation to make Loans or any Issuing Bank has any obligation to issue, extend or renew any Letters of Credit hereunder, or the Banks have any obligation to reimburse any Issuing Bank for drawings honored under any Letter of Credit, it shall, and shall cause its Subsidiaries to, comply with the following covenants:</w:t>
      </w:r>
    </w:p>
    <w:p>
      <w:pPr>
        <w:spacing w:after="0" w:line="88" w:lineRule="exact"/>
        <w:rPr>
          <w:sz w:val="20"/>
          <w:szCs w:val="20"/>
          <w:color w:val="auto"/>
        </w:rPr>
      </w:pPr>
    </w:p>
    <w:p>
      <w:pPr>
        <w:ind w:right="2779" w:firstLine="837"/>
        <w:spacing w:after="0" w:line="292" w:lineRule="auto"/>
        <w:rPr>
          <w:sz w:val="20"/>
          <w:szCs w:val="20"/>
          <w:color w:val="auto"/>
        </w:rPr>
      </w:pPr>
      <w:r>
        <w:rPr>
          <w:rFonts w:ascii="Courier New" w:cs="Courier New" w:eastAsia="Courier New" w:hAnsi="Courier New"/>
          <w:sz w:val="14"/>
          <w:szCs w:val="14"/>
          <w:color w:val="auto"/>
        </w:rPr>
        <w:t>SECTION 9.1. RESTRICTIONS ON INDEBTEDNESS. Neither the Borrower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(other than the Borrower or any of its Subsidiaries), or incur any Indebtedness other than:</w:t>
      </w:r>
    </w:p>
    <w:p>
      <w:pPr>
        <w:spacing w:after="0" w:line="66" w:lineRule="exact"/>
        <w:rPr>
          <w:sz w:val="20"/>
          <w:szCs w:val="20"/>
          <w:color w:val="auto"/>
        </w:rPr>
      </w:pPr>
    </w:p>
    <w:p>
      <w:pPr>
        <w:ind w:left="840" w:right="3159" w:firstLine="830"/>
        <w:spacing w:after="0" w:line="342" w:lineRule="auto"/>
        <w:tabs>
          <w:tab w:leader="none" w:pos="204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arising under this Agreement or the other Loan Documents;</w:t>
      </w:r>
    </w:p>
    <w:p>
      <w:pPr>
        <w:spacing w:after="0" w:line="20" w:lineRule="exact"/>
        <w:rPr>
          <w:rFonts w:ascii="Courier New" w:cs="Courier New" w:eastAsia="Courier New" w:hAnsi="Courier New"/>
          <w:sz w:val="16"/>
          <w:szCs w:val="16"/>
          <w:color w:val="auto"/>
        </w:rPr>
      </w:pPr>
    </w:p>
    <w:p>
      <w:pPr>
        <w:ind w:left="840" w:right="2879" w:firstLine="830"/>
        <w:spacing w:after="0" w:line="272" w:lineRule="auto"/>
        <w:tabs>
          <w:tab w:leader="none" w:pos="204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Indebtedness incurred by the Borrower or any Subsidiary with respect to any suretyship or performance bond incurred in the ordinary course of its business, and undrawn landfill closure bonds; and</w:t>
      </w:r>
    </w:p>
    <w:p>
      <w:pPr>
        <w:spacing w:after="0" w:line="72" w:lineRule="exact"/>
        <w:rPr>
          <w:rFonts w:ascii="Courier New" w:cs="Courier New" w:eastAsia="Courier New" w:hAnsi="Courier New"/>
          <w:sz w:val="16"/>
          <w:szCs w:val="16"/>
          <w:color w:val="auto"/>
        </w:rPr>
      </w:pPr>
    </w:p>
    <w:p>
      <w:pPr>
        <w:jc w:val="both"/>
        <w:ind w:left="840" w:right="2779" w:firstLine="1202"/>
        <w:spacing w:after="0" w:line="289" w:lineRule="auto"/>
        <w:tabs>
          <w:tab w:leader="none" w:pos="2514" w:val="left"/>
        </w:tabs>
        <w:numPr>
          <w:ilvl w:val="1"/>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Guarantees of any of its Subsidiaries' obligations to governmental authorities in lieu of the posting of any landfill closure bonds;</w:t>
      </w:r>
    </w:p>
    <w:p>
      <w:pPr>
        <w:spacing w:after="0" w:line="60" w:lineRule="exact"/>
        <w:rPr>
          <w:rFonts w:ascii="Courier New" w:cs="Courier New" w:eastAsia="Courier New" w:hAnsi="Courier New"/>
          <w:sz w:val="16"/>
          <w:szCs w:val="16"/>
          <w:color w:val="auto"/>
        </w:rPr>
      </w:pPr>
    </w:p>
    <w:p>
      <w:pPr>
        <w:ind w:left="840" w:right="2779" w:firstLine="830"/>
        <w:spacing w:after="0" w:line="272" w:lineRule="auto"/>
        <w:tabs>
          <w:tab w:leader="none" w:pos="2049"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Indebtedness of the Borrower (and any guarantee thereof by the Guarantor), including commercial paper and the Five Year Revolving Credit Facility, which is pari passu or subordinated to the Obligations; provided that there does not exist</w:t>
      </w:r>
    </w:p>
    <w:p>
      <w:pPr>
        <w:sectPr>
          <w:pgSz w:w="11900" w:h="16838" w:orient="portrait"/>
          <w:cols w:equalWidth="0" w:num="1">
            <w:col w:w="10219"/>
          </w:cols>
          <w:pgMar w:left="240" w:top="269" w:right="1440" w:bottom="1440" w:gutter="0" w:footer="0" w:header="0"/>
        </w:sectPr>
      </w:pPr>
    </w:p>
    <w:bookmarkStart w:id="235" w:name="page236"/>
    <w:bookmarkEnd w:id="235"/>
    <w:p>
      <w:pPr>
        <w:ind w:left="280"/>
        <w:spacing w:after="0"/>
        <w:rPr>
          <w:sz w:val="20"/>
          <w:szCs w:val="20"/>
          <w:color w:val="auto"/>
        </w:rPr>
      </w:pPr>
      <w:r>
        <w:rPr>
          <w:rFonts w:ascii="Courier New" w:cs="Courier New" w:eastAsia="Courier New" w:hAnsi="Courier New"/>
          <w:sz w:val="16"/>
          <w:szCs w:val="16"/>
          <w:color w:val="auto"/>
        </w:rPr>
        <w:t>59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-53-</w:t>
      </w:r>
    </w:p>
    <w:p>
      <w:pPr>
        <w:spacing w:after="0" w:line="327" w:lineRule="exact"/>
        <w:rPr>
          <w:sz w:val="20"/>
          <w:szCs w:val="20"/>
          <w:color w:val="auto"/>
        </w:rPr>
      </w:pPr>
    </w:p>
    <w:p>
      <w:pPr>
        <w:ind w:left="840" w:right="2779"/>
        <w:spacing w:after="0" w:line="289" w:lineRule="auto"/>
        <w:rPr>
          <w:sz w:val="20"/>
          <w:szCs w:val="20"/>
          <w:color w:val="auto"/>
        </w:rPr>
      </w:pPr>
      <w:r>
        <w:rPr>
          <w:rFonts w:ascii="Courier New" w:cs="Courier New" w:eastAsia="Courier New" w:hAnsi="Courier New"/>
          <w:sz w:val="16"/>
          <w:szCs w:val="16"/>
          <w:color w:val="auto"/>
        </w:rPr>
        <w:t>a Default or Event of Default at the time of the incurrence of such Indebtedness and no Default or Event of Default would be created by the incurrence of such Indebtedness;</w:t>
      </w:r>
    </w:p>
    <w:p>
      <w:pPr>
        <w:spacing w:after="0" w:line="61" w:lineRule="exact"/>
        <w:rPr>
          <w:sz w:val="20"/>
          <w:szCs w:val="20"/>
          <w:color w:val="auto"/>
        </w:rPr>
      </w:pPr>
    </w:p>
    <w:p>
      <w:pPr>
        <w:ind w:left="840" w:right="2779" w:firstLine="830"/>
        <w:spacing w:after="0" w:line="254" w:lineRule="auto"/>
        <w:tabs>
          <w:tab w:leader="none" w:pos="2049"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the Guarantor and the Borrower's Subsidiaries listed in Schedule 9.1(d) and any extension, renewal or refinancing by the Guarantor or such Subsidiary of such Indebtedness, provided that the terms and conditions of any such extension, renewal or refinancing are substantially the same as the terms and conditions in effect on the Effective Date, or are more favorable to the Guarantor or such Subsidiary; and</w:t>
      </w:r>
    </w:p>
    <w:p>
      <w:pPr>
        <w:spacing w:after="0" w:line="88" w:lineRule="exact"/>
        <w:rPr>
          <w:rFonts w:ascii="Courier New" w:cs="Courier New" w:eastAsia="Courier New" w:hAnsi="Courier New"/>
          <w:sz w:val="16"/>
          <w:szCs w:val="16"/>
          <w:color w:val="auto"/>
        </w:rPr>
      </w:pPr>
    </w:p>
    <w:p>
      <w:pPr>
        <w:ind w:left="840" w:right="3159" w:firstLine="830"/>
        <w:spacing w:after="0" w:line="298" w:lineRule="auto"/>
        <w:tabs>
          <w:tab w:leader="none" w:pos="2049"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Other Indebtedness of the Borrower's Subsidiaries (other than of the Guarantor), (ii) secured Indebtedness of the Borrower, (iii) Indebtedness with respect to drawn landfill closure bonds, and (iv) Indebtedness with respect to Permitted Receivables Transactions; provided that the aggregate amount of all such Indebtedness in this Section 9.1(e) shall not exceed 15% of Consolidated Tangible Assets at any time.</w:t>
      </w:r>
    </w:p>
    <w:p>
      <w:pPr>
        <w:spacing w:after="0" w:line="250"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SECTION 9.2. RESTRICTIONS ON LIENS. The Borrower will not, and will cause its Subsidiaries not to, create or incur or suffer to be created or incurred or to exist any Lien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Liens.</w:t>
      </w:r>
    </w:p>
    <w:p>
      <w:pPr>
        <w:spacing w:after="0" w:line="105" w:lineRule="exact"/>
        <w:rPr>
          <w:sz w:val="20"/>
          <w:szCs w:val="20"/>
          <w:color w:val="auto"/>
        </w:rPr>
      </w:pPr>
    </w:p>
    <w:p>
      <w:pPr>
        <w:ind w:right="2879" w:firstLine="837"/>
        <w:spacing w:after="0" w:line="244" w:lineRule="auto"/>
        <w:rPr>
          <w:sz w:val="20"/>
          <w:szCs w:val="20"/>
          <w:color w:val="auto"/>
        </w:rPr>
      </w:pPr>
      <w:r>
        <w:rPr>
          <w:rFonts w:ascii="Courier New" w:cs="Courier New" w:eastAsia="Courier New" w:hAnsi="Courier New"/>
          <w:sz w:val="16"/>
          <w:szCs w:val="16"/>
          <w:color w:val="auto"/>
        </w:rPr>
        <w:t>The Borrower and the Guarantor covenant and agree that if either of them or any of their Subsidiaries shall create or assume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 the Borrower and the Guarantor contained in this sentence shall only be in effect for so long as the Borrower or the Guarantor shall be similarly obligated under any other Indebtedness; provided, further, that an Event of Default shall occur for so long as such other Indebtedness becomes secured notwithstanding any actions taken by the Borrower or the Guarantor to ratably secure the Obligations and the Guaranteed Obligations hereunder.</w:t>
      </w:r>
    </w:p>
    <w:p>
      <w:pPr>
        <w:spacing w:after="0" w:line="98"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SECTION 9.3. RESTRICTIONS ON INVESTMENTS. Except to the extent provided in Section 9.4, neither the Borrower nor any Subsidiary may make or permit to exist or to remain outstanding any Investment, unless both before and after giving effect thereto (i) the Borrower and its</w:t>
      </w:r>
    </w:p>
    <w:p>
      <w:pPr>
        <w:sectPr>
          <w:pgSz w:w="11900" w:h="16838" w:orient="portrait"/>
          <w:cols w:equalWidth="0" w:num="1">
            <w:col w:w="10219"/>
          </w:cols>
          <w:pgMar w:left="240" w:top="269" w:right="1440" w:bottom="1440" w:gutter="0" w:footer="0" w:header="0"/>
        </w:sectPr>
      </w:pPr>
    </w:p>
    <w:bookmarkStart w:id="236" w:name="page237"/>
    <w:bookmarkEnd w:id="236"/>
    <w:p>
      <w:pPr>
        <w:ind w:left="285"/>
        <w:spacing w:after="0"/>
        <w:rPr>
          <w:sz w:val="20"/>
          <w:szCs w:val="20"/>
          <w:color w:val="auto"/>
        </w:rPr>
      </w:pPr>
      <w:r>
        <w:rPr>
          <w:rFonts w:ascii="Courier New" w:cs="Courier New" w:eastAsia="Courier New" w:hAnsi="Courier New"/>
          <w:sz w:val="16"/>
          <w:szCs w:val="16"/>
          <w:color w:val="auto"/>
        </w:rPr>
        <w:t>60</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-54-</w:t>
      </w:r>
    </w:p>
    <w:p>
      <w:pPr>
        <w:spacing w:after="0" w:line="327" w:lineRule="exact"/>
        <w:rPr>
          <w:sz w:val="20"/>
          <w:szCs w:val="20"/>
          <w:color w:val="auto"/>
        </w:rPr>
      </w:pPr>
    </w:p>
    <w:p>
      <w:pPr>
        <w:ind w:left="5" w:right="2879"/>
        <w:spacing w:after="0" w:line="276" w:lineRule="auto"/>
        <w:rPr>
          <w:sz w:val="20"/>
          <w:szCs w:val="20"/>
          <w:color w:val="auto"/>
        </w:rPr>
      </w:pPr>
      <w:r>
        <w:rPr>
          <w:rFonts w:ascii="Courier New" w:cs="Courier New" w:eastAsia="Courier New" w:hAnsi="Courier New"/>
          <w:sz w:val="14"/>
          <w:szCs w:val="14"/>
          <w:color w:val="auto"/>
        </w:rPr>
        <w:t>Subsidiaries are in compliance with the covenants set forth in Sections 8, 9 and 10 hereof; (ii) 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 of deposit having maturities of less than one (1) year, issued by commercial banks in the United States or Canada having capital and surplus of not less than $100,000,000, and</w:t>
      </w:r>
    </w:p>
    <w:p>
      <w:pPr>
        <w:ind w:left="5" w:right="3159" w:hanging="5"/>
        <w:spacing w:after="0" w:line="259" w:lineRule="auto"/>
        <w:tabs>
          <w:tab w:leader="none" w:pos="377"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does not exceed 15% of Consolidated Tangible Assets; provided, that the ability of the Borrower and its Subsidiaries to incur any Indebtedness in connection with any Investment permitted by this Section 9.3 shall be governed by Section 9.1.</w:t>
      </w:r>
    </w:p>
    <w:p>
      <w:pPr>
        <w:spacing w:after="0" w:line="84"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SECTION 9.4. MERGERS, CONSOLIDATIONS, SALES.</w:t>
      </w:r>
    </w:p>
    <w:p>
      <w:pPr>
        <w:spacing w:after="0" w:line="177" w:lineRule="exact"/>
        <w:rPr>
          <w:sz w:val="20"/>
          <w:szCs w:val="20"/>
          <w:color w:val="auto"/>
        </w:rPr>
      </w:pPr>
    </w:p>
    <w:p>
      <w:pPr>
        <w:ind w:left="845" w:right="2779" w:firstLine="830"/>
        <w:spacing w:after="0" w:line="275" w:lineRule="auto"/>
        <w:tabs>
          <w:tab w:leader="none" w:pos="2054"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Section 9.3 or this Section 9.4.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provided that the Borrower or its Subsidiaries may purchase or otherwise acquire all or substantially all of the assets or stock of any class of, or any partnership, membership or joint venture or other interest in, any Persons in unrelated businesses, not to exceed an aggregate amount of $100,000,000 during the first year following the Effective Date, and not to exceed a total aggregate amount of $200,000,000 during the term of this Agreement. Notwithstanding anything herein to the contrary, the ability of the Borrower and its Subsidiaries to incur any Indebtedness in connection with any transaction permitted pursuant to this Section 9.4 shall be governed by Section 9.1.</w:t>
      </w:r>
    </w:p>
    <w:p>
      <w:pPr>
        <w:spacing w:after="0" w:line="200" w:lineRule="exact"/>
        <w:rPr>
          <w:rFonts w:ascii="Courier New" w:cs="Courier New" w:eastAsia="Courier New" w:hAnsi="Courier New"/>
          <w:sz w:val="14"/>
          <w:szCs w:val="14"/>
          <w:color w:val="auto"/>
        </w:rPr>
      </w:pPr>
    </w:p>
    <w:p>
      <w:pPr>
        <w:spacing w:after="0" w:line="251" w:lineRule="exact"/>
        <w:rPr>
          <w:rFonts w:ascii="Courier New" w:cs="Courier New" w:eastAsia="Courier New" w:hAnsi="Courier New"/>
          <w:sz w:val="14"/>
          <w:szCs w:val="14"/>
          <w:color w:val="auto"/>
        </w:rPr>
      </w:pPr>
    </w:p>
    <w:p>
      <w:pPr>
        <w:ind w:left="845" w:right="2779" w:firstLine="830"/>
        <w:spacing w:after="0" w:line="248" w:lineRule="auto"/>
        <w:tabs>
          <w:tab w:leader="none" w:pos="2054"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w:t>
      </w:r>
    </w:p>
    <w:p>
      <w:pPr>
        <w:sectPr>
          <w:pgSz w:w="11900" w:h="16838" w:orient="portrait"/>
          <w:cols w:equalWidth="0" w:num="1">
            <w:col w:w="10224"/>
          </w:cols>
          <w:pgMar w:left="235" w:top="269" w:right="1440" w:bottom="1440" w:gutter="0" w:footer="0" w:header="0"/>
        </w:sectPr>
      </w:pPr>
    </w:p>
    <w:bookmarkStart w:id="237" w:name="page238"/>
    <w:bookmarkEnd w:id="237"/>
    <w:p>
      <w:pPr>
        <w:ind w:left="280"/>
        <w:spacing w:after="0"/>
        <w:rPr>
          <w:sz w:val="20"/>
          <w:szCs w:val="20"/>
          <w:color w:val="auto"/>
        </w:rPr>
      </w:pPr>
      <w:r>
        <w:rPr>
          <w:rFonts w:ascii="Courier New" w:cs="Courier New" w:eastAsia="Courier New" w:hAnsi="Courier New"/>
          <w:sz w:val="16"/>
          <w:szCs w:val="16"/>
          <w:color w:val="auto"/>
        </w:rPr>
        <w:t>61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-55-</w:t>
      </w:r>
    </w:p>
    <w:p>
      <w:pPr>
        <w:spacing w:after="0" w:line="327" w:lineRule="exact"/>
        <w:rPr>
          <w:sz w:val="20"/>
          <w:szCs w:val="20"/>
          <w:color w:val="auto"/>
        </w:rPr>
      </w:pPr>
    </w:p>
    <w:p>
      <w:pPr>
        <w:ind w:left="840" w:right="2779"/>
        <w:spacing w:after="0" w:line="283" w:lineRule="auto"/>
        <w:rPr>
          <w:sz w:val="20"/>
          <w:szCs w:val="20"/>
          <w:color w:val="auto"/>
        </w:rPr>
      </w:pPr>
      <w:r>
        <w:rPr>
          <w:rFonts w:ascii="Courier New" w:cs="Courier New" w:eastAsia="Courier New" w:hAnsi="Courier New"/>
          <w:sz w:val="14"/>
          <w:szCs w:val="14"/>
          <w:color w:val="auto"/>
        </w:rPr>
        <w:t>and is continuing, or would result therefrom, sales of assets or pursuant to a sale-leaseback transaction, provided that any net cash proceeds from any such sale or sale-leaseback shall, within 180 days, either be used to pay down outstanding Loans under this Agreement and outstanding loans under the Five Year Revolving Credit Facility pro rata, or be reinvested by such Person in assets of the business of the Borrower and its Subsidiaries, used for working capital, invested in Investments in accordance with the provisions of Section 9.3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260" w:lineRule="exact"/>
        <w:rPr>
          <w:sz w:val="20"/>
          <w:szCs w:val="20"/>
          <w:color w:val="auto"/>
        </w:rPr>
      </w:pPr>
    </w:p>
    <w:p>
      <w:pPr>
        <w:ind w:right="2879" w:firstLine="837"/>
        <w:spacing w:after="0" w:line="286" w:lineRule="auto"/>
        <w:rPr>
          <w:sz w:val="20"/>
          <w:szCs w:val="20"/>
          <w:color w:val="auto"/>
        </w:rPr>
      </w:pPr>
      <w:r>
        <w:rPr>
          <w:rFonts w:ascii="Courier New" w:cs="Courier New" w:eastAsia="Courier New" w:hAnsi="Courier New"/>
          <w:sz w:val="14"/>
          <w:szCs w:val="14"/>
          <w:color w:val="auto"/>
        </w:rPr>
        <w:t>SECTION 9.5. RESTRICTED DISTRIBUTIONS AND REDEMPTIONS. Neither the Borrower nor any of its Subsidiaries will (a) declare or pay any Distributions, or (b) redeem, convert, retire or otherwise acquire shares of any class of its capital stock (other than in connection with a merger permitted by Section 9.4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 and the Borrower agrees that neither the Borrower nor any Material Subsidiary will enter into any agreement restricting Distributions from such Material Subsidiary to the Borrower.</w:t>
      </w:r>
    </w:p>
    <w:p>
      <w:pPr>
        <w:spacing w:after="0" w:line="68"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SECTION 9.6. EMPLOYEE BENEFIT PLANS. None of the Borrower, any of its</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Subsidiaries, or any ERISA Affiliate will:</w:t>
      </w:r>
    </w:p>
    <w:p>
      <w:pPr>
        <w:spacing w:after="0" w:line="149" w:lineRule="exact"/>
        <w:rPr>
          <w:sz w:val="20"/>
          <w:szCs w:val="20"/>
          <w:color w:val="auto"/>
        </w:rPr>
      </w:pPr>
    </w:p>
    <w:p>
      <w:pPr>
        <w:jc w:val="both"/>
        <w:ind w:left="840" w:right="2879" w:firstLine="830"/>
        <w:spacing w:after="0" w:line="348" w:lineRule="auto"/>
        <w:tabs>
          <w:tab w:leader="none" w:pos="2049"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"prohibited transaction" within the meaning of Section 406 of ERISA or Section 4975 of the Code which could result in a material liability for the Borrower on a consolidated basis; or</w:t>
      </w:r>
    </w:p>
    <w:p>
      <w:pPr>
        <w:spacing w:after="0" w:line="25" w:lineRule="exact"/>
        <w:rPr>
          <w:rFonts w:ascii="Courier New" w:cs="Courier New" w:eastAsia="Courier New" w:hAnsi="Courier New"/>
          <w:sz w:val="14"/>
          <w:szCs w:val="14"/>
          <w:color w:val="auto"/>
        </w:rPr>
      </w:pPr>
    </w:p>
    <w:p>
      <w:pPr>
        <w:ind w:left="840" w:right="3059" w:firstLine="830"/>
        <w:spacing w:after="0" w:line="348" w:lineRule="auto"/>
        <w:tabs>
          <w:tab w:leader="none" w:pos="2049"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pacing w:after="0" w:line="25" w:lineRule="exact"/>
        <w:rPr>
          <w:rFonts w:ascii="Courier New" w:cs="Courier New" w:eastAsia="Courier New" w:hAnsi="Courier New"/>
          <w:sz w:val="14"/>
          <w:szCs w:val="14"/>
          <w:color w:val="auto"/>
        </w:rPr>
      </w:pPr>
    </w:p>
    <w:p>
      <w:pPr>
        <w:ind w:left="840" w:right="2959" w:firstLine="830"/>
        <w:spacing w:after="0" w:line="263" w:lineRule="auto"/>
        <w:tabs>
          <w:tab w:leader="none" w:pos="2049"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 to contribute to any Guaranteed Pension Plan to an extent which, or terminate any Guaranteed Pension Plan in a manner which, could result in the imposition of a lien or encumbrance on the assets of the Borrower or the Guarantor pursuant to Section 302(f) or Section 4068 of ERISA; or</w:t>
      </w:r>
    </w:p>
    <w:p>
      <w:pPr>
        <w:spacing w:after="0" w:line="80" w:lineRule="exact"/>
        <w:rPr>
          <w:rFonts w:ascii="Courier New" w:cs="Courier New" w:eastAsia="Courier New" w:hAnsi="Courier New"/>
          <w:sz w:val="16"/>
          <w:szCs w:val="16"/>
          <w:color w:val="auto"/>
        </w:rPr>
      </w:pPr>
    </w:p>
    <w:p>
      <w:pPr>
        <w:ind w:left="840" w:right="2779" w:firstLine="830"/>
        <w:spacing w:after="0" w:line="301" w:lineRule="auto"/>
        <w:tabs>
          <w:tab w:leader="none" w:pos="2049"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or take any action which would result in the aggregate benefit liabilities (within the meaning of Section 4001 of ERISA), other than with respect to the Terminated Plans, of all Guaranteed Pension Plans exceeding the value of the aggregate assets of such Plans, disregarding for this purpose the benefit liabilities and assets of any such Plan with assets in excess of benefit liabilities.</w:t>
      </w:r>
    </w:p>
    <w:p>
      <w:pPr>
        <w:spacing w:after="0" w:line="59"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The Borrower and its Subsidiaries will (i) promptly upon the request of any Bank or the Administrative Agent, furnish to the Banks a copy of the most recent actuarial statement required to be submitted under Section 103(d) of ERISA and Annual Report, Form 5500, with all required</w:t>
      </w:r>
    </w:p>
    <w:p>
      <w:pPr>
        <w:sectPr>
          <w:pgSz w:w="11900" w:h="16838" w:orient="portrait"/>
          <w:cols w:equalWidth="0" w:num="1">
            <w:col w:w="10219"/>
          </w:cols>
          <w:pgMar w:left="240" w:top="269" w:right="1440" w:bottom="1440" w:gutter="0" w:footer="0" w:header="0"/>
        </w:sectPr>
      </w:pPr>
    </w:p>
    <w:bookmarkStart w:id="238" w:name="page239"/>
    <w:bookmarkEnd w:id="238"/>
    <w:p>
      <w:pPr>
        <w:ind w:left="280"/>
        <w:spacing w:after="0"/>
        <w:rPr>
          <w:sz w:val="20"/>
          <w:szCs w:val="20"/>
          <w:color w:val="auto"/>
        </w:rPr>
      </w:pPr>
      <w:r>
        <w:rPr>
          <w:rFonts w:ascii="Courier New" w:cs="Courier New" w:eastAsia="Courier New" w:hAnsi="Courier New"/>
          <w:sz w:val="16"/>
          <w:szCs w:val="16"/>
          <w:color w:val="auto"/>
        </w:rPr>
        <w:t>62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-56-</w:t>
      </w:r>
    </w:p>
    <w:p>
      <w:pPr>
        <w:spacing w:after="0" w:line="327" w:lineRule="exact"/>
        <w:rPr>
          <w:sz w:val="20"/>
          <w:szCs w:val="20"/>
          <w:color w:val="auto"/>
        </w:rPr>
      </w:pPr>
    </w:p>
    <w:p>
      <w:pPr>
        <w:ind w:right="2779"/>
        <w:spacing w:after="0" w:line="263" w:lineRule="auto"/>
        <w:rPr>
          <w:sz w:val="20"/>
          <w:szCs w:val="20"/>
          <w:color w:val="auto"/>
        </w:rPr>
      </w:pPr>
      <w:r>
        <w:rPr>
          <w:rFonts w:ascii="Courier New" w:cs="Courier New" w:eastAsia="Courier New" w:hAnsi="Courier New"/>
          <w:sz w:val="16"/>
          <w:szCs w:val="16"/>
          <w:color w:val="auto"/>
        </w:rPr>
        <w:t>attachments, in respect of each Guaranteed Pension Plan and (ii) promptly upon receipt or dispatch, furnish to the Banks any notice, report or demand sent or received in respect of a Guaranteed Pension Plan under Sections 302, 4041, 4042, 4043, 4063, 4065, 4066 and 4068 of ERISA, or in respect of a Multiemployer Plan, under Sections 4041A, 4202, 4219, 4242 or 4245 of ERISA.</w:t>
      </w:r>
    </w:p>
    <w:p>
      <w:pPr>
        <w:spacing w:after="0" w:line="80"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10. FINANCIAL COVENANTS OF THE BORROWER. The Borrower agrees that, so long as any Obligation or Letter of Credit is outstanding or the Banks have any obligation to make Loans, or any Issuing Bank has any obligation to issue, extend or renew any Letter of Credit hereunder, or the Banks have any obligation to reimburse any Issuing Bank for drawings honored under any Letter of Credit, it shall comply with the following covenants:</w:t>
      </w:r>
    </w:p>
    <w:p>
      <w:pPr>
        <w:spacing w:after="0" w:line="83" w:lineRule="exact"/>
        <w:rPr>
          <w:sz w:val="20"/>
          <w:szCs w:val="20"/>
          <w:color w:val="auto"/>
        </w:rPr>
      </w:pPr>
    </w:p>
    <w:p>
      <w:pPr>
        <w:ind w:right="2879" w:firstLine="837"/>
        <w:spacing w:after="0" w:line="263" w:lineRule="auto"/>
        <w:rPr>
          <w:sz w:val="20"/>
          <w:szCs w:val="20"/>
          <w:color w:val="auto"/>
        </w:rPr>
      </w:pPr>
      <w:r>
        <w:rPr>
          <w:rFonts w:ascii="Courier New" w:cs="Courier New" w:eastAsia="Courier New" w:hAnsi="Courier New"/>
          <w:sz w:val="16"/>
          <w:szCs w:val="16"/>
          <w:color w:val="auto"/>
        </w:rPr>
        <w:t>SECTION 10.1. INTEREST COVERAGE RATIO. As of the end of any fiscal quarter of the Borrower, the Borrower will not permit the ratio of (a) EBIT for the four fiscal quarters then ending to (b) Consolidated Total Interest Expense for such period to be less than the applicable ratio set forth in the table below:</w:t>
      </w:r>
    </w:p>
    <w:p>
      <w:pPr>
        <w:spacing w:after="0" w:line="80"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FISCAL</w:t>
      </w:r>
    </w:p>
    <w:p>
      <w:pPr>
        <w:spacing w:after="0" w:line="26"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4"/>
          <w:szCs w:val="14"/>
          <w:color w:val="auto"/>
        </w:rPr>
        <w:t>QUARTER(S)</w:t>
      </w:r>
    </w:p>
    <w:p>
      <w:pPr>
        <w:spacing w:after="0" w:line="18"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6"/>
          <w:szCs w:val="16"/>
          <w:color w:val="auto"/>
        </w:rPr>
        <w:t>ENDING:</w:t>
      </w:r>
    </w:p>
    <w:p>
      <w:pPr>
        <w:spacing w:after="0" w:line="236" w:lineRule="auto"/>
        <w:rPr>
          <w:sz w:val="20"/>
          <w:szCs w:val="20"/>
          <w:color w:val="auto"/>
        </w:rPr>
      </w:pPr>
      <w:r>
        <w:rPr>
          <w:rFonts w:ascii="Courier New" w:cs="Courier New" w:eastAsia="Courier New" w:hAnsi="Courier New"/>
          <w:sz w:val="16"/>
          <w:szCs w:val="16"/>
          <w:color w:val="auto"/>
        </w:rPr>
        <w:t>RATIO: ---</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w:t>
      </w:r>
    </w:p>
    <w:p>
      <w:pPr>
        <w:ind w:left="320" w:hanging="278"/>
        <w:spacing w:after="0" w:line="237" w:lineRule="auto"/>
        <w:tabs>
          <w:tab w:leader="none" w:pos="320"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6/30/01 -</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12/31/01</w:t>
      </w:r>
    </w:p>
    <w:p>
      <w:pPr>
        <w:jc w:val="center"/>
        <w:ind w:right="9299" w:firstLine="46"/>
        <w:spacing w:after="0" w:line="286"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2.25:1.00 3/31/02 - 12/31/02 2.50:1.00 3/31/03 and thereafter 3.00:1.00</w:t>
      </w:r>
    </w:p>
    <w:p>
      <w:pPr>
        <w:spacing w:after="0" w:line="200" w:lineRule="exact"/>
        <w:rPr>
          <w:sz w:val="20"/>
          <w:szCs w:val="20"/>
          <w:color w:val="auto"/>
        </w:rPr>
      </w:pPr>
    </w:p>
    <w:p>
      <w:pPr>
        <w:spacing w:after="0" w:line="228" w:lineRule="exact"/>
        <w:rPr>
          <w:sz w:val="20"/>
          <w:szCs w:val="20"/>
          <w:color w:val="auto"/>
        </w:rPr>
      </w:pPr>
    </w:p>
    <w:p>
      <w:pPr>
        <w:jc w:val="both"/>
        <w:ind w:right="2779" w:firstLine="837"/>
        <w:spacing w:after="0" w:line="348" w:lineRule="auto"/>
        <w:rPr>
          <w:sz w:val="20"/>
          <w:szCs w:val="20"/>
          <w:color w:val="auto"/>
        </w:rPr>
      </w:pPr>
      <w:r>
        <w:rPr>
          <w:rFonts w:ascii="Courier New" w:cs="Courier New" w:eastAsia="Courier New" w:hAnsi="Courier New"/>
          <w:sz w:val="14"/>
          <w:szCs w:val="14"/>
          <w:color w:val="auto"/>
        </w:rPr>
        <w:t>SECTION 10.2. TOTAL DEBT TO EBITDA. As of the end of any fiscal quarter of the Borrower, the Borrower will not permit the ratio of (a) Total Debt to (b) EBITDA for the four fiscal quarters then ending to exceed 3.00:1.00.</w:t>
      </w:r>
    </w:p>
    <w:p>
      <w:pPr>
        <w:spacing w:after="0" w:line="26"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SECTION 10.3. MINIMUM NET WORTH. The Borrower will not permit Consolidated Net Worth at any time to be less than $3,500,000,000, plus 75% of cumulative positive Consolidated Net Income for each fiscal quarter, beginning with the fiscal quarter ending March 31, 2001.</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11. CONDITIONS PRECEDENT.</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SECTION 11.1. CONDITIONS TO EFFECTIVENESS. The effectiveness of this Agreement and the obligations of the Banks to make any Loans and of any Issuing Bank to issue Letters of Credit and of the Banks to participate in Letters of Credit and otherwise be bound by the terms of this Agreement shall be subject to the satisfaction of each of the following conditions precedent:</w:t>
      </w:r>
    </w:p>
    <w:p>
      <w:pPr>
        <w:spacing w:after="0" w:line="80" w:lineRule="exact"/>
        <w:rPr>
          <w:sz w:val="20"/>
          <w:szCs w:val="20"/>
          <w:color w:val="auto"/>
        </w:rPr>
      </w:pPr>
    </w:p>
    <w:p>
      <w:pPr>
        <w:ind w:left="840" w:right="2959" w:firstLine="837"/>
        <w:spacing w:after="0" w:line="301" w:lineRule="auto"/>
        <w:rPr>
          <w:sz w:val="20"/>
          <w:szCs w:val="20"/>
          <w:color w:val="auto"/>
        </w:rPr>
      </w:pPr>
      <w:r>
        <w:rPr>
          <w:rFonts w:ascii="Courier New" w:cs="Courier New" w:eastAsia="Courier New" w:hAnsi="Courier New"/>
          <w:sz w:val="14"/>
          <w:szCs w:val="14"/>
          <w:color w:val="auto"/>
        </w:rPr>
        <w:t>SECTION 11.1.1. CORPORATE ACTION. All corporate action necessary for the valid execution, delivery and performance by the Borrower and the Guarantor of the Loan Documents shall have been duly and effectively taken, and evidence thereof certified by authorized officers of the Borrower and the Guarantor and satisfactory to the Administrative Agent shall have been provided to the Banks.</w:t>
      </w:r>
    </w:p>
    <w:p>
      <w:pPr>
        <w:sectPr>
          <w:pgSz w:w="11900" w:h="16838" w:orient="portrait"/>
          <w:cols w:equalWidth="0" w:num="1">
            <w:col w:w="10219"/>
          </w:cols>
          <w:pgMar w:left="240" w:top="269" w:right="1440" w:bottom="1440" w:gutter="0" w:footer="0" w:header="0"/>
        </w:sectPr>
      </w:pPr>
    </w:p>
    <w:bookmarkStart w:id="239" w:name="page240"/>
    <w:bookmarkEnd w:id="239"/>
    <w:p>
      <w:pPr>
        <w:spacing w:after="0"/>
        <w:rPr>
          <w:sz w:val="20"/>
          <w:szCs w:val="20"/>
          <w:color w:val="auto"/>
        </w:rPr>
      </w:pPr>
      <w:r>
        <w:rPr>
          <w:rFonts w:ascii="Courier New" w:cs="Courier New" w:eastAsia="Courier New" w:hAnsi="Courier New"/>
          <w:sz w:val="16"/>
          <w:szCs w:val="16"/>
          <w:color w:val="auto"/>
        </w:rPr>
        <w:t>63</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-57-</w:t>
      </w:r>
    </w:p>
    <w:p>
      <w:pPr>
        <w:spacing w:after="0" w:line="327" w:lineRule="exact"/>
        <w:rPr>
          <w:sz w:val="20"/>
          <w:szCs w:val="20"/>
          <w:color w:val="auto"/>
        </w:rPr>
      </w:pPr>
    </w:p>
    <w:p>
      <w:pPr>
        <w:ind w:left="560" w:right="2959" w:firstLine="837"/>
        <w:spacing w:after="0" w:line="263" w:lineRule="auto"/>
        <w:rPr>
          <w:sz w:val="20"/>
          <w:szCs w:val="20"/>
          <w:color w:val="auto"/>
        </w:rPr>
      </w:pPr>
      <w:r>
        <w:rPr>
          <w:rFonts w:ascii="Courier New" w:cs="Courier New" w:eastAsia="Courier New" w:hAnsi="Courier New"/>
          <w:sz w:val="16"/>
          <w:szCs w:val="16"/>
          <w:color w:val="auto"/>
        </w:rPr>
        <w:t>SECTION 11.1.2. LOAN DOCUMENTS, ETC. Each of the Loan Documents and other documents listed on the closing agenda shall have been duly and properly authorized, executed and delivered by the respective parties thereto and shall be in full force and effect in a form satisfactory to the Majority Banks.</w:t>
      </w:r>
    </w:p>
    <w:p>
      <w:pPr>
        <w:spacing w:after="0" w:line="80" w:lineRule="exact"/>
        <w:rPr>
          <w:sz w:val="20"/>
          <w:szCs w:val="20"/>
          <w:color w:val="auto"/>
        </w:rPr>
      </w:pPr>
    </w:p>
    <w:p>
      <w:pPr>
        <w:ind w:left="560" w:right="2779" w:firstLine="837"/>
        <w:spacing w:after="0" w:line="251" w:lineRule="auto"/>
        <w:rPr>
          <w:sz w:val="20"/>
          <w:szCs w:val="20"/>
          <w:color w:val="auto"/>
        </w:rPr>
      </w:pPr>
      <w:r>
        <w:rPr>
          <w:rFonts w:ascii="Courier New" w:cs="Courier New" w:eastAsia="Courier New" w:hAnsi="Courier New"/>
          <w:sz w:val="16"/>
          <w:szCs w:val="16"/>
          <w:color w:val="auto"/>
        </w:rPr>
        <w:t>SECTION 11.1.3. CERTIFICATE OF NO CHANGE. The Banks shall have received from each of the Borrower and the Guarantor a certificate, certified by a duly authorized officer of such Person to be true and complete on the Effective Date, of (a) no changes (other than those attached thereto) to its charter or other incorporation documents since last delivered to the Administrative Agent, and (b) no changes to its by-laws (other than those attached thereto) since last delivered to the Administrative Agent.</w:t>
      </w:r>
    </w:p>
    <w:p>
      <w:pPr>
        <w:spacing w:after="0" w:line="94" w:lineRule="exact"/>
        <w:rPr>
          <w:sz w:val="20"/>
          <w:szCs w:val="20"/>
          <w:color w:val="auto"/>
        </w:rPr>
      </w:pPr>
    </w:p>
    <w:p>
      <w:pPr>
        <w:ind w:left="560" w:right="2779" w:firstLine="837"/>
        <w:spacing w:after="0" w:line="250" w:lineRule="auto"/>
        <w:rPr>
          <w:sz w:val="20"/>
          <w:szCs w:val="20"/>
          <w:color w:val="auto"/>
        </w:rPr>
      </w:pPr>
      <w:r>
        <w:rPr>
          <w:rFonts w:ascii="Courier New" w:cs="Courier New" w:eastAsia="Courier New" w:hAnsi="Courier New"/>
          <w:sz w:val="16"/>
          <w:szCs w:val="16"/>
          <w:color w:val="auto"/>
        </w:rPr>
        <w:t>SECTION 11.1.4. INCUMBENCY CERTIFICATE. The Banks shall have received an incumbency certificate, dated as of the Effective Date, signed by duly authorized officers of the Borrower and the Guarantor giving the name and bearing a specimen signature of each individual who shall be authorized: (a) to sign the Loan Documents on behalf of the Borrower and the Guarantor; (b) to make Syndicated Loan Requests and Letter of Credit Requests; (c) to make Competitive Bid Quote Requests; and (d) to give notices and to take other action on the Borrower's or the Guarantor's behalf under the Loan Documents.</w:t>
      </w:r>
    </w:p>
    <w:p>
      <w:pPr>
        <w:spacing w:after="0" w:line="90" w:lineRule="exact"/>
        <w:rPr>
          <w:sz w:val="20"/>
          <w:szCs w:val="20"/>
          <w:color w:val="auto"/>
        </w:rPr>
      </w:pPr>
    </w:p>
    <w:p>
      <w:pPr>
        <w:ind w:left="560" w:right="2879" w:firstLine="837"/>
        <w:spacing w:after="0" w:line="301" w:lineRule="auto"/>
        <w:rPr>
          <w:sz w:val="20"/>
          <w:szCs w:val="20"/>
          <w:color w:val="auto"/>
        </w:rPr>
      </w:pPr>
      <w:r>
        <w:rPr>
          <w:rFonts w:ascii="Courier New" w:cs="Courier New" w:eastAsia="Courier New" w:hAnsi="Courier New"/>
          <w:sz w:val="14"/>
          <w:szCs w:val="14"/>
          <w:color w:val="auto"/>
        </w:rPr>
        <w:t>SECTION 11.1.5. CERTIFICATES OF INSURANCE. The Administrative Agent shall have received a certificate of insurance from an independent insurance broker dated as of the Effective Date, or within 15 days prior thereto, identifying insurers, types of insurance, insurance limits, and policy terms, and otherwise describing the insurance coverage of the Borrower and its Subsidiaries.</w:t>
      </w:r>
    </w:p>
    <w:p>
      <w:pPr>
        <w:spacing w:after="0" w:line="59" w:lineRule="exact"/>
        <w:rPr>
          <w:sz w:val="20"/>
          <w:szCs w:val="20"/>
          <w:color w:val="auto"/>
        </w:rPr>
      </w:pPr>
    </w:p>
    <w:p>
      <w:pPr>
        <w:ind w:left="560" w:right="2959" w:firstLine="837"/>
        <w:spacing w:after="0" w:line="263" w:lineRule="auto"/>
        <w:rPr>
          <w:sz w:val="20"/>
          <w:szCs w:val="20"/>
          <w:color w:val="auto"/>
        </w:rPr>
      </w:pPr>
      <w:r>
        <w:rPr>
          <w:rFonts w:ascii="Courier New" w:cs="Courier New" w:eastAsia="Courier New" w:hAnsi="Courier New"/>
          <w:sz w:val="16"/>
          <w:szCs w:val="16"/>
          <w:color w:val="auto"/>
        </w:rPr>
        <w:t>SECTION 11.1.6. OPINION OF COUNSEL. The Banks shall have received a favorable legal opinion from the deputy general counsel to the Borrower and the Guarantor addressed to the Banks, dated the Effective Date, in form and substance satisfactory to the Administrative Agent.</w:t>
      </w:r>
    </w:p>
    <w:p>
      <w:pPr>
        <w:spacing w:after="0" w:line="80" w:lineRule="exact"/>
        <w:rPr>
          <w:sz w:val="20"/>
          <w:szCs w:val="20"/>
          <w:color w:val="auto"/>
        </w:rPr>
      </w:pPr>
    </w:p>
    <w:p>
      <w:pPr>
        <w:ind w:left="560" w:right="2779" w:firstLine="837"/>
        <w:spacing w:after="0" w:line="309" w:lineRule="auto"/>
        <w:rPr>
          <w:sz w:val="20"/>
          <w:szCs w:val="20"/>
          <w:color w:val="auto"/>
        </w:rPr>
      </w:pPr>
      <w:r>
        <w:rPr>
          <w:rFonts w:ascii="Courier New" w:cs="Courier New" w:eastAsia="Courier New" w:hAnsi="Courier New"/>
          <w:sz w:val="14"/>
          <w:szCs w:val="14"/>
          <w:color w:val="auto"/>
        </w:rPr>
        <w:t>SECTION 11.1.7. SATISFACTORY FINANCIAL CONDITION. Other than as disclosed in the Disclosure Documents, no material adverse change shall have occurred in the financial condition, results of operations, business, properties or prospects of the Borrower and its Subsidiaries, taken as a whole, since the Interim Balance Sheet Date.</w:t>
      </w:r>
    </w:p>
    <w:p>
      <w:pPr>
        <w:spacing w:after="0" w:line="52" w:lineRule="exact"/>
        <w:rPr>
          <w:sz w:val="20"/>
          <w:szCs w:val="20"/>
          <w:color w:val="auto"/>
        </w:rPr>
      </w:pPr>
    </w:p>
    <w:p>
      <w:pPr>
        <w:ind w:left="560" w:right="2879" w:firstLine="837"/>
        <w:spacing w:after="0" w:line="289" w:lineRule="auto"/>
        <w:rPr>
          <w:sz w:val="20"/>
          <w:szCs w:val="20"/>
          <w:color w:val="auto"/>
        </w:rPr>
      </w:pPr>
      <w:r>
        <w:rPr>
          <w:rFonts w:ascii="Courier New" w:cs="Courier New" w:eastAsia="Courier New" w:hAnsi="Courier New"/>
          <w:sz w:val="16"/>
          <w:szCs w:val="16"/>
          <w:color w:val="auto"/>
        </w:rPr>
        <w:t>SECTION 11.1.8. PAYMENT OF CLOSING FEES. The Borrower shall have paid the agreed upon closing fees to the Administrative Agent for the account of the Banks.</w:t>
      </w:r>
    </w:p>
    <w:p>
      <w:pPr>
        <w:spacing w:after="0" w:line="61" w:lineRule="exact"/>
        <w:rPr>
          <w:sz w:val="20"/>
          <w:szCs w:val="20"/>
          <w:color w:val="auto"/>
        </w:rPr>
      </w:pPr>
    </w:p>
    <w:p>
      <w:pPr>
        <w:ind w:left="560" w:right="2779" w:firstLine="837"/>
        <w:spacing w:after="0" w:line="290" w:lineRule="auto"/>
        <w:rPr>
          <w:sz w:val="20"/>
          <w:szCs w:val="20"/>
          <w:color w:val="auto"/>
        </w:rPr>
      </w:pPr>
      <w:r>
        <w:rPr>
          <w:rFonts w:ascii="Courier New" w:cs="Courier New" w:eastAsia="Courier New" w:hAnsi="Courier New"/>
          <w:sz w:val="14"/>
          <w:szCs w:val="14"/>
          <w:color w:val="auto"/>
        </w:rPr>
        <w:t>SECTION 11.1.9. PAYOFF OF EXISTING DEBT. The Administrative Agent shall have received evidence, in form and substance satisfactory to the Administrative Agent, that (a) the 364 Day Loan Agreement, dated as of July 10, 2000, among the Borrower, the Guarantor and certain of the Banks has been paid in full and terminated, (b) the Fourth Amended and Restated Revolving Credit Agreement, dated as of July 10, 2000, among the Borrower, the Guarantor and certain of the Banks has been paid in full and terminated, and (c) the new Five Year Revolving Credit Facility is effective.</w:t>
      </w:r>
    </w:p>
    <w:p>
      <w:pPr>
        <w:sectPr>
          <w:pgSz w:w="11900" w:h="16838" w:orient="portrait"/>
          <w:cols w:equalWidth="0" w:num="1">
            <w:col w:w="9939"/>
          </w:cols>
          <w:pgMar w:left="520" w:top="269" w:right="1440" w:bottom="1440" w:gutter="0" w:footer="0" w:header="0"/>
        </w:sectPr>
      </w:pPr>
    </w:p>
    <w:bookmarkStart w:id="240" w:name="page241"/>
    <w:bookmarkEnd w:id="240"/>
    <w:p>
      <w:pPr>
        <w:ind w:left="280"/>
        <w:spacing w:after="0"/>
        <w:rPr>
          <w:sz w:val="20"/>
          <w:szCs w:val="20"/>
          <w:color w:val="auto"/>
        </w:rPr>
      </w:pPr>
      <w:r>
        <w:rPr>
          <w:rFonts w:ascii="Courier New" w:cs="Courier New" w:eastAsia="Courier New" w:hAnsi="Courier New"/>
          <w:sz w:val="16"/>
          <w:szCs w:val="16"/>
          <w:color w:val="auto"/>
        </w:rPr>
        <w:t>64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-58-</w:t>
      </w:r>
    </w:p>
    <w:p>
      <w:pPr>
        <w:spacing w:after="0" w:line="327" w:lineRule="exact"/>
        <w:rPr>
          <w:sz w:val="20"/>
          <w:szCs w:val="20"/>
          <w:color w:val="auto"/>
        </w:rPr>
      </w:pPr>
    </w:p>
    <w:p>
      <w:pPr>
        <w:ind w:left="840" w:right="2779" w:firstLine="837"/>
        <w:spacing w:after="0" w:line="258" w:lineRule="auto"/>
        <w:rPr>
          <w:sz w:val="20"/>
          <w:szCs w:val="20"/>
          <w:color w:val="auto"/>
        </w:rPr>
      </w:pPr>
      <w:r>
        <w:rPr>
          <w:rFonts w:ascii="Courier New" w:cs="Courier New" w:eastAsia="Courier New" w:hAnsi="Courier New"/>
          <w:sz w:val="16"/>
          <w:szCs w:val="16"/>
          <w:color w:val="auto"/>
        </w:rPr>
        <w:t>SECTION 11.1.10. CLOSING CERTIFICATE. The Borrower shall have delivered to the Administrative Agent a certificate, dated as of the Effective Date, stating that, as of such date (a) the representations and warranties set forth herein or in any other Loan Document are true and correct, and (b) no Default or Event of Default has occurred and is continuing.</w:t>
      </w:r>
    </w:p>
    <w:p>
      <w:pPr>
        <w:spacing w:after="0" w:line="83" w:lineRule="exact"/>
        <w:rPr>
          <w:sz w:val="20"/>
          <w:szCs w:val="20"/>
          <w:color w:val="auto"/>
        </w:rPr>
      </w:pPr>
    </w:p>
    <w:p>
      <w:pPr>
        <w:ind w:right="2959" w:firstLine="837"/>
        <w:spacing w:after="0" w:line="263" w:lineRule="auto"/>
        <w:rPr>
          <w:sz w:val="20"/>
          <w:szCs w:val="20"/>
          <w:color w:val="auto"/>
        </w:rPr>
      </w:pPr>
      <w:r>
        <w:rPr>
          <w:rFonts w:ascii="Courier New" w:cs="Courier New" w:eastAsia="Courier New" w:hAnsi="Courier New"/>
          <w:sz w:val="16"/>
          <w:szCs w:val="16"/>
          <w:color w:val="auto"/>
        </w:rPr>
        <w:t>SECTION 12. CONDITIONS TO ALL LOANS. The obligations of the Banks to make or continue for an additional Interest Period in accordance with Section 2.7 any Loan and the obligation of any Issuing Bank to issue, extend, or renew any Letter of Credit at the time of and subsequent to the Effective Date is subject to the following conditions precedent:</w:t>
      </w:r>
    </w:p>
    <w:p>
      <w:pPr>
        <w:spacing w:after="0" w:line="80" w:lineRule="exact"/>
        <w:rPr>
          <w:sz w:val="20"/>
          <w:szCs w:val="20"/>
          <w:color w:val="auto"/>
        </w:rPr>
      </w:pPr>
    </w:p>
    <w:p>
      <w:pPr>
        <w:ind w:right="2959" w:firstLine="837"/>
        <w:spacing w:after="0" w:line="285" w:lineRule="auto"/>
        <w:rPr>
          <w:sz w:val="20"/>
          <w:szCs w:val="20"/>
          <w:color w:val="auto"/>
        </w:rPr>
      </w:pPr>
      <w:r>
        <w:rPr>
          <w:rFonts w:ascii="Courier New" w:cs="Courier New" w:eastAsia="Courier New" w:hAnsi="Courier New"/>
          <w:sz w:val="14"/>
          <w:szCs w:val="14"/>
          <w:color w:val="auto"/>
        </w:rPr>
        <w:t>SECTION 12.1. REPRESENTATIONS TRUE. Each of the representations and warranties of the Borrower and the Guarantor (as applicable) contained in this Agreement or in any document or instrument delivered pursuant to or in connection with this Agreement shall be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254" w:lineRule="exact"/>
        <w:rPr>
          <w:sz w:val="20"/>
          <w:szCs w:val="20"/>
          <w:color w:val="auto"/>
        </w:rPr>
      </w:pPr>
    </w:p>
    <w:p>
      <w:pPr>
        <w:ind w:right="2779" w:firstLine="837"/>
        <w:spacing w:after="0" w:line="285" w:lineRule="auto"/>
        <w:rPr>
          <w:sz w:val="20"/>
          <w:szCs w:val="20"/>
          <w:color w:val="auto"/>
        </w:rPr>
      </w:pPr>
      <w:r>
        <w:rPr>
          <w:rFonts w:ascii="Courier New" w:cs="Courier New" w:eastAsia="Courier New" w:hAnsi="Courier New"/>
          <w:sz w:val="14"/>
          <w:szCs w:val="14"/>
          <w:color w:val="auto"/>
        </w:rPr>
        <w:t>SECTION 12.2. PERFORMANCE; NO EVENT OF DEFAULT. The Borrower shall have performed and complied with all terms and conditions herein required to be performed or complied with by it prior to or at the time of the making of any Loan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conditions specified in Sections 12.1 and 12.2 will be duly satisfied on the date of such Loan or Letter of Credit issuance, extension or renewal.</w:t>
      </w:r>
    </w:p>
    <w:p>
      <w:pPr>
        <w:spacing w:after="0" w:line="254" w:lineRule="exact"/>
        <w:rPr>
          <w:sz w:val="20"/>
          <w:szCs w:val="20"/>
          <w:color w:val="auto"/>
        </w:rPr>
      </w:pPr>
    </w:p>
    <w:p>
      <w:pPr>
        <w:jc w:val="both"/>
        <w:ind w:right="2779" w:firstLine="837"/>
        <w:spacing w:after="0" w:line="263" w:lineRule="auto"/>
        <w:rPr>
          <w:sz w:val="20"/>
          <w:szCs w:val="20"/>
          <w:color w:val="auto"/>
        </w:rPr>
      </w:pPr>
      <w:r>
        <w:rPr>
          <w:rFonts w:ascii="Courier New" w:cs="Courier New" w:eastAsia="Courier New" w:hAnsi="Courier New"/>
          <w:sz w:val="16"/>
          <w:szCs w:val="16"/>
          <w:color w:val="auto"/>
        </w:rPr>
        <w:t>SECTION 12.3. NO LEGAL IMPEDIMENT. No change shall have occurred in any law or regulations thereunder or interpretations thereof which in the reasonable opinion of the Banks would make it illegal for the Banks to make Loans, for any Issuing Bank to issue, extend or renew, or the Banks to participate in, Letters of Credit hereunder.</w:t>
      </w:r>
    </w:p>
    <w:p>
      <w:pPr>
        <w:spacing w:after="0" w:line="80"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SECTION 12.4. GOVERNMENTAL REGULATION. The Banks shall have received from the Borrower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83" w:lineRule="exact"/>
        <w:rPr>
          <w:sz w:val="20"/>
          <w:szCs w:val="20"/>
          <w:color w:val="auto"/>
        </w:rPr>
      </w:pPr>
    </w:p>
    <w:p>
      <w:pPr>
        <w:jc w:val="both"/>
        <w:ind w:right="2879" w:firstLine="837"/>
        <w:spacing w:after="0" w:line="289" w:lineRule="auto"/>
        <w:rPr>
          <w:sz w:val="20"/>
          <w:szCs w:val="20"/>
          <w:color w:val="auto"/>
        </w:rPr>
      </w:pPr>
      <w:r>
        <w:rPr>
          <w:rFonts w:ascii="Courier New" w:cs="Courier New" w:eastAsia="Courier New" w:hAnsi="Courier New"/>
          <w:sz w:val="16"/>
          <w:szCs w:val="16"/>
          <w:color w:val="auto"/>
        </w:rPr>
        <w:t>SECTION 12.5. PROCEEDINGS AND DOCUMENTS. All proceedings in connection with the transactions contemplated by this Agreement and all documents incident thereto shall have been</w:t>
      </w:r>
    </w:p>
    <w:p>
      <w:pPr>
        <w:sectPr>
          <w:pgSz w:w="11900" w:h="16838" w:orient="portrait"/>
          <w:cols w:equalWidth="0" w:num="1">
            <w:col w:w="10219"/>
          </w:cols>
          <w:pgMar w:left="240" w:top="269" w:right="1440" w:bottom="1440" w:gutter="0" w:footer="0" w:header="0"/>
        </w:sectPr>
      </w:pPr>
    </w:p>
    <w:bookmarkStart w:id="241" w:name="page242"/>
    <w:bookmarkEnd w:id="241"/>
    <w:p>
      <w:pPr>
        <w:ind w:left="280"/>
        <w:spacing w:after="0"/>
        <w:rPr>
          <w:sz w:val="20"/>
          <w:szCs w:val="20"/>
          <w:color w:val="auto"/>
        </w:rPr>
      </w:pPr>
      <w:r>
        <w:rPr>
          <w:rFonts w:ascii="Courier New" w:cs="Courier New" w:eastAsia="Courier New" w:hAnsi="Courier New"/>
          <w:sz w:val="16"/>
          <w:szCs w:val="16"/>
          <w:color w:val="auto"/>
        </w:rPr>
        <w:t>65</w:t>
      </w:r>
    </w:p>
    <w:p>
      <w:pPr>
        <w:spacing w:after="0" w:line="26"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-59-</w:t>
      </w:r>
    </w:p>
    <w:p>
      <w:pPr>
        <w:spacing w:after="0" w:line="149" w:lineRule="exact"/>
        <w:rPr>
          <w:sz w:val="20"/>
          <w:szCs w:val="20"/>
          <w:color w:val="auto"/>
        </w:rPr>
      </w:pPr>
    </w:p>
    <w:p>
      <w:pPr>
        <w:ind w:right="2779"/>
        <w:spacing w:after="0" w:line="301" w:lineRule="auto"/>
        <w:rPr>
          <w:sz w:val="20"/>
          <w:szCs w:val="20"/>
          <w:color w:val="auto"/>
        </w:rPr>
      </w:pPr>
      <w:r>
        <w:rPr>
          <w:rFonts w:ascii="Courier New" w:cs="Courier New" w:eastAsia="Courier New" w:hAnsi="Courier New"/>
          <w:sz w:val="14"/>
          <w:szCs w:val="14"/>
          <w:color w:val="auto"/>
        </w:rPr>
        <w:t>delivered to the Banks as of the date of the making of any extension of credit in substance and in form satisfactory to the Banks, including without limitation a Syndicated Loan Request in the form attached hereto as Exhibit D or a Letter of Credit Request in the form attached hereto as Exhibit E and the Banks shall have received all information and such counterpart originals or certified or other copies of such documents as the Banks may reasonably request.</w:t>
      </w:r>
    </w:p>
    <w:p>
      <w:pPr>
        <w:spacing w:after="0" w:line="59"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SECTION 13. EVENTS OF DEFAULT; ACCELERATION; TERMINATION OF COMMITMENT.</w:t>
      </w:r>
    </w:p>
    <w:p>
      <w:pPr>
        <w:spacing w:after="0" w:line="199" w:lineRule="exact"/>
        <w:rPr>
          <w:sz w:val="20"/>
          <w:szCs w:val="20"/>
          <w:color w:val="auto"/>
        </w:rPr>
      </w:pPr>
    </w:p>
    <w:p>
      <w:pPr>
        <w:ind w:right="2959" w:firstLine="837"/>
        <w:spacing w:after="0" w:line="272" w:lineRule="auto"/>
        <w:rPr>
          <w:sz w:val="20"/>
          <w:szCs w:val="20"/>
          <w:color w:val="auto"/>
        </w:rPr>
      </w:pPr>
      <w:r>
        <w:rPr>
          <w:rFonts w:ascii="Courier New" w:cs="Courier New" w:eastAsia="Courier New" w:hAnsi="Courier New"/>
          <w:sz w:val="16"/>
          <w:szCs w:val="16"/>
          <w:color w:val="auto"/>
        </w:rPr>
        <w:t>SECTION 13.1. EVENTS OF DEFAULT AND ACCELERATION. If any of the following events ("Events of Default" or, if the giving of notice or the lapse of time or both is required, then, prior to such notice and/or lapse of time, "Defaults") shall occur:</w:t>
      </w:r>
    </w:p>
    <w:p>
      <w:pPr>
        <w:spacing w:after="0" w:line="73" w:lineRule="exact"/>
        <w:rPr>
          <w:sz w:val="20"/>
          <w:szCs w:val="20"/>
          <w:color w:val="auto"/>
        </w:rPr>
      </w:pPr>
    </w:p>
    <w:p>
      <w:pPr>
        <w:ind w:left="840" w:right="2779" w:firstLine="830"/>
        <w:spacing w:after="0" w:line="272" w:lineRule="auto"/>
        <w:tabs>
          <w:tab w:leader="none" w:pos="2049"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72" w:lineRule="exact"/>
        <w:rPr>
          <w:rFonts w:ascii="Courier New" w:cs="Courier New" w:eastAsia="Courier New" w:hAnsi="Courier New"/>
          <w:sz w:val="16"/>
          <w:szCs w:val="16"/>
          <w:color w:val="auto"/>
        </w:rPr>
      </w:pPr>
    </w:p>
    <w:p>
      <w:pPr>
        <w:ind w:left="840" w:right="2779" w:firstLine="830"/>
        <w:spacing w:after="0" w:line="291" w:lineRule="auto"/>
        <w:tabs>
          <w:tab w:leader="none" w:pos="2049" w:val="left"/>
        </w:tabs>
        <w:numPr>
          <w:ilvl w:val="1"/>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shall fail to pay any interest or fees or other amounts owing hereunder (other than those specified in subsection</w:t>
      </w:r>
    </w:p>
    <w:p>
      <w:pPr>
        <w:spacing w:after="0" w:line="1" w:lineRule="exact"/>
        <w:rPr>
          <w:rFonts w:ascii="Courier New" w:cs="Courier New" w:eastAsia="Courier New" w:hAnsi="Courier New"/>
          <w:sz w:val="14"/>
          <w:szCs w:val="14"/>
          <w:color w:val="auto"/>
        </w:rPr>
      </w:pPr>
    </w:p>
    <w:p>
      <w:pPr>
        <w:ind w:left="840" w:right="2879" w:hanging="7"/>
        <w:spacing w:after="0" w:line="259" w:lineRule="auto"/>
        <w:tabs>
          <w:tab w:leader="none" w:pos="1212"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within five (5) Business Days after the same shall become due and payable whether at the Revolving Credit Maturity Date, Term Loan Maturity Date or any accelerated date of maturity or at any other date fixed for payment;</w:t>
      </w:r>
    </w:p>
    <w:p>
      <w:pPr>
        <w:spacing w:after="0" w:line="84" w:lineRule="exact"/>
        <w:rPr>
          <w:rFonts w:ascii="Courier New" w:cs="Courier New" w:eastAsia="Courier New" w:hAnsi="Courier New"/>
          <w:sz w:val="16"/>
          <w:szCs w:val="16"/>
          <w:color w:val="auto"/>
        </w:rPr>
      </w:pPr>
    </w:p>
    <w:p>
      <w:pPr>
        <w:ind w:left="840" w:right="2879" w:firstLine="830"/>
        <w:spacing w:after="0" w:line="406" w:lineRule="auto"/>
        <w:tabs>
          <w:tab w:leader="none" w:pos="2049" w:val="left"/>
        </w:tabs>
        <w:numPr>
          <w:ilvl w:val="1"/>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shall fail to comply with any of the covenants contained in Sections 8.4, 8.5, 8.15, 8.16, 9 and 10 hereof;</w:t>
      </w:r>
    </w:p>
    <w:p>
      <w:pPr>
        <w:ind w:left="840" w:right="2779" w:firstLine="830"/>
        <w:spacing w:after="0" w:line="258" w:lineRule="auto"/>
        <w:tabs>
          <w:tab w:leader="none" w:pos="2049"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83" w:lineRule="exact"/>
        <w:rPr>
          <w:rFonts w:ascii="Courier New" w:cs="Courier New" w:eastAsia="Courier New" w:hAnsi="Courier New"/>
          <w:sz w:val="16"/>
          <w:szCs w:val="16"/>
          <w:color w:val="auto"/>
        </w:rPr>
      </w:pPr>
    </w:p>
    <w:p>
      <w:pPr>
        <w:ind w:left="840" w:right="2879" w:firstLine="830"/>
        <w:spacing w:after="0" w:line="272" w:lineRule="auto"/>
        <w:tabs>
          <w:tab w:leader="none" w:pos="2049"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72" w:lineRule="exact"/>
        <w:rPr>
          <w:rFonts w:ascii="Courier New" w:cs="Courier New" w:eastAsia="Courier New" w:hAnsi="Courier New"/>
          <w:sz w:val="16"/>
          <w:szCs w:val="16"/>
          <w:color w:val="auto"/>
        </w:rPr>
      </w:pPr>
    </w:p>
    <w:p>
      <w:pPr>
        <w:ind w:left="840" w:right="2779" w:firstLine="830"/>
        <w:spacing w:after="0" w:line="247" w:lineRule="auto"/>
        <w:tabs>
          <w:tab w:leader="none" w:pos="2049"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or any of its Subsidiaries shall fail to pay when due, or within any applicable period of grace, any Indebtedness or Swap Obligation in an aggregate amount greater than $50,000,000, or fail to observe or perform any material term, covenant or agreement contained in any one or more agreements by which it is bound, evidencing or securing any Indebtedness or Swap Obligation in an aggregate amount greater than $50,000,000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ectPr>
          <w:pgSz w:w="11900" w:h="16838" w:orient="portrait"/>
          <w:cols w:equalWidth="0" w:num="1">
            <w:col w:w="10219"/>
          </w:cols>
          <w:pgMar w:left="240" w:top="269" w:right="1440" w:bottom="1440" w:gutter="0" w:footer="0" w:header="0"/>
        </w:sectPr>
      </w:pPr>
    </w:p>
    <w:bookmarkStart w:id="242" w:name="page243"/>
    <w:bookmarkEnd w:id="242"/>
    <w:p>
      <w:pPr>
        <w:spacing w:after="0"/>
        <w:rPr>
          <w:sz w:val="20"/>
          <w:szCs w:val="20"/>
          <w:color w:val="auto"/>
        </w:rPr>
      </w:pPr>
      <w:r>
        <w:rPr>
          <w:rFonts w:ascii="Courier New" w:cs="Courier New" w:eastAsia="Courier New" w:hAnsi="Courier New"/>
          <w:sz w:val="16"/>
          <w:szCs w:val="16"/>
          <w:color w:val="auto"/>
        </w:rPr>
        <w:t>66</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-60-</w:t>
      </w:r>
    </w:p>
    <w:p>
      <w:pPr>
        <w:spacing w:after="0" w:line="327" w:lineRule="exact"/>
        <w:rPr>
          <w:sz w:val="20"/>
          <w:szCs w:val="20"/>
          <w:color w:val="auto"/>
        </w:rPr>
      </w:pPr>
    </w:p>
    <w:p>
      <w:pPr>
        <w:ind w:left="560" w:right="2779" w:firstLine="830"/>
        <w:spacing w:after="0" w:line="280" w:lineRule="auto"/>
        <w:tabs>
          <w:tab w:leader="none" w:pos="176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Borrower, the Guarantor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Material Subsidiary, or of any substantial part of the assets of the Borrower, the Guarantor or any Material Subsidiary or commences any case or other proceeding relating to the Borrower, the Guarantor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Material Subsidiary or the Borrower, the Guarantor or any Material Subsidiary indicates its approval thereof, consent thereto or acquiescence therein;</w:t>
      </w:r>
    </w:p>
    <w:p>
      <w:pPr>
        <w:spacing w:after="0" w:line="259" w:lineRule="exact"/>
        <w:rPr>
          <w:rFonts w:ascii="Courier New" w:cs="Courier New" w:eastAsia="Courier New" w:hAnsi="Courier New"/>
          <w:sz w:val="14"/>
          <w:szCs w:val="14"/>
          <w:color w:val="auto"/>
        </w:rPr>
      </w:pPr>
    </w:p>
    <w:p>
      <w:pPr>
        <w:ind w:left="560" w:right="2779" w:firstLine="830"/>
        <w:spacing w:after="0" w:line="250" w:lineRule="auto"/>
        <w:tabs>
          <w:tab w:leader="none" w:pos="1769"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decree or order is entered appointing any such trustee, custodian, liquidator or receiver or adjudicating the Borrower or the Guarantor or any Material Subsidiary bankrupt or insolvent, or approving a petition in any such case or other proceeding, or a decree or order for relief is entered in respect of the Borrower or the Guarantor or any Material Subsidiary in an involuntary case under federal bankruptcy laws of any jurisdiction as now or hereafter constituted, and such decree or order remains in effect for more than 45 days, whether or not consecutive;</w:t>
      </w:r>
    </w:p>
    <w:p>
      <w:pPr>
        <w:spacing w:after="0" w:line="89" w:lineRule="exact"/>
        <w:rPr>
          <w:rFonts w:ascii="Courier New" w:cs="Courier New" w:eastAsia="Courier New" w:hAnsi="Courier New"/>
          <w:sz w:val="16"/>
          <w:szCs w:val="16"/>
          <w:color w:val="auto"/>
        </w:rPr>
      </w:pPr>
    </w:p>
    <w:p>
      <w:pPr>
        <w:ind w:left="560" w:right="2879" w:firstLine="830"/>
        <w:spacing w:after="0" w:line="301" w:lineRule="auto"/>
        <w:tabs>
          <w:tab w:leader="none" w:pos="176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$25,000,000 after taking into account any undisputed insurance coverage;</w:t>
      </w:r>
    </w:p>
    <w:p>
      <w:pPr>
        <w:spacing w:after="0" w:line="58" w:lineRule="exact"/>
        <w:rPr>
          <w:rFonts w:ascii="Courier New" w:cs="Courier New" w:eastAsia="Courier New" w:hAnsi="Courier New"/>
          <w:sz w:val="14"/>
          <w:szCs w:val="14"/>
          <w:color w:val="auto"/>
        </w:rPr>
      </w:pPr>
    </w:p>
    <w:p>
      <w:pPr>
        <w:ind w:left="560" w:right="2879" w:firstLine="830"/>
        <w:spacing w:after="0" w:line="285" w:lineRule="auto"/>
        <w:tabs>
          <w:tab w:leader="none" w:pos="176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with respect to any Guaranteed Pension Plan, an ERISA Reportable Event shall have occurred and the Banks shall have determined in their reasonable discretion that such event reasonably could be expected to result in liability of the Borrower or any Subsidiary to the PBGC or the Plan in an aggregate amount exceeding $25,000,000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253" w:lineRule="exact"/>
        <w:rPr>
          <w:rFonts w:ascii="Courier New" w:cs="Courier New" w:eastAsia="Courier New" w:hAnsi="Courier New"/>
          <w:sz w:val="14"/>
          <w:szCs w:val="14"/>
          <w:color w:val="auto"/>
        </w:rPr>
      </w:pPr>
    </w:p>
    <w:p>
      <w:pPr>
        <w:ind w:left="560" w:right="2779" w:firstLine="830"/>
        <w:spacing w:after="0" w:line="293" w:lineRule="auto"/>
        <w:tabs>
          <w:tab w:leader="none" w:pos="1769"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w:t>
      </w:r>
    </w:p>
    <w:p>
      <w:pPr>
        <w:sectPr>
          <w:pgSz w:w="11900" w:h="16838" w:orient="portrait"/>
          <w:cols w:equalWidth="0" w:num="1">
            <w:col w:w="9939"/>
          </w:cols>
          <w:pgMar w:left="520" w:top="269" w:right="1440" w:bottom="1440" w:gutter="0" w:footer="0" w:header="0"/>
        </w:sectPr>
      </w:pPr>
    </w:p>
    <w:bookmarkStart w:id="243" w:name="page244"/>
    <w:bookmarkEnd w:id="243"/>
    <w:p>
      <w:pPr>
        <w:ind w:left="280"/>
        <w:spacing w:after="0"/>
        <w:rPr>
          <w:sz w:val="20"/>
          <w:szCs w:val="20"/>
          <w:color w:val="auto"/>
        </w:rPr>
      </w:pPr>
      <w:r>
        <w:rPr>
          <w:rFonts w:ascii="Courier New" w:cs="Courier New" w:eastAsia="Courier New" w:hAnsi="Courier New"/>
          <w:sz w:val="16"/>
          <w:szCs w:val="16"/>
          <w:color w:val="auto"/>
        </w:rPr>
        <w:t>67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-61-</w:t>
      </w:r>
    </w:p>
    <w:p>
      <w:pPr>
        <w:spacing w:after="0" w:line="327" w:lineRule="exact"/>
        <w:rPr>
          <w:sz w:val="20"/>
          <w:szCs w:val="20"/>
          <w:color w:val="auto"/>
        </w:rPr>
      </w:pPr>
    </w:p>
    <w:p>
      <w:pPr>
        <w:ind w:left="840" w:right="2959"/>
        <w:spacing w:after="0" w:line="272" w:lineRule="auto"/>
        <w:rPr>
          <w:sz w:val="20"/>
          <w:szCs w:val="20"/>
          <w:color w:val="auto"/>
        </w:rPr>
      </w:pPr>
      <w:r>
        <w:rPr>
          <w:rFonts w:ascii="Courier New" w:cs="Courier New" w:eastAsia="Courier New" w:hAnsi="Courier New"/>
          <w:sz w:val="16"/>
          <w:szCs w:val="16"/>
          <w:color w:val="auto"/>
        </w:rPr>
        <w:t>competent jurisdiction shall make a determination that, or issue a judgment, order, decree or ruling to the effect that, any one or more of the Loan Documents is illegal, invalid or unenforceable in accordance with the terms thereof; or</w:t>
      </w:r>
    </w:p>
    <w:p>
      <w:pPr>
        <w:spacing w:after="0" w:line="73" w:lineRule="exact"/>
        <w:rPr>
          <w:sz w:val="20"/>
          <w:szCs w:val="20"/>
          <w:color w:val="auto"/>
        </w:rPr>
      </w:pPr>
    </w:p>
    <w:p>
      <w:pPr>
        <w:ind w:left="840" w:right="2959" w:firstLine="830"/>
        <w:spacing w:after="0" w:line="284" w:lineRule="auto"/>
        <w:tabs>
          <w:tab w:leader="none" w:pos="2049"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w:t>
      </w:r>
    </w:p>
    <w:p>
      <w:pPr>
        <w:spacing w:after="0" w:line="1" w:lineRule="exact"/>
        <w:rPr>
          <w:rFonts w:ascii="Courier New" w:cs="Courier New" w:eastAsia="Courier New" w:hAnsi="Courier New"/>
          <w:sz w:val="14"/>
          <w:szCs w:val="14"/>
          <w:color w:val="auto"/>
        </w:rPr>
      </w:pPr>
    </w:p>
    <w:p>
      <w:pPr>
        <w:ind w:left="840" w:right="2779"/>
        <w:spacing w:after="0" w:line="243"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100" w:lineRule="exact"/>
        <w:rPr>
          <w:sz w:val="20"/>
          <w:szCs w:val="20"/>
          <w:color w:val="auto"/>
        </w:rPr>
      </w:pPr>
    </w:p>
    <w:p>
      <w:pPr>
        <w:ind w:right="2779"/>
        <w:spacing w:after="0" w:line="281" w:lineRule="auto"/>
        <w:rPr>
          <w:sz w:val="20"/>
          <w:szCs w:val="20"/>
          <w:color w:val="auto"/>
        </w:rPr>
      </w:pPr>
      <w:r>
        <w:rPr>
          <w:rFonts w:ascii="Courier New" w:cs="Courier New" w:eastAsia="Courier New" w:hAnsi="Courier New"/>
          <w:sz w:val="14"/>
          <w:szCs w:val="14"/>
          <w:color w:val="auto"/>
        </w:rPr>
        <w:t>then, and in any such event, so long as the same may be continuing, the Administrative Agent may, and upon the request of the Majority Banks shall, by notice in writing to the Borrower,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Section 13.1(g) or 13.1(h) with respect to the Borrower or the Guarantor,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200" w:lineRule="exact"/>
        <w:rPr>
          <w:sz w:val="20"/>
          <w:szCs w:val="20"/>
          <w:color w:val="auto"/>
        </w:rPr>
      </w:pPr>
    </w:p>
    <w:p>
      <w:pPr>
        <w:spacing w:after="0" w:line="241"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SECTION 13.2. TERMINATION OF COMMITMENTS. If any Event of Default pursuant to Sections 13.1(g) or 13.1(h) hereof shall occur with respect to the Borrower or the Guarantor, any unused portion of the Total Commitment 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93"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SECTION 13.3. REMEDIES. In case any one or more of the Events of Default shall have occurred and be continuing, and whether or not the Banks shall have accelerated the maturity of the Loans and other Obligations pursuant to Section 13.1, each Bank, upon notice to the other Banks, if owed any amount with respect to the Loans or the Reimbursement Obligations, may proceed to protect and</w:t>
      </w:r>
    </w:p>
    <w:p>
      <w:pPr>
        <w:sectPr>
          <w:pgSz w:w="11900" w:h="16838" w:orient="portrait"/>
          <w:cols w:equalWidth="0" w:num="1">
            <w:col w:w="10219"/>
          </w:cols>
          <w:pgMar w:left="240" w:top="269" w:right="1440" w:bottom="1440" w:gutter="0" w:footer="0" w:header="0"/>
        </w:sectPr>
      </w:pPr>
    </w:p>
    <w:bookmarkStart w:id="244" w:name="page245"/>
    <w:bookmarkEnd w:id="244"/>
    <w:p>
      <w:pPr>
        <w:ind w:left="280"/>
        <w:spacing w:after="0"/>
        <w:rPr>
          <w:sz w:val="20"/>
          <w:szCs w:val="20"/>
          <w:color w:val="auto"/>
        </w:rPr>
      </w:pPr>
      <w:r>
        <w:rPr>
          <w:rFonts w:ascii="Courier New" w:cs="Courier New" w:eastAsia="Courier New" w:hAnsi="Courier New"/>
          <w:sz w:val="16"/>
          <w:szCs w:val="16"/>
          <w:color w:val="auto"/>
        </w:rPr>
        <w:t>68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-62-</w:t>
      </w:r>
    </w:p>
    <w:p>
      <w:pPr>
        <w:spacing w:after="0" w:line="327" w:lineRule="exact"/>
        <w:rPr>
          <w:sz w:val="20"/>
          <w:szCs w:val="20"/>
          <w:color w:val="auto"/>
        </w:rPr>
      </w:pPr>
    </w:p>
    <w:p>
      <w:pPr>
        <w:ind w:right="2779"/>
        <w:spacing w:after="0" w:line="245" w:lineRule="auto"/>
        <w:rPr>
          <w:sz w:val="20"/>
          <w:szCs w:val="20"/>
          <w:color w:val="auto"/>
        </w:rPr>
      </w:pPr>
      <w:r>
        <w:rPr>
          <w:rFonts w:ascii="Courier New" w:cs="Courier New" w:eastAsia="Courier New" w:hAnsi="Courier New"/>
          <w:sz w:val="16"/>
          <w:szCs w:val="16"/>
          <w:color w:val="auto"/>
        </w:rPr>
        <w:t>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30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99"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SECTION 14. SETOFF. Regardless of the adequacy of any collateral, during the continuance of an Event of Default, any deposits or other sums credited by or due from any Bank to the Borrower and any securities or other property of the Borrower in the possession of such Bank may be applied to or set off against the payment of Obligations and any and all other liabilities, direct, or indirect, absolute or contingent, due or to become due, now existing or hereafter arising, of the Borrower to the Banks or the Administrative Agent. Any amounts set off pursuant to this Section 14 shall be distributed ratably in accordance with Section 30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99"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SECTION 15. EXPENSES. Whether or not the transactions contemplated herein shall be consummated, the Borrower hereby promises to reimburse the Administrative Agent and the Joint Lead Arrangers and Joint Book Managers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Section 4 hereof.</w:t>
      </w:r>
    </w:p>
    <w:p>
      <w:pPr>
        <w:spacing w:after="0" w:line="10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16. THE AGENTS.</w:t>
      </w:r>
    </w:p>
    <w:p>
      <w:pPr>
        <w:spacing w:after="0" w:line="177" w:lineRule="exact"/>
        <w:rPr>
          <w:sz w:val="20"/>
          <w:szCs w:val="20"/>
          <w:color w:val="auto"/>
        </w:rPr>
      </w:pPr>
    </w:p>
    <w:p>
      <w:pPr>
        <w:ind w:right="2879" w:firstLine="837"/>
        <w:spacing w:after="0" w:line="251" w:lineRule="auto"/>
        <w:rPr>
          <w:sz w:val="20"/>
          <w:szCs w:val="20"/>
          <w:color w:val="auto"/>
        </w:rPr>
      </w:pPr>
      <w:r>
        <w:rPr>
          <w:rFonts w:ascii="Courier New" w:cs="Courier New" w:eastAsia="Courier New" w:hAnsi="Courier New"/>
          <w:sz w:val="16"/>
          <w:szCs w:val="16"/>
          <w:color w:val="auto"/>
        </w:rPr>
        <w:t>SECTION 16.1. APPOINTMENT, POWERS AND IMMUNITIES. Each Bank hereby irrevocably appoints and authorizes Fleet to act as Administrative Agent, provided, however, the Administrative Agent is hereby authorized to serve only as administrative agent for the Banks and to exercise such powers as are reasonably incidental thereto and as are set forth in this Agreement and the other Loan Documents. The Administrative Agent hereby acknowledges that it does not have the authority to negotiate any agreement which would bind the Banks or agree to any amendment,</w:t>
      </w:r>
    </w:p>
    <w:p>
      <w:pPr>
        <w:sectPr>
          <w:pgSz w:w="11900" w:h="16838" w:orient="portrait"/>
          <w:cols w:equalWidth="0" w:num="1">
            <w:col w:w="10219"/>
          </w:cols>
          <w:pgMar w:left="240" w:top="269" w:right="1440" w:bottom="1440" w:gutter="0" w:footer="0" w:header="0"/>
        </w:sectPr>
      </w:pPr>
    </w:p>
    <w:bookmarkStart w:id="245" w:name="page246"/>
    <w:bookmarkEnd w:id="245"/>
    <w:p>
      <w:pPr>
        <w:ind w:left="280"/>
        <w:spacing w:after="0"/>
        <w:rPr>
          <w:sz w:val="20"/>
          <w:szCs w:val="20"/>
          <w:color w:val="auto"/>
        </w:rPr>
      </w:pPr>
      <w:r>
        <w:rPr>
          <w:rFonts w:ascii="Courier New" w:cs="Courier New" w:eastAsia="Courier New" w:hAnsi="Courier New"/>
          <w:sz w:val="16"/>
          <w:szCs w:val="16"/>
          <w:color w:val="auto"/>
        </w:rPr>
        <w:t>69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-63-</w:t>
      </w:r>
    </w:p>
    <w:p>
      <w:pPr>
        <w:spacing w:after="0" w:line="327" w:lineRule="exact"/>
        <w:rPr>
          <w:sz w:val="20"/>
          <w:szCs w:val="20"/>
          <w:color w:val="auto"/>
        </w:rPr>
      </w:pPr>
    </w:p>
    <w:p>
      <w:pPr>
        <w:ind w:right="2779"/>
        <w:spacing w:after="0" w:line="276" w:lineRule="auto"/>
        <w:rPr>
          <w:sz w:val="20"/>
          <w:szCs w:val="20"/>
          <w:color w:val="auto"/>
        </w:rPr>
      </w:pPr>
      <w:r>
        <w:rPr>
          <w:rFonts w:ascii="Courier New" w:cs="Courier New" w:eastAsia="Courier New" w:hAnsi="Courier New"/>
          <w:sz w:val="14"/>
          <w:szCs w:val="14"/>
          <w:color w:val="auto"/>
        </w:rPr>
        <w:t>waiver or modification of any of the Loan Documents or bind the Banks except as set forth in this Agreement or the Loan Documents. Except as provided in this Agreement, and in the other Loan Documents, the Administrative Agent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Administrative Agent as provided in this Section 16. The Administrative Agent shall not have any duties or responsibilities or any fiduciary relationship with any Bank except those expressly set forth in this Agreement and the other Loan Documents. Neither the Administrative Agent nor any of its affiliates shall be responsible to the Banks for any recitals, statements, representations or warranties made by the Borrower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 or any other Person to perform its obligations hereunder or thereunder or in respect of the Notes. The Administrative Agent may employ agents and attorneys-in-fact and shall not be responsible for the negligence or misconduct of any such agents or attorneys-in-fact selected by it with reasonable care. The Administrative Agent, the Agents and any of their directors, officers, employees or agents shall not be responsible for any action taken or omitted to be taken by it or them hereunder or in connection herewith, except for its or their own gross negligence or willful misconduct. The Administrative Agent in its separate capacity as a Bank shall have the same rights and powers hereunder as any other Bank. The Co-Documentation Agents and the Co-Syndication Agents shall not have any right, power, obligation, liability, responsibility or duty under this Credit Agreement in such capacity, other than, with respect to the Co-Documentation Agents and BOA, those applicable to all Banks as Banks.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779" w:firstLine="837"/>
        <w:spacing w:after="0" w:line="283" w:lineRule="auto"/>
        <w:rPr>
          <w:sz w:val="20"/>
          <w:szCs w:val="20"/>
          <w:color w:val="auto"/>
        </w:rPr>
      </w:pPr>
      <w:r>
        <w:rPr>
          <w:rFonts w:ascii="Courier New" w:cs="Courier New" w:eastAsia="Courier New" w:hAnsi="Courier New"/>
          <w:sz w:val="14"/>
          <w:szCs w:val="14"/>
          <w:color w:val="auto"/>
        </w:rPr>
        <w:t>SECTION 16.2. ACTIONS BY ADMINISTRATIVE AGENT. The Administrative Agent shall be fully justified in failing or refusing to take any action under this Agreement as reasonably deemed appropriate unless it shall first have received the consent of the Majority Banks (or, when expressly required hereby, all of the Banks), and shall be indemnified to its reasonable satisfaction by the Banks against any and all liability and expense which may be incurred by it by reason of taking or continuing to take any such action. The Administrative Agent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260" w:lineRule="exact"/>
        <w:rPr>
          <w:sz w:val="20"/>
          <w:szCs w:val="20"/>
          <w:color w:val="auto"/>
        </w:rPr>
      </w:pPr>
    </w:p>
    <w:p>
      <w:pPr>
        <w:ind w:right="2779" w:firstLine="837"/>
        <w:spacing w:after="0" w:line="246" w:lineRule="auto"/>
        <w:rPr>
          <w:sz w:val="20"/>
          <w:szCs w:val="20"/>
          <w:color w:val="auto"/>
        </w:rPr>
      </w:pPr>
      <w:r>
        <w:rPr>
          <w:rFonts w:ascii="Courier New" w:cs="Courier New" w:eastAsia="Courier New" w:hAnsi="Courier New"/>
          <w:sz w:val="16"/>
          <w:szCs w:val="16"/>
          <w:color w:val="auto"/>
        </w:rPr>
        <w:t>SECTION 16.3. INDEMNIFICATION. Without limiting the obligations of the Borrower hereunder or under any other Loan Document, the Banks agree to indemnify the Administrative Agent, its affiliates and its respective directors, officers, agents and employees (to the extent not reimbursed by the Borrower) ratably in accordance with their respective Commitment Percentages for any and all liabilities, obligations, losses, damages, penalties, actions, judgments, suits, costs, expenses or disbursements of any kind or nature whatsoever which may at any time be imposed on, incurred by or asserted against the Administrative Agent in any way relating to or arising out of this Agreement or any other Loan Document or any documents contemplated by or referred to herein or therein or the transactions contemplated hereby or thereby or the enforcement of any of</w:t>
      </w:r>
    </w:p>
    <w:p>
      <w:pPr>
        <w:sectPr>
          <w:pgSz w:w="11900" w:h="16838" w:orient="portrait"/>
          <w:cols w:equalWidth="0" w:num="1">
            <w:col w:w="10219"/>
          </w:cols>
          <w:pgMar w:left="240" w:top="269" w:right="1440" w:bottom="1440" w:gutter="0" w:footer="0" w:header="0"/>
        </w:sectPr>
      </w:pPr>
    </w:p>
    <w:bookmarkStart w:id="246" w:name="page247"/>
    <w:bookmarkEnd w:id="246"/>
    <w:p>
      <w:pPr>
        <w:ind w:left="280"/>
        <w:spacing w:after="0"/>
        <w:rPr>
          <w:sz w:val="20"/>
          <w:szCs w:val="20"/>
          <w:color w:val="auto"/>
        </w:rPr>
      </w:pPr>
      <w:r>
        <w:rPr>
          <w:rFonts w:ascii="Courier New" w:cs="Courier New" w:eastAsia="Courier New" w:hAnsi="Courier New"/>
          <w:sz w:val="16"/>
          <w:szCs w:val="16"/>
          <w:color w:val="auto"/>
        </w:rPr>
        <w:t>70</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-64-</w:t>
      </w:r>
    </w:p>
    <w:p>
      <w:pPr>
        <w:spacing w:after="0" w:line="327" w:lineRule="exact"/>
        <w:rPr>
          <w:sz w:val="20"/>
          <w:szCs w:val="20"/>
          <w:color w:val="auto"/>
        </w:rPr>
      </w:pPr>
    </w:p>
    <w:p>
      <w:pPr>
        <w:ind w:right="2779"/>
        <w:spacing w:after="0" w:line="309" w:lineRule="auto"/>
        <w:rPr>
          <w:sz w:val="20"/>
          <w:szCs w:val="20"/>
          <w:color w:val="auto"/>
        </w:rPr>
      </w:pPr>
      <w:r>
        <w:rPr>
          <w:rFonts w:ascii="Courier New" w:cs="Courier New" w:eastAsia="Courier New" w:hAnsi="Courier New"/>
          <w:sz w:val="14"/>
          <w:szCs w:val="14"/>
          <w:color w:val="auto"/>
        </w:rPr>
        <w:t>the terms hereof or thereof or of any such other documents; provided, that no Bank shall be liable for any of the foregoing to the extent they arise from the gross negligence or willful misconduct of the Administrative Agent (or any agent thereof), IT BEING THE INTENT OF THE PARTIES HERETO THAT ALL SUCH INDEMNIFIED PARTIES SHALL BE INDEMNIFIED FOR THEIR ORDINARY SOLE OR CONTRIBUTORY NEGLIGENCE.</w:t>
      </w:r>
    </w:p>
    <w:p>
      <w:pPr>
        <w:spacing w:after="0" w:line="52" w:lineRule="exact"/>
        <w:rPr>
          <w:sz w:val="20"/>
          <w:szCs w:val="20"/>
          <w:color w:val="auto"/>
        </w:rPr>
      </w:pPr>
    </w:p>
    <w:p>
      <w:pPr>
        <w:ind w:right="2779" w:firstLine="837"/>
        <w:spacing w:after="0" w:line="241" w:lineRule="auto"/>
        <w:rPr>
          <w:sz w:val="20"/>
          <w:szCs w:val="20"/>
          <w:color w:val="auto"/>
        </w:rPr>
      </w:pPr>
      <w:r>
        <w:rPr>
          <w:rFonts w:ascii="Courier New" w:cs="Courier New" w:eastAsia="Courier New" w:hAnsi="Courier New"/>
          <w:sz w:val="16"/>
          <w:szCs w:val="16"/>
          <w:color w:val="auto"/>
        </w:rPr>
        <w:t>SECTION 16.4. REIMBURSEMENT. Without limiting the provisions of Sections 6.1(a), 6.12, and 14, the Administrative Agent shall not be obliged to make available to any Person any sum which the Administrative Agent is expecting to receive for the account of that Person until the Administrative Agent has determined that it has received that sum. The Administrative Agent may, however, disburse funds prior to determining that the sums which the Administrative Agent expects to receive have been finally and unconditionally paid to the Administrative Agent, if the Administrative Agent wishes to do so. If and to the extent that the Administrative Agent does disburse funds and it later becomes apparent that the Administrative Agent did not then receive a payment in an amount equal to the sum paid out, then any Person to whom the Administrative Agent made the funds available shall, on demand from the Administrative Agent, refund to the Administrative Agent the sum paid to that Person. If, in the opinion of the Administrative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the Administrative Agent is to be repaid, each Person to whom any such distribution shall have been made shall either repay to the Administrative Agent its proportionate share of the amount so adjudged to be repaid or shall pay over the same in such manner and to such Persons as shall be determined by such court.</w:t>
      </w:r>
    </w:p>
    <w:p>
      <w:pPr>
        <w:spacing w:after="0" w:line="107" w:lineRule="exact"/>
        <w:rPr>
          <w:sz w:val="20"/>
          <w:szCs w:val="20"/>
          <w:color w:val="auto"/>
        </w:rPr>
      </w:pPr>
    </w:p>
    <w:p>
      <w:pPr>
        <w:ind w:right="2879" w:firstLine="837"/>
        <w:spacing w:after="0" w:line="301" w:lineRule="auto"/>
        <w:rPr>
          <w:sz w:val="20"/>
          <w:szCs w:val="20"/>
          <w:color w:val="auto"/>
        </w:rPr>
      </w:pPr>
      <w:r>
        <w:rPr>
          <w:rFonts w:ascii="Courier New" w:cs="Courier New" w:eastAsia="Courier New" w:hAnsi="Courier New"/>
          <w:sz w:val="14"/>
          <w:szCs w:val="14"/>
          <w:color w:val="auto"/>
        </w:rPr>
        <w:t>SECTION 16.5. DOCUMENTS. The Administrative Agent will forward to each Bank, promptly after receipt thereof, a copy of each notice or other document furnished to the Administrative Agent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59" w:lineRule="exact"/>
        <w:rPr>
          <w:sz w:val="20"/>
          <w:szCs w:val="20"/>
          <w:color w:val="auto"/>
        </w:rPr>
      </w:pPr>
    </w:p>
    <w:p>
      <w:pPr>
        <w:ind w:right="2879" w:firstLine="837"/>
        <w:spacing w:after="0" w:line="280" w:lineRule="auto"/>
        <w:rPr>
          <w:sz w:val="20"/>
          <w:szCs w:val="20"/>
          <w:color w:val="auto"/>
        </w:rPr>
      </w:pPr>
      <w:r>
        <w:rPr>
          <w:rFonts w:ascii="Courier New" w:cs="Courier New" w:eastAsia="Courier New" w:hAnsi="Courier New"/>
          <w:sz w:val="14"/>
          <w:szCs w:val="14"/>
          <w:color w:val="auto"/>
        </w:rPr>
        <w:t>SECTION 16.6. NON-RELIANCE ON ADMINISTRATIVE AGENT AND OTHER BANKS. Each Bank represents that it has, independently and without reliance on the Administrative Agent, the Agents or any other Bank, and based on such documents and information as it has deemed appropriate, made its own appraisal of the financial condition and affairs of the Borrower and the Guarantor and the decision to enter into this Agreement and the other Loan Documents and agrees that it will, independently and without reliance upon the Administrative Agent, the Agents or any other Bank, and based on such documents and information as it shall deem appropriate at the time, continue to make its own appraisals and decisions in taking or not taking action under this Agreement or any other Loan Document. Except as herein expressly provided to the contrary, the Administrative Agent shall not be required to keep informed as to the performance or observance by the Borrower and the Guarantor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w:t>
      </w:r>
    </w:p>
    <w:p>
      <w:pPr>
        <w:sectPr>
          <w:pgSz w:w="11900" w:h="16838" w:orient="portrait"/>
          <w:cols w:equalWidth="0" w:num="1">
            <w:col w:w="10219"/>
          </w:cols>
          <w:pgMar w:left="240" w:top="269" w:right="1440" w:bottom="1440" w:gutter="0" w:footer="0" w:header="0"/>
        </w:sectPr>
      </w:pPr>
    </w:p>
    <w:bookmarkStart w:id="247" w:name="page248"/>
    <w:bookmarkEnd w:id="247"/>
    <w:p>
      <w:pPr>
        <w:ind w:left="285"/>
        <w:spacing w:after="0"/>
        <w:rPr>
          <w:sz w:val="20"/>
          <w:szCs w:val="20"/>
          <w:color w:val="auto"/>
        </w:rPr>
      </w:pPr>
      <w:r>
        <w:rPr>
          <w:rFonts w:ascii="Courier New" w:cs="Courier New" w:eastAsia="Courier New" w:hAnsi="Courier New"/>
          <w:sz w:val="16"/>
          <w:szCs w:val="16"/>
          <w:color w:val="auto"/>
        </w:rPr>
        <w:t>71</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-65-</w:t>
      </w:r>
    </w:p>
    <w:p>
      <w:pPr>
        <w:spacing w:after="0" w:line="327" w:lineRule="exact"/>
        <w:rPr>
          <w:sz w:val="20"/>
          <w:szCs w:val="20"/>
          <w:color w:val="auto"/>
        </w:rPr>
      </w:pPr>
    </w:p>
    <w:p>
      <w:pPr>
        <w:ind w:left="5" w:right="2779"/>
        <w:spacing w:after="0" w:line="285" w:lineRule="auto"/>
        <w:rPr>
          <w:sz w:val="20"/>
          <w:szCs w:val="20"/>
          <w:color w:val="auto"/>
        </w:rPr>
      </w:pPr>
      <w:r>
        <w:rPr>
          <w:rFonts w:ascii="Courier New" w:cs="Courier New" w:eastAsia="Courier New" w:hAnsi="Courier New"/>
          <w:sz w:val="14"/>
          <w:szCs w:val="14"/>
          <w:color w:val="auto"/>
        </w:rPr>
        <w:t>furnished to the Banks by the Administrative Agent hereunder, the Administrative Agent shall not have any duty or responsibility to provide any Bank with any credit or other information concerning any person which may come into the possession of the Administrative Agent or any of their affiliates. Each Bank shall have access to all documents relating to the Administrative Agent's performance of their duties hereunder at such Bank's request. Unless any Bank shall promptly object to any action taken by the Administrative Agent hereunder of which such Bank has actual knowledge (other than actions which require the prior consent of such Bank in accordance with the terms hereof or to which the provisions of Section 16.8 are applicable and other than actions which constitute gross negligence or willful misconduct by the Administrative Agent), such Bank shall be presumed to have approved the same.</w:t>
      </w:r>
    </w:p>
    <w:p>
      <w:pPr>
        <w:spacing w:after="0" w:line="254" w:lineRule="exact"/>
        <w:rPr>
          <w:sz w:val="20"/>
          <w:szCs w:val="20"/>
          <w:color w:val="auto"/>
        </w:rPr>
      </w:pPr>
    </w:p>
    <w:p>
      <w:pPr>
        <w:ind w:left="5" w:right="2779" w:firstLine="837"/>
        <w:spacing w:after="0" w:line="277" w:lineRule="auto"/>
        <w:rPr>
          <w:sz w:val="20"/>
          <w:szCs w:val="20"/>
          <w:color w:val="auto"/>
        </w:rPr>
      </w:pPr>
      <w:r>
        <w:rPr>
          <w:rFonts w:ascii="Courier New" w:cs="Courier New" w:eastAsia="Courier New" w:hAnsi="Courier New"/>
          <w:sz w:val="14"/>
          <w:szCs w:val="14"/>
          <w:color w:val="auto"/>
        </w:rPr>
        <w:t>SECTION 16.7. RESIGNATION OF ADMINISTRATIVE AGENT. The Administrative Agent may resign at any time by giving 60 days' prior written notice thereof to the Banks and the Borrower. Upon any such resignation, the Majority Banks (other than the resigning Administrative Agent) shall have the right to appoint a successor Administrative Agent from among the Banks, subject to the consent of the Borrower. If no successor to the Administrative Agent shall have been so appointed by the Majority Banks and approved by the Borrower and shall have accepted such appointment within 30 days after the retiring Administrative Agent's giving of notice of resignation, then the retiring Administrative Agent may, on behalf of the Banks, appoint a successor Administrative Agent from among the remaining Banks, which shall be a financial institution having a combined capital and surplus in excess of $1,000,000,000. Upon the acceptance of any appointment as the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hereunder. After the retiring Administrative Agent's resignation, the provisions of this Agreement shall continue in effect for its benefit in respect of any actions taken or omitted to be taken by it while it was acting as the Administrative Agent. Any new Issuing Bank appointed pursuant to this Section 16.7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pacing w:after="0" w:line="200" w:lineRule="exact"/>
        <w:rPr>
          <w:sz w:val="20"/>
          <w:szCs w:val="20"/>
          <w:color w:val="auto"/>
        </w:rPr>
      </w:pPr>
    </w:p>
    <w:p>
      <w:pPr>
        <w:spacing w:after="0" w:line="241" w:lineRule="exact"/>
        <w:rPr>
          <w:sz w:val="20"/>
          <w:szCs w:val="20"/>
          <w:color w:val="auto"/>
        </w:rPr>
      </w:pPr>
    </w:p>
    <w:p>
      <w:pPr>
        <w:ind w:left="845"/>
        <w:spacing w:after="0"/>
        <w:rPr>
          <w:sz w:val="20"/>
          <w:szCs w:val="20"/>
          <w:color w:val="auto"/>
        </w:rPr>
      </w:pPr>
      <w:r>
        <w:rPr>
          <w:rFonts w:ascii="Courier New" w:cs="Courier New" w:eastAsia="Courier New" w:hAnsi="Courier New"/>
          <w:sz w:val="14"/>
          <w:szCs w:val="14"/>
          <w:color w:val="auto"/>
        </w:rPr>
        <w:t>SECTION 16.8. ACTION BY THE BANKS, CONSENTS, AMENDMENTS, WAIVERS, ETC.</w:t>
      </w:r>
    </w:p>
    <w:p>
      <w:pPr>
        <w:spacing w:after="0" w:line="48" w:lineRule="exact"/>
        <w:rPr>
          <w:sz w:val="20"/>
          <w:szCs w:val="20"/>
          <w:color w:val="auto"/>
        </w:rPr>
      </w:pPr>
    </w:p>
    <w:p>
      <w:pPr>
        <w:ind w:left="5" w:right="2779" w:hanging="5"/>
        <w:spacing w:after="0" w:line="279" w:lineRule="auto"/>
        <w:tabs>
          <w:tab w:leader="none" w:pos="377"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failure or delay by the Administrative Agent, any Issuing Bank or any Bank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or Event</w:t>
      </w:r>
    </w:p>
    <w:p>
      <w:pPr>
        <w:sectPr>
          <w:pgSz w:w="11900" w:h="16838" w:orient="portrait"/>
          <w:cols w:equalWidth="0" w:num="1">
            <w:col w:w="10224"/>
          </w:cols>
          <w:pgMar w:left="235" w:top="269" w:right="1440" w:bottom="1440" w:gutter="0" w:footer="0" w:header="0"/>
        </w:sectPr>
      </w:pPr>
    </w:p>
    <w:bookmarkStart w:id="248" w:name="page249"/>
    <w:bookmarkEnd w:id="248"/>
    <w:p>
      <w:pPr>
        <w:ind w:left="280"/>
        <w:spacing w:after="0"/>
        <w:rPr>
          <w:sz w:val="20"/>
          <w:szCs w:val="20"/>
          <w:color w:val="auto"/>
        </w:rPr>
      </w:pPr>
      <w:r>
        <w:rPr>
          <w:rFonts w:ascii="Courier New" w:cs="Courier New" w:eastAsia="Courier New" w:hAnsi="Courier New"/>
          <w:sz w:val="16"/>
          <w:szCs w:val="16"/>
          <w:color w:val="auto"/>
        </w:rPr>
        <w:t>72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-66-</w:t>
      </w:r>
    </w:p>
    <w:p>
      <w:pPr>
        <w:spacing w:after="0" w:line="327" w:lineRule="exact"/>
        <w:rPr>
          <w:sz w:val="20"/>
          <w:szCs w:val="20"/>
          <w:color w:val="auto"/>
        </w:rPr>
      </w:pPr>
    </w:p>
    <w:p>
      <w:pPr>
        <w:ind w:right="3059"/>
        <w:spacing w:after="0" w:line="289" w:lineRule="auto"/>
        <w:rPr>
          <w:sz w:val="20"/>
          <w:szCs w:val="20"/>
          <w:color w:val="auto"/>
        </w:rPr>
      </w:pPr>
      <w:r>
        <w:rPr>
          <w:rFonts w:ascii="Courier New" w:cs="Courier New" w:eastAsia="Courier New" w:hAnsi="Courier New"/>
          <w:sz w:val="16"/>
          <w:szCs w:val="16"/>
          <w:color w:val="auto"/>
        </w:rPr>
        <w:t>of Default, regardless of whether the Administrative Agent, any Lender or the Issuing Bank may have had notice or knowledge of such Default or Event of Default at the time.</w:t>
      </w:r>
    </w:p>
    <w:p>
      <w:pPr>
        <w:spacing w:after="0" w:line="61" w:lineRule="exact"/>
        <w:rPr>
          <w:sz w:val="20"/>
          <w:szCs w:val="20"/>
          <w:color w:val="auto"/>
        </w:rPr>
      </w:pPr>
    </w:p>
    <w:p>
      <w:pPr>
        <w:ind w:right="2779" w:firstLine="833"/>
        <w:spacing w:after="0" w:line="279" w:lineRule="auto"/>
        <w:tabs>
          <w:tab w:leader="none" w:pos="1209"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this Agreement nor any provision hereof may be waived, amended or modified except pursuant to an agreement or agreements in writing entered into by the Borrower and the Majority Banks or by the Borrower and the Administrative Agent with the consent of the Majority Banks; provided that no such agreement shall (i) increase the Commitment of any Bank without the written consent of such Bank, (ii) reduce the principal amount of any Loan or Reimbursement Obligations, or reduce the rate of interest thereon or on the Notes, or reduce any fees payable hereunder, without the written consent of each Bank affected thereby, (iii) postpone the scheduled date of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or (v) change any of the provisions of this Section 16.8 or the definition of "Majority Banks", without the written consent of each Bank; provided further that no such agreement shall amend, modify or otherwise affect the rights or duties of the Administrative Agent or any Issuing Bank hereunder without the prior written consent of the Administrative Agent or the Issuing Banks, as the case may be.</w:t>
      </w:r>
    </w:p>
    <w:p>
      <w:pPr>
        <w:spacing w:after="0" w:line="200" w:lineRule="exact"/>
        <w:rPr>
          <w:sz w:val="20"/>
          <w:szCs w:val="20"/>
          <w:color w:val="auto"/>
        </w:rPr>
      </w:pPr>
    </w:p>
    <w:p>
      <w:pPr>
        <w:spacing w:after="0" w:line="238" w:lineRule="exact"/>
        <w:rPr>
          <w:sz w:val="20"/>
          <w:szCs w:val="20"/>
          <w:color w:val="auto"/>
        </w:rPr>
      </w:pPr>
    </w:p>
    <w:p>
      <w:pPr>
        <w:ind w:right="2779" w:firstLine="837"/>
        <w:spacing w:after="0" w:line="277" w:lineRule="auto"/>
        <w:rPr>
          <w:sz w:val="20"/>
          <w:szCs w:val="20"/>
          <w:color w:val="auto"/>
        </w:rPr>
      </w:pPr>
      <w:r>
        <w:rPr>
          <w:rFonts w:ascii="Courier New" w:cs="Courier New" w:eastAsia="Courier New" w:hAnsi="Courier New"/>
          <w:sz w:val="14"/>
          <w:szCs w:val="14"/>
          <w:color w:val="auto"/>
        </w:rPr>
        <w:t>SECTION 17. INDEMNIFICATION. The Borrower agrees to indemnify and hold harmless the Banks, the Agents, the Issuing Banks, the Joint Lead Arrangers and Joint Book Managers and the Administrative Agent and their affiliates, as well as the Banks' and the Administrative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In any investigation, enforcement matter, proceeding or litigation, or the preparation therefor, the Banks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The covenants of this Section 17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200" w:lineRule="exact"/>
        <w:rPr>
          <w:sz w:val="20"/>
          <w:szCs w:val="20"/>
          <w:color w:val="auto"/>
        </w:rPr>
      </w:pPr>
    </w:p>
    <w:p>
      <w:pPr>
        <w:spacing w:after="0" w:line="24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18. WITHHOLDING TAXES. The Borrower hereby agrees that:</w:t>
      </w:r>
    </w:p>
    <w:p>
      <w:pPr>
        <w:spacing w:after="0" w:line="177" w:lineRule="exact"/>
        <w:rPr>
          <w:sz w:val="20"/>
          <w:szCs w:val="20"/>
          <w:color w:val="auto"/>
        </w:rPr>
      </w:pPr>
    </w:p>
    <w:p>
      <w:pPr>
        <w:ind w:left="840" w:right="2879" w:firstLine="830"/>
        <w:spacing w:after="0" w:line="289" w:lineRule="auto"/>
        <w:tabs>
          <w:tab w:leader="none" w:pos="2049"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payments made by the Borrower hereunder shall be made free and clear of, and without deduction for, any and all present or future taxes, levies, fees,</w:t>
      </w:r>
    </w:p>
    <w:p>
      <w:pPr>
        <w:sectPr>
          <w:pgSz w:w="11900" w:h="16838" w:orient="portrait"/>
          <w:cols w:equalWidth="0" w:num="1">
            <w:col w:w="10219"/>
          </w:cols>
          <w:pgMar w:left="240" w:top="269"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6"/>
          <w:szCs w:val="16"/>
          <w:color w:val="auto"/>
        </w:rPr>
        <w:t>73</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-67-</w:t>
      </w:r>
    </w:p>
    <w:p>
      <w:pPr>
        <w:spacing w:after="0" w:line="327" w:lineRule="exact"/>
        <w:rPr>
          <w:sz w:val="20"/>
          <w:szCs w:val="20"/>
          <w:color w:val="auto"/>
        </w:rPr>
      </w:pPr>
    </w:p>
    <w:p>
      <w:pPr>
        <w:ind w:left="560" w:right="2779"/>
        <w:spacing w:after="0" w:line="274" w:lineRule="auto"/>
        <w:rPr>
          <w:sz w:val="20"/>
          <w:szCs w:val="20"/>
          <w:color w:val="auto"/>
        </w:rPr>
      </w:pPr>
      <w:r>
        <w:rPr>
          <w:rFonts w:ascii="Courier New" w:cs="Courier New" w:eastAsia="Courier New" w:hAnsi="Courier New"/>
          <w:sz w:val="14"/>
          <w:szCs w:val="14"/>
          <w:color w:val="auto"/>
        </w:rPr>
        <w:t>duties, imposts, deductions, charges or withholdings of any nature whatsoever, excluding, in the case of the Administrative Agent or the Banks or any holder of the Notes,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60" w:right="2779" w:firstLine="830"/>
        <w:spacing w:after="0" w:line="263" w:lineRule="auto"/>
        <w:tabs>
          <w:tab w:leader="none" w:pos="1769"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80" w:lineRule="exact"/>
        <w:rPr>
          <w:rFonts w:ascii="Courier New" w:cs="Courier New" w:eastAsia="Courier New" w:hAnsi="Courier New"/>
          <w:sz w:val="16"/>
          <w:szCs w:val="16"/>
          <w:color w:val="auto"/>
        </w:rPr>
      </w:pPr>
    </w:p>
    <w:p>
      <w:pPr>
        <w:ind w:left="560" w:right="2779" w:firstLine="830"/>
        <w:spacing w:after="0" w:line="251" w:lineRule="auto"/>
        <w:tabs>
          <w:tab w:leader="none" w:pos="1769"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hereby indemnifies and holds harmless the Administrative Agent and each Bank for the full amount of Indemnifiable Taxes or Other Taxes (including, without limitation, any Indemnifiable Taxes or Other Taxes imposed on amounts payable under this Section 18) paid by the Administrative Agent or such Bank, as the case may be, and any liability (including penalties, interest and reasonable expenses) arising therefrom or with respect thereto, by reason of the Borrower's failure to properly</w:t>
      </w:r>
    </w:p>
    <w:p>
      <w:pPr>
        <w:sectPr>
          <w:pgSz w:w="11900" w:h="16838" w:orient="portrait"/>
          <w:cols w:equalWidth="0" w:num="1">
            <w:col w:w="9939"/>
          </w:cols>
          <w:pgMar w:left="520" w:top="269" w:right="1440" w:bottom="1440" w:gutter="0" w:footer="0" w:header="0"/>
        </w:sectPr>
      </w:pPr>
    </w:p>
    <w:bookmarkStart w:id="250" w:name="page251"/>
    <w:bookmarkEnd w:id="250"/>
    <w:p>
      <w:pPr>
        <w:ind w:left="280"/>
        <w:spacing w:after="0"/>
        <w:rPr>
          <w:sz w:val="20"/>
          <w:szCs w:val="20"/>
          <w:color w:val="auto"/>
        </w:rPr>
      </w:pPr>
      <w:r>
        <w:rPr>
          <w:rFonts w:ascii="Courier New" w:cs="Courier New" w:eastAsia="Courier New" w:hAnsi="Courier New"/>
          <w:sz w:val="16"/>
          <w:szCs w:val="16"/>
          <w:color w:val="auto"/>
        </w:rPr>
        <w:t>74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-68-</w:t>
      </w:r>
    </w:p>
    <w:p>
      <w:pPr>
        <w:spacing w:after="0" w:line="327" w:lineRule="exact"/>
        <w:rPr>
          <w:sz w:val="20"/>
          <w:szCs w:val="20"/>
          <w:color w:val="auto"/>
        </w:rPr>
      </w:pPr>
    </w:p>
    <w:p>
      <w:pPr>
        <w:ind w:left="840" w:right="2779"/>
        <w:spacing w:after="0" w:line="296" w:lineRule="auto"/>
        <w:rPr>
          <w:sz w:val="20"/>
          <w:szCs w:val="20"/>
          <w:color w:val="auto"/>
        </w:rPr>
      </w:pPr>
      <w:r>
        <w:rPr>
          <w:rFonts w:ascii="Courier New" w:cs="Courier New" w:eastAsia="Courier New" w:hAnsi="Courier New"/>
          <w:sz w:val="14"/>
          <w:szCs w:val="14"/>
          <w:color w:val="auto"/>
        </w:rPr>
        <w:t>deduct and withhold Indemnifiable Taxes pursuant to paragraph (a) above or to properly pay Other Taxes pursuant to paragraph (b) 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62" w:lineRule="exact"/>
        <w:rPr>
          <w:sz w:val="20"/>
          <w:szCs w:val="20"/>
          <w:color w:val="auto"/>
        </w:rPr>
      </w:pPr>
    </w:p>
    <w:p>
      <w:pPr>
        <w:ind w:left="840" w:right="2779" w:firstLine="830"/>
        <w:spacing w:after="0" w:line="258" w:lineRule="auto"/>
        <w:tabs>
          <w:tab w:leader="none" w:pos="204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pays any amount under this Section 18 to the Administrative Agent or any Bank and such payee knowingly receives a refund of any taxes with respect to which such amount was paid, the Administrative Agent or such Bank, as the case may be, shall pay to the Borrower the amount of such refund promptly following the receipt thereof by such payee.</w:t>
      </w:r>
    </w:p>
    <w:p>
      <w:pPr>
        <w:spacing w:after="0" w:line="83" w:lineRule="exact"/>
        <w:rPr>
          <w:rFonts w:ascii="Courier New" w:cs="Courier New" w:eastAsia="Courier New" w:hAnsi="Courier New"/>
          <w:sz w:val="16"/>
          <w:szCs w:val="16"/>
          <w:color w:val="auto"/>
        </w:rPr>
      </w:pPr>
    </w:p>
    <w:p>
      <w:pPr>
        <w:ind w:left="840" w:right="2779" w:firstLine="830"/>
        <w:spacing w:after="0" w:line="263" w:lineRule="auto"/>
        <w:tabs>
          <w:tab w:leader="none" w:pos="204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80" w:lineRule="exact"/>
        <w:rPr>
          <w:rFonts w:ascii="Courier New" w:cs="Courier New" w:eastAsia="Courier New" w:hAnsi="Courier New"/>
          <w:sz w:val="16"/>
          <w:szCs w:val="16"/>
          <w:color w:val="auto"/>
        </w:rPr>
      </w:pPr>
    </w:p>
    <w:p>
      <w:pPr>
        <w:ind w:left="840" w:right="2879" w:firstLine="830"/>
        <w:spacing w:after="0" w:line="258" w:lineRule="auto"/>
        <w:tabs>
          <w:tab w:leader="none" w:pos="204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83" w:lineRule="exact"/>
        <w:rPr>
          <w:rFonts w:ascii="Courier New" w:cs="Courier New" w:eastAsia="Courier New" w:hAnsi="Courier New"/>
          <w:sz w:val="16"/>
          <w:szCs w:val="16"/>
          <w:color w:val="auto"/>
        </w:rPr>
      </w:pPr>
    </w:p>
    <w:p>
      <w:pPr>
        <w:ind w:left="840" w:right="2779" w:firstLine="830"/>
        <w:spacing w:after="0" w:line="272" w:lineRule="auto"/>
        <w:tabs>
          <w:tab w:leader="none" w:pos="2049" w:val="left"/>
        </w:tabs>
        <w:numPr>
          <w:ilvl w:val="0"/>
          <w:numId w:val="2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prejudice to the survival of any other agreement of the parties hereunder, the agreements and obligations of the Borrower contained in this Section 18 shall survive the payment in full of the Obligations.</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19. TREATMENT OF CERTAIN CONFIDENTIAL INFORMATION.</w:t>
      </w:r>
    </w:p>
    <w:p>
      <w:pPr>
        <w:spacing w:after="0" w:line="177"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SECTION 19.1. CONFIDENTIALITY. Each of the Banks and the Administrative Agent agrees, on behalf of itself and each of its affiliates, directors, officers, employees and representatives, to use reasonable precautions to keep 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provided that nothing herein shall limit the disclosure of any such information (a) after such information shall have become public other than through a violation of this Section 19, or becomes available to any of the Banks or the Administrative Agent on a nonconfidential basis from a source other than the Borrower, (b) to the extent required by statute, rule, regulation or judicial process, (c) to counsel for any of the Banks or the Administrative Agent, (d) to bank examiners or any other regulatory authority having jurisdiction over any Bank or the Administrative Agent,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w:t>
      </w:r>
    </w:p>
    <w:p>
      <w:pPr>
        <w:sectPr>
          <w:pgSz w:w="11900" w:h="16838" w:orient="portrait"/>
          <w:cols w:equalWidth="0" w:num="1">
            <w:col w:w="10219"/>
          </w:cols>
          <w:pgMar w:left="240" w:top="269" w:right="1440" w:bottom="1440" w:gutter="0" w:footer="0" w:header="0"/>
        </w:sectPr>
      </w:pPr>
    </w:p>
    <w:bookmarkStart w:id="251" w:name="page252"/>
    <w:bookmarkEnd w:id="251"/>
    <w:p>
      <w:pPr>
        <w:ind w:left="280"/>
        <w:spacing w:after="0"/>
        <w:rPr>
          <w:sz w:val="20"/>
          <w:szCs w:val="20"/>
          <w:color w:val="auto"/>
        </w:rPr>
      </w:pPr>
      <w:r>
        <w:rPr>
          <w:rFonts w:ascii="Courier New" w:cs="Courier New" w:eastAsia="Courier New" w:hAnsi="Courier New"/>
          <w:sz w:val="16"/>
          <w:szCs w:val="16"/>
          <w:color w:val="auto"/>
        </w:rPr>
        <w:t>75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-69-</w:t>
      </w:r>
    </w:p>
    <w:p>
      <w:pPr>
        <w:spacing w:after="0" w:line="327" w:lineRule="exact"/>
        <w:rPr>
          <w:sz w:val="20"/>
          <w:szCs w:val="20"/>
          <w:color w:val="auto"/>
        </w:rPr>
      </w:pPr>
    </w:p>
    <w:p>
      <w:pPr>
        <w:ind w:right="2779"/>
        <w:spacing w:after="0" w:line="296" w:lineRule="auto"/>
        <w:rPr>
          <w:sz w:val="20"/>
          <w:szCs w:val="20"/>
          <w:color w:val="auto"/>
        </w:rPr>
      </w:pPr>
      <w:r>
        <w:rPr>
          <w:rFonts w:ascii="Courier New" w:cs="Courier New" w:eastAsia="Courier New" w:hAnsi="Courier New"/>
          <w:sz w:val="14"/>
          <w:szCs w:val="14"/>
          <w:color w:val="auto"/>
        </w:rPr>
        <w:t>hereunder or under any other Loan Document, (g) to an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so long as such assignee, participant or counterparty, as the case may be, agrees to be bound by the provisions of Section 19.1 or (i) with the consent of the Borrower.</w:t>
      </w:r>
    </w:p>
    <w:p>
      <w:pPr>
        <w:spacing w:after="0" w:line="62" w:lineRule="exact"/>
        <w:rPr>
          <w:sz w:val="20"/>
          <w:szCs w:val="20"/>
          <w:color w:val="auto"/>
        </w:rPr>
      </w:pPr>
    </w:p>
    <w:p>
      <w:pPr>
        <w:ind w:right="2779" w:firstLine="837"/>
        <w:spacing w:after="0" w:line="254" w:lineRule="auto"/>
        <w:rPr>
          <w:sz w:val="20"/>
          <w:szCs w:val="20"/>
          <w:color w:val="auto"/>
        </w:rPr>
      </w:pPr>
      <w:r>
        <w:rPr>
          <w:rFonts w:ascii="Courier New" w:cs="Courier New" w:eastAsia="Courier New" w:hAnsi="Courier New"/>
          <w:sz w:val="16"/>
          <w:szCs w:val="16"/>
          <w:color w:val="auto"/>
        </w:rPr>
        <w:t>SECTION 19.2. PRIOR NOTIFICATION. Unless specifically prohibited by applicable law or court order, each of the Banks and the Administrative Agent shall, prior to disclosure thereof, notify the Borrower of any request for 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88" w:lineRule="exact"/>
        <w:rPr>
          <w:sz w:val="20"/>
          <w:szCs w:val="20"/>
          <w:color w:val="auto"/>
        </w:rPr>
      </w:pPr>
    </w:p>
    <w:p>
      <w:pPr>
        <w:ind w:right="2779" w:firstLine="837"/>
        <w:spacing w:after="0" w:line="292" w:lineRule="auto"/>
        <w:rPr>
          <w:sz w:val="20"/>
          <w:szCs w:val="20"/>
          <w:color w:val="auto"/>
        </w:rPr>
      </w:pPr>
      <w:r>
        <w:rPr>
          <w:rFonts w:ascii="Courier New" w:cs="Courier New" w:eastAsia="Courier New" w:hAnsi="Courier New"/>
          <w:sz w:val="14"/>
          <w:szCs w:val="14"/>
          <w:color w:val="auto"/>
        </w:rPr>
        <w:t>SECTION 19.3. OTHER. In no event shall any Bank or the Administrative Agent be obligated or required to return any materials furnished to it or any Financial Affiliate by the Borrower or any of its Subsidiaries. The obligations of each Bank under this Section 19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66" w:lineRule="exact"/>
        <w:rPr>
          <w:sz w:val="20"/>
          <w:szCs w:val="20"/>
          <w:color w:val="auto"/>
        </w:rPr>
      </w:pPr>
    </w:p>
    <w:p>
      <w:pPr>
        <w:ind w:right="2779" w:firstLine="837"/>
        <w:spacing w:after="0" w:line="281" w:lineRule="auto"/>
        <w:rPr>
          <w:sz w:val="20"/>
          <w:szCs w:val="20"/>
          <w:color w:val="auto"/>
        </w:rPr>
      </w:pPr>
      <w:r>
        <w:rPr>
          <w:rFonts w:ascii="Courier New" w:cs="Courier New" w:eastAsia="Courier New" w:hAnsi="Courier New"/>
          <w:sz w:val="14"/>
          <w:szCs w:val="14"/>
          <w:color w:val="auto"/>
        </w:rPr>
        <w:t>SECTION 20. SURVIVAL OF COVENANTS, ETC. Unless otherwise stated herein, all covenants, agreements, representations and warranties made herein, in the other Loan Documents or in any documents or other papers 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any Letter of Credit or any Note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256"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SECTION 21. ASSIGNMENT AND PARTICIPATION. It is understood and agreed that each Bank shall have the right to assign at any time all or a portion of its Commitment Percentage and interests in the risk relating to the Loans, outstanding Letters of Credit and its Commitment hereunder in an amount equal to or greater than $5,000,000 (or, if a Bank's Commitment is less than $5,000,000, in a minimum amount equal to such Bank's Commitment, provided that prior to any Commitment reductions pursuant to Section 2.3, such Bank's Commitment was at least $10,000,000) to additional banks or other financial institutions with the prior written approval of the Administrative Agent and, so long as no Event of Default has occurred and is continuing, the Borrower, which approvals shall not be unreasonably withheld. Any Bank may at any time, and from time to time, assign to any branch, lending office, or affiliate of such Bank all or any part of</w:t>
      </w:r>
    </w:p>
    <w:p>
      <w:pPr>
        <w:sectPr>
          <w:pgSz w:w="11900" w:h="16838" w:orient="portrait"/>
          <w:cols w:equalWidth="0" w:num="1">
            <w:col w:w="10219"/>
          </w:cols>
          <w:pgMar w:left="240" w:top="269" w:right="1440" w:bottom="1440" w:gutter="0" w:footer="0" w:header="0"/>
        </w:sectPr>
      </w:pPr>
    </w:p>
    <w:bookmarkStart w:id="252" w:name="page253"/>
    <w:bookmarkEnd w:id="252"/>
    <w:p>
      <w:pPr>
        <w:ind w:left="285"/>
        <w:spacing w:after="0"/>
        <w:rPr>
          <w:sz w:val="20"/>
          <w:szCs w:val="20"/>
          <w:color w:val="auto"/>
        </w:rPr>
      </w:pPr>
      <w:r>
        <w:rPr>
          <w:rFonts w:ascii="Courier New" w:cs="Courier New" w:eastAsia="Courier New" w:hAnsi="Courier New"/>
          <w:sz w:val="16"/>
          <w:szCs w:val="16"/>
          <w:color w:val="auto"/>
        </w:rPr>
        <w:t>76</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-70-</w:t>
      </w:r>
    </w:p>
    <w:p>
      <w:pPr>
        <w:spacing w:after="0" w:line="327" w:lineRule="exact"/>
        <w:rPr>
          <w:sz w:val="20"/>
          <w:szCs w:val="20"/>
          <w:color w:val="auto"/>
        </w:rPr>
      </w:pPr>
    </w:p>
    <w:p>
      <w:pPr>
        <w:ind w:left="5" w:right="2779"/>
        <w:spacing w:after="0" w:line="274" w:lineRule="auto"/>
        <w:rPr>
          <w:sz w:val="20"/>
          <w:szCs w:val="20"/>
          <w:color w:val="auto"/>
        </w:rPr>
      </w:pPr>
      <w:r>
        <w:rPr>
          <w:rFonts w:ascii="Courier New" w:cs="Courier New" w:eastAsia="Courier New" w:hAnsi="Courier New"/>
          <w:sz w:val="14"/>
          <w:szCs w:val="14"/>
          <w:color w:val="auto"/>
        </w:rPr>
        <w:t>its rights and obligations under the Loan Documents by notice to the Administrative Agent and the Borrower. It is further agreed that each bank or other financial institution which executes and delivers to the Administrative Agent and the Borrower hereunder an Assignment and Acceptance substantially in the form of Exhibit G hereto (an "Assignment and Acceptance") together with an assignment fee in the amount of $3,500 payable by the assigning Bank to the Administrative Agent, shall, on the date specified in such Assignment and Acceptance, become a party to this Agreement and the other Loan Documents for all purposes of this Agreement and the other Loan Documents, and its portion of the Commitment, the Loans and Letters of Credit shall be as set forth in such Assignment and Acceptance. The Bank assignor thereunder shall, to the extent that rights and obligations hereunder have been assigned by it pursuant to such Assignment and Acceptance, relinquish its rights (except for indemnity rights arising out of the period prior to such assignment) and be released from its obligations under this Agreement and the other Loan Documents. Upon the execution and delivery of such Assignment and Acceptance, (a) the Borrower shall issue to the assignee bank or other financial institution Notes in the amount of such bank's or other financial institution's Commitment dated the date of the assignment or such other date as may be specified by the Administrative Agent, and otherwise completed in substantially the form of Exhibits A or B, and to the extent any assigning Bank has retained a portion of its obligations hereunder, a replacement Syndicated Note, to the assigning Bank reflecting its assignment;</w:t>
      </w:r>
    </w:p>
    <w:p>
      <w:pPr>
        <w:spacing w:after="0" w:line="161" w:lineRule="exact"/>
        <w:rPr>
          <w:sz w:val="20"/>
          <w:szCs w:val="20"/>
          <w:color w:val="auto"/>
        </w:rPr>
      </w:pPr>
    </w:p>
    <w:p>
      <w:pPr>
        <w:ind w:left="5" w:right="2779" w:hanging="5"/>
        <w:spacing w:after="0" w:line="289" w:lineRule="auto"/>
        <w:tabs>
          <w:tab w:leader="none" w:pos="377"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applicable, the Borrower shall issue a Competitive Bid Note in substantially the form of Exhibit C (and a replacement Competitive Bid Note) or the Administrative Agent shall make appropriate entries on the Competitive Bid Loan Accounts to reflect such assignment of Competitive Bid Loan(s); and (c) this Agreement and Schedule 1 shall be deemed to be appropriately amended to reflect (i) the status of the bank or financial institution as a party hereto and (ii) the status and rights of the Banks hereunder.</w:t>
      </w:r>
    </w:p>
    <w:p>
      <w:pPr>
        <w:spacing w:after="0" w:line="66" w:lineRule="exact"/>
        <w:rPr>
          <w:sz w:val="20"/>
          <w:szCs w:val="20"/>
          <w:color w:val="auto"/>
        </w:rPr>
      </w:pPr>
    </w:p>
    <w:p>
      <w:pPr>
        <w:ind w:left="5" w:right="2879" w:firstLine="837"/>
        <w:spacing w:after="0" w:line="258" w:lineRule="auto"/>
        <w:rPr>
          <w:sz w:val="20"/>
          <w:szCs w:val="20"/>
          <w:color w:val="auto"/>
        </w:rPr>
      </w:pPr>
      <w:r>
        <w:rPr>
          <w:rFonts w:ascii="Courier New" w:cs="Courier New" w:eastAsia="Courier New" w:hAnsi="Courier New"/>
          <w:sz w:val="16"/>
          <w:szCs w:val="16"/>
          <w:color w:val="auto"/>
        </w:rPr>
        <w:t>Each Bank shall also have the right to grant participations to one or more banks or other financial institutions in its Commitment, the Loans and outstanding Letters of Credit. The documents evidencing any such participation shall limit such participating bank's or financial institution's voting rights with respect to this Agreement to the matters set forth in Section 16.8(b)(i) - (v).</w:t>
      </w:r>
    </w:p>
    <w:p>
      <w:pPr>
        <w:spacing w:after="0" w:line="83" w:lineRule="exact"/>
        <w:rPr>
          <w:sz w:val="20"/>
          <w:szCs w:val="20"/>
          <w:color w:val="auto"/>
        </w:rPr>
      </w:pPr>
    </w:p>
    <w:p>
      <w:pPr>
        <w:ind w:left="5" w:right="2959" w:firstLine="837"/>
        <w:spacing w:after="0" w:line="309" w:lineRule="auto"/>
        <w:rPr>
          <w:sz w:val="20"/>
          <w:szCs w:val="20"/>
          <w:color w:val="auto"/>
        </w:rPr>
      </w:pPr>
      <w:r>
        <w:rPr>
          <w:rFonts w:ascii="Courier New" w:cs="Courier New" w:eastAsia="Courier New" w:hAnsi="Courier New"/>
          <w:sz w:val="14"/>
          <w:szCs w:val="14"/>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except as a result of reductions in the Total Commitment pursuant to Section 2.3 hereof.</w:t>
      </w:r>
    </w:p>
    <w:p>
      <w:pPr>
        <w:spacing w:after="0" w:line="52" w:lineRule="exact"/>
        <w:rPr>
          <w:sz w:val="20"/>
          <w:szCs w:val="20"/>
          <w:color w:val="auto"/>
        </w:rPr>
      </w:pPr>
    </w:p>
    <w:p>
      <w:pPr>
        <w:ind w:left="5" w:right="2879" w:firstLine="837"/>
        <w:spacing w:after="0" w:line="254" w:lineRule="auto"/>
        <w:rPr>
          <w:sz w:val="20"/>
          <w:szCs w:val="20"/>
          <w:color w:val="auto"/>
        </w:rPr>
      </w:pPr>
      <w:r>
        <w:rPr>
          <w:rFonts w:ascii="Courier New" w:cs="Courier New" w:eastAsia="Courier New" w:hAnsi="Courier New"/>
          <w:sz w:val="16"/>
          <w:szCs w:val="16"/>
          <w:color w:val="auto"/>
        </w:rPr>
        <w:t>Anything contained in this Section 21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88" w:lineRule="exact"/>
        <w:rPr>
          <w:sz w:val="20"/>
          <w:szCs w:val="20"/>
          <w:color w:val="auto"/>
        </w:rPr>
      </w:pPr>
    </w:p>
    <w:p>
      <w:pPr>
        <w:ind w:left="5" w:right="2879" w:firstLine="837"/>
        <w:spacing w:after="0" w:line="272" w:lineRule="auto"/>
        <w:rPr>
          <w:sz w:val="20"/>
          <w:szCs w:val="20"/>
          <w:color w:val="auto"/>
        </w:rPr>
      </w:pPr>
      <w:r>
        <w:rPr>
          <w:rFonts w:ascii="Courier New" w:cs="Courier New" w:eastAsia="Courier New" w:hAnsi="Courier New"/>
          <w:sz w:val="16"/>
          <w:szCs w:val="16"/>
          <w:color w:val="auto"/>
        </w:rPr>
        <w:t>The Borrower agrees that in addition to disclosures made in accordance with standard and customary banking practices any Bank may disclose information obtained by such Bank pursuant to this Agreement to assignees or participants and potential assignees or participants hereunder;</w:t>
      </w:r>
    </w:p>
    <w:p>
      <w:pPr>
        <w:sectPr>
          <w:pgSz w:w="11900" w:h="16838" w:orient="portrait"/>
          <w:cols w:equalWidth="0" w:num="1">
            <w:col w:w="10224"/>
          </w:cols>
          <w:pgMar w:left="235" w:top="269" w:right="1440" w:bottom="1440" w:gutter="0" w:footer="0" w:header="0"/>
        </w:sectPr>
      </w:pPr>
    </w:p>
    <w:bookmarkStart w:id="253" w:name="page254"/>
    <w:bookmarkEnd w:id="253"/>
    <w:p>
      <w:pPr>
        <w:ind w:left="280"/>
        <w:spacing w:after="0"/>
        <w:rPr>
          <w:sz w:val="20"/>
          <w:szCs w:val="20"/>
          <w:color w:val="auto"/>
        </w:rPr>
      </w:pPr>
      <w:r>
        <w:rPr>
          <w:rFonts w:ascii="Courier New" w:cs="Courier New" w:eastAsia="Courier New" w:hAnsi="Courier New"/>
          <w:sz w:val="16"/>
          <w:szCs w:val="16"/>
          <w:color w:val="auto"/>
        </w:rPr>
        <w:t>77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-71-</w:t>
      </w:r>
    </w:p>
    <w:p>
      <w:pPr>
        <w:spacing w:after="0" w:line="327" w:lineRule="exact"/>
        <w:rPr>
          <w:sz w:val="20"/>
          <w:szCs w:val="20"/>
          <w:color w:val="auto"/>
        </w:rPr>
      </w:pPr>
    </w:p>
    <w:p>
      <w:pPr>
        <w:ind w:right="3719"/>
        <w:spacing w:after="0" w:line="342" w:lineRule="auto"/>
        <w:rPr>
          <w:sz w:val="20"/>
          <w:szCs w:val="20"/>
          <w:color w:val="auto"/>
        </w:rPr>
      </w:pPr>
      <w:r>
        <w:rPr>
          <w:rFonts w:ascii="Courier New" w:cs="Courier New" w:eastAsia="Courier New" w:hAnsi="Courier New"/>
          <w:sz w:val="16"/>
          <w:szCs w:val="16"/>
          <w:color w:val="auto"/>
        </w:rPr>
        <w:t>provided that such assignees or participants or potential assignees or participants shall agree to be bound by Section 19 hereof.</w:t>
      </w:r>
    </w:p>
    <w:p>
      <w:pPr>
        <w:spacing w:after="0" w:line="20"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SECTION 22. PARTIES IN INTEREST. All the terms of this Agreement and the other Loan Documents shall be binding upon and inure to the benefit of and be enforceable by the respective successors and assigns of the parties hereto and thereto; provided, that the Borrower shall not assign or transfer its rights or obligations hereunder or thereunder without the prior written consent of each of the Banks.</w:t>
      </w:r>
    </w:p>
    <w:p>
      <w:pPr>
        <w:spacing w:after="0" w:line="83"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SECTION 23. NOTICES, ETC. Except as otherwise expressly provided in this Agreement, all notices and other communications made or required to be given pursuant to this Agreement or the other Loan Documents shall be in writing and shall be delivered in hand, mailed by United States first class mail, postage prepaid, or sent by telegraph, telex or facsimile and confirmed by letter, addressed as follows:</w:t>
      </w:r>
    </w:p>
    <w:p>
      <w:pPr>
        <w:spacing w:after="0" w:line="83" w:lineRule="exact"/>
        <w:rPr>
          <w:sz w:val="20"/>
          <w:szCs w:val="20"/>
          <w:color w:val="auto"/>
        </w:rPr>
      </w:pPr>
    </w:p>
    <w:p>
      <w:pPr>
        <w:ind w:left="840" w:right="2959" w:firstLine="830"/>
        <w:spacing w:after="0" w:line="263" w:lineRule="auto"/>
        <w:tabs>
          <w:tab w:leader="none" w:pos="204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Borrower or the Guarantor, at 1001 Fannin Street, Suite 4000, Houston, Texas 77002, Attention: Ronald H. Jones, Treasurer, facsimile number (713) 209-9710, with a copy to Lawrence O'Donnell, Executive Vice President, General Counsel and Secretary, facsimile number (713) 512-6325; or</w:t>
      </w:r>
    </w:p>
    <w:p>
      <w:pPr>
        <w:spacing w:after="0" w:line="80" w:lineRule="exact"/>
        <w:rPr>
          <w:rFonts w:ascii="Courier New" w:cs="Courier New" w:eastAsia="Courier New" w:hAnsi="Courier New"/>
          <w:sz w:val="16"/>
          <w:szCs w:val="16"/>
          <w:color w:val="auto"/>
        </w:rPr>
      </w:pPr>
    </w:p>
    <w:p>
      <w:pPr>
        <w:ind w:left="840" w:right="2779" w:firstLine="830"/>
        <w:spacing w:after="0" w:line="289" w:lineRule="auto"/>
        <w:tabs>
          <w:tab w:leader="none" w:pos="204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Administrative Agent at Fleet National Bank, 100 Federal Street, Boston, Massachusetts 02110, Attention: H. Louis Bailey, Managing Director, facsimile number (617) 434-2160; or</w:t>
      </w:r>
    </w:p>
    <w:p>
      <w:pPr>
        <w:spacing w:after="0" w:line="60" w:lineRule="exact"/>
        <w:rPr>
          <w:rFonts w:ascii="Courier New" w:cs="Courier New" w:eastAsia="Courier New" w:hAnsi="Courier New"/>
          <w:sz w:val="16"/>
          <w:szCs w:val="16"/>
          <w:color w:val="auto"/>
        </w:rPr>
      </w:pPr>
    </w:p>
    <w:p>
      <w:pPr>
        <w:ind w:left="840" w:right="3439" w:firstLine="830"/>
        <w:spacing w:after="0" w:line="342" w:lineRule="auto"/>
        <w:tabs>
          <w:tab w:leader="none" w:pos="2049"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any Bank, at the last address provided to the Administrative Agent;</w:t>
      </w:r>
    </w:p>
    <w:p>
      <w:pPr>
        <w:spacing w:after="0" w:line="20"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or such other address for notice as shall have last been furnished in writing to the Person giving the notice.</w:t>
      </w:r>
    </w:p>
    <w:p>
      <w:pPr>
        <w:spacing w:after="0" w:line="20"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94" w:lineRule="exact"/>
        <w:rPr>
          <w:sz w:val="20"/>
          <w:szCs w:val="20"/>
          <w:color w:val="auto"/>
        </w:rPr>
      </w:pPr>
    </w:p>
    <w:p>
      <w:pPr>
        <w:ind w:right="2779" w:firstLine="837"/>
        <w:spacing w:after="0" w:line="285" w:lineRule="auto"/>
        <w:rPr>
          <w:sz w:val="20"/>
          <w:szCs w:val="20"/>
          <w:color w:val="auto"/>
        </w:rPr>
      </w:pPr>
      <w:r>
        <w:rPr>
          <w:rFonts w:ascii="Courier New" w:cs="Courier New" w:eastAsia="Courier New" w:hAnsi="Courier New"/>
          <w:sz w:val="14"/>
          <w:szCs w:val="14"/>
          <w:color w:val="auto"/>
        </w:rPr>
        <w:t>SECTION 24. MISCELLANEOUS. The rights and remedies herein expressed are cumulative and not exclusive of any other rights which the Banks, the Issuing Banks or the Administrative Agent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shall be treated in all manner and respects as an original agreement or instrument and shall be</w:t>
      </w:r>
    </w:p>
    <w:p>
      <w:pPr>
        <w:sectPr>
          <w:pgSz w:w="11900" w:h="16838" w:orient="portrait"/>
          <w:cols w:equalWidth="0" w:num="1">
            <w:col w:w="10219"/>
          </w:cols>
          <w:pgMar w:left="240" w:top="269" w:right="1440" w:bottom="1440" w:gutter="0" w:footer="0" w:header="0"/>
        </w:sectPr>
      </w:pPr>
    </w:p>
    <w:bookmarkStart w:id="254" w:name="page255"/>
    <w:bookmarkEnd w:id="254"/>
    <w:p>
      <w:pPr>
        <w:ind w:left="280"/>
        <w:spacing w:after="0"/>
        <w:rPr>
          <w:sz w:val="20"/>
          <w:szCs w:val="20"/>
          <w:color w:val="auto"/>
        </w:rPr>
      </w:pPr>
      <w:r>
        <w:rPr>
          <w:rFonts w:ascii="Courier New" w:cs="Courier New" w:eastAsia="Courier New" w:hAnsi="Courier New"/>
          <w:sz w:val="16"/>
          <w:szCs w:val="16"/>
          <w:color w:val="auto"/>
        </w:rPr>
        <w:t>78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-72-</w:t>
      </w:r>
    </w:p>
    <w:p>
      <w:pPr>
        <w:spacing w:after="0" w:line="200" w:lineRule="exact"/>
        <w:rPr>
          <w:sz w:val="20"/>
          <w:szCs w:val="20"/>
          <w:color w:val="auto"/>
        </w:rPr>
      </w:pPr>
    </w:p>
    <w:p>
      <w:pPr>
        <w:spacing w:after="0" w:line="306" w:lineRule="exact"/>
        <w:rPr>
          <w:sz w:val="20"/>
          <w:szCs w:val="20"/>
          <w:color w:val="auto"/>
        </w:rPr>
      </w:pPr>
    </w:p>
    <w:p>
      <w:pPr>
        <w:ind w:right="2779"/>
        <w:spacing w:after="0" w:line="251" w:lineRule="auto"/>
        <w:rPr>
          <w:sz w:val="20"/>
          <w:szCs w:val="20"/>
          <w:color w:val="auto"/>
        </w:rPr>
      </w:pPr>
      <w:r>
        <w:rPr>
          <w:rFonts w:ascii="Courier New" w:cs="Courier New" w:eastAsia="Courier New" w:hAnsi="Courier New"/>
          <w:sz w:val="16"/>
          <w:szCs w:val="16"/>
          <w:color w:val="auto"/>
        </w:rPr>
        <w:t>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to deliver a signature or the fact that any signature or agreement or instrument was transmitted or communicated through the use of a facsimile machine as a defense to the formation of a contract and each party forever waives such defense.</w:t>
      </w:r>
    </w:p>
    <w:p>
      <w:pPr>
        <w:spacing w:after="0" w:line="94" w:lineRule="exact"/>
        <w:rPr>
          <w:sz w:val="20"/>
          <w:szCs w:val="20"/>
          <w:color w:val="auto"/>
        </w:rPr>
      </w:pPr>
    </w:p>
    <w:p>
      <w:pPr>
        <w:ind w:right="2779" w:firstLine="837"/>
        <w:spacing w:after="0" w:line="280" w:lineRule="auto"/>
        <w:rPr>
          <w:sz w:val="20"/>
          <w:szCs w:val="20"/>
          <w:color w:val="auto"/>
        </w:rPr>
      </w:pPr>
      <w:r>
        <w:rPr>
          <w:rFonts w:ascii="Courier New" w:cs="Courier New" w:eastAsia="Courier New" w:hAnsi="Courier New"/>
          <w:sz w:val="14"/>
          <w:szCs w:val="14"/>
          <w:color w:val="auto"/>
        </w:rPr>
        <w:t>SECTION 25. CONSENTS, ETC. Neither this Agreement nor any term hereof may be changed, waived, discharged or terminated, except as provided in this Section 25, subject to the provisions of Section 16.8.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shall entitle the Borrower to other or further notice or demand in similar or other circumstances.</w:t>
      </w:r>
    </w:p>
    <w:p>
      <w:pPr>
        <w:spacing w:after="0" w:line="260"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SECTION 26. WAIVER OF JURY TRIAL.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 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ectPr>
          <w:pgSz w:w="11900" w:h="16838" w:orient="portrait"/>
          <w:cols w:equalWidth="0" w:num="1">
            <w:col w:w="10219"/>
          </w:cols>
          <w:pgMar w:left="240" w:top="269" w:right="1440" w:bottom="1440" w:gutter="0" w:footer="0" w:header="0"/>
        </w:sectPr>
      </w:pPr>
    </w:p>
    <w:bookmarkStart w:id="255" w:name="page256"/>
    <w:bookmarkEnd w:id="255"/>
    <w:p>
      <w:pPr>
        <w:ind w:left="285"/>
        <w:spacing w:after="0"/>
        <w:rPr>
          <w:sz w:val="20"/>
          <w:szCs w:val="20"/>
          <w:color w:val="auto"/>
        </w:rPr>
      </w:pPr>
      <w:r>
        <w:rPr>
          <w:rFonts w:ascii="Courier New" w:cs="Courier New" w:eastAsia="Courier New" w:hAnsi="Courier New"/>
          <w:sz w:val="16"/>
          <w:szCs w:val="16"/>
          <w:color w:val="auto"/>
        </w:rPr>
        <w:t>79</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-73-</w:t>
      </w:r>
    </w:p>
    <w:p>
      <w:pPr>
        <w:spacing w:after="0" w:line="327" w:lineRule="exact"/>
        <w:rPr>
          <w:sz w:val="20"/>
          <w:szCs w:val="20"/>
          <w:color w:val="auto"/>
        </w:rPr>
      </w:pPr>
    </w:p>
    <w:p>
      <w:pPr>
        <w:jc w:val="both"/>
        <w:ind w:left="5" w:right="2959" w:firstLine="837"/>
        <w:spacing w:after="0" w:line="284" w:lineRule="auto"/>
        <w:rPr>
          <w:sz w:val="20"/>
          <w:szCs w:val="20"/>
          <w:color w:val="auto"/>
        </w:rPr>
      </w:pPr>
      <w:r>
        <w:rPr>
          <w:rFonts w:ascii="Courier New" w:cs="Courier New" w:eastAsia="Courier New" w:hAnsi="Courier New"/>
          <w:sz w:val="14"/>
          <w:szCs w:val="14"/>
          <w:color w:val="auto"/>
        </w:rPr>
        <w:t>SECTION 27. GOVERNING LAW; SUBMISSION TO JURISDICTION. THIS AGREEMENT AND EACH OF THE OTHER LOAN DOCUMENTS ARE CONTRACTS UNDER THE LAWS OF THE STATE OF NEW YORK AND SHALL, PURSUANT TO NEW YORK GENERAL OBLIGATIONS LAW SECTION</w:t>
      </w:r>
    </w:p>
    <w:p>
      <w:pPr>
        <w:spacing w:after="0" w:line="2" w:lineRule="exact"/>
        <w:rPr>
          <w:sz w:val="20"/>
          <w:szCs w:val="20"/>
          <w:color w:val="auto"/>
        </w:rPr>
      </w:pPr>
    </w:p>
    <w:p>
      <w:pPr>
        <w:ind w:left="5" w:right="2779"/>
        <w:spacing w:after="0" w:line="284" w:lineRule="auto"/>
        <w:rPr>
          <w:sz w:val="20"/>
          <w:szCs w:val="20"/>
          <w:color w:val="auto"/>
        </w:rPr>
      </w:pPr>
      <w:r>
        <w:rPr>
          <w:rFonts w:ascii="Courier New" w:cs="Courier New" w:eastAsia="Courier New" w:hAnsi="Courier New"/>
          <w:sz w:val="14"/>
          <w:szCs w:val="14"/>
          <w:color w:val="auto"/>
        </w:rPr>
        <w:t>5-1401, BE CONSTRUED IN ACCORDANCE WITH AND GOVERNED BY THE LAW OF THE STATE OF NEW YORK. THE BORROWER AND THE GUARANTOR CONSENT AND AGREE THAT ANY SUIT FOR THE ENFORCEMENT OF THIS AGREEMENT OR ANY OF THE OTHER LOAN DOCUMENTS MAY BE BROUGHT IN THE COURTS OF THE STATE OF NEW YORK OR ANY FEDERAL COURT SITTING THEREIN AND CONSENTS TO THE NONEXCLUSIVE JURISDICTION OF SUCH COURT AND SERVICE OF PROCESS IN ANY SUCH SUIT BEING MADE UPON THE BORROWER IN ACCORDANCE WITH LAW AT THE ADDRESS SPECIFIED IN Section 23. THE BORROWER AND THE GUARANTOR HEREBY WAIVE ANY OBJECTION THAT THEY MAY NOW OR HEREAFTER HAVE TO THE VENUE OF ANY SUCH SUIT OR ANY SUCH COURT OR THAT SUCH SUIT IS BROUGHT IN AN INCONVENIENT COURT.</w:t>
      </w:r>
    </w:p>
    <w:p>
      <w:pPr>
        <w:spacing w:after="0" w:line="72" w:lineRule="exact"/>
        <w:rPr>
          <w:sz w:val="20"/>
          <w:szCs w:val="20"/>
          <w:color w:val="auto"/>
        </w:rPr>
      </w:pPr>
    </w:p>
    <w:p>
      <w:pPr>
        <w:ind w:left="5" w:right="2779" w:firstLine="837"/>
        <w:spacing w:after="0" w:line="254" w:lineRule="auto"/>
        <w:rPr>
          <w:sz w:val="20"/>
          <w:szCs w:val="20"/>
          <w:color w:val="auto"/>
        </w:rPr>
      </w:pPr>
      <w:r>
        <w:rPr>
          <w:rFonts w:ascii="Courier New" w:cs="Courier New" w:eastAsia="Courier New" w:hAnsi="Courier New"/>
          <w:sz w:val="16"/>
          <w:szCs w:val="16"/>
          <w:color w:val="auto"/>
        </w:rPr>
        <w:t>SECTION 28.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pacing w:after="0" w:line="88"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SECTION 29. GUARANTY.</w:t>
      </w:r>
    </w:p>
    <w:p>
      <w:pPr>
        <w:spacing w:after="0" w:line="177" w:lineRule="exact"/>
        <w:rPr>
          <w:sz w:val="20"/>
          <w:szCs w:val="20"/>
          <w:color w:val="auto"/>
        </w:rPr>
      </w:pPr>
    </w:p>
    <w:p>
      <w:pPr>
        <w:jc w:val="both"/>
        <w:ind w:left="5" w:right="2779" w:firstLine="837"/>
        <w:spacing w:after="0" w:line="281" w:lineRule="auto"/>
        <w:rPr>
          <w:sz w:val="20"/>
          <w:szCs w:val="20"/>
          <w:color w:val="auto"/>
        </w:rPr>
      </w:pPr>
      <w:r>
        <w:rPr>
          <w:rFonts w:ascii="Courier New" w:cs="Courier New" w:eastAsia="Courier New" w:hAnsi="Courier New"/>
          <w:sz w:val="14"/>
          <w:szCs w:val="14"/>
          <w:color w:val="auto"/>
        </w:rPr>
        <w:t>SECTION 29.1. GUARANTY. For value received and hereby acknowledged and as an inducement to the Banks and the Issuing Banks to make the Loans available to the Borrower, and issue, extend or renew Letters of Credit for the account of the Borrower, the Guarantor hereby unconditionally and irrevocably guarantees</w:t>
      </w:r>
    </w:p>
    <w:p>
      <w:pPr>
        <w:spacing w:after="0" w:line="1" w:lineRule="exact"/>
        <w:rPr>
          <w:sz w:val="20"/>
          <w:szCs w:val="20"/>
          <w:color w:val="auto"/>
        </w:rPr>
      </w:pPr>
    </w:p>
    <w:p>
      <w:pPr>
        <w:ind w:left="5" w:right="2959" w:hanging="5"/>
        <w:spacing w:after="0" w:line="270" w:lineRule="auto"/>
        <w:tabs>
          <w:tab w:leader="none" w:pos="377"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w:t>
      </w:r>
    </w:p>
    <w:p>
      <w:pPr>
        <w:spacing w:after="0" w:line="2" w:lineRule="exact"/>
        <w:rPr>
          <w:rFonts w:ascii="Courier New" w:cs="Courier New" w:eastAsia="Courier New" w:hAnsi="Courier New"/>
          <w:sz w:val="14"/>
          <w:szCs w:val="14"/>
          <w:color w:val="auto"/>
        </w:rPr>
      </w:pPr>
    </w:p>
    <w:p>
      <w:pPr>
        <w:ind w:left="5" w:right="2959" w:hanging="5"/>
        <w:spacing w:after="0" w:line="383" w:lineRule="auto"/>
        <w:tabs>
          <w:tab w:leader="none" w:pos="377"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Borrower under the Loan Documents (such Obligations collectively being hereafter referred to as the "Guaranteed Obligations").</w:t>
      </w:r>
    </w:p>
    <w:p>
      <w:pPr>
        <w:spacing w:after="0" w:line="2" w:lineRule="exact"/>
        <w:rPr>
          <w:sz w:val="20"/>
          <w:szCs w:val="20"/>
          <w:color w:val="auto"/>
        </w:rPr>
      </w:pPr>
    </w:p>
    <w:p>
      <w:pPr>
        <w:ind w:left="5" w:right="2779" w:firstLine="837"/>
        <w:spacing w:after="0" w:line="296" w:lineRule="auto"/>
        <w:rPr>
          <w:sz w:val="20"/>
          <w:szCs w:val="20"/>
          <w:color w:val="auto"/>
        </w:rPr>
      </w:pPr>
      <w:r>
        <w:rPr>
          <w:rFonts w:ascii="Courier New" w:cs="Courier New" w:eastAsia="Courier New" w:hAnsi="Courier New"/>
          <w:sz w:val="14"/>
          <w:szCs w:val="14"/>
          <w:color w:val="auto"/>
        </w:rPr>
        <w:t>SECTION 29.2. GUARANTY ABSOLUTE. The Guarantor guarantees that the Guaranteed Obligations will be paid strictly in accordance with the terms hereof, regardless of any law, regulation or order now or hereafter in effect 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62" w:lineRule="exact"/>
        <w:rPr>
          <w:sz w:val="20"/>
          <w:szCs w:val="20"/>
          <w:color w:val="auto"/>
        </w:rPr>
      </w:pPr>
    </w:p>
    <w:p>
      <w:pPr>
        <w:ind w:left="845" w:right="2879" w:firstLine="830"/>
        <w:spacing w:after="0" w:line="263" w:lineRule="auto"/>
        <w:tabs>
          <w:tab w:leader="none" w:pos="2054"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ectPr>
          <w:pgSz w:w="11900" w:h="16838" w:orient="portrait"/>
          <w:cols w:equalWidth="0" w:num="1">
            <w:col w:w="10224"/>
          </w:cols>
          <w:pgMar w:left="235" w:top="269" w:right="1440" w:bottom="1440" w:gutter="0" w:footer="0" w:header="0"/>
        </w:sectPr>
      </w:pPr>
    </w:p>
    <w:bookmarkStart w:id="256" w:name="page257"/>
    <w:bookmarkEnd w:id="256"/>
    <w:p>
      <w:pPr>
        <w:ind w:left="280"/>
        <w:spacing w:after="0"/>
        <w:rPr>
          <w:sz w:val="20"/>
          <w:szCs w:val="20"/>
          <w:color w:val="auto"/>
        </w:rPr>
      </w:pPr>
      <w:r>
        <w:rPr>
          <w:rFonts w:ascii="Courier New" w:cs="Courier New" w:eastAsia="Courier New" w:hAnsi="Courier New"/>
          <w:sz w:val="16"/>
          <w:szCs w:val="16"/>
          <w:color w:val="auto"/>
        </w:rPr>
        <w:t>80</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-74-</w:t>
      </w:r>
    </w:p>
    <w:p>
      <w:pPr>
        <w:spacing w:after="0" w:line="327" w:lineRule="exact"/>
        <w:rPr>
          <w:sz w:val="20"/>
          <w:szCs w:val="20"/>
          <w:color w:val="auto"/>
        </w:rPr>
      </w:pPr>
    </w:p>
    <w:p>
      <w:pPr>
        <w:ind w:left="840" w:right="3239" w:firstLine="830"/>
        <w:spacing w:after="0" w:line="289" w:lineRule="auto"/>
        <w:tabs>
          <w:tab w:leader="none" w:pos="2049"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release or amendment or waiver of or consent to departure from any other guaranty for all or any of its Guaranteed Obligations;</w:t>
      </w:r>
    </w:p>
    <w:p>
      <w:pPr>
        <w:spacing w:after="0" w:line="60" w:lineRule="exact"/>
        <w:rPr>
          <w:rFonts w:ascii="Courier New" w:cs="Courier New" w:eastAsia="Courier New" w:hAnsi="Courier New"/>
          <w:sz w:val="16"/>
          <w:szCs w:val="16"/>
          <w:color w:val="auto"/>
        </w:rPr>
      </w:pPr>
    </w:p>
    <w:p>
      <w:pPr>
        <w:ind w:left="2040" w:hanging="370"/>
        <w:spacing w:after="0"/>
        <w:tabs>
          <w:tab w:leader="none" w:pos="204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ownership of the Borrower;</w:t>
      </w:r>
    </w:p>
    <w:p>
      <w:pPr>
        <w:spacing w:after="0" w:line="176" w:lineRule="exact"/>
        <w:rPr>
          <w:rFonts w:ascii="Courier New" w:cs="Courier New" w:eastAsia="Courier New" w:hAnsi="Courier New"/>
          <w:sz w:val="16"/>
          <w:szCs w:val="16"/>
          <w:color w:val="auto"/>
        </w:rPr>
      </w:pPr>
    </w:p>
    <w:p>
      <w:pPr>
        <w:ind w:left="840" w:right="2779" w:firstLine="830"/>
        <w:spacing w:after="0" w:line="342" w:lineRule="auto"/>
        <w:tabs>
          <w:tab w:leader="none" w:pos="2049"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acceptance of any partial payment(s) from the Borrower or the Guarantor; or</w:t>
      </w:r>
    </w:p>
    <w:p>
      <w:pPr>
        <w:spacing w:after="0" w:line="20" w:lineRule="exact"/>
        <w:rPr>
          <w:rFonts w:ascii="Courier New" w:cs="Courier New" w:eastAsia="Courier New" w:hAnsi="Courier New"/>
          <w:sz w:val="16"/>
          <w:szCs w:val="16"/>
          <w:color w:val="auto"/>
        </w:rPr>
      </w:pPr>
    </w:p>
    <w:p>
      <w:pPr>
        <w:ind w:left="840" w:right="2779" w:firstLine="830"/>
        <w:spacing w:after="0" w:line="289" w:lineRule="auto"/>
        <w:tabs>
          <w:tab w:leader="none" w:pos="2049"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circumstance which might otherwise constitute a defense available to, or a discharge of, the Borrower in respect of its Obligations under any Loan Document.</w:t>
      </w:r>
    </w:p>
    <w:p>
      <w:pPr>
        <w:spacing w:after="0" w:line="61" w:lineRule="exact"/>
        <w:rPr>
          <w:sz w:val="20"/>
          <w:szCs w:val="20"/>
          <w:color w:val="auto"/>
        </w:rPr>
      </w:pPr>
    </w:p>
    <w:p>
      <w:pPr>
        <w:ind w:right="2879" w:firstLine="837"/>
        <w:spacing w:after="0" w:line="258" w:lineRule="auto"/>
        <w:rPr>
          <w:sz w:val="20"/>
          <w:szCs w:val="20"/>
          <w:color w:val="auto"/>
        </w:rPr>
      </w:pPr>
      <w:r>
        <w:rPr>
          <w:rFonts w:ascii="Courier New" w:cs="Courier New" w:eastAsia="Courier New" w:hAnsi="Courier New"/>
          <w:sz w:val="16"/>
          <w:szCs w:val="16"/>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83" w:lineRule="exact"/>
        <w:rPr>
          <w:sz w:val="20"/>
          <w:szCs w:val="20"/>
          <w:color w:val="auto"/>
        </w:rPr>
      </w:pPr>
    </w:p>
    <w:p>
      <w:pPr>
        <w:ind w:right="2779" w:firstLine="837"/>
        <w:spacing w:after="0" w:line="279" w:lineRule="auto"/>
        <w:rPr>
          <w:sz w:val="20"/>
          <w:szCs w:val="20"/>
          <w:color w:val="auto"/>
        </w:rPr>
      </w:pPr>
      <w:r>
        <w:rPr>
          <w:rFonts w:ascii="Courier New" w:cs="Courier New" w:eastAsia="Courier New" w:hAnsi="Courier New"/>
          <w:sz w:val="14"/>
          <w:szCs w:val="14"/>
          <w:color w:val="auto"/>
        </w:rPr>
        <w:t>SECTION 29.3. EFFECTIVENESS; ENFORCEMENT. The guaranty under this Agreement shall be effective and shall be deemed to be made with respect to each Loan and each Letter of Credit 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this Agreement. The guaranty under this Agreement is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200" w:lineRule="exact"/>
        <w:rPr>
          <w:sz w:val="20"/>
          <w:szCs w:val="20"/>
          <w:color w:val="auto"/>
        </w:rPr>
      </w:pPr>
    </w:p>
    <w:p>
      <w:pPr>
        <w:spacing w:after="0" w:line="238" w:lineRule="exact"/>
        <w:rPr>
          <w:sz w:val="20"/>
          <w:szCs w:val="20"/>
          <w:color w:val="auto"/>
        </w:rPr>
      </w:pPr>
    </w:p>
    <w:p>
      <w:pPr>
        <w:ind w:right="2779" w:firstLine="837"/>
        <w:spacing w:after="0" w:line="246" w:lineRule="auto"/>
        <w:rPr>
          <w:sz w:val="20"/>
          <w:szCs w:val="20"/>
          <w:color w:val="auto"/>
        </w:rPr>
      </w:pPr>
      <w:r>
        <w:rPr>
          <w:rFonts w:ascii="Courier New" w:cs="Courier New" w:eastAsia="Courier New" w:hAnsi="Courier New"/>
          <w:sz w:val="16"/>
          <w:szCs w:val="16"/>
          <w:color w:val="auto"/>
        </w:rPr>
        <w:t>SECTION 29.4. WAIVER. Except as otherwise specifically provided in any of the Loan Documents, the Guarantor hereby waives promptness, diligence, protest, notice of protest, all suretyship defenses, notice of acceptance 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ectPr>
          <w:pgSz w:w="11900" w:h="16838" w:orient="portrait"/>
          <w:cols w:equalWidth="0" w:num="1">
            <w:col w:w="10219"/>
          </w:cols>
          <w:pgMar w:left="240" w:top="269" w:right="1440" w:bottom="1440" w:gutter="0" w:footer="0" w:header="0"/>
        </w:sectPr>
      </w:pPr>
    </w:p>
    <w:bookmarkStart w:id="257" w:name="page258"/>
    <w:bookmarkEnd w:id="257"/>
    <w:p>
      <w:pPr>
        <w:ind w:left="280"/>
        <w:spacing w:after="0"/>
        <w:rPr>
          <w:sz w:val="20"/>
          <w:szCs w:val="20"/>
          <w:color w:val="auto"/>
        </w:rPr>
      </w:pPr>
      <w:r>
        <w:rPr>
          <w:rFonts w:ascii="Courier New" w:cs="Courier New" w:eastAsia="Courier New" w:hAnsi="Courier New"/>
          <w:sz w:val="16"/>
          <w:szCs w:val="16"/>
          <w:color w:val="auto"/>
        </w:rPr>
        <w:t>81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-75-</w:t>
      </w:r>
    </w:p>
    <w:p>
      <w:pPr>
        <w:spacing w:after="0" w:line="327" w:lineRule="exact"/>
        <w:rPr>
          <w:sz w:val="20"/>
          <w:szCs w:val="20"/>
          <w:color w:val="auto"/>
        </w:rPr>
      </w:pPr>
    </w:p>
    <w:p>
      <w:pPr>
        <w:ind w:right="2779" w:firstLine="837"/>
        <w:spacing w:after="0" w:line="282" w:lineRule="auto"/>
        <w:rPr>
          <w:sz w:val="20"/>
          <w:szCs w:val="20"/>
          <w:color w:val="auto"/>
        </w:rPr>
      </w:pPr>
      <w:r>
        <w:rPr>
          <w:rFonts w:ascii="Courier New" w:cs="Courier New" w:eastAsia="Courier New" w:hAnsi="Courier New"/>
          <w:sz w:val="14"/>
          <w:szCs w:val="14"/>
          <w:color w:val="auto"/>
        </w:rPr>
        <w:t>SECTION 29.5. EXPENSES. The Guarantor hereby promises to reimburse (a) the Administrative Agent for all reasonable out-of-pocket fees and disbursements (including all reasonable attorneys' fees), incurred or expended in connection with the preparation, filing or recording, or interpretation of the guaranty under this Agreement, the other Loan Documents to which the Guarantor is a party,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253"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SECTION 29.6. CONCERNING JOINT AND SEVERAL LIABILITY OF THE GUARANTOR.</w:t>
      </w:r>
    </w:p>
    <w:p>
      <w:pPr>
        <w:spacing w:after="0" w:line="199" w:lineRule="exact"/>
        <w:rPr>
          <w:sz w:val="20"/>
          <w:szCs w:val="20"/>
          <w:color w:val="auto"/>
        </w:rPr>
      </w:pPr>
    </w:p>
    <w:p>
      <w:pPr>
        <w:ind w:left="840" w:right="2779" w:firstLine="830"/>
        <w:spacing w:after="0" w:line="250" w:lineRule="auto"/>
        <w:tabs>
          <w:tab w:leader="none" w:pos="2049"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Section 29), it being the intention of the parties hereto that all such Guaranteed Obligations shall be the joint and several Guaranteed Obligations of the Guarantor and the Borrower without preferences or distinction among them.</w:t>
      </w:r>
    </w:p>
    <w:p>
      <w:pPr>
        <w:spacing w:after="0" w:line="89" w:lineRule="exact"/>
        <w:rPr>
          <w:rFonts w:ascii="Courier New" w:cs="Courier New" w:eastAsia="Courier New" w:hAnsi="Courier New"/>
          <w:sz w:val="16"/>
          <w:szCs w:val="16"/>
          <w:color w:val="auto"/>
        </w:rPr>
      </w:pPr>
    </w:p>
    <w:p>
      <w:pPr>
        <w:ind w:left="840" w:right="2879" w:firstLine="830"/>
        <w:spacing w:after="0" w:line="309" w:lineRule="auto"/>
        <w:tabs>
          <w:tab w:leader="none" w:pos="2049"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52" w:lineRule="exact"/>
        <w:rPr>
          <w:rFonts w:ascii="Courier New" w:cs="Courier New" w:eastAsia="Courier New" w:hAnsi="Courier New"/>
          <w:sz w:val="14"/>
          <w:szCs w:val="14"/>
          <w:color w:val="auto"/>
        </w:rPr>
      </w:pPr>
    </w:p>
    <w:p>
      <w:pPr>
        <w:ind w:left="840" w:right="2879" w:firstLine="830"/>
        <w:spacing w:after="0" w:line="309" w:lineRule="auto"/>
        <w:tabs>
          <w:tab w:leader="none" w:pos="2049"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Guaranteed Obligations of the Guarantor under the provisions of this Section 29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52" w:lineRule="exact"/>
        <w:rPr>
          <w:rFonts w:ascii="Courier New" w:cs="Courier New" w:eastAsia="Courier New" w:hAnsi="Courier New"/>
          <w:sz w:val="14"/>
          <w:szCs w:val="14"/>
          <w:color w:val="auto"/>
        </w:rPr>
      </w:pPr>
    </w:p>
    <w:p>
      <w:pPr>
        <w:ind w:left="840" w:right="2879" w:firstLine="830"/>
        <w:spacing w:after="0" w:line="243" w:lineRule="auto"/>
        <w:tabs>
          <w:tab w:leader="none" w:pos="2049"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w:t>
      </w:r>
    </w:p>
    <w:p>
      <w:pPr>
        <w:sectPr>
          <w:pgSz w:w="11900" w:h="16838" w:orient="portrait"/>
          <w:cols w:equalWidth="0" w:num="1">
            <w:col w:w="10219"/>
          </w:cols>
          <w:pgMar w:left="240" w:top="269"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6"/>
          <w:szCs w:val="16"/>
          <w:color w:val="auto"/>
        </w:rPr>
        <w:t>82</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-76-</w:t>
      </w:r>
    </w:p>
    <w:p>
      <w:pPr>
        <w:spacing w:after="0" w:line="327" w:lineRule="exact"/>
        <w:rPr>
          <w:sz w:val="20"/>
          <w:szCs w:val="20"/>
          <w:color w:val="auto"/>
        </w:rPr>
      </w:pPr>
    </w:p>
    <w:p>
      <w:pPr>
        <w:ind w:left="560" w:right="2779"/>
        <w:spacing w:after="0" w:line="275" w:lineRule="auto"/>
        <w:rPr>
          <w:sz w:val="20"/>
          <w:szCs w:val="20"/>
          <w:color w:val="auto"/>
        </w:rPr>
      </w:pPr>
      <w:r>
        <w:rPr>
          <w:rFonts w:ascii="Courier New" w:cs="Courier New" w:eastAsia="Courier New" w:hAnsi="Courier New"/>
          <w:sz w:val="14"/>
          <w:szCs w:val="14"/>
          <w:color w:val="auto"/>
        </w:rPr>
        <w:t>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Section 29, afford grounds for terminating, discharging or relieving the Guarantor, in whole or in part, from any of the Guaranteed Obligations under this Section 29, it being the intention of the Guarantor that, so long as any of the Guaranteed Obligations hereunder remain unsatisfied, the Guaranteed Obligations of the Guarantor under this Section 29 shall not be discharged except by performance and then only to the extent of such performance. The Guaranteed Obligations of the Guarantor under this Section 29 shall not be diminished or rendered unenforceable by any winding up, reorganization, arrangement, liquidation, reconstruction or similar proceeding with respect to the Borrower or the Guarantor or the Banks, the Issuing Banks or the Administrative Agent. The joint and 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60" w:right="2779" w:firstLine="830"/>
        <w:spacing w:after="0" w:line="243" w:lineRule="auto"/>
        <w:tabs>
          <w:tab w:leader="none" w:pos="1769"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Guarantor shall be liable under this Section 29 only for the maximum amount of such liabilities that can be incurred under applicable law without rendering this Section 29 voidable under applicable law relating to fraudulent conveyance and fraudulent transfer, and not for any greater amount. Accordingly, if any obligation under any provision under this Section 29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Section 29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104" w:lineRule="exact"/>
        <w:rPr>
          <w:rFonts w:ascii="Courier New" w:cs="Courier New" w:eastAsia="Courier New" w:hAnsi="Courier New"/>
          <w:sz w:val="16"/>
          <w:szCs w:val="16"/>
          <w:color w:val="auto"/>
        </w:rPr>
      </w:pPr>
    </w:p>
    <w:p>
      <w:pPr>
        <w:ind w:left="560" w:right="2779" w:firstLine="830"/>
        <w:spacing w:after="0" w:line="290" w:lineRule="auto"/>
        <w:tabs>
          <w:tab w:leader="none" w:pos="1769"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29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 Guarantor or to resort to any other source or</w:t>
      </w:r>
    </w:p>
    <w:p>
      <w:pPr>
        <w:sectPr>
          <w:pgSz w:w="11900" w:h="16838" w:orient="portrait"/>
          <w:cols w:equalWidth="0" w:num="1">
            <w:col w:w="9939"/>
          </w:cols>
          <w:pgMar w:left="520" w:top="269" w:right="1440" w:bottom="1440" w:gutter="0" w:footer="0" w:header="0"/>
        </w:sectPr>
      </w:pPr>
    </w:p>
    <w:bookmarkStart w:id="259" w:name="page260"/>
    <w:bookmarkEnd w:id="259"/>
    <w:p>
      <w:pPr>
        <w:ind w:left="280"/>
        <w:spacing w:after="0"/>
        <w:rPr>
          <w:sz w:val="20"/>
          <w:szCs w:val="20"/>
          <w:color w:val="auto"/>
        </w:rPr>
      </w:pPr>
      <w:r>
        <w:rPr>
          <w:rFonts w:ascii="Courier New" w:cs="Courier New" w:eastAsia="Courier New" w:hAnsi="Courier New"/>
          <w:sz w:val="16"/>
          <w:szCs w:val="16"/>
          <w:color w:val="auto"/>
        </w:rPr>
        <w:t>83</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-77-</w:t>
      </w:r>
    </w:p>
    <w:p>
      <w:pPr>
        <w:spacing w:after="0" w:line="327" w:lineRule="exact"/>
        <w:rPr>
          <w:sz w:val="20"/>
          <w:szCs w:val="20"/>
          <w:color w:val="auto"/>
        </w:rPr>
      </w:pPr>
    </w:p>
    <w:p>
      <w:pPr>
        <w:ind w:left="840" w:right="2879"/>
        <w:spacing w:after="0" w:line="285" w:lineRule="auto"/>
        <w:rPr>
          <w:sz w:val="20"/>
          <w:szCs w:val="20"/>
          <w:color w:val="auto"/>
        </w:rPr>
      </w:pPr>
      <w:r>
        <w:rPr>
          <w:rFonts w:ascii="Courier New" w:cs="Courier New" w:eastAsia="Courier New" w:hAnsi="Courier New"/>
          <w:sz w:val="14"/>
          <w:szCs w:val="14"/>
          <w:color w:val="auto"/>
        </w:rPr>
        <w:t>means of obtaining payment of any of the obligations hereunder or to elect any other remedy. The provisions of this Section 29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Section 29 will forthwith be reinstated in effect, as though such payment had not been made.</w:t>
      </w:r>
    </w:p>
    <w:p>
      <w:pPr>
        <w:spacing w:after="0" w:line="254" w:lineRule="exact"/>
        <w:rPr>
          <w:sz w:val="20"/>
          <w:szCs w:val="20"/>
          <w:color w:val="auto"/>
        </w:rPr>
      </w:pPr>
    </w:p>
    <w:p>
      <w:pPr>
        <w:ind w:right="2779" w:firstLine="837"/>
        <w:spacing w:after="0" w:line="246" w:lineRule="auto"/>
        <w:rPr>
          <w:sz w:val="20"/>
          <w:szCs w:val="20"/>
          <w:color w:val="auto"/>
        </w:rPr>
      </w:pPr>
      <w:r>
        <w:rPr>
          <w:rFonts w:ascii="Courier New" w:cs="Courier New" w:eastAsia="Courier New" w:hAnsi="Courier New"/>
          <w:sz w:val="16"/>
          <w:szCs w:val="16"/>
          <w:color w:val="auto"/>
        </w:rPr>
        <w:t>SECTION 29.7. WAIVER. Until the final payment and performance in full of all of the Obligations, the Guarantor shall not exercise and the Guarantor hereby waives any rights the Guarantor may have against the Borrower 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96"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SECTION 29.8. SUBROGATION; SUBORDINATION. The payment of any amounts due with respect to any indebtedness of the Borrower for money borrowed or credit received now or hereafter owed to the Guarantor is hereby 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10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30. PARI PASSU TREATMENT.</w:t>
      </w:r>
    </w:p>
    <w:p>
      <w:pPr>
        <w:spacing w:after="0" w:line="177" w:lineRule="exact"/>
        <w:rPr>
          <w:sz w:val="20"/>
          <w:szCs w:val="20"/>
          <w:color w:val="auto"/>
        </w:rPr>
      </w:pPr>
    </w:p>
    <w:p>
      <w:pPr>
        <w:ind w:left="840" w:right="2779" w:firstLine="830"/>
        <w:spacing w:after="0" w:line="301" w:lineRule="auto"/>
        <w:tabs>
          <w:tab w:leader="none" w:pos="2049" w:val="left"/>
        </w:tabs>
        <w:numPr>
          <w:ilvl w:val="0"/>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58" w:lineRule="exact"/>
        <w:rPr>
          <w:rFonts w:ascii="Courier New" w:cs="Courier New" w:eastAsia="Courier New" w:hAnsi="Courier New"/>
          <w:sz w:val="14"/>
          <w:szCs w:val="14"/>
          <w:color w:val="auto"/>
        </w:rPr>
      </w:pPr>
    </w:p>
    <w:p>
      <w:pPr>
        <w:ind w:left="840" w:right="2779" w:firstLine="830"/>
        <w:spacing w:after="0" w:line="289" w:lineRule="auto"/>
        <w:tabs>
          <w:tab w:leader="none" w:pos="2049"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occurrence and during the continuance of any Event of Default, each Bank agrees that if it shall, through the exercise of a right of banker's lien,</w:t>
      </w:r>
    </w:p>
    <w:p>
      <w:pPr>
        <w:sectPr>
          <w:pgSz w:w="11900" w:h="16838" w:orient="portrait"/>
          <w:cols w:equalWidth="0" w:num="1">
            <w:col w:w="10219"/>
          </w:cols>
          <w:pgMar w:left="240" w:top="269" w:right="1440" w:bottom="1440" w:gutter="0" w:footer="0" w:header="0"/>
        </w:sectPr>
      </w:pPr>
    </w:p>
    <w:bookmarkStart w:id="260" w:name="page261"/>
    <w:bookmarkEnd w:id="260"/>
    <w:p>
      <w:pPr>
        <w:ind w:left="280"/>
        <w:spacing w:after="0"/>
        <w:rPr>
          <w:sz w:val="20"/>
          <w:szCs w:val="20"/>
          <w:color w:val="auto"/>
        </w:rPr>
      </w:pPr>
      <w:r>
        <w:rPr>
          <w:rFonts w:ascii="Courier New" w:cs="Courier New" w:eastAsia="Courier New" w:hAnsi="Courier New"/>
          <w:sz w:val="16"/>
          <w:szCs w:val="16"/>
          <w:color w:val="auto"/>
        </w:rPr>
        <w:t>84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-78-</w:t>
      </w:r>
    </w:p>
    <w:p>
      <w:pPr>
        <w:spacing w:after="0" w:line="327" w:lineRule="exact"/>
        <w:rPr>
          <w:sz w:val="20"/>
          <w:szCs w:val="20"/>
          <w:color w:val="auto"/>
        </w:rPr>
      </w:pPr>
    </w:p>
    <w:p>
      <w:pPr>
        <w:ind w:left="840" w:right="2779"/>
        <w:spacing w:after="0" w:line="275" w:lineRule="auto"/>
        <w:rPr>
          <w:sz w:val="20"/>
          <w:szCs w:val="20"/>
          <w:color w:val="auto"/>
        </w:rPr>
      </w:pPr>
      <w:r>
        <w:rPr>
          <w:rFonts w:ascii="Courier New" w:cs="Courier New" w:eastAsia="Courier New" w:hAnsi="Courier New"/>
          <w:sz w:val="14"/>
          <w:szCs w:val="14"/>
          <w:color w:val="auto"/>
        </w:rPr>
        <w:t>setoff or counterclaim against any Borrower (pursuant to Section 14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Section 6.4, Section 6.5 or Section 6.7)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30 and the payment giving rise thereto shall thereafter be recovered, such purchase or purchases or adjustments shall be rescinded to the extent of such recovery and the purchase price or prices or adjustments restored without interest. The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3059" w:firstLine="837"/>
        <w:spacing w:after="0" w:line="263" w:lineRule="auto"/>
        <w:rPr>
          <w:sz w:val="20"/>
          <w:szCs w:val="20"/>
          <w:color w:val="auto"/>
        </w:rPr>
      </w:pPr>
      <w:r>
        <w:rPr>
          <w:rFonts w:ascii="Courier New" w:cs="Courier New" w:eastAsia="Courier New" w:hAnsi="Courier New"/>
          <w:sz w:val="16"/>
          <w:szCs w:val="16"/>
          <w:color w:val="auto"/>
        </w:rPr>
        <w:t>SECTION 31.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19"/>
          </w:cols>
          <w:pgMar w:left="240" w:top="269" w:right="1440" w:bottom="1440" w:gutter="0" w:footer="0" w:header="0"/>
        </w:sectPr>
      </w:pPr>
    </w:p>
    <w:bookmarkStart w:id="261" w:name="page262"/>
    <w:bookmarkEnd w:id="261"/>
    <w:p>
      <w:pPr>
        <w:ind w:left="280"/>
        <w:spacing w:after="0"/>
        <w:rPr>
          <w:sz w:val="20"/>
          <w:szCs w:val="20"/>
          <w:color w:val="auto"/>
        </w:rPr>
      </w:pPr>
      <w:r>
        <w:rPr>
          <w:rFonts w:ascii="Courier New" w:cs="Courier New" w:eastAsia="Courier New" w:hAnsi="Courier New"/>
          <w:sz w:val="16"/>
          <w:szCs w:val="16"/>
          <w:color w:val="auto"/>
        </w:rPr>
        <w:t>85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-79-</w:t>
      </w:r>
    </w:p>
    <w:p>
      <w:pPr>
        <w:spacing w:after="0" w:line="200" w:lineRule="exact"/>
        <w:rPr>
          <w:sz w:val="20"/>
          <w:szCs w:val="20"/>
          <w:color w:val="auto"/>
        </w:rPr>
      </w:pPr>
    </w:p>
    <w:p>
      <w:pPr>
        <w:spacing w:after="0" w:line="306"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IN WITNESS WHEREOF, the undersigned have duly executed this Agreement as of the date first set forth above.</w:t>
      </w:r>
    </w:p>
    <w:p>
      <w:pPr>
        <w:spacing w:after="0" w:line="2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THE BORROWER AND GUARANTOR:</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WASTE MANAGEMENT, INC.</w:t>
      </w:r>
    </w:p>
    <w:p>
      <w:pPr>
        <w:sectPr>
          <w:pgSz w:w="11900" w:h="16838" w:orient="portrait"/>
          <w:cols w:equalWidth="0" w:num="1">
            <w:col w:w="10219"/>
          </w:cols>
          <w:pgMar w:left="240" w:top="269" w:right="1440" w:bottom="1440" w:gutter="0" w:footer="0" w:header="0"/>
        </w:sectPr>
      </w:pPr>
    </w:p>
    <w:p>
      <w:pPr>
        <w:spacing w:after="0" w:line="355"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 Ronald H. Jones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Name: Ronald H. Jones</w:t>
      </w:r>
    </w:p>
    <w:p>
      <w:pPr>
        <w:ind w:left="180"/>
        <w:spacing w:after="0"/>
        <w:rPr>
          <w:sz w:val="20"/>
          <w:szCs w:val="20"/>
          <w:color w:val="auto"/>
        </w:rPr>
      </w:pPr>
      <w:r>
        <w:rPr>
          <w:rFonts w:ascii="Courier New" w:cs="Courier New" w:eastAsia="Courier New" w:hAnsi="Courier New"/>
          <w:sz w:val="14"/>
          <w:szCs w:val="14"/>
          <w:color w:val="auto"/>
        </w:rPr>
        <w:t>Title: Vice President and Treasurer</w:t>
      </w:r>
    </w:p>
    <w:p>
      <w:pPr>
        <w:spacing w:after="0" w:line="171" w:lineRule="exact"/>
        <w:rPr>
          <w:sz w:val="20"/>
          <w:szCs w:val="20"/>
          <w:color w:val="auto"/>
        </w:rPr>
      </w:pPr>
    </w:p>
    <w:p>
      <w:pPr>
        <w:sectPr>
          <w:pgSz w:w="11900" w:h="16838" w:orient="portrait"/>
          <w:cols w:equalWidth="0" w:num="2">
            <w:col w:w="3720" w:space="0"/>
            <w:col w:w="6499"/>
          </w:cols>
          <w:pgMar w:left="240" w:top="269" w:right="1440" w:bottom="1440" w:gutter="0" w:footer="0" w:header="0"/>
          <w:type w:val="continuous"/>
        </w:sectPr>
      </w:pPr>
    </w:p>
    <w:p>
      <w:pPr>
        <w:ind w:left="3440"/>
        <w:spacing w:after="0"/>
        <w:rPr>
          <w:sz w:val="20"/>
          <w:szCs w:val="20"/>
          <w:color w:val="auto"/>
        </w:rPr>
      </w:pPr>
      <w:r>
        <w:rPr>
          <w:rFonts w:ascii="Courier New" w:cs="Courier New" w:eastAsia="Courier New" w:hAnsi="Courier New"/>
          <w:sz w:val="14"/>
          <w:szCs w:val="14"/>
          <w:color w:val="auto"/>
        </w:rPr>
        <w:t>WASTE MANAGEMENT HOLDINGS, INC.</w:t>
      </w:r>
    </w:p>
    <w:p>
      <w:pPr>
        <w:sectPr>
          <w:pgSz w:w="11900" w:h="16838" w:orient="portrait"/>
          <w:cols w:equalWidth="0" w:num="1">
            <w:col w:w="10219"/>
          </w:cols>
          <w:pgMar w:left="240" w:top="269" w:right="1440" w:bottom="1440" w:gutter="0" w:footer="0" w:header="0"/>
          <w:type w:val="continuous"/>
        </w:sectPr>
      </w:pPr>
    </w:p>
    <w:p>
      <w:pPr>
        <w:spacing w:after="0" w:line="378"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 William L. Trubeck</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Name: William L. Trubeck</w:t>
      </w:r>
    </w:p>
    <w:p>
      <w:pPr>
        <w:ind w:left="180"/>
        <w:spacing w:after="0" w:line="236" w:lineRule="auto"/>
        <w:rPr>
          <w:sz w:val="20"/>
          <w:szCs w:val="20"/>
          <w:color w:val="auto"/>
        </w:rPr>
      </w:pPr>
      <w:r>
        <w:rPr>
          <w:rFonts w:ascii="Courier New" w:cs="Courier New" w:eastAsia="Courier New" w:hAnsi="Courier New"/>
          <w:sz w:val="16"/>
          <w:szCs w:val="16"/>
          <w:color w:val="auto"/>
        </w:rPr>
        <w:t>Title: Executive Vice President</w:t>
      </w:r>
    </w:p>
    <w:p>
      <w:pPr>
        <w:spacing w:after="0" w:line="1"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ectPr>
          <w:pgSz w:w="11900" w:h="16838" w:orient="portrait"/>
          <w:cols w:equalWidth="0" w:num="2">
            <w:col w:w="3720" w:space="0"/>
            <w:col w:w="6499"/>
          </w:cols>
          <w:pgMar w:left="240" w:top="269" w:right="1440" w:bottom="1440" w:gutter="0" w:footer="0" w:header="0"/>
          <w:type w:val="continuous"/>
        </w:sectPr>
      </w:pPr>
    </w:p>
    <w:p>
      <w:pPr>
        <w:spacing w:after="0" w:line="12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 Ronald H. Jones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Name: Ronald H. Jones</w:t>
      </w:r>
    </w:p>
    <w:p>
      <w:pPr>
        <w:ind w:left="180"/>
        <w:spacing w:after="0"/>
        <w:rPr>
          <w:sz w:val="20"/>
          <w:szCs w:val="20"/>
          <w:color w:val="auto"/>
        </w:rPr>
      </w:pPr>
      <w:r>
        <w:rPr>
          <w:rFonts w:ascii="Courier New" w:cs="Courier New" w:eastAsia="Courier New" w:hAnsi="Courier New"/>
          <w:sz w:val="14"/>
          <w:szCs w:val="14"/>
          <w:color w:val="auto"/>
        </w:rPr>
        <w:t>Title: Vice President and Treasurer</w:t>
      </w:r>
    </w:p>
    <w:p>
      <w:pPr>
        <w:spacing w:after="0" w:line="200" w:lineRule="exact"/>
        <w:rPr>
          <w:sz w:val="20"/>
          <w:szCs w:val="20"/>
          <w:color w:val="auto"/>
        </w:rPr>
      </w:pPr>
    </w:p>
    <w:p>
      <w:pPr>
        <w:sectPr>
          <w:pgSz w:w="11900" w:h="16838" w:orient="portrait"/>
          <w:cols w:equalWidth="0" w:num="2">
            <w:col w:w="3720" w:space="0"/>
            <w:col w:w="6499"/>
          </w:cols>
          <w:pgMar w:left="240" w:top="269" w:right="1440" w:bottom="1440" w:gutter="0" w:footer="0" w:header="0"/>
          <w:type w:val="continuous"/>
        </w:sectPr>
      </w:pPr>
    </w:p>
    <w:p>
      <w:pPr>
        <w:spacing w:after="0" w:line="15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THE BANKS AND AGENTS:</w:t>
      </w:r>
    </w:p>
    <w:p>
      <w:pPr>
        <w:spacing w:after="0" w:line="200" w:lineRule="exact"/>
        <w:rPr>
          <w:sz w:val="20"/>
          <w:szCs w:val="20"/>
          <w:color w:val="auto"/>
        </w:rPr>
      </w:pPr>
    </w:p>
    <w:p>
      <w:pPr>
        <w:spacing w:after="0" w:line="334"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FLEET NATIONAL BANK, individually and</w:t>
      </w:r>
    </w:p>
    <w:p>
      <w:pPr>
        <w:spacing w:after="0" w:line="4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as Administrative Agent</w:t>
      </w:r>
    </w:p>
    <w:p>
      <w:pPr>
        <w:sectPr>
          <w:pgSz w:w="11900" w:h="16838" w:orient="portrait"/>
          <w:cols w:equalWidth="0" w:num="1">
            <w:col w:w="10219"/>
          </w:cols>
          <w:pgMar w:left="240" w:top="269" w:right="1440"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 H. Louis Bailey</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Name: H. Louis Bailey</w:t>
      </w:r>
    </w:p>
    <w:p>
      <w:pPr>
        <w:ind w:left="180"/>
        <w:spacing w:after="0"/>
        <w:rPr>
          <w:sz w:val="20"/>
          <w:szCs w:val="20"/>
          <w:color w:val="auto"/>
        </w:rPr>
      </w:pPr>
      <w:r>
        <w:rPr>
          <w:rFonts w:ascii="Courier New" w:cs="Courier New" w:eastAsia="Courier New" w:hAnsi="Courier New"/>
          <w:sz w:val="16"/>
          <w:szCs w:val="16"/>
          <w:color w:val="auto"/>
        </w:rPr>
        <w:t>Title: Managing Director</w:t>
      </w:r>
    </w:p>
    <w:p>
      <w:pPr>
        <w:spacing w:after="0" w:line="200" w:lineRule="exact"/>
        <w:rPr>
          <w:sz w:val="20"/>
          <w:szCs w:val="20"/>
          <w:color w:val="auto"/>
        </w:rPr>
      </w:pPr>
    </w:p>
    <w:p>
      <w:pPr>
        <w:sectPr>
          <w:pgSz w:w="11900" w:h="16838" w:orient="portrait"/>
          <w:cols w:equalWidth="0" w:num="2">
            <w:col w:w="3720" w:space="0"/>
            <w:col w:w="6499"/>
          </w:cols>
          <w:pgMar w:left="240" w:top="269" w:right="1440" w:bottom="1440" w:gutter="0" w:footer="0" w:header="0"/>
          <w:type w:val="continuous"/>
        </w:sectPr>
      </w:pPr>
    </w:p>
    <w:p>
      <w:pPr>
        <w:spacing w:after="0" w:line="12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BANK OF AMERICA, N.A.</w:t>
      </w:r>
    </w:p>
    <w:p>
      <w:pPr>
        <w:sectPr>
          <w:pgSz w:w="11900" w:h="16838" w:orient="portrait"/>
          <w:cols w:equalWidth="0" w:num="1">
            <w:col w:w="10219"/>
          </w:cols>
          <w:pgMar w:left="240" w:top="269" w:right="1440"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344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360"/>
        <w:spacing w:after="0"/>
        <w:rPr>
          <w:sz w:val="20"/>
          <w:szCs w:val="20"/>
          <w:color w:val="auto"/>
        </w:rPr>
      </w:pPr>
      <w:r>
        <w:rPr>
          <w:rFonts w:ascii="Courier New" w:cs="Courier New" w:eastAsia="Courier New" w:hAnsi="Courier New"/>
          <w:sz w:val="16"/>
          <w:szCs w:val="16"/>
          <w:color w:val="auto"/>
        </w:rPr>
        <w:t>/s/ Dan M. Killian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Name: Dan M. Killian</w:t>
      </w:r>
    </w:p>
    <w:p>
      <w:pPr>
        <w:ind w:left="180"/>
        <w:spacing w:after="0"/>
        <w:rPr>
          <w:sz w:val="20"/>
          <w:szCs w:val="20"/>
          <w:color w:val="auto"/>
        </w:rPr>
      </w:pPr>
      <w:r>
        <w:rPr>
          <w:rFonts w:ascii="Courier New" w:cs="Courier New" w:eastAsia="Courier New" w:hAnsi="Courier New"/>
          <w:sz w:val="16"/>
          <w:szCs w:val="16"/>
          <w:color w:val="auto"/>
        </w:rPr>
        <w:t>Title: Managing Director</w:t>
      </w:r>
    </w:p>
    <w:p>
      <w:pPr>
        <w:sectPr>
          <w:pgSz w:w="11900" w:h="16838" w:orient="portrait"/>
          <w:cols w:equalWidth="0" w:num="2">
            <w:col w:w="3720" w:space="0"/>
            <w:col w:w="6499"/>
          </w:cols>
          <w:pgMar w:left="240" w:top="269" w:right="1440" w:bottom="1440" w:gutter="0" w:footer="0" w:header="0"/>
          <w:type w:val="continuous"/>
        </w:sectPr>
      </w:pPr>
    </w:p>
    <w:bookmarkStart w:id="262" w:name="page263"/>
    <w:bookmarkEnd w:id="262"/>
    <w:p>
      <w:pPr>
        <w:spacing w:after="0"/>
        <w:rPr>
          <w:sz w:val="20"/>
          <w:szCs w:val="20"/>
          <w:color w:val="auto"/>
        </w:rPr>
      </w:pPr>
      <w:r>
        <w:rPr>
          <w:rFonts w:ascii="Courier New" w:cs="Courier New" w:eastAsia="Courier New" w:hAnsi="Courier New"/>
          <w:sz w:val="16"/>
          <w:szCs w:val="16"/>
          <w:color w:val="auto"/>
        </w:rPr>
        <w:t>86</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-80-</w:t>
      </w: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CHASE MANHATTAN BANK</w:t>
      </w:r>
    </w:p>
    <w:p>
      <w:pPr>
        <w:spacing w:after="0" w:line="200" w:lineRule="exact"/>
        <w:rPr>
          <w:sz w:val="20"/>
          <w:szCs w:val="20"/>
          <w:color w:val="auto"/>
        </w:rPr>
      </w:pPr>
    </w:p>
    <w:p>
      <w:pPr>
        <w:spacing w:after="0" w:line="33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James R. Dolphin</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James R. Dolphin</w:t>
      </w:r>
    </w:p>
    <w:p>
      <w:pPr>
        <w:ind w:left="3060"/>
        <w:spacing w:after="0"/>
        <w:rPr>
          <w:sz w:val="20"/>
          <w:szCs w:val="20"/>
          <w:color w:val="auto"/>
        </w:rPr>
      </w:pPr>
      <w:r>
        <w:rPr>
          <w:rFonts w:ascii="Courier New" w:cs="Courier New" w:eastAsia="Courier New" w:hAnsi="Courier New"/>
          <w:sz w:val="16"/>
          <w:szCs w:val="16"/>
          <w:color w:val="auto"/>
        </w:rPr>
        <w:t>Title: Senior Vice President</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DEUTSCHE BANK AG, NEW YORK BRANCH AND/OR</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CAYMAN ISLANDS BRANCH</w:t>
      </w:r>
    </w:p>
    <w:p>
      <w:pPr>
        <w:sectPr>
          <w:pgSz w:w="11900" w:h="16838" w:orient="portrait"/>
          <w:cols w:equalWidth="0" w:num="1">
            <w:col w:w="9939"/>
          </w:cols>
          <w:pgMar w:left="520" w:top="269"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380"/>
        <w:spacing w:after="0"/>
        <w:tabs>
          <w:tab w:leader="none" w:pos="2480" w:val="left"/>
        </w:tabs>
        <w:rPr>
          <w:sz w:val="20"/>
          <w:szCs w:val="20"/>
          <w:color w:val="auto"/>
        </w:rPr>
      </w:pPr>
      <w:r>
        <w:rPr>
          <w:rFonts w:ascii="Courier New" w:cs="Courier New" w:eastAsia="Courier New" w:hAnsi="Courier New"/>
          <w:sz w:val="16"/>
          <w:szCs w:val="16"/>
          <w:color w:val="auto"/>
        </w:rPr>
        <w:t>/s/ Jean M. Hannigan</w:t>
      </w:r>
      <w:r>
        <w:rPr>
          <w:sz w:val="20"/>
          <w:szCs w:val="20"/>
          <w:color w:val="auto"/>
        </w:rPr>
        <w:tab/>
      </w:r>
      <w:r>
        <w:rPr>
          <w:rFonts w:ascii="Courier New" w:cs="Courier New" w:eastAsia="Courier New" w:hAnsi="Courier New"/>
          <w:sz w:val="14"/>
          <w:szCs w:val="14"/>
          <w:color w:val="auto"/>
        </w:rPr>
        <w:t>Stephanie Strohe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180"/>
        <w:spacing w:after="0"/>
        <w:tabs>
          <w:tab w:leader="none" w:pos="2480" w:val="left"/>
        </w:tabs>
        <w:rPr>
          <w:sz w:val="20"/>
          <w:szCs w:val="20"/>
          <w:color w:val="auto"/>
        </w:rPr>
      </w:pPr>
      <w:r>
        <w:rPr>
          <w:rFonts w:ascii="Courier New" w:cs="Courier New" w:eastAsia="Courier New" w:hAnsi="Courier New"/>
          <w:sz w:val="16"/>
          <w:szCs w:val="16"/>
          <w:color w:val="auto"/>
        </w:rPr>
        <w:t>Name: Jean M. Hannigan</w:t>
      </w:r>
      <w:r>
        <w:rPr>
          <w:sz w:val="20"/>
          <w:szCs w:val="20"/>
          <w:color w:val="auto"/>
        </w:rPr>
        <w:tab/>
      </w:r>
      <w:r>
        <w:rPr>
          <w:rFonts w:ascii="Courier New" w:cs="Courier New" w:eastAsia="Courier New" w:hAnsi="Courier New"/>
          <w:sz w:val="14"/>
          <w:szCs w:val="14"/>
          <w:color w:val="auto"/>
        </w:rPr>
        <w:t>Stephanie Strohe</w:t>
      </w:r>
    </w:p>
    <w:p>
      <w:pPr>
        <w:ind w:left="180"/>
        <w:spacing w:after="0"/>
        <w:tabs>
          <w:tab w:leader="none" w:pos="2480" w:val="left"/>
        </w:tabs>
        <w:rPr>
          <w:sz w:val="20"/>
          <w:szCs w:val="20"/>
          <w:color w:val="auto"/>
        </w:rPr>
      </w:pPr>
      <w:r>
        <w:rPr>
          <w:rFonts w:ascii="Courier New" w:cs="Courier New" w:eastAsia="Courier New" w:hAnsi="Courier New"/>
          <w:sz w:val="16"/>
          <w:szCs w:val="16"/>
          <w:color w:val="auto"/>
        </w:rPr>
        <w:t>Title: Director</w:t>
      </w:r>
      <w:r>
        <w:rPr>
          <w:sz w:val="20"/>
          <w:szCs w:val="20"/>
          <w:color w:val="auto"/>
        </w:rPr>
        <w:tab/>
      </w:r>
      <w:r>
        <w:rPr>
          <w:rFonts w:ascii="Courier New" w:cs="Courier New" w:eastAsia="Courier New" w:hAnsi="Courier New"/>
          <w:sz w:val="14"/>
          <w:szCs w:val="14"/>
          <w:color w:val="auto"/>
        </w:rPr>
        <w:t>Vice President</w:t>
      </w:r>
    </w:p>
    <w:p>
      <w:pPr>
        <w:spacing w:after="0" w:line="149" w:lineRule="exact"/>
        <w:rPr>
          <w:sz w:val="20"/>
          <w:szCs w:val="20"/>
          <w:color w:val="auto"/>
        </w:rPr>
      </w:pPr>
    </w:p>
    <w:p>
      <w:pPr>
        <w:sectPr>
          <w:pgSz w:w="11900" w:h="16838" w:orient="portrait"/>
          <w:cols w:equalWidth="0" w:num="2">
            <w:col w:w="2880" w:space="0"/>
            <w:col w:w="7059"/>
          </w:cols>
          <w:pgMar w:left="520" w:top="269"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CITIBANK, N.A.</w:t>
      </w:r>
    </w:p>
    <w:p>
      <w:pPr>
        <w:sectPr>
          <w:pgSz w:w="11900" w:h="16838" w:orient="portrait"/>
          <w:cols w:equalWidth="0" w:num="1">
            <w:col w:w="9939"/>
          </w:cols>
          <w:pgMar w:left="520" w:top="269" w:right="1440"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 David L. Harris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Name: David L. Harris</w:t>
      </w:r>
    </w:p>
    <w:p>
      <w:pPr>
        <w:ind w:left="180"/>
        <w:spacing w:after="0"/>
        <w:rPr>
          <w:sz w:val="20"/>
          <w:szCs w:val="20"/>
          <w:color w:val="auto"/>
        </w:rPr>
      </w:pPr>
      <w:r>
        <w:rPr>
          <w:rFonts w:ascii="Courier New" w:cs="Courier New" w:eastAsia="Courier New" w:hAnsi="Courier New"/>
          <w:sz w:val="16"/>
          <w:szCs w:val="16"/>
          <w:color w:val="auto"/>
        </w:rPr>
        <w:t>Title: Vice President</w:t>
      </w:r>
    </w:p>
    <w:p>
      <w:pPr>
        <w:spacing w:after="0" w:line="149" w:lineRule="exact"/>
        <w:rPr>
          <w:sz w:val="20"/>
          <w:szCs w:val="20"/>
          <w:color w:val="auto"/>
        </w:rPr>
      </w:pPr>
    </w:p>
    <w:p>
      <w:pPr>
        <w:sectPr>
          <w:pgSz w:w="11900" w:h="16838" w:orient="portrait"/>
          <w:cols w:equalWidth="0" w:num="2">
            <w:col w:w="2880" w:space="0"/>
            <w:col w:w="7059"/>
          </w:cols>
          <w:pgMar w:left="520" w:top="269" w:right="1440" w:bottom="1440" w:gutter="0" w:footer="0" w:header="0"/>
          <w:type w:val="continuous"/>
        </w:sectPr>
      </w:pPr>
    </w:p>
    <w:p>
      <w:pPr>
        <w:ind w:left="2600"/>
        <w:spacing w:after="0"/>
        <w:rPr>
          <w:sz w:val="20"/>
          <w:szCs w:val="20"/>
          <w:color w:val="auto"/>
        </w:rPr>
      </w:pPr>
      <w:r>
        <w:rPr>
          <w:rFonts w:ascii="Courier New" w:cs="Courier New" w:eastAsia="Courier New" w:hAnsi="Courier New"/>
          <w:sz w:val="14"/>
          <w:szCs w:val="14"/>
          <w:color w:val="auto"/>
        </w:rPr>
        <w:t>ABN AMRO BANK N.V.</w:t>
      </w:r>
    </w:p>
    <w:p>
      <w:pPr>
        <w:sectPr>
          <w:pgSz w:w="11900" w:h="16838" w:orient="portrait"/>
          <w:cols w:equalWidth="0" w:num="1">
            <w:col w:w="9939"/>
          </w:cols>
          <w:pgMar w:left="520" w:top="269" w:right="1440" w:bottom="1440" w:gutter="0" w:footer="0" w:header="0"/>
          <w:type w:val="continuous"/>
        </w:sectPr>
      </w:pPr>
    </w:p>
    <w:p>
      <w:pPr>
        <w:spacing w:after="0" w:line="200" w:lineRule="exact"/>
        <w:rPr>
          <w:sz w:val="20"/>
          <w:szCs w:val="20"/>
          <w:color w:val="auto"/>
        </w:rPr>
      </w:pPr>
    </w:p>
    <w:p>
      <w:pPr>
        <w:spacing w:after="0" w:line="357"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 Judy C. Chiang</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ectPr>
          <w:pgSz w:w="11900" w:h="16838" w:orient="portrait"/>
          <w:cols w:equalWidth="0" w:num="2">
            <w:col w:w="2880" w:space="0"/>
            <w:col w:w="7059"/>
          </w:cols>
          <w:pgMar w:left="520" w:top="269" w:right="1440" w:bottom="1440" w:gutter="0" w:footer="0" w:header="0"/>
          <w:type w:val="continuous"/>
        </w:sectPr>
      </w:pPr>
    </w:p>
    <w:p>
      <w:pPr>
        <w:ind w:left="3060"/>
        <w:spacing w:after="0"/>
        <w:rPr>
          <w:sz w:val="20"/>
          <w:szCs w:val="20"/>
          <w:color w:val="auto"/>
        </w:rPr>
      </w:pPr>
      <w:r>
        <w:rPr>
          <w:rFonts w:ascii="Courier New" w:cs="Courier New" w:eastAsia="Courier New" w:hAnsi="Courier New"/>
          <w:sz w:val="16"/>
          <w:szCs w:val="16"/>
          <w:color w:val="auto"/>
        </w:rPr>
        <w:t>Name: Judy C. Chiang</w:t>
      </w:r>
    </w:p>
    <w:p>
      <w:pPr>
        <w:ind w:left="3060"/>
        <w:spacing w:after="0"/>
        <w:rPr>
          <w:sz w:val="20"/>
          <w:szCs w:val="20"/>
          <w:color w:val="auto"/>
        </w:rPr>
      </w:pPr>
      <w:r>
        <w:rPr>
          <w:rFonts w:ascii="Courier New" w:cs="Courier New" w:eastAsia="Courier New" w:hAnsi="Courier New"/>
          <w:sz w:val="16"/>
          <w:szCs w:val="16"/>
          <w:color w:val="auto"/>
        </w:rPr>
        <w:t>Title: Senior Vice President</w:t>
      </w:r>
    </w:p>
    <w:p>
      <w:pPr>
        <w:spacing w:after="0" w:line="200" w:lineRule="exact"/>
        <w:rPr>
          <w:sz w:val="20"/>
          <w:szCs w:val="20"/>
          <w:color w:val="auto"/>
        </w:rPr>
      </w:pPr>
    </w:p>
    <w:p>
      <w:pPr>
        <w:spacing w:after="0" w:line="306"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C. David Allman</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C. David Allman</w:t>
      </w:r>
    </w:p>
    <w:p>
      <w:pPr>
        <w:ind w:left="3060"/>
        <w:spacing w:after="0"/>
        <w:rPr>
          <w:sz w:val="20"/>
          <w:szCs w:val="20"/>
          <w:color w:val="auto"/>
        </w:rPr>
      </w:pPr>
      <w:r>
        <w:rPr>
          <w:rFonts w:ascii="Courier New" w:cs="Courier New" w:eastAsia="Courier New" w:hAnsi="Courier New"/>
          <w:sz w:val="16"/>
          <w:szCs w:val="16"/>
          <w:color w:val="auto"/>
        </w:rPr>
        <w:t>Title: Vice President</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BANK OF NOVA SCOTIA</w:t>
      </w:r>
    </w:p>
    <w:p>
      <w:pPr>
        <w:spacing w:after="0" w:line="200" w:lineRule="exact"/>
        <w:rPr>
          <w:sz w:val="20"/>
          <w:szCs w:val="20"/>
          <w:color w:val="auto"/>
        </w:rPr>
      </w:pPr>
    </w:p>
    <w:p>
      <w:pPr>
        <w:spacing w:after="0" w:line="33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N. Bell</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N. Bell</w:t>
      </w:r>
    </w:p>
    <w:p>
      <w:pPr>
        <w:ind w:left="3060"/>
        <w:spacing w:after="0"/>
        <w:rPr>
          <w:sz w:val="20"/>
          <w:szCs w:val="20"/>
          <w:color w:val="auto"/>
        </w:rPr>
      </w:pPr>
      <w:r>
        <w:rPr>
          <w:rFonts w:ascii="Courier New" w:cs="Courier New" w:eastAsia="Courier New" w:hAnsi="Courier New"/>
          <w:sz w:val="16"/>
          <w:szCs w:val="16"/>
          <w:color w:val="auto"/>
        </w:rPr>
        <w:t>Title: Assistant Agent</w:t>
      </w:r>
    </w:p>
    <w:p>
      <w:pPr>
        <w:sectPr>
          <w:pgSz w:w="11900" w:h="16838" w:orient="portrait"/>
          <w:cols w:equalWidth="0" w:num="1">
            <w:col w:w="9939"/>
          </w:cols>
          <w:pgMar w:left="520" w:top="269" w:right="1440" w:bottom="1440" w:gutter="0" w:footer="0" w:header="0"/>
          <w:type w:val="continuous"/>
        </w:sectPr>
      </w:pPr>
    </w:p>
    <w:bookmarkStart w:id="263" w:name="page264"/>
    <w:bookmarkEnd w:id="263"/>
    <w:p>
      <w:pPr>
        <w:spacing w:after="0"/>
        <w:rPr>
          <w:sz w:val="20"/>
          <w:szCs w:val="20"/>
          <w:color w:val="auto"/>
        </w:rPr>
      </w:pPr>
      <w:r>
        <w:rPr>
          <w:rFonts w:ascii="Courier New" w:cs="Courier New" w:eastAsia="Courier New" w:hAnsi="Courier New"/>
          <w:sz w:val="16"/>
          <w:szCs w:val="16"/>
          <w:color w:val="auto"/>
        </w:rPr>
        <w:t>87</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-81-</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BARCLAYS BANK PLC</w:t>
      </w:r>
    </w:p>
    <w:p>
      <w:pPr>
        <w:spacing w:after="0" w:line="200" w:lineRule="exact"/>
        <w:rPr>
          <w:sz w:val="20"/>
          <w:szCs w:val="20"/>
          <w:color w:val="auto"/>
        </w:rPr>
      </w:pPr>
    </w:p>
    <w:p>
      <w:pPr>
        <w:spacing w:after="0" w:line="33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L. Peter Yetman</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L. Peter Yetman</w:t>
      </w:r>
    </w:p>
    <w:p>
      <w:pPr>
        <w:ind w:left="3060"/>
        <w:spacing w:after="0"/>
        <w:rPr>
          <w:sz w:val="20"/>
          <w:szCs w:val="20"/>
          <w:color w:val="auto"/>
        </w:rPr>
      </w:pPr>
      <w:r>
        <w:rPr>
          <w:rFonts w:ascii="Courier New" w:cs="Courier New" w:eastAsia="Courier New" w:hAnsi="Courier New"/>
          <w:sz w:val="16"/>
          <w:szCs w:val="16"/>
          <w:color w:val="auto"/>
        </w:rPr>
        <w:t>Title: Director</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BNP PARIBAS</w:t>
      </w:r>
    </w:p>
    <w:p>
      <w:pPr>
        <w:spacing w:after="0" w:line="200" w:lineRule="exact"/>
        <w:rPr>
          <w:sz w:val="20"/>
          <w:szCs w:val="20"/>
          <w:color w:val="auto"/>
        </w:rPr>
      </w:pPr>
    </w:p>
    <w:p>
      <w:pPr>
        <w:spacing w:after="0" w:line="33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Mike Shryock</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Mike Shryock</w:t>
      </w:r>
    </w:p>
    <w:p>
      <w:pPr>
        <w:ind w:left="3060"/>
        <w:spacing w:after="0"/>
        <w:rPr>
          <w:sz w:val="20"/>
          <w:szCs w:val="20"/>
          <w:color w:val="auto"/>
        </w:rPr>
      </w:pPr>
      <w:r>
        <w:rPr>
          <w:rFonts w:ascii="Courier New" w:cs="Courier New" w:eastAsia="Courier New" w:hAnsi="Courier New"/>
          <w:sz w:val="16"/>
          <w:szCs w:val="16"/>
          <w:color w:val="auto"/>
        </w:rPr>
        <w:t>Title: Vice President</w:t>
      </w:r>
    </w:p>
    <w:p>
      <w:pPr>
        <w:spacing w:after="0" w:line="200" w:lineRule="exact"/>
        <w:rPr>
          <w:sz w:val="20"/>
          <w:szCs w:val="20"/>
          <w:color w:val="auto"/>
        </w:rPr>
      </w:pPr>
    </w:p>
    <w:p>
      <w:pPr>
        <w:spacing w:after="0" w:line="306"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Stacy</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John Stacy</w:t>
      </w:r>
    </w:p>
    <w:p>
      <w:pPr>
        <w:ind w:left="3060"/>
        <w:spacing w:after="0"/>
        <w:rPr>
          <w:sz w:val="20"/>
          <w:szCs w:val="20"/>
          <w:color w:val="auto"/>
        </w:rPr>
      </w:pPr>
      <w:r>
        <w:rPr>
          <w:rFonts w:ascii="Courier New" w:cs="Courier New" w:eastAsia="Courier New" w:hAnsi="Courier New"/>
          <w:sz w:val="16"/>
          <w:szCs w:val="16"/>
          <w:color w:val="auto"/>
        </w:rPr>
        <w:t>Title: Managing Director</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CREDIT LYONNAIS NEW YORK BRANCH</w:t>
      </w:r>
    </w:p>
    <w:p>
      <w:pPr>
        <w:spacing w:after="0" w:line="200" w:lineRule="exact"/>
        <w:rPr>
          <w:sz w:val="20"/>
          <w:szCs w:val="20"/>
          <w:color w:val="auto"/>
        </w:rPr>
      </w:pPr>
    </w:p>
    <w:p>
      <w:pPr>
        <w:spacing w:after="0" w:line="33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Atilla Koc</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Atilla Koc</w:t>
      </w:r>
    </w:p>
    <w:p>
      <w:pPr>
        <w:ind w:left="3060"/>
        <w:spacing w:after="0"/>
        <w:rPr>
          <w:sz w:val="20"/>
          <w:szCs w:val="20"/>
          <w:color w:val="auto"/>
        </w:rPr>
      </w:pPr>
      <w:r>
        <w:rPr>
          <w:rFonts w:ascii="Courier New" w:cs="Courier New" w:eastAsia="Courier New" w:hAnsi="Courier New"/>
          <w:sz w:val="16"/>
          <w:szCs w:val="16"/>
          <w:color w:val="auto"/>
        </w:rPr>
        <w:t>Title: Senior Vice President</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PNC BANK, NATIONAL ASSOCIATION</w:t>
      </w:r>
    </w:p>
    <w:p>
      <w:pPr>
        <w:spacing w:after="0" w:line="200" w:lineRule="exact"/>
        <w:rPr>
          <w:sz w:val="20"/>
          <w:szCs w:val="20"/>
          <w:color w:val="auto"/>
        </w:rPr>
      </w:pPr>
    </w:p>
    <w:p>
      <w:pPr>
        <w:spacing w:after="0" w:line="334"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Phillip K. Liebscher</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Phillip K. Liebscher</w:t>
      </w:r>
    </w:p>
    <w:p>
      <w:pPr>
        <w:ind w:left="3060"/>
        <w:spacing w:after="0"/>
        <w:rPr>
          <w:sz w:val="20"/>
          <w:szCs w:val="20"/>
          <w:color w:val="auto"/>
        </w:rPr>
      </w:pPr>
      <w:r>
        <w:rPr>
          <w:rFonts w:ascii="Courier New" w:cs="Courier New" w:eastAsia="Courier New" w:hAnsi="Courier New"/>
          <w:sz w:val="16"/>
          <w:szCs w:val="16"/>
          <w:color w:val="auto"/>
        </w:rPr>
        <w:t>Title: Managing Director</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ROYAL BANK OF CANADA</w:t>
      </w:r>
    </w:p>
    <w:p>
      <w:pPr>
        <w:spacing w:after="0" w:line="355"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Ritta Lee</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Ritta Lee</w:t>
      </w:r>
    </w:p>
    <w:p>
      <w:pPr>
        <w:ind w:left="3060"/>
        <w:spacing w:after="0"/>
        <w:rPr>
          <w:sz w:val="20"/>
          <w:szCs w:val="20"/>
          <w:color w:val="auto"/>
        </w:rPr>
      </w:pPr>
      <w:r>
        <w:rPr>
          <w:rFonts w:ascii="Courier New" w:cs="Courier New" w:eastAsia="Courier New" w:hAnsi="Courier New"/>
          <w:sz w:val="16"/>
          <w:szCs w:val="16"/>
          <w:color w:val="auto"/>
        </w:rPr>
        <w:t>Title: Senior Manager</w:t>
      </w:r>
    </w:p>
    <w:p>
      <w:pPr>
        <w:sectPr>
          <w:pgSz w:w="11900" w:h="16838" w:orient="portrait"/>
          <w:cols w:equalWidth="0" w:num="1">
            <w:col w:w="9939"/>
          </w:cols>
          <w:pgMar w:left="520" w:top="269" w:right="1440" w:bottom="1440" w:gutter="0" w:footer="0" w:header="0"/>
        </w:sectPr>
      </w:pPr>
    </w:p>
    <w:bookmarkStart w:id="264" w:name="page265"/>
    <w:bookmarkEnd w:id="264"/>
    <w:p>
      <w:pPr>
        <w:spacing w:after="0"/>
        <w:rPr>
          <w:sz w:val="20"/>
          <w:szCs w:val="20"/>
          <w:color w:val="auto"/>
        </w:rPr>
      </w:pPr>
      <w:r>
        <w:rPr>
          <w:rFonts w:ascii="Courier New" w:cs="Courier New" w:eastAsia="Courier New" w:hAnsi="Courier New"/>
          <w:sz w:val="16"/>
          <w:szCs w:val="16"/>
          <w:color w:val="auto"/>
        </w:rPr>
        <w:t>88</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-82-</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BANK ONE, N.A.</w:t>
      </w:r>
    </w:p>
    <w:p>
      <w:pPr>
        <w:spacing w:after="0" w:line="355"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J. Zollinger, IV</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John J. Zollinger</w:t>
      </w:r>
    </w:p>
    <w:p>
      <w:pPr>
        <w:ind w:left="3060"/>
        <w:spacing w:after="0"/>
        <w:rPr>
          <w:sz w:val="20"/>
          <w:szCs w:val="20"/>
          <w:color w:val="auto"/>
        </w:rPr>
      </w:pPr>
      <w:r>
        <w:rPr>
          <w:rFonts w:ascii="Courier New" w:cs="Courier New" w:eastAsia="Courier New" w:hAnsi="Courier New"/>
          <w:sz w:val="16"/>
          <w:szCs w:val="16"/>
          <w:color w:val="auto"/>
        </w:rPr>
        <w:t>Title: Associate Director</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WACHOVIA BANK, N.A.</w:t>
      </w:r>
    </w:p>
    <w:p>
      <w:pPr>
        <w:spacing w:after="0" w:line="355"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Bradford L. Watkins</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Bradford L. Watkins</w:t>
      </w:r>
    </w:p>
    <w:p>
      <w:pPr>
        <w:ind w:left="3060"/>
        <w:spacing w:after="0"/>
        <w:rPr>
          <w:sz w:val="20"/>
          <w:szCs w:val="20"/>
          <w:color w:val="auto"/>
        </w:rPr>
      </w:pPr>
      <w:r>
        <w:rPr>
          <w:rFonts w:ascii="Courier New" w:cs="Courier New" w:eastAsia="Courier New" w:hAnsi="Courier New"/>
          <w:sz w:val="16"/>
          <w:szCs w:val="16"/>
          <w:color w:val="auto"/>
        </w:rPr>
        <w:t>Title: Vice President</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TORONTO DOMINION (TEXAS), INC.</w:t>
      </w:r>
    </w:p>
    <w:p>
      <w:pPr>
        <w:spacing w:after="0" w:line="355"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Alva J. Jones</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Alva J. Jones</w:t>
      </w:r>
    </w:p>
    <w:p>
      <w:pPr>
        <w:ind w:left="3060"/>
        <w:spacing w:after="0"/>
        <w:rPr>
          <w:sz w:val="20"/>
          <w:szCs w:val="20"/>
          <w:color w:val="auto"/>
        </w:rPr>
      </w:pPr>
      <w:r>
        <w:rPr>
          <w:rFonts w:ascii="Courier New" w:cs="Courier New" w:eastAsia="Courier New" w:hAnsi="Courier New"/>
          <w:sz w:val="16"/>
          <w:szCs w:val="16"/>
          <w:color w:val="auto"/>
        </w:rPr>
        <w:t>Title: Vice President</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WESTDEUTSCHE LANDESBANK</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GIROZENTRALE, NEW YORK BRANCH</w:t>
      </w:r>
    </w:p>
    <w:p>
      <w:pPr>
        <w:spacing w:after="0" w:line="327"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Walter T. Duffy III</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Walter T. Duffy III</w:t>
      </w:r>
    </w:p>
    <w:p>
      <w:pPr>
        <w:ind w:left="3060"/>
        <w:spacing w:after="0"/>
        <w:rPr>
          <w:sz w:val="20"/>
          <w:szCs w:val="20"/>
          <w:color w:val="auto"/>
        </w:rPr>
      </w:pPr>
      <w:r>
        <w:rPr>
          <w:rFonts w:ascii="Courier New" w:cs="Courier New" w:eastAsia="Courier New" w:hAnsi="Courier New"/>
          <w:sz w:val="16"/>
          <w:szCs w:val="16"/>
          <w:color w:val="auto"/>
        </w:rPr>
        <w:t>Title: Associate Director</w:t>
      </w:r>
    </w:p>
    <w:p>
      <w:pPr>
        <w:spacing w:after="0" w:line="327"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Anthony Alessandro</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Name:Anthony Allesandro</w:t>
      </w:r>
    </w:p>
    <w:p>
      <w:pPr>
        <w:ind w:left="3060"/>
        <w:spacing w:after="0"/>
        <w:rPr>
          <w:sz w:val="20"/>
          <w:szCs w:val="20"/>
          <w:color w:val="auto"/>
        </w:rPr>
      </w:pPr>
      <w:r>
        <w:rPr>
          <w:rFonts w:ascii="Courier New" w:cs="Courier New" w:eastAsia="Courier New" w:hAnsi="Courier New"/>
          <w:sz w:val="16"/>
          <w:szCs w:val="16"/>
          <w:color w:val="auto"/>
        </w:rPr>
        <w:t>Title: Manager</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FUJI BANK, LIMITED</w:t>
      </w:r>
    </w:p>
    <w:p>
      <w:pPr>
        <w:spacing w:after="0" w:line="355" w:lineRule="exact"/>
        <w:rPr>
          <w:sz w:val="20"/>
          <w:szCs w:val="20"/>
          <w:color w:val="auto"/>
        </w:rPr>
      </w:pPr>
    </w:p>
    <w:p>
      <w:pPr>
        <w:ind w:left="2600"/>
        <w:spacing w:after="0"/>
        <w:tabs>
          <w:tab w:leader="none" w:pos="32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Raymond Ventura</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Raymond Ventura</w:t>
      </w:r>
    </w:p>
    <w:p>
      <w:pPr>
        <w:ind w:left="306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939"/>
          </w:cols>
          <w:pgMar w:left="520" w:top="269" w:right="1440" w:bottom="1440" w:gutter="0" w:footer="0" w:header="0"/>
        </w:sectPr>
      </w:pPr>
    </w:p>
    <w:bookmarkStart w:id="265" w:name="page266"/>
    <w:bookmarkEnd w:id="265"/>
    <w:p>
      <w:pPr>
        <w:spacing w:after="0"/>
        <w:rPr>
          <w:sz w:val="20"/>
          <w:szCs w:val="20"/>
          <w:color w:val="auto"/>
        </w:rPr>
      </w:pPr>
      <w:r>
        <w:rPr>
          <w:rFonts w:ascii="Courier New" w:cs="Courier New" w:eastAsia="Courier New" w:hAnsi="Courier New"/>
          <w:sz w:val="16"/>
          <w:szCs w:val="16"/>
          <w:color w:val="auto"/>
        </w:rPr>
        <w:t>89</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-83-</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INDUSTRIAL BANKS OF JAPAN, LIMITED</w:t>
      </w:r>
    </w:p>
    <w:p>
      <w:pPr>
        <w:spacing w:after="0" w:line="2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NEW YORK BRANCH</w:t>
      </w:r>
    </w:p>
    <w:p>
      <w:pPr>
        <w:spacing w:after="0" w:line="327" w:lineRule="exact"/>
        <w:rPr>
          <w:sz w:val="20"/>
          <w:szCs w:val="20"/>
          <w:color w:val="auto"/>
        </w:rPr>
      </w:pPr>
    </w:p>
    <w:p>
      <w:pPr>
        <w:ind w:left="2600"/>
        <w:spacing w:after="0"/>
        <w:tabs>
          <w:tab w:leader="none" w:pos="3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Michael N. Oakes</w:t>
      </w:r>
    </w:p>
    <w:p>
      <w:pPr>
        <w:spacing w:after="0" w:line="2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ind w:left="3060"/>
        <w:spacing w:after="0" w:line="236" w:lineRule="auto"/>
        <w:rPr>
          <w:sz w:val="20"/>
          <w:szCs w:val="20"/>
          <w:color w:val="auto"/>
        </w:rPr>
      </w:pPr>
      <w:r>
        <w:rPr>
          <w:rFonts w:ascii="Courier New" w:cs="Courier New" w:eastAsia="Courier New" w:hAnsi="Courier New"/>
          <w:sz w:val="16"/>
          <w:szCs w:val="16"/>
          <w:color w:val="auto"/>
        </w:rPr>
        <w:t>Name: Michael N. Oakes</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Title: Senior Vice President, Houston Office</w:t>
      </w:r>
    </w:p>
    <w:p>
      <w:pPr>
        <w:spacing w:after="0" w:line="350"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DAI-ICHI KANGYO BANK LTD., NY BRANCH</w:t>
      </w:r>
    </w:p>
    <w:p>
      <w:pPr>
        <w:spacing w:after="0" w:line="355" w:lineRule="exact"/>
        <w:rPr>
          <w:sz w:val="20"/>
          <w:szCs w:val="20"/>
          <w:color w:val="auto"/>
        </w:rPr>
      </w:pPr>
    </w:p>
    <w:p>
      <w:pPr>
        <w:ind w:left="2600"/>
        <w:spacing w:after="0"/>
        <w:tabs>
          <w:tab w:leader="none" w:pos="3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Robert P. Gallagher</w:t>
      </w:r>
    </w:p>
    <w:p>
      <w:pPr>
        <w:spacing w:after="0" w:line="2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ind w:left="3060"/>
        <w:spacing w:after="0" w:line="236" w:lineRule="auto"/>
        <w:rPr>
          <w:sz w:val="20"/>
          <w:szCs w:val="20"/>
          <w:color w:val="auto"/>
        </w:rPr>
      </w:pPr>
      <w:r>
        <w:rPr>
          <w:rFonts w:ascii="Courier New" w:cs="Courier New" w:eastAsia="Courier New" w:hAnsi="Courier New"/>
          <w:sz w:val="16"/>
          <w:szCs w:val="16"/>
          <w:color w:val="auto"/>
        </w:rPr>
        <w:t>Name: Robert P. Gallagher</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Vice President</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COMERICA BANK</w:t>
      </w:r>
    </w:p>
    <w:p>
      <w:pPr>
        <w:spacing w:after="0" w:line="355" w:lineRule="exact"/>
        <w:rPr>
          <w:sz w:val="20"/>
          <w:szCs w:val="20"/>
          <w:color w:val="auto"/>
        </w:rPr>
      </w:pPr>
    </w:p>
    <w:p>
      <w:pPr>
        <w:ind w:left="2600"/>
        <w:spacing w:after="0"/>
        <w:tabs>
          <w:tab w:leader="none" w:pos="3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Carol S. Geraghty</w:t>
      </w:r>
    </w:p>
    <w:p>
      <w:pPr>
        <w:spacing w:after="0" w:line="2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ind w:left="3060"/>
        <w:spacing w:after="0" w:line="236" w:lineRule="auto"/>
        <w:rPr>
          <w:sz w:val="20"/>
          <w:szCs w:val="20"/>
          <w:color w:val="auto"/>
        </w:rPr>
      </w:pPr>
      <w:r>
        <w:rPr>
          <w:rFonts w:ascii="Courier New" w:cs="Courier New" w:eastAsia="Courier New" w:hAnsi="Courier New"/>
          <w:sz w:val="16"/>
          <w:szCs w:val="16"/>
          <w:color w:val="auto"/>
        </w:rPr>
        <w:t>Name: Carol S. Geraghty</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Vice President</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BANK OF NEW YORK</w:t>
      </w:r>
    </w:p>
    <w:p>
      <w:pPr>
        <w:spacing w:after="0" w:line="355" w:lineRule="exact"/>
        <w:rPr>
          <w:sz w:val="20"/>
          <w:szCs w:val="20"/>
          <w:color w:val="auto"/>
        </w:rPr>
      </w:pPr>
    </w:p>
    <w:p>
      <w:pPr>
        <w:ind w:left="2600"/>
        <w:spacing w:after="0"/>
        <w:tabs>
          <w:tab w:leader="none" w:pos="3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David Sunderwith</w:t>
      </w:r>
    </w:p>
    <w:p>
      <w:pPr>
        <w:spacing w:after="0" w:line="23"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w:t>
      </w:r>
    </w:p>
    <w:p>
      <w:pPr>
        <w:ind w:left="3060"/>
        <w:spacing w:after="0" w:line="236" w:lineRule="auto"/>
        <w:rPr>
          <w:sz w:val="20"/>
          <w:szCs w:val="20"/>
          <w:color w:val="auto"/>
        </w:rPr>
      </w:pPr>
      <w:r>
        <w:rPr>
          <w:rFonts w:ascii="Courier New" w:cs="Courier New" w:eastAsia="Courier New" w:hAnsi="Courier New"/>
          <w:sz w:val="16"/>
          <w:szCs w:val="16"/>
          <w:color w:val="auto"/>
        </w:rPr>
        <w:t>Name: David Sunderwith</w:t>
      </w:r>
    </w:p>
    <w:p>
      <w:pPr>
        <w:spacing w:after="0" w:line="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Title: Vice President</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CREDIT SUISSE FIRST BOSTON</w:t>
      </w:r>
    </w:p>
    <w:p>
      <w:pPr>
        <w:spacing w:after="0" w:line="355" w:lineRule="exact"/>
        <w:rPr>
          <w:sz w:val="20"/>
          <w:szCs w:val="20"/>
          <w:color w:val="auto"/>
        </w:rPr>
      </w:pPr>
    </w:p>
    <w:p>
      <w:pPr>
        <w:ind w:left="2600"/>
        <w:spacing w:after="0"/>
        <w:tabs>
          <w:tab w:leader="none" w:pos="5280" w:val="left"/>
        </w:tabs>
        <w:rPr>
          <w:sz w:val="20"/>
          <w:szCs w:val="20"/>
          <w:color w:val="auto"/>
        </w:rPr>
      </w:pPr>
      <w:r>
        <w:rPr>
          <w:rFonts w:ascii="Courier New" w:cs="Courier New" w:eastAsia="Courier New" w:hAnsi="Courier New"/>
          <w:sz w:val="16"/>
          <w:szCs w:val="16"/>
          <w:color w:val="auto"/>
        </w:rPr>
        <w:t>By: /s/ Robert N. Finney</w:t>
      </w:r>
      <w:r>
        <w:rPr>
          <w:sz w:val="20"/>
          <w:szCs w:val="20"/>
          <w:color w:val="auto"/>
        </w:rPr>
        <w:tab/>
      </w:r>
      <w:r>
        <w:rPr>
          <w:rFonts w:ascii="Courier New" w:cs="Courier New" w:eastAsia="Courier New" w:hAnsi="Courier New"/>
          <w:sz w:val="14"/>
          <w:szCs w:val="14"/>
          <w:color w:val="auto"/>
        </w:rPr>
        <w:t>/s/ Mark Heron</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2880"/>
        <w:spacing w:after="0"/>
        <w:tabs>
          <w:tab w:leader="none" w:pos="5280" w:val="left"/>
        </w:tabs>
        <w:rPr>
          <w:sz w:val="20"/>
          <w:szCs w:val="20"/>
          <w:color w:val="auto"/>
        </w:rPr>
      </w:pPr>
      <w:r>
        <w:rPr>
          <w:rFonts w:ascii="Courier New" w:cs="Courier New" w:eastAsia="Courier New" w:hAnsi="Courier New"/>
          <w:sz w:val="16"/>
          <w:szCs w:val="16"/>
          <w:color w:val="auto"/>
        </w:rPr>
        <w:t>Name: Robert N. Finney</w:t>
      </w:r>
      <w:r>
        <w:rPr>
          <w:sz w:val="20"/>
          <w:szCs w:val="20"/>
          <w:color w:val="auto"/>
        </w:rPr>
        <w:tab/>
      </w:r>
      <w:r>
        <w:rPr>
          <w:rFonts w:ascii="Courier New" w:cs="Courier New" w:eastAsia="Courier New" w:hAnsi="Courier New"/>
          <w:sz w:val="14"/>
          <w:szCs w:val="14"/>
          <w:color w:val="auto"/>
        </w:rPr>
        <w:t>Mark Heron</w:t>
      </w:r>
    </w:p>
    <w:p>
      <w:pPr>
        <w:ind w:left="2880"/>
        <w:spacing w:after="0"/>
        <w:tabs>
          <w:tab w:leader="none" w:pos="5280" w:val="left"/>
        </w:tabs>
        <w:rPr>
          <w:sz w:val="20"/>
          <w:szCs w:val="20"/>
          <w:color w:val="auto"/>
        </w:rPr>
      </w:pPr>
      <w:r>
        <w:rPr>
          <w:rFonts w:ascii="Courier New" w:cs="Courier New" w:eastAsia="Courier New" w:hAnsi="Courier New"/>
          <w:sz w:val="16"/>
          <w:szCs w:val="16"/>
          <w:color w:val="auto"/>
        </w:rPr>
        <w:t>Title: Managing Director</w:t>
      </w:r>
      <w:r>
        <w:rPr>
          <w:sz w:val="20"/>
          <w:szCs w:val="20"/>
          <w:color w:val="auto"/>
        </w:rPr>
        <w:tab/>
      </w:r>
      <w:r>
        <w:rPr>
          <w:rFonts w:ascii="Courier New" w:cs="Courier New" w:eastAsia="Courier New" w:hAnsi="Courier New"/>
          <w:sz w:val="14"/>
          <w:szCs w:val="14"/>
          <w:color w:val="auto"/>
        </w:rPr>
        <w:t>Asst. Vice President</w:t>
      </w:r>
    </w:p>
    <w:p>
      <w:pPr>
        <w:sectPr>
          <w:pgSz w:w="11900" w:h="16838" w:orient="portrait"/>
          <w:cols w:equalWidth="0" w:num="1">
            <w:col w:w="9939"/>
          </w:cols>
          <w:pgMar w:left="520" w:top="269" w:right="1440" w:bottom="1440" w:gutter="0" w:footer="0" w:header="0"/>
        </w:sectPr>
      </w:pPr>
    </w:p>
    <w:bookmarkStart w:id="266" w:name="page267"/>
    <w:bookmarkEnd w:id="266"/>
    <w:p>
      <w:pPr>
        <w:spacing w:after="0"/>
        <w:rPr>
          <w:sz w:val="20"/>
          <w:szCs w:val="20"/>
          <w:color w:val="auto"/>
        </w:rPr>
      </w:pPr>
      <w:r>
        <w:rPr>
          <w:rFonts w:ascii="Courier New" w:cs="Courier New" w:eastAsia="Courier New" w:hAnsi="Courier New"/>
          <w:sz w:val="16"/>
          <w:szCs w:val="16"/>
          <w:color w:val="auto"/>
        </w:rPr>
        <w:t>90</w:t>
      </w:r>
    </w:p>
    <w:p>
      <w:pPr>
        <w:spacing w:after="0" w:line="26"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-84-</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LEHMAN COMMERCIAL PAPER INC.</w:t>
      </w:r>
    </w:p>
    <w:p>
      <w:pPr>
        <w:spacing w:after="0" w:line="200" w:lineRule="exact"/>
        <w:rPr>
          <w:sz w:val="20"/>
          <w:szCs w:val="20"/>
          <w:color w:val="auto"/>
        </w:rPr>
      </w:pPr>
    </w:p>
    <w:p>
      <w:pPr>
        <w:spacing w:after="0" w:line="334" w:lineRule="exact"/>
        <w:rPr>
          <w:sz w:val="20"/>
          <w:szCs w:val="20"/>
          <w:color w:val="auto"/>
        </w:rPr>
      </w:pPr>
    </w:p>
    <w:p>
      <w:pPr>
        <w:ind w:left="2600"/>
        <w:spacing w:after="0"/>
        <w:tabs>
          <w:tab w:leader="none" w:pos="3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Michael E. O'Brien</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Michael E. O'Brien</w:t>
      </w:r>
    </w:p>
    <w:p>
      <w:pPr>
        <w:ind w:left="3060"/>
        <w:spacing w:after="0"/>
        <w:rPr>
          <w:sz w:val="20"/>
          <w:szCs w:val="20"/>
          <w:color w:val="auto"/>
        </w:rPr>
      </w:pPr>
      <w:r>
        <w:rPr>
          <w:rFonts w:ascii="Courier New" w:cs="Courier New" w:eastAsia="Courier New" w:hAnsi="Courier New"/>
          <w:sz w:val="16"/>
          <w:szCs w:val="16"/>
          <w:color w:val="auto"/>
        </w:rPr>
        <w:t>Title: Authorized Signatory</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MELLON BANK, N.A.</w:t>
      </w:r>
    </w:p>
    <w:p>
      <w:pPr>
        <w:spacing w:after="0" w:line="355" w:lineRule="exact"/>
        <w:rPr>
          <w:sz w:val="20"/>
          <w:szCs w:val="20"/>
          <w:color w:val="auto"/>
        </w:rPr>
      </w:pPr>
    </w:p>
    <w:p>
      <w:pPr>
        <w:ind w:left="2600"/>
        <w:spacing w:after="0"/>
        <w:tabs>
          <w:tab w:leader="none" w:pos="3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Louis E. Flori</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Louis E. Flori</w:t>
      </w:r>
    </w:p>
    <w:p>
      <w:pPr>
        <w:ind w:left="3060"/>
        <w:spacing w:after="0"/>
        <w:rPr>
          <w:sz w:val="20"/>
          <w:szCs w:val="20"/>
          <w:color w:val="auto"/>
        </w:rPr>
      </w:pPr>
      <w:r>
        <w:rPr>
          <w:rFonts w:ascii="Courier New" w:cs="Courier New" w:eastAsia="Courier New" w:hAnsi="Courier New"/>
          <w:sz w:val="16"/>
          <w:szCs w:val="16"/>
          <w:color w:val="auto"/>
        </w:rPr>
        <w:t>Title: Vice President</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MERRILL LYNCH BANK USA</w:t>
      </w:r>
    </w:p>
    <w:p>
      <w:pPr>
        <w:spacing w:after="0" w:line="355" w:lineRule="exact"/>
        <w:rPr>
          <w:sz w:val="20"/>
          <w:szCs w:val="20"/>
          <w:color w:val="auto"/>
        </w:rPr>
      </w:pPr>
    </w:p>
    <w:p>
      <w:pPr>
        <w:ind w:left="2600"/>
        <w:spacing w:after="0"/>
        <w:tabs>
          <w:tab w:leader="none" w:pos="3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D. Kevin Imlay</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D. Kevin Imlay</w:t>
      </w:r>
    </w:p>
    <w:p>
      <w:pPr>
        <w:ind w:left="3060"/>
        <w:spacing w:after="0"/>
        <w:rPr>
          <w:sz w:val="20"/>
          <w:szCs w:val="20"/>
          <w:color w:val="auto"/>
        </w:rPr>
      </w:pPr>
      <w:r>
        <w:rPr>
          <w:rFonts w:ascii="Courier New" w:cs="Courier New" w:eastAsia="Courier New" w:hAnsi="Courier New"/>
          <w:sz w:val="16"/>
          <w:szCs w:val="16"/>
          <w:color w:val="auto"/>
        </w:rPr>
        <w:t>Title: Senior Lending Officer</w:t>
      </w:r>
    </w:p>
    <w:p>
      <w:pPr>
        <w:spacing w:after="0" w:line="327"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SUNTRUST BANK</w:t>
      </w:r>
    </w:p>
    <w:p>
      <w:pPr>
        <w:spacing w:after="0" w:line="355"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By: /s/ Frank A. Coe</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Name: Frank A. Coe</w:t>
      </w:r>
    </w:p>
    <w:p>
      <w:pPr>
        <w:ind w:left="2980"/>
        <w:spacing w:after="0"/>
        <w:rPr>
          <w:sz w:val="20"/>
          <w:szCs w:val="20"/>
          <w:color w:val="auto"/>
        </w:rPr>
      </w:pPr>
      <w:r>
        <w:rPr>
          <w:rFonts w:ascii="Courier New" w:cs="Courier New" w:eastAsia="Courier New" w:hAnsi="Courier New"/>
          <w:sz w:val="16"/>
          <w:szCs w:val="16"/>
          <w:color w:val="auto"/>
        </w:rPr>
        <w:t>Title: Vice President</w:t>
      </w:r>
    </w:p>
    <w:p>
      <w:pPr>
        <w:spacing w:after="0" w:line="149"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THE MITSUBISHI TRUST AND BANKING CORPORATION</w:t>
      </w:r>
    </w:p>
    <w:p>
      <w:pPr>
        <w:spacing w:after="0" w:line="355" w:lineRule="exact"/>
        <w:rPr>
          <w:sz w:val="20"/>
          <w:szCs w:val="20"/>
          <w:color w:val="auto"/>
        </w:rPr>
      </w:pPr>
    </w:p>
    <w:p>
      <w:pPr>
        <w:ind w:left="2600"/>
        <w:spacing w:after="0"/>
        <w:tabs>
          <w:tab w:leader="none" w:pos="30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4"/>
          <w:szCs w:val="14"/>
          <w:color w:val="auto"/>
        </w:rPr>
        <w:t>/s/ Toshihiro Hayashi</w:t>
      </w:r>
    </w:p>
    <w:p>
      <w:pPr>
        <w:spacing w:after="0" w:line="26"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Name: Toshihiro Hayashi</w:t>
      </w:r>
    </w:p>
    <w:p>
      <w:pPr>
        <w:ind w:left="3060"/>
        <w:spacing w:after="0"/>
        <w:rPr>
          <w:sz w:val="20"/>
          <w:szCs w:val="20"/>
          <w:color w:val="auto"/>
        </w:rPr>
      </w:pPr>
      <w:r>
        <w:rPr>
          <w:rFonts w:ascii="Courier New" w:cs="Courier New" w:eastAsia="Courier New" w:hAnsi="Courier New"/>
          <w:sz w:val="16"/>
          <w:szCs w:val="16"/>
          <w:color w:val="auto"/>
        </w:rPr>
        <w:t>Title: Senior Vice President</w:t>
      </w:r>
    </w:p>
    <w:p>
      <w:pPr>
        <w:sectPr>
          <w:pgSz w:w="11900" w:h="16838" w:orient="portrait"/>
          <w:cols w:equalWidth="0" w:num="1">
            <w:col w:w="9939"/>
          </w:cols>
          <w:pgMar w:left="520" w:top="269" w:right="1440" w:bottom="1440" w:gutter="0" w:footer="0" w:header="0"/>
        </w:sectPr>
      </w:pPr>
    </w:p>
    <w:bookmarkStart w:id="267" w:name="page268"/>
    <w:bookmarkEnd w:id="267"/>
    <w:p>
      <w:pPr>
        <w:ind w:left="280"/>
        <w:spacing w:after="0"/>
        <w:rPr>
          <w:sz w:val="20"/>
          <w:szCs w:val="20"/>
          <w:color w:val="auto"/>
        </w:rPr>
      </w:pPr>
      <w:r>
        <w:rPr>
          <w:rFonts w:ascii="Courier New" w:cs="Courier New" w:eastAsia="Courier New" w:hAnsi="Courier New"/>
          <w:sz w:val="16"/>
          <w:szCs w:val="16"/>
          <w:color w:val="auto"/>
        </w:rPr>
        <w:t>91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-85-</w:t>
      </w:r>
    </w:p>
    <w:p>
      <w:pPr>
        <w:spacing w:after="0" w:line="32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A</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FORM OF</w:t>
      </w:r>
    </w:p>
    <w:p>
      <w:pPr>
        <w:spacing w:after="0" w:line="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SYNDICATED NOTE</w:t>
      </w:r>
    </w:p>
    <w:p>
      <w:pPr>
        <w:spacing w:after="0" w:line="149"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6"/>
          <w:szCs w:val="16"/>
          <w:color w:val="auto"/>
        </w:rPr>
        <w:t>$________________</w:t>
      </w:r>
      <w:r>
        <w:rPr>
          <w:sz w:val="20"/>
          <w:szCs w:val="20"/>
          <w:color w:val="auto"/>
        </w:rPr>
        <w:tab/>
      </w:r>
      <w:r>
        <w:rPr>
          <w:rFonts w:ascii="Courier New" w:cs="Courier New" w:eastAsia="Courier New" w:hAnsi="Courier New"/>
          <w:sz w:val="14"/>
          <w:szCs w:val="14"/>
          <w:color w:val="auto"/>
        </w:rPr>
        <w:t>as of June 29, 2001</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FOR VALUE RECEIVED, the undersigned, WASTE MANAGEMENT, INC., a Delaware corporation (the "Borrower"), hereby absolutely and unconditionally promises to pay to the order of [INSERT NAME OF PAYEE BANK] (the "Bank") at the loan office of Fleet National Bank, as Administrative Agent for the Banks, at 100 Federal Street, Boston, Massachusetts 02110:</w:t>
      </w:r>
    </w:p>
    <w:p>
      <w:pPr>
        <w:spacing w:after="0" w:line="80" w:lineRule="exact"/>
        <w:rPr>
          <w:sz w:val="20"/>
          <w:szCs w:val="20"/>
          <w:color w:val="auto"/>
        </w:rPr>
      </w:pPr>
    </w:p>
    <w:p>
      <w:pPr>
        <w:ind w:right="2879" w:firstLine="833"/>
        <w:spacing w:after="0" w:line="290" w:lineRule="auto"/>
        <w:tabs>
          <w:tab w:leader="none" w:pos="1209"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Revolving Credit Maturity Date as defined in the 364-Day Loan Agreement, dated as of June 29, 2001 (as amended, modified, supplemented, restated and in effect from time to time, the "Loan Agreement"), by and among the Borrower, the Guarantor, the Bank, the Administrative Agent, and such other banks or financial institutions that are or may become parties to the Loan Agreement from time to time in accordance with the provisions thereof, the principal amount of ___________________ DOLLARS ($_________) or, if less, the then outstanding aggregate unpaid principal amount of Syndicated Loans made by the Bank to the Borrower pursuant to the Loan Agreement; and</w:t>
      </w:r>
    </w:p>
    <w:p>
      <w:pPr>
        <w:spacing w:after="0" w:line="64" w:lineRule="exact"/>
        <w:rPr>
          <w:rFonts w:ascii="Courier New" w:cs="Courier New" w:eastAsia="Courier New" w:hAnsi="Courier New"/>
          <w:sz w:val="14"/>
          <w:szCs w:val="14"/>
          <w:color w:val="auto"/>
        </w:rPr>
      </w:pPr>
    </w:p>
    <w:p>
      <w:pPr>
        <w:ind w:right="2879" w:firstLine="833"/>
        <w:spacing w:after="0" w:line="263" w:lineRule="auto"/>
        <w:tabs>
          <w:tab w:leader="none" w:pos="1209"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the principal balance hereof from time to time outstanding from the date hereof through and including the date on which such principal amount is paid in full, at the times and at the rates provided in the Loan Agreement, subject however to the provisions of Section 6.9 of the Loan Agreement.</w:t>
      </w:r>
    </w:p>
    <w:p>
      <w:pPr>
        <w:spacing w:after="0" w:line="80" w:lineRule="exact"/>
        <w:rPr>
          <w:sz w:val="20"/>
          <w:szCs w:val="20"/>
          <w:color w:val="auto"/>
        </w:rPr>
      </w:pPr>
    </w:p>
    <w:p>
      <w:pPr>
        <w:ind w:right="2779" w:firstLine="837"/>
        <w:spacing w:after="0" w:line="290" w:lineRule="auto"/>
        <w:rPr>
          <w:sz w:val="20"/>
          <w:szCs w:val="20"/>
          <w:color w:val="auto"/>
        </w:rPr>
      </w:pPr>
      <w:r>
        <w:rPr>
          <w:rFonts w:ascii="Courier New" w:cs="Courier New" w:eastAsia="Courier New" w:hAnsi="Courier New"/>
          <w:sz w:val="14"/>
          <w:szCs w:val="14"/>
          <w:color w:val="auto"/>
        </w:rPr>
        <w:t>This Syndicated Note evidences borrowings under, is subject to the terms and conditions of, and has been issued by the Borrower in accordance with, the Loan Agreement and is one of the Syndicated Notes referred to therein. The Bank and any holder hereof are entitled to the benefits of the Loan Agreement and may enforce the agreements of the Borrower contained therein, and any holder hereof may exercise the respective remedies provided for thereby or otherwise available in respect thereof, all in accordance with the respective terms thereof. All capitalized terms used in this Syndicated Note and not otherwise defined herein shall have the same meanings herein as in the Loan Agreement.</w:t>
      </w:r>
    </w:p>
    <w:p>
      <w:pPr>
        <w:spacing w:after="0" w:line="64" w:lineRule="exact"/>
        <w:rPr>
          <w:sz w:val="20"/>
          <w:szCs w:val="20"/>
          <w:color w:val="auto"/>
        </w:rPr>
      </w:pPr>
    </w:p>
    <w:p>
      <w:pPr>
        <w:ind w:right="3059" w:firstLine="837"/>
        <w:spacing w:after="0" w:line="296" w:lineRule="auto"/>
        <w:rPr>
          <w:sz w:val="20"/>
          <w:szCs w:val="20"/>
          <w:color w:val="auto"/>
        </w:rPr>
      </w:pPr>
      <w:r>
        <w:rPr>
          <w:rFonts w:ascii="Courier New" w:cs="Courier New" w:eastAsia="Courier New" w:hAnsi="Courier New"/>
          <w:sz w:val="14"/>
          <w:szCs w:val="14"/>
          <w:color w:val="auto"/>
        </w:rPr>
        <w:t>The Bank shall endorse, and is hereby irrevocably authorized by the Borrower to endorse, on the schedule attached to this Syndicated Note or a continuation of such schedule attached hereto and made a part hereof, an appropriate notation evidencing advances and repayments of principal of this Syndicated Note, provided that failure by the Bank to make any such notations shall not affect any of the Borrower's obligations or the validity of any repayments made by the Borrower in respect of this Syndicated Note.</w:t>
      </w:r>
    </w:p>
    <w:p>
      <w:pPr>
        <w:sectPr>
          <w:pgSz w:w="11900" w:h="16838" w:orient="portrait"/>
          <w:cols w:equalWidth="0" w:num="1">
            <w:col w:w="10219"/>
          </w:cols>
          <w:pgMar w:left="240" w:top="269" w:right="1440" w:bottom="1440" w:gutter="0" w:footer="0" w:header="0"/>
        </w:sectPr>
      </w:pPr>
    </w:p>
    <w:bookmarkStart w:id="268" w:name="page269"/>
    <w:bookmarkEnd w:id="268"/>
    <w:p>
      <w:pPr>
        <w:ind w:left="280"/>
        <w:spacing w:after="0"/>
        <w:rPr>
          <w:sz w:val="20"/>
          <w:szCs w:val="20"/>
          <w:color w:val="auto"/>
        </w:rPr>
      </w:pPr>
      <w:r>
        <w:rPr>
          <w:rFonts w:ascii="Courier New" w:cs="Courier New" w:eastAsia="Courier New" w:hAnsi="Courier New"/>
          <w:sz w:val="16"/>
          <w:szCs w:val="16"/>
          <w:color w:val="auto"/>
        </w:rPr>
        <w:t>92</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-86-</w:t>
      </w:r>
    </w:p>
    <w:p>
      <w:pPr>
        <w:spacing w:after="0" w:line="327"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The Borrower has the right in certain circumstances and the obligation in certain other circumstances to prepay the whole or part of the principal of this Syndicated Note on the terms and conditions specified in the Loan Agreement.</w:t>
      </w:r>
    </w:p>
    <w:p>
      <w:pPr>
        <w:spacing w:after="0" w:line="73"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If any one or more Events of Default shall occur, the entire unpaid principal amount of this Syndicated Note and all of the unpaid interest accrued thereon may become or be declared due and payable in the manner and with the effect provided in the Loan Agreement.</w:t>
      </w:r>
    </w:p>
    <w:p>
      <w:pPr>
        <w:spacing w:after="0" w:line="73"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The Borrower and every endorser of this Syndicated Note or the obligation represented hereby waive presentment, demand, notice, protest, notice of intent to accelerate, notice of acceleration and all other demands and notices in connection with the delivery, acceptance, performance, default or enforcement of this Syndicated Note, assent to any extension or postponement of the time of payment or any other indulgence, to any substitution, exchange or release of collateral and to the addition or release of any other party or person primarily or secondarily liable.</w:t>
      </w:r>
    </w:p>
    <w:p>
      <w:pPr>
        <w:spacing w:after="0" w:line="94" w:lineRule="exact"/>
        <w:rPr>
          <w:sz w:val="20"/>
          <w:szCs w:val="20"/>
          <w:color w:val="auto"/>
        </w:rPr>
      </w:pPr>
    </w:p>
    <w:p>
      <w:pPr>
        <w:jc w:val="both"/>
        <w:ind w:right="2959" w:firstLine="837"/>
        <w:spacing w:after="0" w:line="272" w:lineRule="auto"/>
        <w:rPr>
          <w:sz w:val="20"/>
          <w:szCs w:val="20"/>
          <w:color w:val="auto"/>
        </w:rPr>
      </w:pPr>
      <w:r>
        <w:rPr>
          <w:rFonts w:ascii="Courier New" w:cs="Courier New" w:eastAsia="Courier New" w:hAnsi="Courier New"/>
          <w:sz w:val="16"/>
          <w:szCs w:val="16"/>
          <w:color w:val="auto"/>
        </w:rPr>
        <w:t>This Syndicated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73" w:lineRule="exact"/>
        <w:rPr>
          <w:sz w:val="20"/>
          <w:szCs w:val="20"/>
          <w:color w:val="auto"/>
        </w:rPr>
      </w:pPr>
    </w:p>
    <w:p>
      <w:pPr>
        <w:jc w:val="both"/>
        <w:ind w:right="2779" w:firstLine="837"/>
        <w:spacing w:after="0" w:line="289" w:lineRule="auto"/>
        <w:rPr>
          <w:sz w:val="20"/>
          <w:szCs w:val="20"/>
          <w:color w:val="auto"/>
        </w:rPr>
      </w:pPr>
      <w:r>
        <w:rPr>
          <w:rFonts w:ascii="Courier New" w:cs="Courier New" w:eastAsia="Courier New" w:hAnsi="Courier New"/>
          <w:sz w:val="16"/>
          <w:szCs w:val="16"/>
          <w:color w:val="auto"/>
        </w:rPr>
        <w:t>IN WITNESS WHEREOF, the Borrower has caused this Syndicated Note to be signed on its behalf by its duly authorized officer as of the day and year first above written.</w:t>
      </w:r>
    </w:p>
    <w:p>
      <w:pPr>
        <w:spacing w:after="0" w:line="6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69" w:right="1440" w:bottom="1440" w:gutter="0" w:footer="0" w:header="0"/>
        </w:sectPr>
      </w:pPr>
    </w:p>
    <w:bookmarkStart w:id="269" w:name="page270"/>
    <w:bookmarkEnd w:id="269"/>
    <w:p>
      <w:pPr>
        <w:ind w:left="280"/>
        <w:spacing w:after="0"/>
        <w:rPr>
          <w:sz w:val="20"/>
          <w:szCs w:val="20"/>
          <w:color w:val="auto"/>
        </w:rPr>
      </w:pPr>
      <w:r>
        <w:rPr>
          <w:rFonts w:ascii="Courier New" w:cs="Courier New" w:eastAsia="Courier New" w:hAnsi="Courier New"/>
          <w:sz w:val="16"/>
          <w:szCs w:val="16"/>
          <w:color w:val="auto"/>
        </w:rPr>
        <w:t>93</w:t>
      </w:r>
    </w:p>
    <w:p>
      <w:pPr>
        <w:spacing w:after="0" w:line="177"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-87-</w:t>
      </w:r>
    </w:p>
    <w:p>
      <w:pPr>
        <w:spacing w:after="0" w:line="35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Amount</w:t>
      </w:r>
    </w:p>
    <w:p>
      <w:pPr>
        <w:spacing w:after="0" w:line="2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of</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Balance</w:t>
      </w:r>
    </w:p>
    <w:p>
      <w:pPr>
        <w:jc w:val="center"/>
        <w:ind w:right="9379"/>
        <w:spacing w:after="0" w:line="236" w:lineRule="auto"/>
        <w:rPr>
          <w:sz w:val="20"/>
          <w:szCs w:val="20"/>
          <w:color w:val="auto"/>
        </w:rPr>
      </w:pPr>
      <w:r>
        <w:rPr>
          <w:rFonts w:ascii="Courier New" w:cs="Courier New" w:eastAsia="Courier New" w:hAnsi="Courier New"/>
          <w:sz w:val="16"/>
          <w:szCs w:val="16"/>
          <w:color w:val="auto"/>
        </w:rPr>
        <w:t>of</w:t>
      </w:r>
    </w:p>
    <w:p>
      <w:pPr>
        <w:jc w:val="center"/>
        <w:ind w:right="9379"/>
        <w:spacing w:after="0" w:line="237" w:lineRule="auto"/>
        <w:rPr>
          <w:sz w:val="20"/>
          <w:szCs w:val="20"/>
          <w:color w:val="auto"/>
        </w:rPr>
      </w:pPr>
      <w:r>
        <w:rPr>
          <w:rFonts w:ascii="Courier New" w:cs="Courier New" w:eastAsia="Courier New" w:hAnsi="Courier New"/>
          <w:sz w:val="16"/>
          <w:szCs w:val="16"/>
          <w:color w:val="auto"/>
        </w:rPr>
        <w:t>Amount</w:t>
      </w:r>
    </w:p>
    <w:p>
      <w:pPr>
        <w:jc w:val="center"/>
        <w:ind w:right="9379"/>
        <w:spacing w:after="0" w:line="237" w:lineRule="auto"/>
        <w:rPr>
          <w:sz w:val="20"/>
          <w:szCs w:val="20"/>
          <w:color w:val="auto"/>
        </w:rPr>
      </w:pPr>
      <w:r>
        <w:rPr>
          <w:rFonts w:ascii="Courier New" w:cs="Courier New" w:eastAsia="Courier New" w:hAnsi="Courier New"/>
          <w:sz w:val="16"/>
          <w:szCs w:val="16"/>
          <w:color w:val="auto"/>
        </w:rPr>
        <w:t>of 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or</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Notation</w:t>
      </w:r>
    </w:p>
    <w:p>
      <w:pPr>
        <w:jc w:val="center"/>
        <w:ind w:right="9399"/>
        <w:spacing w:after="0" w:line="236" w:lineRule="auto"/>
        <w:rPr>
          <w:sz w:val="20"/>
          <w:szCs w:val="20"/>
          <w:color w:val="auto"/>
        </w:rPr>
      </w:pPr>
      <w:r>
        <w:rPr>
          <w:rFonts w:ascii="Courier New" w:cs="Courier New" w:eastAsia="Courier New" w:hAnsi="Courier New"/>
          <w:sz w:val="16"/>
          <w:szCs w:val="16"/>
          <w:color w:val="auto"/>
        </w:rPr>
        <w:t>Date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99"/>
        <w:spacing w:after="0" w:line="237" w:lineRule="auto"/>
        <w:rPr>
          <w:sz w:val="20"/>
          <w:szCs w:val="20"/>
          <w:color w:val="auto"/>
        </w:rPr>
      </w:pPr>
      <w:r>
        <w:rPr>
          <w:rFonts w:ascii="Courier New" w:cs="Courier New" w:eastAsia="Courier New" w:hAnsi="Courier New"/>
          <w:sz w:val="16"/>
          <w:szCs w:val="16"/>
          <w:color w:val="auto"/>
        </w:rPr>
        <w:t>Type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79"/>
        <w:spacing w:after="0" w:line="237" w:lineRule="auto"/>
        <w:rPr>
          <w:sz w:val="20"/>
          <w:szCs w:val="20"/>
          <w:color w:val="auto"/>
        </w:rPr>
      </w:pPr>
      <w:r>
        <w:rPr>
          <w:rFonts w:ascii="Courier New" w:cs="Courier New" w:eastAsia="Courier New" w:hAnsi="Courier New"/>
          <w:sz w:val="16"/>
          <w:szCs w:val="16"/>
          <w:color w:val="auto"/>
        </w:rPr>
        <w:t>Prepaid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Unpaid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Made By</w:t>
      </w:r>
    </w:p>
    <w:p>
      <w:pPr>
        <w:ind w:left="220" w:hanging="179"/>
        <w:spacing w:after="0" w:line="237" w:lineRule="auto"/>
        <w:tabs>
          <w:tab w:leader="none" w:pos="22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0" w:hanging="553"/>
        <w:spacing w:after="0" w:line="236" w:lineRule="auto"/>
        <w:tabs>
          <w:tab w:leader="none" w:pos="640"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0" w:hanging="553"/>
        <w:spacing w:after="0" w:line="236" w:lineRule="auto"/>
        <w:tabs>
          <w:tab w:leader="none" w:pos="640" w:val="left"/>
        </w:tabs>
        <w:numPr>
          <w:ilvl w:val="1"/>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69" w:right="1440" w:bottom="0" w:gutter="0" w:footer="0" w:header="0"/>
        </w:sectPr>
      </w:pPr>
    </w:p>
    <w:bookmarkStart w:id="270" w:name="page271"/>
    <w:bookmarkEnd w:id="270"/>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271" w:name="page272"/>
    <w:bookmarkEnd w:id="271"/>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ectPr>
          <w:pgSz w:w="11900" w:h="16838" w:orient="portrait"/>
          <w:cols w:equalWidth="0" w:num="1">
            <w:col w:w="10179"/>
          </w:cols>
          <w:pgMar w:left="280" w:top="114" w:right="1440" w:bottom="1440" w:gutter="0" w:footer="0" w:header="0"/>
        </w:sectPr>
      </w:pPr>
    </w:p>
    <w:bookmarkStart w:id="272" w:name="page273"/>
    <w:bookmarkEnd w:id="272"/>
    <w:p>
      <w:pPr>
        <w:ind w:left="280"/>
        <w:spacing w:after="0"/>
        <w:rPr>
          <w:sz w:val="20"/>
          <w:szCs w:val="20"/>
          <w:color w:val="auto"/>
        </w:rPr>
      </w:pPr>
      <w:r>
        <w:rPr>
          <w:rFonts w:ascii="Courier New" w:cs="Courier New" w:eastAsia="Courier New" w:hAnsi="Courier New"/>
          <w:sz w:val="16"/>
          <w:szCs w:val="16"/>
          <w:color w:val="auto"/>
        </w:rPr>
        <w:t>94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B</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FORM OF</w:t>
      </w:r>
    </w:p>
    <w:p>
      <w:pPr>
        <w:spacing w:after="0" w:line="26"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SWING LINE NOTE</w:t>
      </w:r>
    </w:p>
    <w:p>
      <w:pPr>
        <w:spacing w:after="0" w:line="149"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6"/>
          <w:szCs w:val="16"/>
          <w:color w:val="auto"/>
        </w:rPr>
        <w:t>$10,000,000</w:t>
      </w:r>
      <w:r>
        <w:rPr>
          <w:sz w:val="20"/>
          <w:szCs w:val="20"/>
          <w:color w:val="auto"/>
        </w:rPr>
        <w:tab/>
      </w:r>
      <w:r>
        <w:rPr>
          <w:rFonts w:ascii="Courier New" w:cs="Courier New" w:eastAsia="Courier New" w:hAnsi="Courier New"/>
          <w:sz w:val="14"/>
          <w:szCs w:val="14"/>
          <w:color w:val="auto"/>
        </w:rPr>
        <w:t>as of June 29, 2001</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FOR VALUE RECEIVED, the undersigned, WASTE MANAGEMENT, INC., a Delaware corporation (the "Borrower"), hereby absolutely and unconditionally promises to pay to the order of FLEET NATIONAL BANK (the "Bank") at the loan office of Fleet National Bank, as Administrative Agent for the Banks, at 100 Federal Street, Boston, Massachusetts 02110:</w:t>
      </w:r>
    </w:p>
    <w:p>
      <w:pPr>
        <w:spacing w:after="0" w:line="80" w:lineRule="exact"/>
        <w:rPr>
          <w:sz w:val="20"/>
          <w:szCs w:val="20"/>
          <w:color w:val="auto"/>
        </w:rPr>
      </w:pPr>
    </w:p>
    <w:p>
      <w:pPr>
        <w:ind w:right="2879" w:firstLine="833"/>
        <w:spacing w:after="0" w:line="290" w:lineRule="auto"/>
        <w:tabs>
          <w:tab w:leader="none" w:pos="1209"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Revolving Credit Maturity Date, as defined in the 364-Day Loan Agreement, dated as of June 29, 2001 (as amended, modified, supplemented, restated and in effect from time to time, the "Loan Agreement"), by and among the Borrower, the Guarantor, the Bank, the Administrative Agent, and such other banks or financial institutions that are or may become parties to the Loan Agreement from time to time in accordance with the provisions thereof, the principal amount of TEN MILLION DOLLARS ($10,000,000) or, if less, the then outstanding aggregate unpaid principal amount of Swing Line Loans made by the Bank to the Borrower pursuant to the Loan Agreement; and</w:t>
      </w:r>
    </w:p>
    <w:p>
      <w:pPr>
        <w:spacing w:after="0" w:line="255" w:lineRule="exact"/>
        <w:rPr>
          <w:rFonts w:ascii="Courier New" w:cs="Courier New" w:eastAsia="Courier New" w:hAnsi="Courier New"/>
          <w:sz w:val="14"/>
          <w:szCs w:val="14"/>
          <w:color w:val="auto"/>
        </w:rPr>
      </w:pPr>
    </w:p>
    <w:p>
      <w:pPr>
        <w:ind w:right="2879" w:firstLine="833"/>
        <w:spacing w:after="0" w:line="263" w:lineRule="auto"/>
        <w:tabs>
          <w:tab w:leader="none" w:pos="1209"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the principal balance hereof from time to time outstanding from the date hereof through and including the date on which such principal amount is paid in full, at the times and at the rates provided in the Loan Agreement, subject however to the provisions of Section 6.9 of the Loan Agreement.</w:t>
      </w:r>
    </w:p>
    <w:p>
      <w:pPr>
        <w:spacing w:after="0" w:line="80" w:lineRule="exact"/>
        <w:rPr>
          <w:sz w:val="20"/>
          <w:szCs w:val="20"/>
          <w:color w:val="auto"/>
        </w:rPr>
      </w:pPr>
    </w:p>
    <w:p>
      <w:pPr>
        <w:ind w:right="2779" w:firstLine="837"/>
        <w:spacing w:after="0" w:line="290" w:lineRule="auto"/>
        <w:rPr>
          <w:sz w:val="20"/>
          <w:szCs w:val="20"/>
          <w:color w:val="auto"/>
        </w:rPr>
      </w:pPr>
      <w:r>
        <w:rPr>
          <w:rFonts w:ascii="Courier New" w:cs="Courier New" w:eastAsia="Courier New" w:hAnsi="Courier New"/>
          <w:sz w:val="14"/>
          <w:szCs w:val="14"/>
          <w:color w:val="auto"/>
        </w:rPr>
        <w:t>This Swing Line Note evidences borrowings under, is subject to the terms and conditions of, and has been issued by the Borrower in accordance with the Loan Agreement and is the Swing Line Note referred to therein. The Bank and any holder hereof are entitled to the benefits of the Loan Agreement and may enforce the agreements of the Borrower contained therein, and any holder hereof may exercise the respective remedies provided for thereby or otherwise available in respect thereof, all in accordance with the respective terms thereof. All capitalized terms used in this Swing Line Note and not otherwise defined herein shall have the same meanings herein as in the Loan Agreement.</w:t>
      </w:r>
    </w:p>
    <w:p>
      <w:pPr>
        <w:spacing w:after="0" w:line="256" w:lineRule="exact"/>
        <w:rPr>
          <w:sz w:val="20"/>
          <w:szCs w:val="20"/>
          <w:color w:val="auto"/>
        </w:rPr>
      </w:pPr>
    </w:p>
    <w:p>
      <w:pPr>
        <w:ind w:right="3059" w:firstLine="837"/>
        <w:spacing w:after="0" w:line="296" w:lineRule="auto"/>
        <w:rPr>
          <w:sz w:val="20"/>
          <w:szCs w:val="20"/>
          <w:color w:val="auto"/>
        </w:rPr>
      </w:pPr>
      <w:r>
        <w:rPr>
          <w:rFonts w:ascii="Courier New" w:cs="Courier New" w:eastAsia="Courier New" w:hAnsi="Courier New"/>
          <w:sz w:val="14"/>
          <w:szCs w:val="14"/>
          <w:color w:val="auto"/>
        </w:rPr>
        <w:t>The Bank shall endorse, and is hereby irrevocably authorized by the Borrower to endorse, on the schedule attached to this Swing Line Note or a continuation of such schedule attached hereto and made a part hereof, an appropriate notation evidencing advances and repayments of principal of this Swing Line Note, provided that failure by the Bank to make any such notations shall not affect any of the Borrower's obligations or the validity of any repayments made by the Borrower in respect of this Swing Line Note.</w:t>
      </w:r>
    </w:p>
    <w:p>
      <w:pPr>
        <w:sectPr>
          <w:pgSz w:w="11900" w:h="16838" w:orient="portrait"/>
          <w:cols w:equalWidth="0" w:num="1">
            <w:col w:w="10219"/>
          </w:cols>
          <w:pgMar w:left="240" w:top="269" w:right="1440" w:bottom="1440" w:gutter="0" w:footer="0" w:header="0"/>
        </w:sectPr>
      </w:pPr>
    </w:p>
    <w:bookmarkStart w:id="273" w:name="page274"/>
    <w:bookmarkEnd w:id="273"/>
    <w:p>
      <w:pPr>
        <w:ind w:left="280"/>
        <w:spacing w:after="0"/>
        <w:rPr>
          <w:sz w:val="20"/>
          <w:szCs w:val="20"/>
          <w:color w:val="auto"/>
        </w:rPr>
      </w:pPr>
      <w:r>
        <w:rPr>
          <w:rFonts w:ascii="Courier New" w:cs="Courier New" w:eastAsia="Courier New" w:hAnsi="Courier New"/>
          <w:sz w:val="16"/>
          <w:szCs w:val="16"/>
          <w:color w:val="auto"/>
        </w:rPr>
        <w:t>95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The Borrower has the right in certain circumstances and the obligation in certain other circumstances to prepay the whole or part of the principal of this Swing Line Note on the terms and conditions specified in the Loan Agreement.</w:t>
      </w:r>
    </w:p>
    <w:p>
      <w:pPr>
        <w:spacing w:after="0" w:line="73" w:lineRule="exact"/>
        <w:rPr>
          <w:sz w:val="20"/>
          <w:szCs w:val="20"/>
          <w:color w:val="auto"/>
        </w:rPr>
      </w:pPr>
    </w:p>
    <w:p>
      <w:pPr>
        <w:ind w:right="2879" w:firstLine="837"/>
        <w:spacing w:after="0" w:line="272" w:lineRule="auto"/>
        <w:rPr>
          <w:sz w:val="20"/>
          <w:szCs w:val="20"/>
          <w:color w:val="auto"/>
        </w:rPr>
      </w:pPr>
      <w:r>
        <w:rPr>
          <w:rFonts w:ascii="Courier New" w:cs="Courier New" w:eastAsia="Courier New" w:hAnsi="Courier New"/>
          <w:sz w:val="16"/>
          <w:szCs w:val="16"/>
          <w:color w:val="auto"/>
        </w:rPr>
        <w:t>If any one or more Events of Default shall occur, the entire unpaid principal amount of this Swing Line Note and all of the unpaid interest accrued thereon may become or be declared due and payable in the manner and with the effect provided in the Loan Agreement.</w:t>
      </w:r>
    </w:p>
    <w:p>
      <w:pPr>
        <w:spacing w:after="0" w:line="73"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The Borrower and every endorser of this Swing Line Note or the obligation represented hereby waive presentment, demand, notice, protest, notice of intent to accelerate, notice of acceleration and all other demands and notices in connection with the delivery, acceptance, performance, default or enforcement of this Swing Line Note, assent to any extension or postponement of the time of payment or any other indulgence, to any substitution, exchange or release of collateral and to the addition or release of any other party or person primarily or secondarily liable.</w:t>
      </w:r>
    </w:p>
    <w:p>
      <w:pPr>
        <w:spacing w:after="0" w:line="94" w:lineRule="exact"/>
        <w:rPr>
          <w:sz w:val="20"/>
          <w:szCs w:val="20"/>
          <w:color w:val="auto"/>
        </w:rPr>
      </w:pPr>
    </w:p>
    <w:p>
      <w:pPr>
        <w:jc w:val="both"/>
        <w:ind w:right="2959" w:firstLine="837"/>
        <w:spacing w:after="0" w:line="272" w:lineRule="auto"/>
        <w:rPr>
          <w:sz w:val="20"/>
          <w:szCs w:val="20"/>
          <w:color w:val="auto"/>
        </w:rPr>
      </w:pPr>
      <w:r>
        <w:rPr>
          <w:rFonts w:ascii="Courier New" w:cs="Courier New" w:eastAsia="Courier New" w:hAnsi="Courier New"/>
          <w:sz w:val="16"/>
          <w:szCs w:val="16"/>
          <w:color w:val="auto"/>
        </w:rPr>
        <w:t>This Swing Line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73" w:lineRule="exact"/>
        <w:rPr>
          <w:sz w:val="20"/>
          <w:szCs w:val="20"/>
          <w:color w:val="auto"/>
        </w:rPr>
      </w:pPr>
    </w:p>
    <w:p>
      <w:pPr>
        <w:jc w:val="both"/>
        <w:ind w:right="2779" w:firstLine="837"/>
        <w:spacing w:after="0" w:line="289" w:lineRule="auto"/>
        <w:rPr>
          <w:sz w:val="20"/>
          <w:szCs w:val="20"/>
          <w:color w:val="auto"/>
        </w:rPr>
      </w:pPr>
      <w:r>
        <w:rPr>
          <w:rFonts w:ascii="Courier New" w:cs="Courier New" w:eastAsia="Courier New" w:hAnsi="Courier New"/>
          <w:sz w:val="16"/>
          <w:szCs w:val="16"/>
          <w:color w:val="auto"/>
        </w:rPr>
        <w:t>IN WITNESS WHEREOF, the Borrower has caused this Swing Line Note to be signed on its behalf by its duly authorized officer as of the day and year first above written.</w:t>
      </w:r>
    </w:p>
    <w:p>
      <w:pPr>
        <w:spacing w:after="0" w:line="6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69" w:right="1440" w:bottom="1440" w:gutter="0" w:footer="0" w:header="0"/>
        </w:sectPr>
      </w:pPr>
    </w:p>
    <w:bookmarkStart w:id="274" w:name="page275"/>
    <w:bookmarkEnd w:id="274"/>
    <w:p>
      <w:pPr>
        <w:ind w:left="280"/>
        <w:spacing w:after="0"/>
        <w:rPr>
          <w:sz w:val="20"/>
          <w:szCs w:val="20"/>
          <w:color w:val="auto"/>
        </w:rPr>
      </w:pPr>
      <w:r>
        <w:rPr>
          <w:rFonts w:ascii="Courier New" w:cs="Courier New" w:eastAsia="Courier New" w:hAnsi="Courier New"/>
          <w:sz w:val="16"/>
          <w:szCs w:val="16"/>
          <w:color w:val="auto"/>
        </w:rPr>
        <w:t>96</w:t>
      </w:r>
    </w:p>
    <w:p>
      <w:pPr>
        <w:spacing w:after="0" w:line="177"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6"/>
          <w:szCs w:val="16"/>
          <w:color w:val="auto"/>
        </w:rPr>
        <w:t>-3-</w:t>
      </w:r>
    </w:p>
    <w:p>
      <w:pPr>
        <w:spacing w:after="0" w:line="355"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Amount</w:t>
      </w:r>
    </w:p>
    <w:p>
      <w:pPr>
        <w:spacing w:after="0" w:line="2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of</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Balance</w:t>
      </w:r>
    </w:p>
    <w:p>
      <w:pPr>
        <w:jc w:val="center"/>
        <w:ind w:right="9379"/>
        <w:spacing w:after="0" w:line="236" w:lineRule="auto"/>
        <w:rPr>
          <w:sz w:val="20"/>
          <w:szCs w:val="20"/>
          <w:color w:val="auto"/>
        </w:rPr>
      </w:pPr>
      <w:r>
        <w:rPr>
          <w:rFonts w:ascii="Courier New" w:cs="Courier New" w:eastAsia="Courier New" w:hAnsi="Courier New"/>
          <w:sz w:val="16"/>
          <w:szCs w:val="16"/>
          <w:color w:val="auto"/>
        </w:rPr>
        <w:t>of</w:t>
      </w:r>
    </w:p>
    <w:p>
      <w:pPr>
        <w:jc w:val="center"/>
        <w:ind w:right="9379"/>
        <w:spacing w:after="0" w:line="237" w:lineRule="auto"/>
        <w:rPr>
          <w:sz w:val="20"/>
          <w:szCs w:val="20"/>
          <w:color w:val="auto"/>
        </w:rPr>
      </w:pPr>
      <w:r>
        <w:rPr>
          <w:rFonts w:ascii="Courier New" w:cs="Courier New" w:eastAsia="Courier New" w:hAnsi="Courier New"/>
          <w:sz w:val="16"/>
          <w:szCs w:val="16"/>
          <w:color w:val="auto"/>
        </w:rPr>
        <w:t>Amount</w:t>
      </w:r>
    </w:p>
    <w:p>
      <w:pPr>
        <w:jc w:val="center"/>
        <w:ind w:right="9379"/>
        <w:spacing w:after="0" w:line="237" w:lineRule="auto"/>
        <w:rPr>
          <w:sz w:val="20"/>
          <w:szCs w:val="20"/>
          <w:color w:val="auto"/>
        </w:rPr>
      </w:pPr>
      <w:r>
        <w:rPr>
          <w:rFonts w:ascii="Courier New" w:cs="Courier New" w:eastAsia="Courier New" w:hAnsi="Courier New"/>
          <w:sz w:val="16"/>
          <w:szCs w:val="16"/>
          <w:color w:val="auto"/>
        </w:rPr>
        <w:t>of 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or</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Notation</w:t>
      </w:r>
    </w:p>
    <w:p>
      <w:pPr>
        <w:jc w:val="center"/>
        <w:ind w:right="9399"/>
        <w:spacing w:after="0" w:line="236" w:lineRule="auto"/>
        <w:rPr>
          <w:sz w:val="20"/>
          <w:szCs w:val="20"/>
          <w:color w:val="auto"/>
        </w:rPr>
      </w:pPr>
      <w:r>
        <w:rPr>
          <w:rFonts w:ascii="Courier New" w:cs="Courier New" w:eastAsia="Courier New" w:hAnsi="Courier New"/>
          <w:sz w:val="16"/>
          <w:szCs w:val="16"/>
          <w:color w:val="auto"/>
        </w:rPr>
        <w:t>Date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79"/>
        <w:spacing w:after="0" w:line="237" w:lineRule="auto"/>
        <w:rPr>
          <w:sz w:val="20"/>
          <w:szCs w:val="20"/>
          <w:color w:val="auto"/>
        </w:rPr>
      </w:pPr>
      <w:r>
        <w:rPr>
          <w:rFonts w:ascii="Courier New" w:cs="Courier New" w:eastAsia="Courier New" w:hAnsi="Courier New"/>
          <w:sz w:val="16"/>
          <w:szCs w:val="16"/>
          <w:color w:val="auto"/>
        </w:rPr>
        <w:t>Prepaid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Unpaid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Made By</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500" w:hanging="459"/>
        <w:spacing w:after="0" w:line="237" w:lineRule="auto"/>
        <w:tabs>
          <w:tab w:leader="none" w:pos="5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0" w:hanging="459"/>
        <w:spacing w:after="0" w:line="236" w:lineRule="auto"/>
        <w:tabs>
          <w:tab w:leader="none" w:pos="500" w:val="left"/>
        </w:tabs>
        <w:numPr>
          <w:ilvl w:val="0"/>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69" w:right="1440" w:bottom="0" w:gutter="0" w:footer="0" w:header="0"/>
        </w:sectPr>
      </w:pPr>
    </w:p>
    <w:bookmarkStart w:id="275" w:name="page276"/>
    <w:bookmarkEnd w:id="275"/>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60" w:hanging="459"/>
        <w:spacing w:after="0"/>
        <w:tabs>
          <w:tab w:leader="none" w:pos="4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276" w:name="page277"/>
    <w:bookmarkEnd w:id="276"/>
    <w:p>
      <w:pPr>
        <w:ind w:left="280" w:hanging="279"/>
        <w:spacing w:after="0"/>
        <w:tabs>
          <w:tab w:leader="none" w:pos="2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179"/>
          </w:cols>
          <w:pgMar w:left="280" w:top="114" w:right="1440" w:bottom="0" w:gutter="0" w:footer="0" w:header="0"/>
        </w:sectPr>
      </w:pPr>
    </w:p>
    <w:bookmarkStart w:id="277" w:name="page278"/>
    <w:bookmarkEnd w:id="277"/>
    <w:p>
      <w:pPr>
        <w:spacing w:after="0"/>
        <w:rPr>
          <w:sz w:val="20"/>
          <w:szCs w:val="20"/>
          <w:color w:val="auto"/>
        </w:rPr>
      </w:pPr>
      <w:r>
        <w:rPr>
          <w:rFonts w:ascii="Courier New" w:cs="Courier New" w:eastAsia="Courier New" w:hAnsi="Courier New"/>
          <w:sz w:val="14"/>
          <w:szCs w:val="14"/>
          <w:color w:val="auto"/>
        </w:rPr>
        <w:t>--------</w:t>
      </w:r>
    </w:p>
    <w:p>
      <w:pPr>
        <w:spacing w:after="0" w:line="4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0" w:hanging="279"/>
        <w:spacing w:after="0"/>
        <w:tabs>
          <w:tab w:leader="none" w:pos="2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1440" w:gutter="0" w:footer="0" w:header="0"/>
        </w:sectPr>
      </w:pPr>
    </w:p>
    <w:bookmarkStart w:id="278" w:name="page279"/>
    <w:bookmarkEnd w:id="278"/>
    <w:p>
      <w:pPr>
        <w:ind w:left="280"/>
        <w:spacing w:after="0"/>
        <w:rPr>
          <w:sz w:val="20"/>
          <w:szCs w:val="20"/>
          <w:color w:val="auto"/>
        </w:rPr>
      </w:pPr>
      <w:r>
        <w:rPr>
          <w:rFonts w:ascii="Courier New" w:cs="Courier New" w:eastAsia="Courier New" w:hAnsi="Courier New"/>
          <w:sz w:val="16"/>
          <w:szCs w:val="16"/>
          <w:color w:val="auto"/>
        </w:rPr>
        <w:t>97</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C</w:t>
      </w:r>
    </w:p>
    <w:p>
      <w:pPr>
        <w:spacing w:after="0" w:line="17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FORM OF</w:t>
      </w:r>
    </w:p>
    <w:p>
      <w:pPr>
        <w:spacing w:after="0" w:line="2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COMPETITIVE BID NOTE</w:t>
      </w:r>
    </w:p>
    <w:p>
      <w:pPr>
        <w:spacing w:after="0" w:line="149" w:lineRule="exact"/>
        <w:rPr>
          <w:sz w:val="20"/>
          <w:szCs w:val="20"/>
          <w:color w:val="auto"/>
        </w:rPr>
      </w:pPr>
    </w:p>
    <w:p>
      <w:pPr>
        <w:spacing w:after="0"/>
        <w:tabs>
          <w:tab w:leader="none" w:pos="5640" w:val="left"/>
        </w:tabs>
        <w:rPr>
          <w:sz w:val="20"/>
          <w:szCs w:val="20"/>
          <w:color w:val="auto"/>
        </w:rPr>
      </w:pPr>
      <w:r>
        <w:rPr>
          <w:rFonts w:ascii="Courier New" w:cs="Courier New" w:eastAsia="Courier New" w:hAnsi="Courier New"/>
          <w:sz w:val="16"/>
          <w:szCs w:val="16"/>
          <w:color w:val="auto"/>
        </w:rPr>
        <w:t>$750,000,000</w:t>
      </w:r>
      <w:r>
        <w:rPr>
          <w:sz w:val="20"/>
          <w:szCs w:val="20"/>
          <w:color w:val="auto"/>
        </w:rPr>
        <w:tab/>
      </w:r>
      <w:r>
        <w:rPr>
          <w:rFonts w:ascii="Courier New" w:cs="Courier New" w:eastAsia="Courier New" w:hAnsi="Courier New"/>
          <w:sz w:val="14"/>
          <w:szCs w:val="14"/>
          <w:color w:val="auto"/>
        </w:rPr>
        <w:t>as of June 29, 2001</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FOR VALUE RECEIVED, the undersigned, WASTE MANAGEMENT, INC., a Delaware corporation (the "Borrower"), hereby absolutely and unconditionally promises to pay to the order of [INSERT NAME OF PAYEE BANK] (the "Bank") at the loan office of Fleet National Bank, as Administrative Agent for the Banks, at 100 Federal Street, Boston, Massachusetts 02110:</w:t>
      </w:r>
    </w:p>
    <w:p>
      <w:pPr>
        <w:spacing w:after="0" w:line="80" w:lineRule="exact"/>
        <w:rPr>
          <w:sz w:val="20"/>
          <w:szCs w:val="20"/>
          <w:color w:val="auto"/>
        </w:rPr>
      </w:pPr>
    </w:p>
    <w:p>
      <w:pPr>
        <w:ind w:right="2779" w:firstLine="833"/>
        <w:spacing w:after="0" w:line="248" w:lineRule="auto"/>
        <w:tabs>
          <w:tab w:leader="none" w:pos="1209"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last date of the relevant Interest Period(s), and on the Revolving Credit Maturity Date as defined in the 364-Day Loan Agreement, dated as of June 29, 2001 (as amended, modified, supplemented, restated and in effect from time to time, the "Loan Agreement"), by and among the Borrower, the Guarantor, the Bank, the Administrative Agent, and such other banks or financial institutions that are or may become parties to the Loan Agreement from time to time in accordance with the provisions thereof, the principal amount of SEVEN HUNDRED FIFTY MILLION DOLLARS ($750,000,000) or, if less, the aggregate unpaid principal amount of Competitive Bid Loans made by the Bank to the Borrower pursuant to the Loan Agreement; and</w:t>
      </w:r>
    </w:p>
    <w:p>
      <w:pPr>
        <w:spacing w:after="0" w:line="94" w:lineRule="exact"/>
        <w:rPr>
          <w:rFonts w:ascii="Courier New" w:cs="Courier New" w:eastAsia="Courier New" w:hAnsi="Courier New"/>
          <w:sz w:val="16"/>
          <w:szCs w:val="16"/>
          <w:color w:val="auto"/>
        </w:rPr>
      </w:pPr>
    </w:p>
    <w:p>
      <w:pPr>
        <w:ind w:right="2879" w:firstLine="833"/>
        <w:spacing w:after="0" w:line="263" w:lineRule="auto"/>
        <w:tabs>
          <w:tab w:leader="none" w:pos="1209"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on the principal balance hereof from time to time outstanding from the date hereof through and including the date on which such principal amount is paid in full, at the times and at the rates provided in the Loan Agreement, subject however to the provisions of Section 6.9 of the Loan Agreement.</w:t>
      </w:r>
    </w:p>
    <w:p>
      <w:pPr>
        <w:spacing w:after="0" w:line="80"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This Competitive Bid Note evidences borrowings under, is subject to the terms and conditions of, and has been issued by the Borrower in accordance with the terms of the Loan Agreement and is one of the Competitive Bid Notes referred to therein. The Bank and any holder hereof are entitled to the benefits of the Loan Agreement and may enforce the agreements of the Borrower contained therein, and any holder hereof may exercise the respective remedies provided for thereby or otherwise available in respect thereof, all in accordance with the respective terms thereof. All capitalized terms used in this Competitive Bid Note and not otherwise defined herein shall have the same meanings herein as in the Loan Agreement.</w:t>
      </w:r>
    </w:p>
    <w:p>
      <w:pPr>
        <w:spacing w:after="0" w:line="95" w:lineRule="exact"/>
        <w:rPr>
          <w:sz w:val="20"/>
          <w:szCs w:val="20"/>
          <w:color w:val="auto"/>
        </w:rPr>
      </w:pPr>
    </w:p>
    <w:p>
      <w:pPr>
        <w:ind w:right="2879" w:firstLine="837"/>
        <w:spacing w:after="0" w:line="309" w:lineRule="auto"/>
        <w:rPr>
          <w:sz w:val="20"/>
          <w:szCs w:val="20"/>
          <w:color w:val="auto"/>
        </w:rPr>
      </w:pPr>
      <w:r>
        <w:rPr>
          <w:rFonts w:ascii="Courier New" w:cs="Courier New" w:eastAsia="Courier New" w:hAnsi="Courier New"/>
          <w:sz w:val="14"/>
          <w:szCs w:val="14"/>
          <w:color w:val="auto"/>
        </w:rPr>
        <w:t>The Bank shall endorse, and is hereby irrevocably authorized by the Borrower to endorse, on the schedule attached to this Competitive Bid Note or a continuation of such schedule attached hereto and made a part hereof, an appropriate notation evidencing advances and repayments of principal of this Competitive Bid Note, provided that failure by the Bank to make any such</w:t>
      </w:r>
    </w:p>
    <w:p>
      <w:pPr>
        <w:sectPr>
          <w:pgSz w:w="11900" w:h="16838" w:orient="portrait"/>
          <w:cols w:equalWidth="0" w:num="1">
            <w:col w:w="10219"/>
          </w:cols>
          <w:pgMar w:left="240" w:top="269" w:right="1440" w:bottom="1440" w:gutter="0" w:footer="0" w:header="0"/>
        </w:sectPr>
      </w:pPr>
    </w:p>
    <w:bookmarkStart w:id="279" w:name="page280"/>
    <w:bookmarkEnd w:id="279"/>
    <w:p>
      <w:pPr>
        <w:ind w:left="280"/>
        <w:spacing w:after="0"/>
        <w:rPr>
          <w:sz w:val="20"/>
          <w:szCs w:val="20"/>
          <w:color w:val="auto"/>
        </w:rPr>
      </w:pPr>
      <w:r>
        <w:rPr>
          <w:rFonts w:ascii="Courier New" w:cs="Courier New" w:eastAsia="Courier New" w:hAnsi="Courier New"/>
          <w:sz w:val="16"/>
          <w:szCs w:val="16"/>
          <w:color w:val="auto"/>
        </w:rPr>
        <w:t>98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right="2879"/>
        <w:spacing w:after="0" w:line="406" w:lineRule="auto"/>
        <w:rPr>
          <w:sz w:val="20"/>
          <w:szCs w:val="20"/>
          <w:color w:val="auto"/>
        </w:rPr>
      </w:pPr>
      <w:r>
        <w:rPr>
          <w:rFonts w:ascii="Courier New" w:cs="Courier New" w:eastAsia="Courier New" w:hAnsi="Courier New"/>
          <w:sz w:val="14"/>
          <w:szCs w:val="14"/>
          <w:color w:val="auto"/>
        </w:rPr>
        <w:t>notations shall not affect any of the Borrower's obligations or the validity of any repayments made by the Borrower in respect of this Competitive Bid Note.</w:t>
      </w:r>
    </w:p>
    <w:p>
      <w:pPr>
        <w:ind w:right="2879" w:firstLine="837"/>
        <w:spacing w:after="0" w:line="289" w:lineRule="auto"/>
        <w:rPr>
          <w:sz w:val="20"/>
          <w:szCs w:val="20"/>
          <w:color w:val="auto"/>
        </w:rPr>
      </w:pPr>
      <w:r>
        <w:rPr>
          <w:rFonts w:ascii="Courier New" w:cs="Courier New" w:eastAsia="Courier New" w:hAnsi="Courier New"/>
          <w:sz w:val="16"/>
          <w:szCs w:val="16"/>
          <w:color w:val="auto"/>
        </w:rPr>
        <w:t>The Borrower has the obligation in certain circumstances to prepay the whole or part of the principal of this Competitive Bid Note on the terms and conditions specified in the Loan Agreement.</w:t>
      </w:r>
    </w:p>
    <w:p>
      <w:pPr>
        <w:spacing w:after="0" w:line="61"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If any one or more Events of Default shall occur, the entire unpaid principal amount of this Competitive Bid Note and all of the unpaid interest accrued thereon may become or be declared due and payable in the manner and with the effect provided in the Loan Agreement.</w:t>
      </w:r>
    </w:p>
    <w:p>
      <w:pPr>
        <w:spacing w:after="0" w:line="73"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The Borrower and every endorser of this Competitive Bid Note or the obligation represented hereby waive presentment, demand, notice, protest, notice of intent to accelerate, notice of acceleration and all other demands and notices in connection with the delivery, acceptance, performance, default or enforcement of this Competitive Bid Note, assent to any extension or postponement of the time of payment or any other indulgence, to any substitution, exchange or release of collateral and to the addition or release of any other party or person primarily or secondarily liable.</w:t>
      </w:r>
    </w:p>
    <w:p>
      <w:pPr>
        <w:spacing w:after="0" w:line="94"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This Competitive Bid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73"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IN WITNESS WHEREOF, the Borrower has caused this Competitive Bid Note to be signed on its behalf by its duly authorized officer as of the day and year first above written.</w:t>
      </w:r>
    </w:p>
    <w:p>
      <w:pPr>
        <w:spacing w:after="0" w:line="6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69" w:right="1440" w:bottom="1440" w:gutter="0" w:footer="0" w:header="0"/>
        </w:sectPr>
      </w:pPr>
    </w:p>
    <w:bookmarkStart w:id="280" w:name="page281"/>
    <w:bookmarkEnd w:id="280"/>
    <w:p>
      <w:pPr>
        <w:ind w:left="280"/>
        <w:spacing w:after="0"/>
        <w:rPr>
          <w:sz w:val="20"/>
          <w:szCs w:val="20"/>
          <w:color w:val="auto"/>
        </w:rPr>
      </w:pPr>
      <w:r>
        <w:rPr>
          <w:rFonts w:ascii="Courier New" w:cs="Courier New" w:eastAsia="Courier New" w:hAnsi="Courier New"/>
          <w:sz w:val="16"/>
          <w:szCs w:val="16"/>
          <w:color w:val="auto"/>
        </w:rPr>
        <w:t>99</w:t>
      </w:r>
    </w:p>
    <w:p>
      <w:pPr>
        <w:spacing w:after="0" w:line="26"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0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Amount</w:t>
      </w:r>
    </w:p>
    <w:p>
      <w:pPr>
        <w:spacing w:after="0" w:line="2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of</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Balance</w:t>
      </w:r>
    </w:p>
    <w:p>
      <w:pPr>
        <w:jc w:val="center"/>
        <w:ind w:right="9379"/>
        <w:spacing w:after="0" w:line="236" w:lineRule="auto"/>
        <w:rPr>
          <w:sz w:val="20"/>
          <w:szCs w:val="20"/>
          <w:color w:val="auto"/>
        </w:rPr>
      </w:pPr>
      <w:r>
        <w:rPr>
          <w:rFonts w:ascii="Courier New" w:cs="Courier New" w:eastAsia="Courier New" w:hAnsi="Courier New"/>
          <w:sz w:val="16"/>
          <w:szCs w:val="16"/>
          <w:color w:val="auto"/>
        </w:rPr>
        <w:t>of</w:t>
      </w:r>
    </w:p>
    <w:p>
      <w:pPr>
        <w:jc w:val="center"/>
        <w:ind w:right="9379"/>
        <w:spacing w:after="0" w:line="237" w:lineRule="auto"/>
        <w:rPr>
          <w:sz w:val="20"/>
          <w:szCs w:val="20"/>
          <w:color w:val="auto"/>
        </w:rPr>
      </w:pPr>
      <w:r>
        <w:rPr>
          <w:rFonts w:ascii="Courier New" w:cs="Courier New" w:eastAsia="Courier New" w:hAnsi="Courier New"/>
          <w:sz w:val="16"/>
          <w:szCs w:val="16"/>
          <w:color w:val="auto"/>
        </w:rPr>
        <w:t>Amount</w:t>
      </w:r>
    </w:p>
    <w:p>
      <w:pPr>
        <w:jc w:val="center"/>
        <w:ind w:right="9379"/>
        <w:spacing w:after="0" w:line="237" w:lineRule="auto"/>
        <w:rPr>
          <w:sz w:val="20"/>
          <w:szCs w:val="20"/>
          <w:color w:val="auto"/>
        </w:rPr>
      </w:pPr>
      <w:r>
        <w:rPr>
          <w:rFonts w:ascii="Courier New" w:cs="Courier New" w:eastAsia="Courier New" w:hAnsi="Courier New"/>
          <w:sz w:val="16"/>
          <w:szCs w:val="16"/>
          <w:color w:val="auto"/>
        </w:rPr>
        <w:t>of 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or</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Notation</w:t>
      </w:r>
    </w:p>
    <w:p>
      <w:pPr>
        <w:jc w:val="center"/>
        <w:ind w:right="9399"/>
        <w:spacing w:after="0" w:line="236" w:lineRule="auto"/>
        <w:rPr>
          <w:sz w:val="20"/>
          <w:szCs w:val="20"/>
          <w:color w:val="auto"/>
        </w:rPr>
      </w:pPr>
      <w:r>
        <w:rPr>
          <w:rFonts w:ascii="Courier New" w:cs="Courier New" w:eastAsia="Courier New" w:hAnsi="Courier New"/>
          <w:sz w:val="16"/>
          <w:szCs w:val="16"/>
          <w:color w:val="auto"/>
        </w:rPr>
        <w:t>Date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99"/>
        <w:spacing w:after="0" w:line="237" w:lineRule="auto"/>
        <w:rPr>
          <w:sz w:val="20"/>
          <w:szCs w:val="20"/>
          <w:color w:val="auto"/>
        </w:rPr>
      </w:pPr>
      <w:r>
        <w:rPr>
          <w:rFonts w:ascii="Courier New" w:cs="Courier New" w:eastAsia="Courier New" w:hAnsi="Courier New"/>
          <w:sz w:val="16"/>
          <w:szCs w:val="16"/>
          <w:color w:val="auto"/>
        </w:rPr>
        <w:t>Type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79"/>
        <w:spacing w:after="0" w:line="237" w:lineRule="auto"/>
        <w:rPr>
          <w:sz w:val="20"/>
          <w:szCs w:val="20"/>
          <w:color w:val="auto"/>
        </w:rPr>
      </w:pPr>
      <w:r>
        <w:rPr>
          <w:rFonts w:ascii="Courier New" w:cs="Courier New" w:eastAsia="Courier New" w:hAnsi="Courier New"/>
          <w:sz w:val="16"/>
          <w:szCs w:val="16"/>
          <w:color w:val="auto"/>
        </w:rPr>
        <w:t>Prepaid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Unpaid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Made By</w:t>
      </w:r>
    </w:p>
    <w:p>
      <w:pPr>
        <w:ind w:left="220" w:hanging="179"/>
        <w:spacing w:after="0" w:line="237" w:lineRule="auto"/>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69" w:right="1440" w:bottom="0" w:gutter="0" w:footer="0" w:header="0"/>
        </w:sectPr>
      </w:pPr>
    </w:p>
    <w:bookmarkStart w:id="281" w:name="page282"/>
    <w:bookmarkEnd w:id="281"/>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560" w:hanging="559"/>
        <w:spacing w:after="0"/>
        <w:tabs>
          <w:tab w:leader="none" w:pos="5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179"/>
          </w:cols>
          <w:pgMar w:left="280" w:top="114" w:right="1440" w:bottom="0" w:gutter="0" w:footer="0" w:header="0"/>
        </w:sectPr>
      </w:pPr>
    </w:p>
    <w:bookmarkStart w:id="282" w:name="page283"/>
    <w:bookmarkEnd w:id="282"/>
    <w:p>
      <w:pPr>
        <w:spacing w:after="0"/>
        <w:rPr>
          <w:sz w:val="20"/>
          <w:szCs w:val="20"/>
          <w:color w:val="auto"/>
        </w:rPr>
      </w:pPr>
      <w:r>
        <w:rPr>
          <w:rFonts w:ascii="Courier New" w:cs="Courier New" w:eastAsia="Courier New" w:hAnsi="Courier New"/>
          <w:sz w:val="14"/>
          <w:szCs w:val="14"/>
          <w:color w:val="auto"/>
        </w:rPr>
        <w:t>--------</w:t>
      </w:r>
    </w:p>
    <w:p>
      <w:pPr>
        <w:spacing w:after="0" w:line="46"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60" w:hanging="459"/>
        <w:spacing w:after="0"/>
        <w:tabs>
          <w:tab w:leader="none" w:pos="4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60" w:hanging="459"/>
        <w:spacing w:after="0"/>
        <w:tabs>
          <w:tab w:leader="none" w:pos="46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ectPr>
          <w:pgSz w:w="11900" w:h="16838" w:orient="portrait"/>
          <w:cols w:equalWidth="0" w:num="1">
            <w:col w:w="10179"/>
          </w:cols>
          <w:pgMar w:left="280" w:top="114" w:right="1440" w:bottom="0" w:gutter="0" w:footer="0" w:header="0"/>
        </w:sectPr>
      </w:pPr>
    </w:p>
    <w:bookmarkStart w:id="283" w:name="page284"/>
    <w:bookmarkEnd w:id="283"/>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80" w:hanging="379"/>
        <w:spacing w:after="0"/>
        <w:tabs>
          <w:tab w:leader="none" w:pos="3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380" w:hanging="379"/>
        <w:spacing w:after="0"/>
        <w:tabs>
          <w:tab w:leader="none" w:pos="3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380" w:hanging="379"/>
        <w:spacing w:after="0"/>
        <w:tabs>
          <w:tab w:leader="none" w:pos="3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380" w:hanging="379"/>
        <w:spacing w:after="0"/>
        <w:tabs>
          <w:tab w:leader="none" w:pos="38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284" w:name="page285"/>
    <w:bookmarkEnd w:id="284"/>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79"/>
          </w:cols>
          <w:pgMar w:left="280" w:top="114" w:right="1440" w:bottom="1440" w:gutter="0" w:footer="0" w:header="0"/>
        </w:sectPr>
      </w:pPr>
    </w:p>
    <w:bookmarkStart w:id="285" w:name="page286"/>
    <w:bookmarkEnd w:id="285"/>
    <w:p>
      <w:pPr>
        <w:ind w:left="280"/>
        <w:spacing w:after="0"/>
        <w:rPr>
          <w:sz w:val="20"/>
          <w:szCs w:val="20"/>
          <w:color w:val="auto"/>
        </w:rPr>
      </w:pPr>
      <w:r>
        <w:rPr>
          <w:rFonts w:ascii="Courier New" w:cs="Courier New" w:eastAsia="Courier New" w:hAnsi="Courier New"/>
          <w:sz w:val="16"/>
          <w:szCs w:val="16"/>
          <w:color w:val="auto"/>
        </w:rPr>
        <w:t>100</w:t>
      </w:r>
    </w:p>
    <w:p>
      <w:pPr>
        <w:spacing w:after="0" w:line="200" w:lineRule="exact"/>
        <w:rPr>
          <w:sz w:val="20"/>
          <w:szCs w:val="20"/>
          <w:color w:val="auto"/>
        </w:rPr>
      </w:pPr>
    </w:p>
    <w:p>
      <w:pPr>
        <w:spacing w:after="0" w:line="334" w:lineRule="exact"/>
        <w:rPr>
          <w:sz w:val="20"/>
          <w:szCs w:val="20"/>
          <w:color w:val="auto"/>
        </w:rPr>
      </w:pPr>
    </w:p>
    <w:p>
      <w:pPr>
        <w:ind w:left="6600"/>
        <w:spacing w:after="0"/>
        <w:rPr>
          <w:sz w:val="20"/>
          <w:szCs w:val="20"/>
          <w:color w:val="auto"/>
        </w:rPr>
      </w:pPr>
      <w:r>
        <w:rPr>
          <w:rFonts w:ascii="Courier New" w:cs="Courier New" w:eastAsia="Courier New" w:hAnsi="Courier New"/>
          <w:sz w:val="16"/>
          <w:szCs w:val="16"/>
          <w:color w:val="auto"/>
        </w:rPr>
        <w:t>EXHIBIT D</w:t>
      </w:r>
    </w:p>
    <w:p>
      <w:pPr>
        <w:spacing w:after="0" w:line="26"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FORM OF SYNDICATED LOAN REQUEST</w:t>
      </w:r>
    </w:p>
    <w:p>
      <w:pPr>
        <w:spacing w:after="0" w:line="14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364-Day Loan Agreement (the "Loan Agreement") dated as of June 29, 2001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Syndicated Loan Request under Section 2.6(a)</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Commitment</w:t>
      </w:r>
    </w:p>
    <w:p>
      <w:pPr>
        <w:spacing w:after="0" w:line="26" w:lineRule="exact"/>
        <w:rPr>
          <w:sz w:val="20"/>
          <w:szCs w:val="20"/>
          <w:color w:val="auto"/>
        </w:rPr>
      </w:pPr>
    </w:p>
    <w:p>
      <w:pPr>
        <w:ind w:left="65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Loans outstanding</w:t>
      </w:r>
    </w:p>
    <w:p>
      <w:pPr>
        <w:ind w:left="65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this Request</w:t>
      </w:r>
    </w:p>
    <w:p>
      <w:pPr>
        <w:ind w:left="65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Drawing Amount of</w:t>
      </w:r>
    </w:p>
    <w:p>
      <w:pPr>
        <w:ind w:left="460"/>
        <w:spacing w:after="0" w:line="236" w:lineRule="auto"/>
        <w:rPr>
          <w:sz w:val="20"/>
          <w:szCs w:val="20"/>
          <w:color w:val="auto"/>
        </w:rPr>
      </w:pPr>
      <w:r>
        <w:rPr>
          <w:rFonts w:ascii="Courier New" w:cs="Courier New" w:eastAsia="Courier New" w:hAnsi="Courier New"/>
          <w:sz w:val="16"/>
          <w:szCs w:val="16"/>
          <w:color w:val="auto"/>
        </w:rPr>
        <w:t>outstanding Letters of Credit</w:t>
      </w:r>
    </w:p>
    <w:p>
      <w:pPr>
        <w:spacing w:after="0" w:line="1" w:lineRule="exact"/>
        <w:rPr>
          <w:sz w:val="20"/>
          <w:szCs w:val="20"/>
          <w:color w:val="auto"/>
        </w:rPr>
      </w:pPr>
    </w:p>
    <w:p>
      <w:pPr>
        <w:ind w:left="65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tabs>
          <w:tab w:leader="none" w:pos="6480" w:val="left"/>
        </w:tabs>
        <w:rPr>
          <w:sz w:val="20"/>
          <w:szCs w:val="20"/>
          <w:color w:val="auto"/>
        </w:rPr>
      </w:pPr>
      <w:r>
        <w:rPr>
          <w:rFonts w:ascii="Courier New" w:cs="Courier New" w:eastAsia="Courier New" w:hAnsi="Courier New"/>
          <w:sz w:val="16"/>
          <w:szCs w:val="16"/>
          <w:color w:val="auto"/>
        </w:rPr>
        <w:t>Total of all outstanding and requested</w:t>
      </w:r>
      <w:r>
        <w:rPr>
          <w:sz w:val="20"/>
          <w:szCs w:val="20"/>
          <w:color w:val="auto"/>
        </w:rPr>
        <w:tab/>
      </w:r>
      <w:r>
        <w:rPr>
          <w:rFonts w:ascii="Courier New" w:cs="Courier New" w:eastAsia="Courier New" w:hAnsi="Courier New"/>
          <w:sz w:val="14"/>
          <w:szCs w:val="14"/>
          <w:color w:val="auto"/>
        </w:rPr>
        <w:t>-------------------</w:t>
      </w:r>
    </w:p>
    <w:p>
      <w:pPr>
        <w:spacing w:after="0" w:line="2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Loans plus Maximum Drawing Amount of</w:t>
      </w:r>
    </w:p>
    <w:p>
      <w:pPr>
        <w:ind w:left="460"/>
        <w:spacing w:after="0" w:line="236" w:lineRule="auto"/>
        <w:rPr>
          <w:sz w:val="20"/>
          <w:szCs w:val="20"/>
          <w:color w:val="auto"/>
        </w:rPr>
      </w:pPr>
      <w:r>
        <w:rPr>
          <w:rFonts w:ascii="Courier New" w:cs="Courier New" w:eastAsia="Courier New" w:hAnsi="Courier New"/>
          <w:sz w:val="16"/>
          <w:szCs w:val="16"/>
          <w:color w:val="auto"/>
        </w:rPr>
        <w:t>all outstanding Letters of Credit</w:t>
      </w:r>
    </w:p>
    <w:p>
      <w:pPr>
        <w:ind w:left="460"/>
        <w:spacing w:after="0" w:line="237" w:lineRule="auto"/>
        <w:rPr>
          <w:sz w:val="20"/>
          <w:szCs w:val="20"/>
          <w:color w:val="auto"/>
        </w:rPr>
      </w:pPr>
      <w:r>
        <w:rPr>
          <w:rFonts w:ascii="Courier New" w:cs="Courier New" w:eastAsia="Courier New" w:hAnsi="Courier New"/>
          <w:sz w:val="16"/>
          <w:szCs w:val="16"/>
          <w:color w:val="auto"/>
        </w:rPr>
        <w:t>plus Amount of this Request (must not</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exceed Total Commitment)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Proposed Drawdown Date</w:t>
      </w:r>
    </w:p>
    <w:p>
      <w:pPr>
        <w:spacing w:after="0" w:line="26" w:lineRule="exact"/>
        <w:rPr>
          <w:sz w:val="20"/>
          <w:szCs w:val="20"/>
          <w:color w:val="auto"/>
        </w:rPr>
      </w:pPr>
    </w:p>
    <w:p>
      <w:pPr>
        <w:ind w:left="65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Option (Base Rate or Eurodollar)</w:t>
      </w:r>
    </w:p>
    <w:p>
      <w:pPr>
        <w:ind w:left="65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 (if Eurodollar)</w:t>
      </w:r>
    </w:p>
    <w:p>
      <w:pPr>
        <w:ind w:left="6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under Section 2.7</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to be converted from</w:t>
      </w:r>
    </w:p>
    <w:p>
      <w:pPr>
        <w:spacing w:after="0" w:line="2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Eurodollar to Base Rate:</w:t>
      </w:r>
    </w:p>
    <w:p>
      <w:pPr>
        <w:ind w:left="65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to be converted from</w:t>
      </w:r>
    </w:p>
    <w:p>
      <w:pPr>
        <w:ind w:left="460"/>
        <w:spacing w:after="0" w:line="236" w:lineRule="auto"/>
        <w:rPr>
          <w:sz w:val="20"/>
          <w:szCs w:val="20"/>
          <w:color w:val="auto"/>
        </w:rPr>
      </w:pPr>
      <w:r>
        <w:rPr>
          <w:rFonts w:ascii="Courier New" w:cs="Courier New" w:eastAsia="Courier New" w:hAnsi="Courier New"/>
          <w:sz w:val="16"/>
          <w:szCs w:val="16"/>
          <w:color w:val="auto"/>
        </w:rPr>
        <w:t>Base Rate to Eurodollar:</w:t>
      </w:r>
    </w:p>
    <w:p>
      <w:pPr>
        <w:spacing w:after="0" w:line="1" w:lineRule="exact"/>
        <w:rPr>
          <w:sz w:val="20"/>
          <w:szCs w:val="20"/>
          <w:color w:val="auto"/>
        </w:rPr>
      </w:pPr>
    </w:p>
    <w:p>
      <w:pPr>
        <w:ind w:left="65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4"/>
          <w:szCs w:val="14"/>
          <w:color w:val="auto"/>
        </w:rPr>
        <w:t>Amount to be maintained as</w:t>
      </w:r>
    </w:p>
    <w:p>
      <w:pPr>
        <w:spacing w:after="0" w:line="18" w:lineRule="exact"/>
        <w:rPr>
          <w:sz w:val="20"/>
          <w:szCs w:val="20"/>
          <w:color w:val="auto"/>
        </w:rPr>
      </w:pPr>
    </w:p>
    <w:p>
      <w:pPr>
        <w:jc w:val="center"/>
        <w:ind w:right="7799"/>
        <w:spacing w:after="0"/>
        <w:rPr>
          <w:sz w:val="20"/>
          <w:szCs w:val="20"/>
          <w:color w:val="auto"/>
        </w:rPr>
      </w:pPr>
      <w:r>
        <w:rPr>
          <w:rFonts w:ascii="Courier New" w:cs="Courier New" w:eastAsia="Courier New" w:hAnsi="Courier New"/>
          <w:sz w:val="16"/>
          <w:szCs w:val="16"/>
          <w:color w:val="auto"/>
        </w:rPr>
        <w:t>Eurodollar Loan:</w:t>
      </w:r>
    </w:p>
    <w:p>
      <w:pPr>
        <w:ind w:left="65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Conversion Date</w:t>
      </w:r>
    </w:p>
    <w:p>
      <w:pPr>
        <w:ind w:left="65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Period (if Eurodollar)</w:t>
      </w:r>
    </w:p>
    <w:p>
      <w:pPr>
        <w:ind w:left="6500"/>
        <w:spacing w:after="0"/>
        <w:rPr>
          <w:sz w:val="20"/>
          <w:szCs w:val="20"/>
          <w:color w:val="auto"/>
        </w:rPr>
      </w:pPr>
      <w:r>
        <w:rPr>
          <w:rFonts w:ascii="Courier New" w:cs="Courier New" w:eastAsia="Courier New" w:hAnsi="Courier New"/>
          <w:sz w:val="14"/>
          <w:szCs w:val="14"/>
          <w:color w:val="auto"/>
        </w:rPr>
        <w:t>-------------------</w:t>
      </w:r>
    </w:p>
    <w:p>
      <w:pPr>
        <w:spacing w:after="0" w:line="350"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I certify that the above is true and correct, and that all of the conditions set forth in Section 12 of the Loan Agreement have been satisfied as of the date hereof.</w:t>
      </w:r>
    </w:p>
    <w:p>
      <w:pPr>
        <w:spacing w:after="0" w:line="6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ind w:left="436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269" w:right="1440" w:bottom="1440" w:gutter="0" w:footer="0" w:header="0"/>
        </w:sectPr>
      </w:pPr>
    </w:p>
    <w:bookmarkStart w:id="286" w:name="page287"/>
    <w:bookmarkEnd w:id="286"/>
    <w:p>
      <w:pPr>
        <w:ind w:left="285"/>
        <w:spacing w:after="0"/>
        <w:rPr>
          <w:sz w:val="20"/>
          <w:szCs w:val="20"/>
          <w:color w:val="auto"/>
        </w:rPr>
      </w:pPr>
      <w:r>
        <w:rPr>
          <w:rFonts w:ascii="Courier New" w:cs="Courier New" w:eastAsia="Courier New" w:hAnsi="Courier New"/>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5"/>
        <w:spacing w:after="0"/>
        <w:rPr>
          <w:sz w:val="20"/>
          <w:szCs w:val="20"/>
          <w:color w:val="auto"/>
        </w:rPr>
      </w:pPr>
      <w:r>
        <w:rPr>
          <w:rFonts w:ascii="Courier New" w:cs="Courier New" w:eastAsia="Courier New" w:hAnsi="Courier New"/>
          <w:sz w:val="16"/>
          <w:szCs w:val="16"/>
          <w:color w:val="auto"/>
        </w:rPr>
        <w:t>EXHIBIT E</w:t>
      </w:r>
    </w:p>
    <w:p>
      <w:pPr>
        <w:spacing w:after="0" w:line="177" w:lineRule="exact"/>
        <w:rPr>
          <w:sz w:val="20"/>
          <w:szCs w:val="20"/>
          <w:color w:val="auto"/>
        </w:rPr>
      </w:pPr>
    </w:p>
    <w:p>
      <w:pPr>
        <w:ind w:left="2225"/>
        <w:spacing w:after="0"/>
        <w:rPr>
          <w:sz w:val="20"/>
          <w:szCs w:val="20"/>
          <w:color w:val="auto"/>
        </w:rPr>
      </w:pPr>
      <w:r>
        <w:rPr>
          <w:rFonts w:ascii="Courier New" w:cs="Courier New" w:eastAsia="Courier New" w:hAnsi="Courier New"/>
          <w:sz w:val="16"/>
          <w:szCs w:val="16"/>
          <w:color w:val="auto"/>
        </w:rPr>
        <w:t>FORM OF LETTER OF CREDIT REQUEST</w:t>
      </w:r>
    </w:p>
    <w:p>
      <w:pPr>
        <w:spacing w:after="0" w:line="355" w:lineRule="exact"/>
        <w:rPr>
          <w:sz w:val="20"/>
          <w:szCs w:val="20"/>
          <w:color w:val="auto"/>
        </w:rPr>
      </w:pPr>
    </w:p>
    <w:p>
      <w:pPr>
        <w:jc w:val="center"/>
        <w:ind w:right="2775"/>
        <w:spacing w:after="0"/>
        <w:rPr>
          <w:sz w:val="20"/>
          <w:szCs w:val="20"/>
          <w:color w:val="auto"/>
        </w:rPr>
      </w:pPr>
      <w:r>
        <w:rPr>
          <w:rFonts w:ascii="Courier New" w:cs="Courier New" w:eastAsia="Courier New" w:hAnsi="Courier New"/>
          <w:sz w:val="16"/>
          <w:szCs w:val="16"/>
          <w:color w:val="auto"/>
        </w:rPr>
        <w:t>WASTE MANAGEMENT, INC.</w:t>
      </w:r>
    </w:p>
    <w:p>
      <w:pPr>
        <w:spacing w:after="0" w:line="26" w:lineRule="exact"/>
        <w:rPr>
          <w:sz w:val="20"/>
          <w:szCs w:val="20"/>
          <w:color w:val="auto"/>
        </w:rPr>
      </w:pPr>
    </w:p>
    <w:p>
      <w:pPr>
        <w:jc w:val="center"/>
        <w:ind w:right="2675"/>
        <w:spacing w:after="0"/>
        <w:rPr>
          <w:sz w:val="20"/>
          <w:szCs w:val="20"/>
          <w:color w:val="auto"/>
        </w:rPr>
      </w:pPr>
      <w:r>
        <w:rPr>
          <w:rFonts w:ascii="Courier New" w:cs="Courier New" w:eastAsia="Courier New" w:hAnsi="Courier New"/>
          <w:sz w:val="16"/>
          <w:szCs w:val="16"/>
          <w:color w:val="auto"/>
        </w:rPr>
        <w:t>364-Day Loan Agreement (the "Loan Agreement") dated as of June 29, 2001</w:t>
      </w:r>
    </w:p>
    <w:p>
      <w:pPr>
        <w:spacing w:after="0" w:line="32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Letter of Credit Request Under Section 3.1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Total Commitment</w:t>
      </w:r>
    </w:p>
    <w:p>
      <w:pPr>
        <w:spacing w:after="0" w:line="26" w:lineRule="exact"/>
        <w:rPr>
          <w:sz w:val="20"/>
          <w:szCs w:val="20"/>
          <w:color w:val="auto"/>
        </w:rPr>
      </w:pPr>
    </w:p>
    <w:p>
      <w:pPr>
        <w:ind w:left="6505"/>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Maximum Drawing Amount of</w:t>
      </w:r>
    </w:p>
    <w:p>
      <w:pPr>
        <w:ind w:left="365"/>
        <w:spacing w:after="0" w:line="236" w:lineRule="auto"/>
        <w:rPr>
          <w:sz w:val="20"/>
          <w:szCs w:val="20"/>
          <w:color w:val="auto"/>
        </w:rPr>
      </w:pPr>
      <w:r>
        <w:rPr>
          <w:rFonts w:ascii="Courier New" w:cs="Courier New" w:eastAsia="Courier New" w:hAnsi="Courier New"/>
          <w:sz w:val="16"/>
          <w:szCs w:val="16"/>
          <w:color w:val="auto"/>
        </w:rPr>
        <w:t>Letters of Credit outstanding</w:t>
      </w:r>
    </w:p>
    <w:p>
      <w:pPr>
        <w:spacing w:after="0" w:line="1" w:lineRule="exact"/>
        <w:rPr>
          <w:sz w:val="20"/>
          <w:szCs w:val="20"/>
          <w:color w:val="auto"/>
        </w:rPr>
      </w:pPr>
    </w:p>
    <w:p>
      <w:pPr>
        <w:ind w:left="6505"/>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Amount of this Request from Letter of Credit</w:t>
      </w:r>
    </w:p>
    <w:p>
      <w:pPr>
        <w:ind w:left="365"/>
        <w:spacing w:after="0" w:line="236" w:lineRule="auto"/>
        <w:rPr>
          <w:sz w:val="20"/>
          <w:szCs w:val="20"/>
          <w:color w:val="auto"/>
        </w:rPr>
      </w:pPr>
      <w:r>
        <w:rPr>
          <w:rFonts w:ascii="Courier New" w:cs="Courier New" w:eastAsia="Courier New" w:hAnsi="Courier New"/>
          <w:sz w:val="16"/>
          <w:szCs w:val="16"/>
          <w:color w:val="auto"/>
        </w:rPr>
        <w:t>Application (attached)</w:t>
      </w:r>
    </w:p>
    <w:p>
      <w:pPr>
        <w:spacing w:after="0" w:line="1" w:lineRule="exact"/>
        <w:rPr>
          <w:sz w:val="20"/>
          <w:szCs w:val="20"/>
          <w:color w:val="auto"/>
        </w:rPr>
      </w:pPr>
    </w:p>
    <w:p>
      <w:pPr>
        <w:ind w:left="6505"/>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Loans outstanding</w:t>
      </w:r>
    </w:p>
    <w:p>
      <w:pPr>
        <w:ind w:left="6505"/>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Maximum Drawing Amount of all outstanding</w:t>
      </w:r>
    </w:p>
    <w:p>
      <w:pPr>
        <w:ind w:left="845"/>
        <w:spacing w:after="0" w:line="236" w:lineRule="auto"/>
        <w:rPr>
          <w:sz w:val="20"/>
          <w:szCs w:val="20"/>
          <w:color w:val="auto"/>
        </w:rPr>
      </w:pPr>
      <w:r>
        <w:rPr>
          <w:rFonts w:ascii="Courier New" w:cs="Courier New" w:eastAsia="Courier New" w:hAnsi="Courier New"/>
          <w:sz w:val="16"/>
          <w:szCs w:val="16"/>
          <w:color w:val="auto"/>
        </w:rPr>
        <w:t>and Requested Letters of Credit</w:t>
      </w:r>
    </w:p>
    <w:p>
      <w:pPr>
        <w:ind w:left="845"/>
        <w:spacing w:after="0" w:line="237" w:lineRule="auto"/>
        <w:rPr>
          <w:sz w:val="20"/>
          <w:szCs w:val="20"/>
          <w:color w:val="auto"/>
        </w:rPr>
      </w:pPr>
      <w:r>
        <w:rPr>
          <w:rFonts w:ascii="Courier New" w:cs="Courier New" w:eastAsia="Courier New" w:hAnsi="Courier New"/>
          <w:sz w:val="16"/>
          <w:szCs w:val="16"/>
          <w:color w:val="auto"/>
        </w:rPr>
        <w:t>(must not exceed the Total Commitment</w:t>
      </w:r>
    </w:p>
    <w:p>
      <w:pPr>
        <w:ind w:left="845"/>
        <w:spacing w:after="0" w:line="237" w:lineRule="auto"/>
        <w:rPr>
          <w:sz w:val="20"/>
          <w:szCs w:val="20"/>
          <w:color w:val="auto"/>
        </w:rPr>
      </w:pPr>
      <w:r>
        <w:rPr>
          <w:rFonts w:ascii="Courier New" w:cs="Courier New" w:eastAsia="Courier New" w:hAnsi="Courier New"/>
          <w:sz w:val="16"/>
          <w:szCs w:val="16"/>
          <w:color w:val="auto"/>
        </w:rPr>
        <w:t>minus Total of all Revolving Credit Loans outstanding)</w:t>
      </w:r>
    </w:p>
    <w:p>
      <w:pPr>
        <w:ind w:left="6505"/>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9" w:lineRule="exact"/>
        <w:rPr>
          <w:sz w:val="20"/>
          <w:szCs w:val="20"/>
          <w:color w:val="auto"/>
        </w:rPr>
      </w:pPr>
    </w:p>
    <w:p>
      <w:pPr>
        <w:ind w:left="5" w:right="2879" w:firstLine="837"/>
        <w:spacing w:after="0" w:line="289" w:lineRule="auto"/>
        <w:rPr>
          <w:sz w:val="20"/>
          <w:szCs w:val="20"/>
          <w:color w:val="auto"/>
        </w:rPr>
      </w:pPr>
      <w:r>
        <w:rPr>
          <w:rFonts w:ascii="Courier New" w:cs="Courier New" w:eastAsia="Courier New" w:hAnsi="Courier New"/>
          <w:sz w:val="16"/>
          <w:szCs w:val="16"/>
          <w:color w:val="auto"/>
        </w:rPr>
        <w:t>I certify that the above is true and correct, and that all of the conditions set forth in Section 12 of the Loan Agreement have been satisfied as of the date hereof.</w:t>
      </w:r>
    </w:p>
    <w:p>
      <w:pPr>
        <w:spacing w:after="0" w:line="61" w:lineRule="exact"/>
        <w:rPr>
          <w:sz w:val="20"/>
          <w:szCs w:val="20"/>
          <w:color w:val="auto"/>
        </w:rPr>
      </w:pPr>
    </w:p>
    <w:p>
      <w:pPr>
        <w:jc w:val="center"/>
        <w:ind w:right="-4"/>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4365"/>
        <w:spacing w:after="0"/>
        <w:rPr>
          <w:sz w:val="20"/>
          <w:szCs w:val="20"/>
          <w:color w:val="auto"/>
        </w:rPr>
      </w:pPr>
      <w:r>
        <w:rPr>
          <w:rFonts w:ascii="Courier New" w:cs="Courier New" w:eastAsia="Courier New" w:hAnsi="Courier New"/>
          <w:sz w:val="16"/>
          <w:szCs w:val="16"/>
          <w:color w:val="auto"/>
        </w:rPr>
        <w:t>---------------------------------</w:t>
      </w:r>
    </w:p>
    <w:p>
      <w:pPr>
        <w:ind w:left="4365"/>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365"/>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left="4085"/>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ind w:left="5765"/>
        <w:spacing w:after="0"/>
        <w:rPr>
          <w:sz w:val="20"/>
          <w:szCs w:val="20"/>
          <w:color w:val="auto"/>
        </w:rPr>
      </w:pPr>
      <w:r>
        <w:rPr>
          <w:rFonts w:ascii="Courier New" w:cs="Courier New" w:eastAsia="Courier New" w:hAnsi="Courier New"/>
          <w:sz w:val="16"/>
          <w:szCs w:val="16"/>
          <w:color w:val="auto"/>
        </w:rPr>
        <w:t>Date</w:t>
      </w:r>
    </w:p>
    <w:p>
      <w:pPr>
        <w:spacing w:after="0" w:line="149" w:lineRule="exact"/>
        <w:rPr>
          <w:sz w:val="20"/>
          <w:szCs w:val="20"/>
          <w:color w:val="auto"/>
        </w:rPr>
      </w:pPr>
    </w:p>
    <w:p>
      <w:pPr>
        <w:ind w:left="845" w:hanging="845"/>
        <w:spacing w:after="0"/>
        <w:tabs>
          <w:tab w:leader="none" w:pos="845"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345"/>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24"/>
          </w:cols>
          <w:pgMar w:left="235" w:top="269" w:right="1440" w:bottom="1440" w:gutter="0" w:footer="0" w:header="0"/>
        </w:sectPr>
      </w:pPr>
    </w:p>
    <w:bookmarkStart w:id="287" w:name="page288"/>
    <w:bookmarkEnd w:id="287"/>
    <w:p>
      <w:pPr>
        <w:ind w:left="280"/>
        <w:spacing w:after="0"/>
        <w:rPr>
          <w:sz w:val="20"/>
          <w:szCs w:val="20"/>
          <w:color w:val="auto"/>
        </w:rPr>
      </w:pPr>
      <w:r>
        <w:rPr>
          <w:rFonts w:ascii="Courier New" w:cs="Courier New" w:eastAsia="Courier New" w:hAnsi="Courier New"/>
          <w:sz w:val="16"/>
          <w:szCs w:val="16"/>
          <w:color w:val="auto"/>
        </w:rPr>
        <w:t>102</w:t>
      </w:r>
    </w:p>
    <w:p>
      <w:pPr>
        <w:spacing w:after="0" w:line="355" w:lineRule="exact"/>
        <w:rPr>
          <w:sz w:val="20"/>
          <w:szCs w:val="20"/>
          <w:color w:val="auto"/>
        </w:rPr>
      </w:pPr>
    </w:p>
    <w:p>
      <w:pPr>
        <w:ind w:left="6600"/>
        <w:spacing w:after="0"/>
        <w:rPr>
          <w:sz w:val="20"/>
          <w:szCs w:val="20"/>
          <w:color w:val="auto"/>
        </w:rPr>
      </w:pPr>
      <w:r>
        <w:rPr>
          <w:rFonts w:ascii="Courier New" w:cs="Courier New" w:eastAsia="Courier New" w:hAnsi="Courier New"/>
          <w:sz w:val="16"/>
          <w:szCs w:val="16"/>
          <w:color w:val="auto"/>
        </w:rPr>
        <w:t>EXHIBIT F</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FORM OF COMPLIANCE CERTIFICATE</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6"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Compliance Certificate dated ______________________</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____________________________, [Chief Financial Officer][Chief Accounting</w:t>
      </w:r>
    </w:p>
    <w:p>
      <w:pPr>
        <w:spacing w:after="0" w:line="26"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Officer][Corporate Treasurer] of WASTE MANAGEMENT, INC. (the "Borrower") certify that no Default or Event of Default exists and that the Borrower is in compliance with Sections 8, 9 &amp; 10 of the 364-Day Loan Agreement dated as of June 29, 2001 (as amended, modified, supplemented, restated and in effect from time to time, the "Loan Agreement"), [as of the end of the quarter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 Computations to evidence compliance with Section 10 of the Loan</w:t>
      </w:r>
    </w:p>
    <w:p>
      <w:pPr>
        <w:ind w:right="2959"/>
        <w:spacing w:after="0" w:line="383" w:lineRule="auto"/>
        <w:rPr>
          <w:sz w:val="20"/>
          <w:szCs w:val="20"/>
          <w:color w:val="auto"/>
        </w:rPr>
      </w:pPr>
      <w:r>
        <w:rPr>
          <w:rFonts w:ascii="Courier New" w:cs="Courier New" w:eastAsia="Courier New" w:hAnsi="Courier New"/>
          <w:sz w:val="14"/>
          <w:szCs w:val="14"/>
          <w:color w:val="auto"/>
        </w:rPr>
        <w:t>Agreement are detailed below. Capitalized terms used herein without definition shall have the meanings assigned to such terms in the Loan Agreement.</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4560"/>
        <w:spacing w:after="0"/>
        <w:rPr>
          <w:sz w:val="20"/>
          <w:szCs w:val="20"/>
          <w:color w:val="auto"/>
        </w:rPr>
      </w:pPr>
      <w:r>
        <w:rPr>
          <w:rFonts w:ascii="Courier New" w:cs="Courier New" w:eastAsia="Courier New" w:hAnsi="Courier New"/>
          <w:sz w:val="16"/>
          <w:szCs w:val="16"/>
          <w:color w:val="auto"/>
        </w:rPr>
        <w:t>-------------------------------</w:t>
      </w:r>
    </w:p>
    <w:p>
      <w:pPr>
        <w:ind w:left="4280"/>
        <w:spacing w:after="0" w:line="236" w:lineRule="auto"/>
        <w:rPr>
          <w:sz w:val="20"/>
          <w:szCs w:val="20"/>
          <w:color w:val="auto"/>
        </w:rPr>
      </w:pPr>
      <w:r>
        <w:rPr>
          <w:rFonts w:ascii="Courier New" w:cs="Courier New" w:eastAsia="Courier New" w:hAnsi="Courier New"/>
          <w:sz w:val="16"/>
          <w:szCs w:val="16"/>
          <w:color w:val="auto"/>
        </w:rPr>
        <w:t>Name:</w:t>
      </w:r>
    </w:p>
    <w:tbl>
      <w:tblPr>
        <w:tblLayout w:type="fixed"/>
        <w:tblInd w:w="0" w:type="dxa"/>
        <w:tblCellMar>
          <w:top w:w="0" w:type="dxa"/>
          <w:left w:w="0" w:type="dxa"/>
          <w:bottom w:w="0" w:type="dxa"/>
          <w:right w:w="0" w:type="dxa"/>
        </w:tblCellMar>
      </w:tblPr>
      <w:tr>
        <w:trPr>
          <w:trHeight w:val="152"/>
        </w:trPr>
        <w:tc>
          <w:tcPr>
            <w:tcW w:w="9020" w:type="dxa"/>
            <w:vAlign w:val="bottom"/>
            <w:gridSpan w:val="2"/>
          </w:tcPr>
          <w:p>
            <w:pPr>
              <w:jc w:val="right"/>
              <w:ind w:right="1502"/>
              <w:spacing w:after="0" w:line="152"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tcPr>
          <w:p>
            <w:pPr>
              <w:ind w:left="4280"/>
              <w:spacing w:after="0" w:line="179" w:lineRule="exact"/>
              <w:rPr>
                <w:sz w:val="20"/>
                <w:szCs w:val="20"/>
                <w:color w:val="auto"/>
              </w:rPr>
            </w:pPr>
            <w:r>
              <w:rPr>
                <w:rFonts w:ascii="Courier New" w:cs="Courier New" w:eastAsia="Courier New" w:hAnsi="Courier New"/>
                <w:sz w:val="16"/>
                <w:szCs w:val="16"/>
                <w:color w:val="auto"/>
              </w:rPr>
              <w:t>Title:</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9020" w:type="dxa"/>
            <w:vAlign w:val="bottom"/>
            <w:gridSpan w:val="2"/>
          </w:tcPr>
          <w:p>
            <w:pPr>
              <w:jc w:val="right"/>
              <w:ind w:right="150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37"/>
        </w:trPr>
        <w:tc>
          <w:tcPr>
            <w:tcW w:w="6220" w:type="dxa"/>
            <w:vAlign w:val="bottom"/>
          </w:tcPr>
          <w:p>
            <w:pPr>
              <w:spacing w:after="0"/>
              <w:rPr>
                <w:sz w:val="20"/>
                <w:szCs w:val="20"/>
                <w:color w:val="auto"/>
              </w:rPr>
            </w:pPr>
            <w:r>
              <w:rPr>
                <w:rFonts w:ascii="Courier New" w:cs="Courier New" w:eastAsia="Courier New" w:hAnsi="Courier New"/>
                <w:sz w:val="16"/>
                <w:szCs w:val="16"/>
                <w:color w:val="auto"/>
              </w:rPr>
              <w:t>SECTION 10.1 INTEREST COVERAGE RATIO</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6220" w:type="dxa"/>
            <w:vAlign w:val="bottom"/>
          </w:tcPr>
          <w:p>
            <w:pPr>
              <w:ind w:left="460"/>
              <w:spacing w:after="0"/>
              <w:rPr>
                <w:sz w:val="20"/>
                <w:szCs w:val="20"/>
                <w:color w:val="auto"/>
              </w:rPr>
            </w:pPr>
            <w:r>
              <w:rPr>
                <w:rFonts w:ascii="Courier New" w:cs="Courier New" w:eastAsia="Courier New" w:hAnsi="Courier New"/>
                <w:sz w:val="16"/>
                <w:szCs w:val="16"/>
                <w:color w:val="auto"/>
              </w:rPr>
              <w:t>Consolidated Net Income</w:t>
            </w:r>
          </w:p>
        </w:tc>
        <w:tc>
          <w:tcPr>
            <w:tcW w:w="280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62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Plus (without duplication):</w:t>
            </w:r>
          </w:p>
        </w:tc>
        <w:tc>
          <w:tcPr>
            <w:tcW w:w="2800" w:type="dxa"/>
            <w:vAlign w:val="bottom"/>
          </w:tcPr>
          <w:p>
            <w:pPr>
              <w:ind w:left="760"/>
              <w:spacing w:after="0"/>
              <w:rPr>
                <w:sz w:val="20"/>
                <w:szCs w:val="20"/>
                <w:color w:val="auto"/>
              </w:rPr>
            </w:pPr>
            <w:r>
              <w:rPr>
                <w:rFonts w:ascii="Courier New" w:cs="Courier New" w:eastAsia="Courier New" w:hAnsi="Courier New"/>
                <w:sz w:val="16"/>
                <w:szCs w:val="16"/>
                <w:color w:val="auto"/>
              </w:rPr>
              <w:t>--------------- (i)</w:t>
            </w:r>
          </w:p>
        </w:tc>
        <w:tc>
          <w:tcPr>
            <w:tcW w:w="0" w:type="dxa"/>
            <w:vAlign w:val="bottom"/>
          </w:tcPr>
          <w:p>
            <w:pPr>
              <w:spacing w:after="0"/>
              <w:rPr>
                <w:sz w:val="1"/>
                <w:szCs w:val="1"/>
                <w:color w:val="auto"/>
              </w:rPr>
            </w:pPr>
          </w:p>
        </w:tc>
      </w:tr>
      <w:tr>
        <w:trPr>
          <w:trHeight w:val="97"/>
        </w:trPr>
        <w:tc>
          <w:tcPr>
            <w:tcW w:w="6220" w:type="dxa"/>
            <w:vAlign w:val="bottom"/>
            <w:vMerge w:val="continue"/>
          </w:tcPr>
          <w:p>
            <w:pPr>
              <w:spacing w:after="0"/>
              <w:rPr>
                <w:sz w:val="8"/>
                <w:szCs w:val="8"/>
                <w:color w:val="auto"/>
              </w:rPr>
            </w:pPr>
          </w:p>
        </w:tc>
        <w:tc>
          <w:tcPr>
            <w:tcW w:w="28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income tax expense</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 (ii)</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ind w:left="20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one-time charges related to Terminated</w:t>
            </w:r>
          </w:p>
        </w:tc>
        <w:tc>
          <w:tcPr>
            <w:tcW w:w="2800" w:type="dxa"/>
            <w:vAlign w:val="bottom"/>
          </w:tcPr>
          <w:p>
            <w:pPr>
              <w:ind w:left="760"/>
              <w:spacing w:after="0"/>
              <w:rPr>
                <w:sz w:val="20"/>
                <w:szCs w:val="20"/>
                <w:color w:val="auto"/>
              </w:rPr>
            </w:pPr>
            <w:r>
              <w:rPr>
                <w:rFonts w:ascii="Courier New" w:cs="Courier New" w:eastAsia="Courier New" w:hAnsi="Courier New"/>
                <w:sz w:val="16"/>
                <w:szCs w:val="16"/>
                <w:color w:val="auto"/>
              </w:rPr>
              <w:t>--------------- (iii)</w:t>
            </w:r>
          </w:p>
        </w:tc>
        <w:tc>
          <w:tcPr>
            <w:tcW w:w="0" w:type="dxa"/>
            <w:vAlign w:val="bottom"/>
          </w:tcPr>
          <w:p>
            <w:pPr>
              <w:spacing w:after="0"/>
              <w:rPr>
                <w:sz w:val="1"/>
                <w:szCs w:val="1"/>
                <w:color w:val="auto"/>
              </w:rPr>
            </w:pPr>
          </w:p>
        </w:tc>
      </w:tr>
      <w:tr>
        <w:trPr>
          <w:trHeight w:val="97"/>
        </w:trPr>
        <w:tc>
          <w:tcPr>
            <w:tcW w:w="622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Plans taken in the fiscal quarter ending</w:t>
            </w:r>
          </w:p>
        </w:tc>
        <w:tc>
          <w:tcPr>
            <w:tcW w:w="28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September 30, 2000 (maximum $80,231,000)</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one-time charges related to Terminated</w:t>
            </w:r>
          </w:p>
        </w:tc>
        <w:tc>
          <w:tcPr>
            <w:tcW w:w="2800" w:type="dxa"/>
            <w:vAlign w:val="bottom"/>
          </w:tcPr>
          <w:p>
            <w:pPr>
              <w:ind w:left="760"/>
              <w:spacing w:after="0"/>
              <w:rPr>
                <w:sz w:val="20"/>
                <w:szCs w:val="20"/>
                <w:color w:val="auto"/>
              </w:rPr>
            </w:pPr>
            <w:r>
              <w:rPr>
                <w:rFonts w:ascii="Courier New" w:cs="Courier New" w:eastAsia="Courier New" w:hAnsi="Courier New"/>
                <w:sz w:val="16"/>
                <w:szCs w:val="16"/>
                <w:color w:val="auto"/>
              </w:rPr>
              <w:t>--------------- (iv)</w:t>
            </w:r>
          </w:p>
        </w:tc>
        <w:tc>
          <w:tcPr>
            <w:tcW w:w="0" w:type="dxa"/>
            <w:vAlign w:val="bottom"/>
          </w:tcPr>
          <w:p>
            <w:pPr>
              <w:spacing w:after="0"/>
              <w:rPr>
                <w:sz w:val="1"/>
                <w:szCs w:val="1"/>
                <w:color w:val="auto"/>
              </w:rPr>
            </w:pPr>
          </w:p>
        </w:tc>
      </w:tr>
      <w:tr>
        <w:trPr>
          <w:trHeight w:val="97"/>
        </w:trPr>
        <w:tc>
          <w:tcPr>
            <w:tcW w:w="622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Plans taken in the fiscal quarter ending</w:t>
            </w:r>
          </w:p>
        </w:tc>
        <w:tc>
          <w:tcPr>
            <w:tcW w:w="28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December 31, 2000 (maximum $28,102,000)</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non-cash extraordinary</w:t>
            </w:r>
          </w:p>
        </w:tc>
        <w:tc>
          <w:tcPr>
            <w:tcW w:w="2800" w:type="dxa"/>
            <w:vAlign w:val="bottom"/>
          </w:tcPr>
          <w:p>
            <w:pPr>
              <w:ind w:left="760"/>
              <w:spacing w:after="0"/>
              <w:rPr>
                <w:sz w:val="20"/>
                <w:szCs w:val="20"/>
                <w:color w:val="auto"/>
              </w:rPr>
            </w:pPr>
            <w:r>
              <w:rPr>
                <w:rFonts w:ascii="Courier New" w:cs="Courier New" w:eastAsia="Courier New" w:hAnsi="Courier New"/>
                <w:sz w:val="16"/>
                <w:szCs w:val="16"/>
                <w:color w:val="auto"/>
              </w:rPr>
              <w:t>--------------- (v)</w:t>
            </w:r>
          </w:p>
        </w:tc>
        <w:tc>
          <w:tcPr>
            <w:tcW w:w="0" w:type="dxa"/>
            <w:vAlign w:val="bottom"/>
          </w:tcPr>
          <w:p>
            <w:pPr>
              <w:spacing w:after="0"/>
              <w:rPr>
                <w:sz w:val="1"/>
                <w:szCs w:val="1"/>
                <w:color w:val="auto"/>
              </w:rPr>
            </w:pPr>
          </w:p>
        </w:tc>
      </w:tr>
      <w:tr>
        <w:trPr>
          <w:trHeight w:val="97"/>
        </w:trPr>
        <w:tc>
          <w:tcPr>
            <w:tcW w:w="6220" w:type="dxa"/>
            <w:vAlign w:val="bottom"/>
            <w:vMerge w:val="continue"/>
          </w:tcPr>
          <w:p>
            <w:pPr>
              <w:spacing w:after="0"/>
              <w:rPr>
                <w:sz w:val="8"/>
                <w:szCs w:val="8"/>
                <w:color w:val="auto"/>
              </w:rPr>
            </w:pPr>
          </w:p>
        </w:tc>
        <w:tc>
          <w:tcPr>
            <w:tcW w:w="28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non-recurring writedowns or writeoffs of assets</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non-recurring extraordinary</w:t>
            </w:r>
          </w:p>
        </w:tc>
        <w:tc>
          <w:tcPr>
            <w:tcW w:w="2800" w:type="dxa"/>
            <w:vAlign w:val="bottom"/>
          </w:tcPr>
          <w:p>
            <w:pPr>
              <w:ind w:left="760"/>
              <w:spacing w:after="0"/>
              <w:rPr>
                <w:sz w:val="20"/>
                <w:szCs w:val="20"/>
                <w:color w:val="auto"/>
              </w:rPr>
            </w:pPr>
            <w:r>
              <w:rPr>
                <w:rFonts w:ascii="Courier New" w:cs="Courier New" w:eastAsia="Courier New" w:hAnsi="Courier New"/>
                <w:sz w:val="16"/>
                <w:szCs w:val="16"/>
                <w:color w:val="auto"/>
              </w:rPr>
              <w:t>--------------- (vi)</w:t>
            </w:r>
          </w:p>
        </w:tc>
        <w:tc>
          <w:tcPr>
            <w:tcW w:w="0" w:type="dxa"/>
            <w:vAlign w:val="bottom"/>
          </w:tcPr>
          <w:p>
            <w:pPr>
              <w:spacing w:after="0"/>
              <w:rPr>
                <w:sz w:val="1"/>
                <w:szCs w:val="1"/>
                <w:color w:val="auto"/>
              </w:rPr>
            </w:pPr>
          </w:p>
        </w:tc>
      </w:tr>
      <w:tr>
        <w:trPr>
          <w:trHeight w:val="97"/>
        </w:trPr>
        <w:tc>
          <w:tcPr>
            <w:tcW w:w="622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charges for settlements or judgement costs with</w:t>
            </w:r>
          </w:p>
        </w:tc>
        <w:tc>
          <w:tcPr>
            <w:tcW w:w="28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respect to Shareholder Suits</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w w:val="99"/>
              </w:rPr>
              <w:t>Minus non-cash extraordinary gains on the sale of assets</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 (vii)</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EBIT (sum of (i) through (viii))</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w w:val="95"/>
              </w:rPr>
              <w:t>--------------- (viii)</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Consolidated Net Income of Acquired Businesses</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 (a)</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Plus (without duplication):</w:t>
            </w:r>
          </w:p>
        </w:tc>
        <w:tc>
          <w:tcPr>
            <w:tcW w:w="2800" w:type="dxa"/>
            <w:vAlign w:val="bottom"/>
          </w:tcPr>
          <w:p>
            <w:pPr>
              <w:ind w:left="760"/>
              <w:spacing w:after="0"/>
              <w:rPr>
                <w:sz w:val="20"/>
                <w:szCs w:val="20"/>
                <w:color w:val="auto"/>
              </w:rPr>
            </w:pPr>
            <w:r>
              <w:rPr>
                <w:rFonts w:ascii="Courier New" w:cs="Courier New" w:eastAsia="Courier New" w:hAnsi="Courier New"/>
                <w:sz w:val="16"/>
                <w:szCs w:val="16"/>
                <w:color w:val="auto"/>
              </w:rPr>
              <w:t>--------------- (i)</w:t>
            </w:r>
          </w:p>
        </w:tc>
        <w:tc>
          <w:tcPr>
            <w:tcW w:w="0" w:type="dxa"/>
            <w:vAlign w:val="bottom"/>
          </w:tcPr>
          <w:p>
            <w:pPr>
              <w:spacing w:after="0"/>
              <w:rPr>
                <w:sz w:val="1"/>
                <w:szCs w:val="1"/>
                <w:color w:val="auto"/>
              </w:rPr>
            </w:pPr>
          </w:p>
        </w:tc>
      </w:tr>
      <w:tr>
        <w:trPr>
          <w:trHeight w:val="97"/>
        </w:trPr>
        <w:tc>
          <w:tcPr>
            <w:tcW w:w="6220" w:type="dxa"/>
            <w:vAlign w:val="bottom"/>
            <w:vMerge w:val="continue"/>
          </w:tcPr>
          <w:p>
            <w:pPr>
              <w:spacing w:after="0"/>
              <w:rPr>
                <w:sz w:val="8"/>
                <w:szCs w:val="8"/>
                <w:color w:val="auto"/>
              </w:rPr>
            </w:pPr>
          </w:p>
        </w:tc>
        <w:tc>
          <w:tcPr>
            <w:tcW w:w="2800" w:type="dxa"/>
            <w:vAlign w:val="bottom"/>
            <w:vMerge w:val="restart"/>
          </w:tcPr>
          <w:p>
            <w:pPr>
              <w:ind w:left="6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tcPr>
          <w:p>
            <w:pPr>
              <w:ind w:left="1580"/>
              <w:spacing w:after="0" w:line="179" w:lineRule="exact"/>
              <w:rPr>
                <w:sz w:val="20"/>
                <w:szCs w:val="20"/>
                <w:color w:val="auto"/>
              </w:rPr>
            </w:pPr>
            <w:r>
              <w:rPr>
                <w:rFonts w:ascii="Courier New" w:cs="Courier New" w:eastAsia="Courier New" w:hAnsi="Courier New"/>
                <w:sz w:val="16"/>
                <w:szCs w:val="16"/>
                <w:color w:val="auto"/>
              </w:rPr>
              <w:t>interest expense</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20" w:type="dxa"/>
            <w:vAlign w:val="bottom"/>
            <w:vMerge w:val="restart"/>
          </w:tcPr>
          <w:p>
            <w:pPr>
              <w:ind w:left="1580"/>
              <w:spacing w:after="0"/>
              <w:rPr>
                <w:sz w:val="20"/>
                <w:szCs w:val="20"/>
                <w:color w:val="auto"/>
              </w:rPr>
            </w:pPr>
            <w:r>
              <w:rPr>
                <w:rFonts w:ascii="Courier New" w:cs="Courier New" w:eastAsia="Courier New" w:hAnsi="Courier New"/>
                <w:sz w:val="16"/>
                <w:szCs w:val="16"/>
                <w:color w:val="auto"/>
              </w:rPr>
              <w:t>income tax expense</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 (ii)</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EBIT of Acquired Businesses (sum of (i) through (iii))</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 (iii)</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Sum of (a) plus (b)</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 (b)</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Consolidated Total Interest Expense</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 (c)</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ind w:left="660"/>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220" w:type="dxa"/>
            <w:vAlign w:val="bottom"/>
            <w:vMerge w:val="restart"/>
          </w:tcPr>
          <w:p>
            <w:pPr>
              <w:ind w:left="840"/>
              <w:spacing w:after="0"/>
              <w:rPr>
                <w:sz w:val="20"/>
                <w:szCs w:val="20"/>
                <w:color w:val="auto"/>
              </w:rPr>
            </w:pPr>
            <w:r>
              <w:rPr>
                <w:rFonts w:ascii="Courier New" w:cs="Courier New" w:eastAsia="Courier New" w:hAnsi="Courier New"/>
                <w:sz w:val="16"/>
                <w:szCs w:val="16"/>
                <w:color w:val="auto"/>
              </w:rPr>
              <w:t>Ratio of (c) to (d)</w:t>
            </w:r>
          </w:p>
        </w:tc>
        <w:tc>
          <w:tcPr>
            <w:tcW w:w="2800" w:type="dxa"/>
            <w:vAlign w:val="bottom"/>
          </w:tcPr>
          <w:p>
            <w:pPr>
              <w:ind w:left="760"/>
              <w:spacing w:after="0" w:line="179" w:lineRule="exact"/>
              <w:rPr>
                <w:sz w:val="20"/>
                <w:szCs w:val="20"/>
                <w:color w:val="auto"/>
              </w:rPr>
            </w:pPr>
            <w:r>
              <w:rPr>
                <w:rFonts w:ascii="Courier New" w:cs="Courier New" w:eastAsia="Courier New" w:hAnsi="Courier New"/>
                <w:sz w:val="16"/>
                <w:szCs w:val="16"/>
                <w:color w:val="auto"/>
              </w:rPr>
              <w:t>--------------- (d)</w:t>
            </w:r>
          </w:p>
        </w:tc>
        <w:tc>
          <w:tcPr>
            <w:tcW w:w="0" w:type="dxa"/>
            <w:vAlign w:val="bottom"/>
          </w:tcPr>
          <w:p>
            <w:pPr>
              <w:spacing w:after="0"/>
              <w:rPr>
                <w:sz w:val="1"/>
                <w:szCs w:val="1"/>
                <w:color w:val="auto"/>
              </w:rPr>
            </w:pPr>
          </w:p>
        </w:tc>
      </w:tr>
      <w:tr>
        <w:trPr>
          <w:trHeight w:val="179"/>
        </w:trPr>
        <w:tc>
          <w:tcPr>
            <w:tcW w:w="6220" w:type="dxa"/>
            <w:vAlign w:val="bottom"/>
            <w:vMerge w:val="continue"/>
          </w:tcPr>
          <w:p>
            <w:pPr>
              <w:spacing w:after="0"/>
              <w:rPr>
                <w:sz w:val="15"/>
                <w:szCs w:val="15"/>
                <w:color w:val="auto"/>
              </w:rPr>
            </w:pPr>
          </w:p>
        </w:tc>
        <w:tc>
          <w:tcPr>
            <w:tcW w:w="2800" w:type="dxa"/>
            <w:vAlign w:val="bottom"/>
          </w:tcPr>
          <w:p>
            <w:pPr>
              <w:jc w:val="right"/>
              <w:ind w:right="114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622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Minimum ratio for the fiscal quarters ending:</w:t>
            </w:r>
          </w:p>
        </w:tc>
        <w:tc>
          <w:tcPr>
            <w:tcW w:w="28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97"/>
        </w:trPr>
        <w:tc>
          <w:tcPr>
            <w:tcW w:w="6220" w:type="dxa"/>
            <w:vAlign w:val="bottom"/>
            <w:vMerge w:val="continue"/>
          </w:tcPr>
          <w:p>
            <w:pPr>
              <w:spacing w:after="0"/>
              <w:rPr>
                <w:sz w:val="8"/>
                <w:szCs w:val="8"/>
                <w:color w:val="auto"/>
              </w:rPr>
            </w:pPr>
          </w:p>
        </w:tc>
        <w:tc>
          <w:tcPr>
            <w:tcW w:w="2800" w:type="dxa"/>
            <w:vAlign w:val="bottom"/>
            <w:vMerge w:val="restart"/>
          </w:tcPr>
          <w:p>
            <w:pPr>
              <w:ind w:left="1120"/>
              <w:spacing w:after="0"/>
              <w:rPr>
                <w:sz w:val="20"/>
                <w:szCs w:val="20"/>
                <w:color w:val="auto"/>
              </w:rPr>
            </w:pPr>
            <w:r>
              <w:rPr>
                <w:rFonts w:ascii="Courier New" w:cs="Courier New" w:eastAsia="Courier New" w:hAnsi="Courier New"/>
                <w:sz w:val="16"/>
                <w:szCs w:val="16"/>
                <w:color w:val="auto"/>
              </w:rPr>
              <w:t>2.25:1</w:t>
            </w:r>
          </w:p>
        </w:tc>
        <w:tc>
          <w:tcPr>
            <w:tcW w:w="0" w:type="dxa"/>
            <w:vAlign w:val="bottom"/>
          </w:tcPr>
          <w:p>
            <w:pPr>
              <w:spacing w:after="0"/>
              <w:rPr>
                <w:sz w:val="1"/>
                <w:szCs w:val="1"/>
                <w:color w:val="auto"/>
              </w:rPr>
            </w:pPr>
          </w:p>
        </w:tc>
      </w:tr>
      <w:tr>
        <w:trPr>
          <w:trHeight w:val="179"/>
        </w:trPr>
        <w:tc>
          <w:tcPr>
            <w:tcW w:w="622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6/30/01 - 12/31/01</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220" w:type="dxa"/>
            <w:vAlign w:val="bottom"/>
          </w:tcPr>
          <w:p>
            <w:pPr>
              <w:ind w:left="1400"/>
              <w:spacing w:after="0" w:line="179" w:lineRule="exact"/>
              <w:rPr>
                <w:sz w:val="20"/>
                <w:szCs w:val="20"/>
                <w:color w:val="auto"/>
              </w:rPr>
            </w:pPr>
            <w:r>
              <w:rPr>
                <w:rFonts w:ascii="Courier New" w:cs="Courier New" w:eastAsia="Courier New" w:hAnsi="Courier New"/>
                <w:sz w:val="16"/>
                <w:szCs w:val="16"/>
                <w:color w:val="auto"/>
              </w:rPr>
              <w:t>3/31/02 - 12/31/02</w:t>
            </w:r>
          </w:p>
        </w:tc>
        <w:tc>
          <w:tcPr>
            <w:tcW w:w="280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2.50:1</w:t>
            </w:r>
          </w:p>
        </w:tc>
        <w:tc>
          <w:tcPr>
            <w:tcW w:w="0" w:type="dxa"/>
            <w:vAlign w:val="bottom"/>
          </w:tcPr>
          <w:p>
            <w:pPr>
              <w:spacing w:after="0"/>
              <w:rPr>
                <w:sz w:val="1"/>
                <w:szCs w:val="1"/>
                <w:color w:val="auto"/>
              </w:rPr>
            </w:pPr>
          </w:p>
        </w:tc>
      </w:tr>
      <w:tr>
        <w:trPr>
          <w:trHeight w:val="261"/>
        </w:trPr>
        <w:tc>
          <w:tcPr>
            <w:tcW w:w="6220" w:type="dxa"/>
            <w:vAlign w:val="bottom"/>
          </w:tcPr>
          <w:p>
            <w:pPr>
              <w:ind w:left="1400"/>
              <w:spacing w:after="0"/>
              <w:rPr>
                <w:sz w:val="20"/>
                <w:szCs w:val="20"/>
                <w:color w:val="auto"/>
              </w:rPr>
            </w:pPr>
            <w:r>
              <w:rPr>
                <w:rFonts w:ascii="Courier New" w:cs="Courier New" w:eastAsia="Courier New" w:hAnsi="Courier New"/>
                <w:sz w:val="16"/>
                <w:szCs w:val="16"/>
                <w:color w:val="auto"/>
              </w:rPr>
              <w:t>3/31/03 and thereafter</w:t>
            </w:r>
          </w:p>
        </w:tc>
        <w:tc>
          <w:tcPr>
            <w:tcW w:w="2800" w:type="dxa"/>
            <w:vAlign w:val="bottom"/>
          </w:tcPr>
          <w:p>
            <w:pPr>
              <w:ind w:left="1120"/>
              <w:spacing w:after="0"/>
              <w:rPr>
                <w:sz w:val="20"/>
                <w:szCs w:val="20"/>
                <w:color w:val="auto"/>
              </w:rPr>
            </w:pPr>
            <w:r>
              <w:rPr>
                <w:rFonts w:ascii="Courier New" w:cs="Courier New" w:eastAsia="Courier New" w:hAnsi="Courier New"/>
                <w:sz w:val="16"/>
                <w:szCs w:val="16"/>
                <w:color w:val="auto"/>
              </w:rPr>
              <w:t>3.00:1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288" w:name="page289"/>
    <w:bookmarkEnd w:id="288"/>
    <w:p>
      <w:pPr>
        <w:ind w:left="280"/>
        <w:spacing w:after="0"/>
        <w:rPr>
          <w:sz w:val="20"/>
          <w:szCs w:val="20"/>
          <w:color w:val="auto"/>
        </w:rPr>
      </w:pPr>
      <w:r>
        <w:rPr>
          <w:rFonts w:ascii="Courier New" w:cs="Courier New" w:eastAsia="Courier New" w:hAnsi="Courier New"/>
          <w:sz w:val="16"/>
          <w:szCs w:val="16"/>
          <w:color w:val="auto"/>
        </w:rPr>
        <w:t>103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20" w:type="dxa"/>
            <w:vAlign w:val="bottom"/>
          </w:tcPr>
          <w:p>
            <w:pPr>
              <w:spacing w:after="0"/>
              <w:rPr>
                <w:sz w:val="22"/>
                <w:szCs w:val="22"/>
                <w:color w:val="auto"/>
              </w:rPr>
            </w:pPr>
          </w:p>
        </w:tc>
        <w:tc>
          <w:tcPr>
            <w:tcW w:w="5300" w:type="dxa"/>
            <w:vAlign w:val="bottom"/>
          </w:tcPr>
          <w:p>
            <w:pPr>
              <w:ind w:left="2420"/>
              <w:spacing w:after="0"/>
              <w:rPr>
                <w:sz w:val="20"/>
                <w:szCs w:val="20"/>
                <w:color w:val="auto"/>
              </w:rPr>
            </w:pPr>
            <w:r>
              <w:rPr>
                <w:rFonts w:ascii="Courier New" w:cs="Courier New" w:eastAsia="Courier New" w:hAnsi="Courier New"/>
                <w:sz w:val="16"/>
                <w:szCs w:val="16"/>
                <w:color w:val="auto"/>
              </w:rPr>
              <w:t>-2-</w:t>
            </w: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0"/>
        </w:trPr>
        <w:tc>
          <w:tcPr>
            <w:tcW w:w="1120" w:type="dxa"/>
            <w:vAlign w:val="bottom"/>
          </w:tcPr>
          <w:p>
            <w:pPr>
              <w:spacing w:after="0"/>
              <w:rPr>
                <w:sz w:val="20"/>
                <w:szCs w:val="20"/>
                <w:color w:val="auto"/>
              </w:rPr>
            </w:pPr>
            <w:r>
              <w:rPr>
                <w:rFonts w:ascii="Courier New" w:cs="Courier New" w:eastAsia="Courier New" w:hAnsi="Courier New"/>
                <w:sz w:val="16"/>
                <w:szCs w:val="16"/>
                <w:color w:val="auto"/>
                <w:w w:val="95"/>
              </w:rPr>
              <w:t>SECTION 10.2</w:t>
            </w:r>
          </w:p>
        </w:tc>
        <w:tc>
          <w:tcPr>
            <w:tcW w:w="5300" w:type="dxa"/>
            <w:vAlign w:val="bottom"/>
          </w:tcPr>
          <w:p>
            <w:pPr>
              <w:ind w:left="280"/>
              <w:spacing w:after="0"/>
              <w:rPr>
                <w:sz w:val="20"/>
                <w:szCs w:val="20"/>
                <w:color w:val="auto"/>
              </w:rPr>
            </w:pPr>
            <w:r>
              <w:rPr>
                <w:rFonts w:ascii="Courier New" w:cs="Courier New" w:eastAsia="Courier New" w:hAnsi="Courier New"/>
                <w:sz w:val="16"/>
                <w:szCs w:val="16"/>
                <w:color w:val="auto"/>
              </w:rPr>
              <w:t>TOTAL DEBT TO EBITDA</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64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EBIT (from Section 10.1 item (c) above)</w:t>
            </w:r>
          </w:p>
        </w:tc>
        <w:tc>
          <w:tcPr>
            <w:tcW w:w="2600" w:type="dxa"/>
            <w:vAlign w:val="bottom"/>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300" w:type="dxa"/>
            <w:vAlign w:val="bottom"/>
            <w:vMerge w:val="restart"/>
          </w:tcPr>
          <w:p>
            <w:pPr>
              <w:spacing w:after="0"/>
              <w:rPr>
                <w:sz w:val="20"/>
                <w:szCs w:val="20"/>
                <w:color w:val="auto"/>
              </w:rPr>
            </w:pPr>
            <w:r>
              <w:rPr>
                <w:rFonts w:ascii="Courier New" w:cs="Courier New" w:eastAsia="Courier New" w:hAnsi="Courier New"/>
                <w:sz w:val="16"/>
                <w:szCs w:val="16"/>
                <w:color w:val="auto"/>
              </w:rPr>
              <w:t>Plus:</w:t>
            </w:r>
          </w:p>
        </w:tc>
        <w:tc>
          <w:tcPr>
            <w:tcW w:w="2600" w:type="dxa"/>
            <w:vAlign w:val="bottom"/>
          </w:tcPr>
          <w:p>
            <w:pPr>
              <w:ind w:left="560"/>
              <w:spacing w:after="0"/>
              <w:rPr>
                <w:sz w:val="20"/>
                <w:szCs w:val="20"/>
                <w:color w:val="auto"/>
              </w:rPr>
            </w:pPr>
            <w:r>
              <w:rPr>
                <w:rFonts w:ascii="Courier New" w:cs="Courier New" w:eastAsia="Courier New" w:hAnsi="Courier New"/>
                <w:sz w:val="16"/>
                <w:szCs w:val="16"/>
                <w:color w:val="auto"/>
              </w:rPr>
              <w:t>--------------- (i)</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continue"/>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120" w:type="dxa"/>
            <w:vAlign w:val="bottom"/>
          </w:tcPr>
          <w:p>
            <w:pPr>
              <w:spacing w:after="0"/>
              <w:rPr>
                <w:sz w:val="23"/>
                <w:szCs w:val="23"/>
                <w:color w:val="auto"/>
              </w:rPr>
            </w:pPr>
          </w:p>
        </w:tc>
        <w:tc>
          <w:tcPr>
            <w:tcW w:w="5300" w:type="dxa"/>
            <w:vAlign w:val="bottom"/>
          </w:tcPr>
          <w:p>
            <w:pPr>
              <w:ind w:left="460"/>
              <w:spacing w:after="0"/>
              <w:rPr>
                <w:sz w:val="20"/>
                <w:szCs w:val="20"/>
                <w:color w:val="auto"/>
              </w:rPr>
            </w:pPr>
            <w:r>
              <w:rPr>
                <w:rFonts w:ascii="Courier New" w:cs="Courier New" w:eastAsia="Courier New" w:hAnsi="Courier New"/>
                <w:sz w:val="16"/>
                <w:szCs w:val="16"/>
                <w:color w:val="auto"/>
              </w:rPr>
              <w:t>Depreciation expense</w:t>
            </w:r>
          </w:p>
        </w:tc>
        <w:tc>
          <w:tcPr>
            <w:tcW w:w="2600" w:type="dxa"/>
            <w:vAlign w:val="bottom"/>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Amortization expense</w:t>
            </w:r>
          </w:p>
        </w:tc>
        <w:tc>
          <w:tcPr>
            <w:tcW w:w="26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(ii)</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continue"/>
          </w:tcPr>
          <w:p>
            <w:pPr>
              <w:spacing w:after="0"/>
              <w:rPr>
                <w:sz w:val="15"/>
                <w:szCs w:val="15"/>
                <w:color w:val="auto"/>
              </w:rPr>
            </w:pPr>
          </w:p>
        </w:tc>
        <w:tc>
          <w:tcPr>
            <w:tcW w:w="2600" w:type="dxa"/>
            <w:vAlign w:val="bottom"/>
          </w:tcPr>
          <w:p>
            <w:pPr>
              <w:jc w:val="right"/>
              <w:ind w:right="196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EBITDA (sum of (i) through (iii))</w:t>
            </w:r>
          </w:p>
        </w:tc>
        <w:tc>
          <w:tcPr>
            <w:tcW w:w="26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(iii)</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continue"/>
          </w:tcPr>
          <w:p>
            <w:pPr>
              <w:spacing w:after="0"/>
              <w:rPr>
                <w:sz w:val="15"/>
                <w:szCs w:val="15"/>
                <w:color w:val="auto"/>
              </w:rPr>
            </w:pPr>
          </w:p>
        </w:tc>
        <w:tc>
          <w:tcPr>
            <w:tcW w:w="2600" w:type="dxa"/>
            <w:vAlign w:val="bottom"/>
          </w:tcPr>
          <w:p>
            <w:pPr>
              <w:jc w:val="right"/>
              <w:ind w:right="196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6420" w:type="dxa"/>
            <w:vAlign w:val="bottom"/>
            <w:gridSpan w:val="2"/>
            <w:vMerge w:val="restart"/>
          </w:tcPr>
          <w:p>
            <w:pPr>
              <w:ind w:left="460"/>
              <w:spacing w:after="0"/>
              <w:rPr>
                <w:sz w:val="20"/>
                <w:szCs w:val="20"/>
                <w:color w:val="auto"/>
              </w:rPr>
            </w:pPr>
            <w:r>
              <w:rPr>
                <w:rFonts w:ascii="Courier New" w:cs="Courier New" w:eastAsia="Courier New" w:hAnsi="Courier New"/>
                <w:sz w:val="16"/>
                <w:szCs w:val="16"/>
                <w:color w:val="auto"/>
              </w:rPr>
              <w:t>The sum of the following (calculated on a</w:t>
            </w:r>
          </w:p>
        </w:tc>
        <w:tc>
          <w:tcPr>
            <w:tcW w:w="2600" w:type="dxa"/>
            <w:vAlign w:val="bottom"/>
          </w:tcPr>
          <w:p>
            <w:pPr>
              <w:ind w:left="560"/>
              <w:spacing w:after="0"/>
              <w:rPr>
                <w:sz w:val="20"/>
                <w:szCs w:val="20"/>
                <w:color w:val="auto"/>
              </w:rPr>
            </w:pPr>
            <w:r>
              <w:rPr>
                <w:rFonts w:ascii="Courier New" w:cs="Courier New" w:eastAsia="Courier New" w:hAnsi="Courier New"/>
                <w:sz w:val="16"/>
                <w:szCs w:val="16"/>
                <w:color w:val="auto"/>
              </w:rPr>
              <w:t>--------------- (iv)</w:t>
            </w:r>
          </w:p>
        </w:tc>
        <w:tc>
          <w:tcPr>
            <w:tcW w:w="0" w:type="dxa"/>
            <w:vAlign w:val="bottom"/>
          </w:tcPr>
          <w:p>
            <w:pPr>
              <w:spacing w:after="0"/>
              <w:rPr>
                <w:sz w:val="1"/>
                <w:szCs w:val="1"/>
                <w:color w:val="auto"/>
              </w:rPr>
            </w:pPr>
          </w:p>
        </w:tc>
      </w:tr>
      <w:tr>
        <w:trPr>
          <w:trHeight w:val="97"/>
        </w:trPr>
        <w:tc>
          <w:tcPr>
            <w:tcW w:w="6420" w:type="dxa"/>
            <w:vAlign w:val="bottom"/>
            <w:gridSpan w:val="2"/>
            <w:vMerge w:val="continue"/>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642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consolidated basis for the Borrower and</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its Subsidiaries):</w:t>
            </w:r>
          </w:p>
        </w:tc>
        <w:tc>
          <w:tcPr>
            <w:tcW w:w="2600" w:type="dxa"/>
            <w:vAlign w:val="bottom"/>
            <w:vMerge w:val="restart"/>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Indebtedness for borrowed money</w:t>
            </w: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Obligations for deferred purchase price of</w:t>
            </w:r>
          </w:p>
        </w:tc>
        <w:tc>
          <w:tcPr>
            <w:tcW w:w="2600" w:type="dxa"/>
            <w:vAlign w:val="bottom"/>
          </w:tcPr>
          <w:p>
            <w:pPr>
              <w:ind w:left="560"/>
              <w:spacing w:after="0"/>
              <w:rPr>
                <w:sz w:val="20"/>
                <w:szCs w:val="20"/>
                <w:color w:val="auto"/>
              </w:rPr>
            </w:pPr>
            <w:r>
              <w:rPr>
                <w:rFonts w:ascii="Courier New" w:cs="Courier New" w:eastAsia="Courier New" w:hAnsi="Courier New"/>
                <w:sz w:val="16"/>
                <w:szCs w:val="16"/>
                <w:color w:val="auto"/>
              </w:rPr>
              <w:t>--------------- (v)</w:t>
            </w: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5300" w:type="dxa"/>
            <w:vAlign w:val="bottom"/>
            <w:vMerge w:val="continue"/>
          </w:tcPr>
          <w:p>
            <w:pPr>
              <w:spacing w:after="0"/>
              <w:rPr>
                <w:sz w:val="8"/>
                <w:szCs w:val="8"/>
                <w:color w:val="auto"/>
              </w:rPr>
            </w:pPr>
          </w:p>
        </w:tc>
        <w:tc>
          <w:tcPr>
            <w:tcW w:w="2600" w:type="dxa"/>
            <w:vAlign w:val="bottom"/>
            <w:vMerge w:val="restart"/>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property or services (other than trade payables)</w:t>
            </w: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Obligations evidenced by debt instruments</w:t>
            </w:r>
          </w:p>
        </w:tc>
        <w:tc>
          <w:tcPr>
            <w:tcW w:w="26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(vi)</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continue"/>
          </w:tcPr>
          <w:p>
            <w:pPr>
              <w:spacing w:after="0"/>
              <w:rPr>
                <w:sz w:val="15"/>
                <w:szCs w:val="15"/>
                <w:color w:val="auto"/>
              </w:rPr>
            </w:pPr>
          </w:p>
        </w:tc>
        <w:tc>
          <w:tcPr>
            <w:tcW w:w="2600" w:type="dxa"/>
            <w:vAlign w:val="bottom"/>
          </w:tcPr>
          <w:p>
            <w:pPr>
              <w:jc w:val="right"/>
              <w:ind w:right="196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Obligations under conditional sales</w:t>
            </w:r>
          </w:p>
        </w:tc>
        <w:tc>
          <w:tcPr>
            <w:tcW w:w="26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(vii)</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continue"/>
          </w:tcPr>
          <w:p>
            <w:pPr>
              <w:spacing w:after="0"/>
              <w:rPr>
                <w:sz w:val="15"/>
                <w:szCs w:val="15"/>
                <w:color w:val="auto"/>
              </w:rPr>
            </w:pPr>
          </w:p>
        </w:tc>
        <w:tc>
          <w:tcPr>
            <w:tcW w:w="2600" w:type="dxa"/>
            <w:vAlign w:val="bottom"/>
          </w:tcPr>
          <w:p>
            <w:pPr>
              <w:jc w:val="right"/>
              <w:ind w:right="196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Obligations, liabilities and indebtedness</w:t>
            </w:r>
          </w:p>
        </w:tc>
        <w:tc>
          <w:tcPr>
            <w:tcW w:w="2600" w:type="dxa"/>
            <w:vAlign w:val="bottom"/>
          </w:tcPr>
          <w:p>
            <w:pPr>
              <w:ind w:left="560"/>
              <w:spacing w:after="0"/>
              <w:rPr>
                <w:sz w:val="20"/>
                <w:szCs w:val="20"/>
                <w:color w:val="auto"/>
              </w:rPr>
            </w:pPr>
            <w:r>
              <w:rPr>
                <w:rFonts w:ascii="Courier New" w:cs="Courier New" w:eastAsia="Courier New" w:hAnsi="Courier New"/>
                <w:sz w:val="16"/>
                <w:szCs w:val="16"/>
                <w:color w:val="auto"/>
                <w:w w:val="95"/>
              </w:rPr>
              <w:t>--------------- (viii)</w:t>
            </w: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5300" w:type="dxa"/>
            <w:vAlign w:val="bottom"/>
            <w:vMerge w:val="continue"/>
          </w:tcPr>
          <w:p>
            <w:pPr>
              <w:spacing w:after="0"/>
              <w:rPr>
                <w:sz w:val="8"/>
                <w:szCs w:val="8"/>
                <w:color w:val="auto"/>
              </w:rPr>
            </w:pPr>
          </w:p>
        </w:tc>
        <w:tc>
          <w:tcPr>
            <w:tcW w:w="2600" w:type="dxa"/>
            <w:vAlign w:val="bottom"/>
            <w:vMerge w:val="restart"/>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under Capitalized Leases</w:t>
            </w: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Obligations, liabilities and indebtedness</w:t>
            </w:r>
          </w:p>
        </w:tc>
        <w:tc>
          <w:tcPr>
            <w:tcW w:w="2600" w:type="dxa"/>
            <w:vAlign w:val="bottom"/>
          </w:tcPr>
          <w:p>
            <w:pPr>
              <w:ind w:left="560"/>
              <w:spacing w:after="0"/>
              <w:rPr>
                <w:sz w:val="20"/>
                <w:szCs w:val="20"/>
                <w:color w:val="auto"/>
              </w:rPr>
            </w:pPr>
            <w:r>
              <w:rPr>
                <w:rFonts w:ascii="Courier New" w:cs="Courier New" w:eastAsia="Courier New" w:hAnsi="Courier New"/>
                <w:sz w:val="16"/>
                <w:szCs w:val="16"/>
                <w:color w:val="auto"/>
              </w:rPr>
              <w:t>--------------- (ix)</w:t>
            </w: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5300" w:type="dxa"/>
            <w:vAlign w:val="bottom"/>
            <w:vMerge w:val="continue"/>
          </w:tcPr>
          <w:p>
            <w:pPr>
              <w:spacing w:after="0"/>
              <w:rPr>
                <w:sz w:val="8"/>
                <w:szCs w:val="8"/>
                <w:color w:val="auto"/>
              </w:rPr>
            </w:pPr>
          </w:p>
        </w:tc>
        <w:tc>
          <w:tcPr>
            <w:tcW w:w="2600" w:type="dxa"/>
            <w:vAlign w:val="bottom"/>
            <w:vMerge w:val="restart"/>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under bonding arrangements</w:t>
            </w: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 the extent that a surety has been called upon</w:t>
            </w:r>
          </w:p>
        </w:tc>
        <w:tc>
          <w:tcPr>
            <w:tcW w:w="2600" w:type="dxa"/>
            <w:vAlign w:val="bottom"/>
          </w:tcPr>
          <w:p>
            <w:pPr>
              <w:ind w:left="560"/>
              <w:spacing w:after="0"/>
              <w:rPr>
                <w:sz w:val="20"/>
                <w:szCs w:val="20"/>
                <w:color w:val="auto"/>
              </w:rPr>
            </w:pPr>
            <w:r>
              <w:rPr>
                <w:rFonts w:ascii="Courier New" w:cs="Courier New" w:eastAsia="Courier New" w:hAnsi="Courier New"/>
                <w:sz w:val="16"/>
                <w:szCs w:val="16"/>
                <w:color w:val="auto"/>
              </w:rPr>
              <w:t>--------------- (x)</w:t>
            </w: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5300" w:type="dxa"/>
            <w:vAlign w:val="bottom"/>
            <w:vMerge w:val="continue"/>
          </w:tcPr>
          <w:p>
            <w:pPr>
              <w:spacing w:after="0"/>
              <w:rPr>
                <w:sz w:val="8"/>
                <w:szCs w:val="8"/>
                <w:color w:val="auto"/>
              </w:rPr>
            </w:pPr>
          </w:p>
        </w:tc>
        <w:tc>
          <w:tcPr>
            <w:tcW w:w="2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to make payment on a bond)</w:t>
            </w:r>
          </w:p>
        </w:tc>
        <w:tc>
          <w:tcPr>
            <w:tcW w:w="2600" w:type="dxa"/>
            <w:vAlign w:val="bottom"/>
            <w:vMerge w:val="restart"/>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Guaranties of the Indebtedness of others</w:t>
            </w: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Indebtedness secured by liens or</w:t>
            </w:r>
          </w:p>
        </w:tc>
        <w:tc>
          <w:tcPr>
            <w:tcW w:w="2600" w:type="dxa"/>
            <w:vAlign w:val="bottom"/>
          </w:tcPr>
          <w:p>
            <w:pPr>
              <w:ind w:left="560"/>
              <w:spacing w:after="0"/>
              <w:rPr>
                <w:sz w:val="20"/>
                <w:szCs w:val="20"/>
                <w:color w:val="auto"/>
              </w:rPr>
            </w:pPr>
            <w:r>
              <w:rPr>
                <w:rFonts w:ascii="Courier New" w:cs="Courier New" w:eastAsia="Courier New" w:hAnsi="Courier New"/>
                <w:sz w:val="16"/>
                <w:szCs w:val="16"/>
                <w:color w:val="auto"/>
              </w:rPr>
              <w:t>--------------- (xi)</w:t>
            </w: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5300" w:type="dxa"/>
            <w:vAlign w:val="bottom"/>
            <w:vMerge w:val="continue"/>
          </w:tcPr>
          <w:p>
            <w:pPr>
              <w:spacing w:after="0"/>
              <w:rPr>
                <w:sz w:val="8"/>
                <w:szCs w:val="8"/>
                <w:color w:val="auto"/>
              </w:rPr>
            </w:pPr>
          </w:p>
        </w:tc>
        <w:tc>
          <w:tcPr>
            <w:tcW w:w="2600" w:type="dxa"/>
            <w:vAlign w:val="bottom"/>
            <w:vMerge w:val="restart"/>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encumbrances on property</w:t>
            </w: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Swap Obligations</w:t>
            </w:r>
          </w:p>
        </w:tc>
        <w:tc>
          <w:tcPr>
            <w:tcW w:w="26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(xii)</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vMerge w:val="continue"/>
          </w:tcPr>
          <w:p>
            <w:pPr>
              <w:spacing w:after="0"/>
              <w:rPr>
                <w:sz w:val="15"/>
                <w:szCs w:val="15"/>
                <w:color w:val="auto"/>
              </w:rPr>
            </w:pPr>
          </w:p>
        </w:tc>
        <w:tc>
          <w:tcPr>
            <w:tcW w:w="2600" w:type="dxa"/>
            <w:vAlign w:val="bottom"/>
          </w:tcPr>
          <w:p>
            <w:pPr>
              <w:jc w:val="right"/>
              <w:ind w:right="196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30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Reimbursement obligations</w:t>
            </w:r>
          </w:p>
        </w:tc>
        <w:tc>
          <w:tcPr>
            <w:tcW w:w="2600" w:type="dxa"/>
            <w:vAlign w:val="bottom"/>
          </w:tcPr>
          <w:p>
            <w:pPr>
              <w:ind w:left="560"/>
              <w:spacing w:after="0"/>
              <w:rPr>
                <w:sz w:val="20"/>
                <w:szCs w:val="20"/>
                <w:color w:val="auto"/>
              </w:rPr>
            </w:pPr>
            <w:r>
              <w:rPr>
                <w:rFonts w:ascii="Courier New" w:cs="Courier New" w:eastAsia="Courier New" w:hAnsi="Courier New"/>
                <w:sz w:val="16"/>
                <w:szCs w:val="16"/>
                <w:color w:val="auto"/>
                <w:w w:val="95"/>
              </w:rPr>
              <w:t>--------------- (xiii)</w:t>
            </w:r>
          </w:p>
        </w:tc>
        <w:tc>
          <w:tcPr>
            <w:tcW w:w="0" w:type="dxa"/>
            <w:vAlign w:val="bottom"/>
          </w:tcPr>
          <w:p>
            <w:pPr>
              <w:spacing w:after="0"/>
              <w:rPr>
                <w:sz w:val="1"/>
                <w:szCs w:val="1"/>
                <w:color w:val="auto"/>
              </w:rPr>
            </w:pPr>
          </w:p>
        </w:tc>
      </w:tr>
      <w:tr>
        <w:trPr>
          <w:trHeight w:val="97"/>
        </w:trPr>
        <w:tc>
          <w:tcPr>
            <w:tcW w:w="1120" w:type="dxa"/>
            <w:vAlign w:val="bottom"/>
          </w:tcPr>
          <w:p>
            <w:pPr>
              <w:spacing w:after="0"/>
              <w:rPr>
                <w:sz w:val="8"/>
                <w:szCs w:val="8"/>
                <w:color w:val="auto"/>
              </w:rPr>
            </w:pPr>
          </w:p>
        </w:tc>
        <w:tc>
          <w:tcPr>
            <w:tcW w:w="5300" w:type="dxa"/>
            <w:vAlign w:val="bottom"/>
            <w:vMerge w:val="continue"/>
          </w:tcPr>
          <w:p>
            <w:pPr>
              <w:spacing w:after="0"/>
              <w:rPr>
                <w:sz w:val="8"/>
                <w:szCs w:val="8"/>
                <w:color w:val="auto"/>
              </w:rPr>
            </w:pPr>
          </w:p>
        </w:tc>
        <w:tc>
          <w:tcPr>
            <w:tcW w:w="2600" w:type="dxa"/>
            <w:vAlign w:val="bottom"/>
            <w:vMerge w:val="restart"/>
          </w:tcPr>
          <w:p>
            <w:pPr>
              <w:jc w:val="right"/>
              <w:ind w:right="196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53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with respect to letters of credit</w:t>
            </w: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20" w:type="dxa"/>
            <w:vAlign w:val="bottom"/>
            <w:gridSpan w:val="2"/>
            <w:vMerge w:val="restart"/>
          </w:tcPr>
          <w:p>
            <w:pPr>
              <w:ind w:left="460"/>
              <w:spacing w:after="0"/>
              <w:rPr>
                <w:sz w:val="20"/>
                <w:szCs w:val="20"/>
                <w:color w:val="auto"/>
              </w:rPr>
            </w:pPr>
            <w:r>
              <w:rPr>
                <w:rFonts w:ascii="Courier New" w:cs="Courier New" w:eastAsia="Courier New" w:hAnsi="Courier New"/>
                <w:sz w:val="16"/>
                <w:szCs w:val="16"/>
                <w:color w:val="auto"/>
              </w:rPr>
              <w:t>Total Debt (sum of v - xiv)</w:t>
            </w:r>
          </w:p>
        </w:tc>
        <w:tc>
          <w:tcPr>
            <w:tcW w:w="26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(xiv)</w:t>
            </w:r>
          </w:p>
        </w:tc>
        <w:tc>
          <w:tcPr>
            <w:tcW w:w="0" w:type="dxa"/>
            <w:vAlign w:val="bottom"/>
          </w:tcPr>
          <w:p>
            <w:pPr>
              <w:spacing w:after="0"/>
              <w:rPr>
                <w:sz w:val="1"/>
                <w:szCs w:val="1"/>
                <w:color w:val="auto"/>
              </w:rPr>
            </w:pPr>
          </w:p>
        </w:tc>
      </w:tr>
      <w:tr>
        <w:trPr>
          <w:trHeight w:val="179"/>
        </w:trPr>
        <w:tc>
          <w:tcPr>
            <w:tcW w:w="6420" w:type="dxa"/>
            <w:vAlign w:val="bottom"/>
            <w:gridSpan w:val="2"/>
            <w:vMerge w:val="continue"/>
          </w:tcPr>
          <w:p>
            <w:pPr>
              <w:spacing w:after="0"/>
              <w:rPr>
                <w:sz w:val="15"/>
                <w:szCs w:val="15"/>
                <w:color w:val="auto"/>
              </w:rPr>
            </w:pPr>
          </w:p>
        </w:tc>
        <w:tc>
          <w:tcPr>
            <w:tcW w:w="2600" w:type="dxa"/>
            <w:vAlign w:val="bottom"/>
          </w:tcPr>
          <w:p>
            <w:pPr>
              <w:jc w:val="right"/>
              <w:ind w:right="196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420" w:type="dxa"/>
            <w:vAlign w:val="bottom"/>
            <w:gridSpan w:val="2"/>
            <w:vMerge w:val="restart"/>
          </w:tcPr>
          <w:p>
            <w:pPr>
              <w:ind w:left="460"/>
              <w:spacing w:after="0"/>
              <w:rPr>
                <w:sz w:val="20"/>
                <w:szCs w:val="20"/>
                <w:color w:val="auto"/>
              </w:rPr>
            </w:pPr>
            <w:r>
              <w:rPr>
                <w:rFonts w:ascii="Courier New" w:cs="Courier New" w:eastAsia="Courier New" w:hAnsi="Courier New"/>
                <w:sz w:val="16"/>
                <w:szCs w:val="16"/>
                <w:color w:val="auto"/>
              </w:rPr>
              <w:t>Ratio of (xv) to (iv)</w:t>
            </w:r>
          </w:p>
        </w:tc>
        <w:tc>
          <w:tcPr>
            <w:tcW w:w="26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 (xv)</w:t>
            </w:r>
          </w:p>
        </w:tc>
        <w:tc>
          <w:tcPr>
            <w:tcW w:w="0" w:type="dxa"/>
            <w:vAlign w:val="bottom"/>
          </w:tcPr>
          <w:p>
            <w:pPr>
              <w:spacing w:after="0"/>
              <w:rPr>
                <w:sz w:val="1"/>
                <w:szCs w:val="1"/>
                <w:color w:val="auto"/>
              </w:rPr>
            </w:pPr>
          </w:p>
        </w:tc>
      </w:tr>
      <w:tr>
        <w:trPr>
          <w:trHeight w:val="179"/>
        </w:trPr>
        <w:tc>
          <w:tcPr>
            <w:tcW w:w="6420" w:type="dxa"/>
            <w:vAlign w:val="bottom"/>
            <w:gridSpan w:val="2"/>
            <w:vMerge w:val="continue"/>
          </w:tcPr>
          <w:p>
            <w:pPr>
              <w:spacing w:after="0"/>
              <w:rPr>
                <w:sz w:val="15"/>
                <w:szCs w:val="15"/>
                <w:color w:val="auto"/>
              </w:rPr>
            </w:pPr>
          </w:p>
        </w:tc>
        <w:tc>
          <w:tcPr>
            <w:tcW w:w="26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82"/>
              </w:rPr>
              <w:t>:</w:t>
            </w:r>
          </w:p>
        </w:tc>
        <w:tc>
          <w:tcPr>
            <w:tcW w:w="0" w:type="dxa"/>
            <w:vAlign w:val="bottom"/>
          </w:tcPr>
          <w:p>
            <w:pPr>
              <w:spacing w:after="0"/>
              <w:rPr>
                <w:sz w:val="1"/>
                <w:szCs w:val="1"/>
                <w:color w:val="auto"/>
              </w:rPr>
            </w:pPr>
          </w:p>
        </w:tc>
      </w:tr>
      <w:tr>
        <w:trPr>
          <w:trHeight w:val="261"/>
        </w:trPr>
        <w:tc>
          <w:tcPr>
            <w:tcW w:w="1120" w:type="dxa"/>
            <w:vAlign w:val="bottom"/>
          </w:tcPr>
          <w:p>
            <w:pPr>
              <w:spacing w:after="0"/>
              <w:rPr>
                <w:sz w:val="22"/>
                <w:szCs w:val="22"/>
                <w:color w:val="auto"/>
              </w:rPr>
            </w:pPr>
          </w:p>
        </w:tc>
        <w:tc>
          <w:tcPr>
            <w:tcW w:w="5300" w:type="dxa"/>
            <w:vAlign w:val="bottom"/>
          </w:tcPr>
          <w:p>
            <w:pPr>
              <w:spacing w:after="0"/>
              <w:rPr>
                <w:sz w:val="22"/>
                <w:szCs w:val="22"/>
                <w:color w:val="auto"/>
              </w:rPr>
            </w:pPr>
          </w:p>
        </w:tc>
        <w:tc>
          <w:tcPr>
            <w:tcW w:w="26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 ----</w:t>
            </w:r>
          </w:p>
        </w:tc>
        <w:tc>
          <w:tcPr>
            <w:tcW w:w="0" w:type="dxa"/>
            <w:vAlign w:val="bottom"/>
          </w:tcPr>
          <w:p>
            <w:pPr>
              <w:spacing w:after="0"/>
              <w:rPr>
                <w:sz w:val="1"/>
                <w:szCs w:val="1"/>
                <w:color w:val="auto"/>
              </w:rPr>
            </w:pPr>
          </w:p>
        </w:tc>
      </w:tr>
      <w:tr>
        <w:trPr>
          <w:trHeight w:val="358"/>
        </w:trPr>
        <w:tc>
          <w:tcPr>
            <w:tcW w:w="642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Maximum ratio:</w:t>
            </w:r>
          </w:p>
        </w:tc>
        <w:tc>
          <w:tcPr>
            <w:tcW w:w="26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3.00:1.00</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289" w:name="page290"/>
    <w:bookmarkEnd w:id="289"/>
    <w:p>
      <w:pPr>
        <w:ind w:left="280"/>
        <w:spacing w:after="0"/>
        <w:rPr>
          <w:sz w:val="20"/>
          <w:szCs w:val="20"/>
          <w:color w:val="auto"/>
        </w:rPr>
      </w:pPr>
      <w:r>
        <w:rPr>
          <w:rFonts w:ascii="Courier New" w:cs="Courier New" w:eastAsia="Courier New" w:hAnsi="Courier New"/>
          <w:sz w:val="16"/>
          <w:szCs w:val="16"/>
          <w:color w:val="auto"/>
        </w:rPr>
        <w:t>104</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80" w:type="dxa"/>
            <w:vAlign w:val="bottom"/>
          </w:tcPr>
          <w:p>
            <w:pPr>
              <w:spacing w:after="0"/>
              <w:rPr>
                <w:sz w:val="20"/>
                <w:szCs w:val="20"/>
                <w:color w:val="auto"/>
              </w:rPr>
            </w:pPr>
            <w:r>
              <w:rPr>
                <w:rFonts w:ascii="Courier New" w:cs="Courier New" w:eastAsia="Courier New" w:hAnsi="Courier New"/>
                <w:sz w:val="16"/>
                <w:szCs w:val="16"/>
                <w:color w:val="auto"/>
              </w:rPr>
              <w:t>SECTION 10.3 MINIMUM NET WORTH</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4"/>
        </w:trPr>
        <w:tc>
          <w:tcPr>
            <w:tcW w:w="6080" w:type="dxa"/>
            <w:vAlign w:val="bottom"/>
          </w:tcPr>
          <w:p>
            <w:pPr>
              <w:ind w:left="740"/>
              <w:spacing w:after="0"/>
              <w:rPr>
                <w:sz w:val="20"/>
                <w:szCs w:val="20"/>
                <w:color w:val="auto"/>
              </w:rPr>
            </w:pPr>
            <w:r>
              <w:rPr>
                <w:rFonts w:ascii="Courier New" w:cs="Courier New" w:eastAsia="Courier New" w:hAnsi="Courier New"/>
                <w:sz w:val="16"/>
                <w:szCs w:val="16"/>
                <w:color w:val="auto"/>
              </w:rPr>
              <w:t>Consolidated Net Worth</w:t>
            </w:r>
          </w:p>
        </w:tc>
        <w:tc>
          <w:tcPr>
            <w:tcW w:w="2660" w:type="dxa"/>
            <w:vAlign w:val="bottom"/>
          </w:tcPr>
          <w:p>
            <w:pPr>
              <w:jc w:val="right"/>
              <w:ind w:right="16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6080" w:type="dxa"/>
            <w:vAlign w:val="bottom"/>
          </w:tcPr>
          <w:p>
            <w:pPr>
              <w:spacing w:after="0"/>
              <w:rPr>
                <w:sz w:val="22"/>
                <w:szCs w:val="22"/>
                <w:color w:val="auto"/>
              </w:rPr>
            </w:pPr>
          </w:p>
        </w:tc>
        <w:tc>
          <w:tcPr>
            <w:tcW w:w="2660" w:type="dxa"/>
            <w:vAlign w:val="bottom"/>
          </w:tcPr>
          <w:p>
            <w:pPr>
              <w:ind w:left="900"/>
              <w:spacing w:after="0"/>
              <w:rPr>
                <w:sz w:val="20"/>
                <w:szCs w:val="20"/>
                <w:color w:val="auto"/>
              </w:rPr>
            </w:pPr>
            <w:r>
              <w:rPr>
                <w:rFonts w:ascii="Courier New" w:cs="Courier New" w:eastAsia="Courier New" w:hAnsi="Courier New"/>
                <w:sz w:val="16"/>
                <w:szCs w:val="16"/>
                <w:color w:val="auto"/>
                <w:w w:val="95"/>
              </w:rPr>
              <w:t>--------------- (a)</w:t>
            </w:r>
          </w:p>
        </w:tc>
        <w:tc>
          <w:tcPr>
            <w:tcW w:w="0" w:type="dxa"/>
            <w:vAlign w:val="bottom"/>
          </w:tcPr>
          <w:p>
            <w:pPr>
              <w:spacing w:after="0"/>
              <w:rPr>
                <w:sz w:val="1"/>
                <w:szCs w:val="1"/>
                <w:color w:val="auto"/>
              </w:rPr>
            </w:pPr>
          </w:p>
        </w:tc>
      </w:tr>
      <w:tr>
        <w:trPr>
          <w:trHeight w:val="276"/>
        </w:trPr>
        <w:tc>
          <w:tcPr>
            <w:tcW w:w="6080" w:type="dxa"/>
            <w:vAlign w:val="bottom"/>
          </w:tcPr>
          <w:p>
            <w:pPr>
              <w:ind w:left="740"/>
              <w:spacing w:after="0"/>
              <w:rPr>
                <w:sz w:val="20"/>
                <w:szCs w:val="20"/>
                <w:color w:val="auto"/>
              </w:rPr>
            </w:pPr>
            <w:r>
              <w:rPr>
                <w:rFonts w:ascii="Courier New" w:cs="Courier New" w:eastAsia="Courier New" w:hAnsi="Courier New"/>
                <w:sz w:val="16"/>
                <w:szCs w:val="16"/>
                <w:color w:val="auto"/>
              </w:rPr>
              <w:t>Cumulative positive quarterly Consolidated Net</w:t>
            </w: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60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Income (commencing with the fiscal quarter ending</w:t>
            </w:r>
          </w:p>
        </w:tc>
        <w:tc>
          <w:tcPr>
            <w:tcW w:w="2660" w:type="dxa"/>
            <w:vAlign w:val="bottom"/>
            <w:vMerge w:val="restart"/>
          </w:tcPr>
          <w:p>
            <w:pPr>
              <w:jc w:val="right"/>
              <w:ind w:right="168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08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March 31, 2001)</w:t>
            </w:r>
          </w:p>
        </w:tc>
        <w:tc>
          <w:tcPr>
            <w:tcW w:w="2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08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Item (b) multiplied by 0.75</w:t>
            </w:r>
          </w:p>
        </w:tc>
        <w:tc>
          <w:tcPr>
            <w:tcW w:w="2660" w:type="dxa"/>
            <w:vAlign w:val="bottom"/>
          </w:tcPr>
          <w:p>
            <w:pPr>
              <w:ind w:left="900"/>
              <w:spacing w:after="0" w:line="179" w:lineRule="exact"/>
              <w:rPr>
                <w:sz w:val="20"/>
                <w:szCs w:val="20"/>
                <w:color w:val="auto"/>
              </w:rPr>
            </w:pPr>
            <w:r>
              <w:rPr>
                <w:rFonts w:ascii="Courier New" w:cs="Courier New" w:eastAsia="Courier New" w:hAnsi="Courier New"/>
                <w:sz w:val="16"/>
                <w:szCs w:val="16"/>
                <w:color w:val="auto"/>
                <w:w w:val="95"/>
              </w:rPr>
              <w:t>--------------- (b)</w:t>
            </w:r>
          </w:p>
        </w:tc>
        <w:tc>
          <w:tcPr>
            <w:tcW w:w="0" w:type="dxa"/>
            <w:vAlign w:val="bottom"/>
          </w:tcPr>
          <w:p>
            <w:pPr>
              <w:spacing w:after="0"/>
              <w:rPr>
                <w:sz w:val="1"/>
                <w:szCs w:val="1"/>
                <w:color w:val="auto"/>
              </w:rPr>
            </w:pPr>
          </w:p>
        </w:tc>
      </w:tr>
      <w:tr>
        <w:trPr>
          <w:trHeight w:val="179"/>
        </w:trPr>
        <w:tc>
          <w:tcPr>
            <w:tcW w:w="6080" w:type="dxa"/>
            <w:vAlign w:val="bottom"/>
            <w:vMerge w:val="continue"/>
          </w:tcPr>
          <w:p>
            <w:pPr>
              <w:spacing w:after="0"/>
              <w:rPr>
                <w:sz w:val="15"/>
                <w:szCs w:val="15"/>
                <w:color w:val="auto"/>
              </w:rPr>
            </w:pPr>
          </w:p>
        </w:tc>
        <w:tc>
          <w:tcPr>
            <w:tcW w:w="2660" w:type="dxa"/>
            <w:vAlign w:val="bottom"/>
          </w:tcPr>
          <w:p>
            <w:pPr>
              <w:jc w:val="right"/>
              <w:ind w:right="168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08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Sum of $3,500,000,000 plus item (c)</w:t>
            </w:r>
          </w:p>
        </w:tc>
        <w:tc>
          <w:tcPr>
            <w:tcW w:w="2660" w:type="dxa"/>
            <w:vAlign w:val="bottom"/>
          </w:tcPr>
          <w:p>
            <w:pPr>
              <w:ind w:left="900"/>
              <w:spacing w:after="0" w:line="179" w:lineRule="exact"/>
              <w:rPr>
                <w:sz w:val="20"/>
                <w:szCs w:val="20"/>
                <w:color w:val="auto"/>
              </w:rPr>
            </w:pPr>
            <w:r>
              <w:rPr>
                <w:rFonts w:ascii="Courier New" w:cs="Courier New" w:eastAsia="Courier New" w:hAnsi="Courier New"/>
                <w:sz w:val="16"/>
                <w:szCs w:val="16"/>
                <w:color w:val="auto"/>
                <w:w w:val="95"/>
              </w:rPr>
              <w:t>--------------- (c)</w:t>
            </w:r>
          </w:p>
        </w:tc>
        <w:tc>
          <w:tcPr>
            <w:tcW w:w="0" w:type="dxa"/>
            <w:vAlign w:val="bottom"/>
          </w:tcPr>
          <w:p>
            <w:pPr>
              <w:spacing w:after="0"/>
              <w:rPr>
                <w:sz w:val="1"/>
                <w:szCs w:val="1"/>
                <w:color w:val="auto"/>
              </w:rPr>
            </w:pPr>
          </w:p>
        </w:tc>
      </w:tr>
      <w:tr>
        <w:trPr>
          <w:trHeight w:val="179"/>
        </w:trPr>
        <w:tc>
          <w:tcPr>
            <w:tcW w:w="6080" w:type="dxa"/>
            <w:vAlign w:val="bottom"/>
            <w:vMerge w:val="continue"/>
          </w:tcPr>
          <w:p>
            <w:pPr>
              <w:spacing w:after="0"/>
              <w:rPr>
                <w:sz w:val="15"/>
                <w:szCs w:val="15"/>
                <w:color w:val="auto"/>
              </w:rPr>
            </w:pPr>
          </w:p>
        </w:tc>
        <w:tc>
          <w:tcPr>
            <w:tcW w:w="2660" w:type="dxa"/>
            <w:vAlign w:val="bottom"/>
          </w:tcPr>
          <w:p>
            <w:pPr>
              <w:jc w:val="right"/>
              <w:ind w:right="168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608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Difference of (d) minus (a)</w:t>
            </w:r>
          </w:p>
        </w:tc>
        <w:tc>
          <w:tcPr>
            <w:tcW w:w="2660" w:type="dxa"/>
            <w:vAlign w:val="bottom"/>
          </w:tcPr>
          <w:p>
            <w:pPr>
              <w:ind w:left="900"/>
              <w:spacing w:after="0" w:line="179" w:lineRule="exact"/>
              <w:rPr>
                <w:sz w:val="20"/>
                <w:szCs w:val="20"/>
                <w:color w:val="auto"/>
              </w:rPr>
            </w:pPr>
            <w:r>
              <w:rPr>
                <w:rFonts w:ascii="Courier New" w:cs="Courier New" w:eastAsia="Courier New" w:hAnsi="Courier New"/>
                <w:sz w:val="16"/>
                <w:szCs w:val="16"/>
                <w:color w:val="auto"/>
                <w:w w:val="95"/>
              </w:rPr>
              <w:t>--------------- (d)</w:t>
            </w:r>
          </w:p>
        </w:tc>
        <w:tc>
          <w:tcPr>
            <w:tcW w:w="0" w:type="dxa"/>
            <w:vAlign w:val="bottom"/>
          </w:tcPr>
          <w:p>
            <w:pPr>
              <w:spacing w:after="0"/>
              <w:rPr>
                <w:sz w:val="1"/>
                <w:szCs w:val="1"/>
                <w:color w:val="auto"/>
              </w:rPr>
            </w:pPr>
          </w:p>
        </w:tc>
      </w:tr>
      <w:tr>
        <w:trPr>
          <w:trHeight w:val="179"/>
        </w:trPr>
        <w:tc>
          <w:tcPr>
            <w:tcW w:w="6080" w:type="dxa"/>
            <w:vAlign w:val="bottom"/>
            <w:vMerge w:val="continue"/>
          </w:tcPr>
          <w:p>
            <w:pPr>
              <w:spacing w:after="0"/>
              <w:rPr>
                <w:sz w:val="15"/>
                <w:szCs w:val="15"/>
                <w:color w:val="auto"/>
              </w:rPr>
            </w:pPr>
          </w:p>
        </w:tc>
        <w:tc>
          <w:tcPr>
            <w:tcW w:w="2660" w:type="dxa"/>
            <w:vAlign w:val="bottom"/>
          </w:tcPr>
          <w:p>
            <w:pPr>
              <w:jc w:val="right"/>
              <w:ind w:right="1682"/>
              <w:spacing w:after="0" w:line="179" w:lineRule="exact"/>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6080" w:type="dxa"/>
            <w:vAlign w:val="bottom"/>
          </w:tcPr>
          <w:p>
            <w:pPr>
              <w:ind w:left="1400"/>
              <w:spacing w:after="0"/>
              <w:rPr>
                <w:sz w:val="20"/>
                <w:szCs w:val="20"/>
                <w:color w:val="auto"/>
              </w:rPr>
            </w:pPr>
            <w:r>
              <w:rPr>
                <w:rFonts w:ascii="Courier New" w:cs="Courier New" w:eastAsia="Courier New" w:hAnsi="Courier New"/>
                <w:sz w:val="16"/>
                <w:szCs w:val="16"/>
                <w:color w:val="auto"/>
              </w:rPr>
              <w:t>(not to exceed zero at any time)</w:t>
            </w:r>
          </w:p>
        </w:tc>
        <w:tc>
          <w:tcPr>
            <w:tcW w:w="2660" w:type="dxa"/>
            <w:vAlign w:val="bottom"/>
          </w:tcPr>
          <w:p>
            <w:pPr>
              <w:ind w:left="9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9" w:right="1440" w:bottom="1440" w:gutter="0" w:footer="0" w:header="0"/>
        </w:sectPr>
      </w:pPr>
    </w:p>
    <w:bookmarkStart w:id="290" w:name="page291"/>
    <w:bookmarkEnd w:id="290"/>
    <w:p>
      <w:pPr>
        <w:ind w:left="280"/>
        <w:spacing w:after="0"/>
        <w:rPr>
          <w:sz w:val="20"/>
          <w:szCs w:val="20"/>
          <w:color w:val="auto"/>
        </w:rPr>
      </w:pPr>
      <w:r>
        <w:rPr>
          <w:rFonts w:ascii="Courier New" w:cs="Courier New" w:eastAsia="Courier New" w:hAnsi="Courier New"/>
          <w:sz w:val="16"/>
          <w:szCs w:val="16"/>
          <w:color w:val="auto"/>
        </w:rPr>
        <w:t>105</w:t>
      </w:r>
    </w:p>
    <w:p>
      <w:pPr>
        <w:spacing w:after="0" w:line="200" w:lineRule="exact"/>
        <w:rPr>
          <w:sz w:val="20"/>
          <w:szCs w:val="20"/>
          <w:color w:val="auto"/>
        </w:rPr>
      </w:pPr>
    </w:p>
    <w:p>
      <w:pPr>
        <w:spacing w:after="0" w:line="334"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G</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FORM OF ASSIGNMENT AND ACCEPTANCE</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Dated as of _______ ___, ____</w:t>
      </w:r>
    </w:p>
    <w:p>
      <w:pPr>
        <w:spacing w:after="0" w:line="177" w:lineRule="exact"/>
        <w:rPr>
          <w:sz w:val="20"/>
          <w:szCs w:val="20"/>
          <w:color w:val="auto"/>
        </w:rPr>
      </w:pPr>
    </w:p>
    <w:p>
      <w:pPr>
        <w:ind w:right="2879" w:firstLine="837"/>
        <w:spacing w:after="0" w:line="283" w:lineRule="auto"/>
        <w:rPr>
          <w:sz w:val="20"/>
          <w:szCs w:val="20"/>
          <w:color w:val="auto"/>
        </w:rPr>
      </w:pPr>
      <w:r>
        <w:rPr>
          <w:rFonts w:ascii="Courier New" w:cs="Courier New" w:eastAsia="Courier New" w:hAnsi="Courier New"/>
          <w:sz w:val="14"/>
          <w:szCs w:val="14"/>
          <w:color w:val="auto"/>
        </w:rPr>
        <w:t>Reference is made to the 364-DAY LOAN AGREEMENT dated as of June 29, 2001 (as amended, modified, supplemented, restated and in effect from time to time, the "Loan Agreement"), by and among WASTE MANAGEMENT, INC., a Delaware corporation (the "Borrower"), WASTE MANAGEMENT HOLDINGS, INC., a wholly-owned Subsidiary of the Borrower (the "Guarantor"), FLEET NATIONAL BANK, a national banking association ("Fleet"), BANK OF AMERICA, N.A., a national banking association, THE CHASE MANHATTAN BANK, a national banking association, DEUTSCHE BANK AG, NEW YORK BRANCH, the duly licensed New York branch of a German corporation, CITIBANK, N.A., a national banking association, and the other financial institutions which become lenders thereunder (collectively, the "Banks"), and Fleet as administrative agent (the "Administrative Agent"). Capitalized terms used herein and not otherwise defined shall have the meanings assigned to such terms in the Loan Agreement.</w:t>
      </w:r>
    </w:p>
    <w:p>
      <w:pPr>
        <w:spacing w:after="0" w:line="260" w:lineRule="exact"/>
        <w:rPr>
          <w:sz w:val="20"/>
          <w:szCs w:val="20"/>
          <w:color w:val="auto"/>
        </w:rPr>
      </w:pPr>
    </w:p>
    <w:p>
      <w:pPr>
        <w:ind w:left="840"/>
        <w:spacing w:after="0"/>
        <w:rPr>
          <w:sz w:val="20"/>
          <w:szCs w:val="20"/>
          <w:color w:val="auto"/>
        </w:rPr>
      </w:pPr>
      <w:r>
        <w:rPr>
          <w:rFonts w:ascii="Courier New" w:cs="Courier New" w:eastAsia="Courier New" w:hAnsi="Courier New"/>
          <w:sz w:val="14"/>
          <w:szCs w:val="14"/>
          <w:color w:val="auto"/>
        </w:rPr>
        <w:t>[___________________] (the "Assignor") and [_____________________] (the</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"Assignee") hereby agree as follows:</w:t>
      </w:r>
    </w:p>
    <w:p>
      <w:pPr>
        <w:spacing w:after="0" w:line="149" w:lineRule="exact"/>
        <w:rPr>
          <w:sz w:val="20"/>
          <w:szCs w:val="20"/>
          <w:color w:val="auto"/>
        </w:rPr>
      </w:pPr>
    </w:p>
    <w:p>
      <w:pPr>
        <w:ind w:right="2879" w:firstLine="833"/>
        <w:spacing w:after="0" w:line="279" w:lineRule="auto"/>
        <w:tabs>
          <w:tab w:leader="none" w:pos="1209"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Subject to the terms and conditions of this Assignment and Acceptance, the Assignor hereby sells and assigns to the Assignee, and the Assignee hereby purchases and assumes without recourse to the Assignor, the rights, benefits, indemnities and obligations of the Assignor under the Loan Agreement equal to ________________% of its Commitment Percentage and</w:t>
      </w:r>
    </w:p>
    <w:p>
      <w:pPr>
        <w:ind w:right="3159"/>
        <w:spacing w:after="0" w:line="271"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___________% of its interest in and under the Loans and the risk relating to outstanding Letters of Credit, each as in effect immediately prior to the Effective Date (as hereinafter defined).</w:t>
      </w:r>
    </w:p>
    <w:p>
      <w:pPr>
        <w:spacing w:after="0" w:line="73" w:lineRule="exact"/>
        <w:rPr>
          <w:rFonts w:ascii="Courier New" w:cs="Courier New" w:eastAsia="Courier New" w:hAnsi="Courier New"/>
          <w:sz w:val="14"/>
          <w:szCs w:val="14"/>
          <w:color w:val="auto"/>
        </w:rPr>
      </w:pPr>
    </w:p>
    <w:p>
      <w:pPr>
        <w:ind w:right="2779" w:firstLine="833"/>
        <w:spacing w:after="0" w:line="241" w:lineRule="auto"/>
        <w:tabs>
          <w:tab w:leader="none" w:pos="1209"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ASSIGNOR'S REPRESENTATIONS. The Assignor (i) represents and warrants that (A) it is legally authorized to enter into this Assignment and Acceptance, (B) as of the date hereof, its Commitment is $_______________, its Commitment Percentage is ________________%, the aggregate outstanding principal balance of its Loans equals $_______________, and the aggregate outstanding amount of its participations in Letters of Credit equals $_______________ (in each case before giving effect to the assignment contemplated hereby or any contemplated assignments which have not yet become effective), and (C) immediately after giving effect to all assignments which have not yet become effective, the Assignor's Commitment Percentage will be sufficient to give effect to this Assignment and Acceptance, (ii) makes no representation or warranty, express or implied, and assumes and shall have no responsibility with respect to any statements, warranties or representations made in or in connection with the Loan Agreement or any of the other Loan Documents or the execution, legality, validity, enforceability, genuineness, sufficiency or value of the Loan Agreement, the other Loan Documents or any other instrument or document furnished pursuant thereto or the attachment, perfection or priority of any security interest or mortgage, other than that it is the legal and beneficial owner of the interest being assigned by it hereunder free and clear of any claim or encumbrance; (iii) makes no representation or warranty and assumes and shall have no responsibility with respect to the financial condition of the</w:t>
      </w:r>
    </w:p>
    <w:p>
      <w:pPr>
        <w:sectPr>
          <w:pgSz w:w="11900" w:h="16838" w:orient="portrait"/>
          <w:cols w:equalWidth="0" w:num="1">
            <w:col w:w="10219"/>
          </w:cols>
          <w:pgMar w:left="240" w:top="269" w:right="1440" w:bottom="1440" w:gutter="0" w:footer="0" w:header="0"/>
        </w:sectPr>
      </w:pPr>
    </w:p>
    <w:bookmarkStart w:id="291" w:name="page292"/>
    <w:bookmarkEnd w:id="291"/>
    <w:p>
      <w:pPr>
        <w:ind w:left="285"/>
        <w:spacing w:after="0"/>
        <w:rPr>
          <w:sz w:val="20"/>
          <w:szCs w:val="20"/>
          <w:color w:val="auto"/>
        </w:rPr>
      </w:pPr>
      <w:r>
        <w:rPr>
          <w:rFonts w:ascii="Courier New" w:cs="Courier New" w:eastAsia="Courier New" w:hAnsi="Courier New"/>
          <w:sz w:val="16"/>
          <w:szCs w:val="16"/>
          <w:color w:val="auto"/>
        </w:rPr>
        <w:t>106</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left="5" w:right="2779"/>
        <w:spacing w:after="0" w:line="296" w:lineRule="auto"/>
        <w:rPr>
          <w:sz w:val="20"/>
          <w:szCs w:val="20"/>
          <w:color w:val="auto"/>
        </w:rPr>
      </w:pPr>
      <w:r>
        <w:rPr>
          <w:rFonts w:ascii="Courier New" w:cs="Courier New" w:eastAsia="Courier New" w:hAnsi="Courier New"/>
          <w:sz w:val="14"/>
          <w:szCs w:val="14"/>
          <w:color w:val="auto"/>
        </w:rPr>
        <w:t>Borrower or any of its Subsidiaries or any other Person primarily or secondarily liable in respect of any of the Obligations, or the performance or observance by the Borrower or any of its Subsidiaries or any other Person primarily or secondarily liable in respect of any of the Obligations of any of its obligations under the Loan Agreement or any of the other Loan Documents or any other instrument or document delivered or executed pursuant thereto; and (iv) attaches hereto the Notes delivered to it under the Loan Agreement.</w:t>
      </w:r>
    </w:p>
    <w:p>
      <w:pPr>
        <w:spacing w:after="0" w:line="62" w:lineRule="exact"/>
        <w:rPr>
          <w:sz w:val="20"/>
          <w:szCs w:val="20"/>
          <w:color w:val="auto"/>
        </w:rPr>
      </w:pPr>
    </w:p>
    <w:p>
      <w:pPr>
        <w:ind w:left="5" w:right="2959" w:firstLine="837"/>
        <w:spacing w:after="0" w:line="342" w:lineRule="auto"/>
        <w:rPr>
          <w:sz w:val="20"/>
          <w:szCs w:val="20"/>
          <w:color w:val="auto"/>
        </w:rPr>
      </w:pPr>
      <w:r>
        <w:rPr>
          <w:rFonts w:ascii="Courier New" w:cs="Courier New" w:eastAsia="Courier New" w:hAnsi="Courier New"/>
          <w:sz w:val="16"/>
          <w:szCs w:val="16"/>
          <w:color w:val="auto"/>
        </w:rPr>
        <w:t>The Assignor requests that the Borrower exchange the Assignor's Notes for new Notes payable to the Assignor and the Assignee as follows:</w:t>
      </w:r>
    </w:p>
    <w:p>
      <w:pPr>
        <w:spacing w:after="0" w:line="20"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4"/>
          <w:szCs w:val="14"/>
          <w:color w:val="auto"/>
        </w:rPr>
        <w:t>Payable to</w:t>
      </w:r>
    </w:p>
    <w:p>
      <w:pPr>
        <w:spacing w:after="0" w:line="46" w:lineRule="exact"/>
        <w:rPr>
          <w:sz w:val="20"/>
          <w:szCs w:val="20"/>
          <w:color w:val="auto"/>
        </w:rPr>
      </w:pPr>
    </w:p>
    <w:p>
      <w:pPr>
        <w:jc w:val="center"/>
        <w:ind w:right="9295"/>
        <w:spacing w:after="0"/>
        <w:rPr>
          <w:sz w:val="20"/>
          <w:szCs w:val="20"/>
          <w:color w:val="auto"/>
        </w:rPr>
      </w:pPr>
      <w:r>
        <w:rPr>
          <w:rFonts w:ascii="Courier New" w:cs="Courier New" w:eastAsia="Courier New" w:hAnsi="Courier New"/>
          <w:sz w:val="16"/>
          <w:szCs w:val="16"/>
          <w:color w:val="auto"/>
        </w:rPr>
        <w:t>the Order</w:t>
      </w:r>
    </w:p>
    <w:p>
      <w:pPr>
        <w:jc w:val="center"/>
        <w:ind w:right="9295"/>
        <w:spacing w:after="0" w:line="236" w:lineRule="auto"/>
        <w:rPr>
          <w:sz w:val="20"/>
          <w:szCs w:val="20"/>
          <w:color w:val="auto"/>
        </w:rPr>
      </w:pPr>
      <w:r>
        <w:rPr>
          <w:rFonts w:ascii="Courier New" w:cs="Courier New" w:eastAsia="Courier New" w:hAnsi="Courier New"/>
          <w:sz w:val="16"/>
          <w:szCs w:val="16"/>
          <w:color w:val="auto"/>
        </w:rPr>
        <w:t>of: Type</w:t>
      </w:r>
    </w:p>
    <w:p>
      <w:pPr>
        <w:jc w:val="center"/>
        <w:ind w:right="9295"/>
        <w:spacing w:after="0" w:line="237" w:lineRule="auto"/>
        <w:rPr>
          <w:sz w:val="20"/>
          <w:szCs w:val="20"/>
          <w:color w:val="auto"/>
        </w:rPr>
      </w:pPr>
      <w:r>
        <w:rPr>
          <w:rFonts w:ascii="Courier New" w:cs="Courier New" w:eastAsia="Courier New" w:hAnsi="Courier New"/>
          <w:sz w:val="16"/>
          <w:szCs w:val="16"/>
          <w:color w:val="auto"/>
        </w:rPr>
        <w:t>of Note</w:t>
      </w:r>
    </w:p>
    <w:p>
      <w:pPr>
        <w:jc w:val="center"/>
        <w:ind w:right="9295"/>
        <w:spacing w:after="0" w:line="237" w:lineRule="auto"/>
        <w:rPr>
          <w:sz w:val="20"/>
          <w:szCs w:val="20"/>
          <w:color w:val="auto"/>
        </w:rPr>
      </w:pPr>
      <w:r>
        <w:rPr>
          <w:rFonts w:ascii="Courier New" w:cs="Courier New" w:eastAsia="Courier New" w:hAnsi="Courier New"/>
          <w:sz w:val="16"/>
          <w:szCs w:val="16"/>
          <w:color w:val="auto"/>
        </w:rPr>
        <w:t>Amount of</w:t>
      </w:r>
    </w:p>
    <w:p>
      <w:pPr>
        <w:jc w:val="center"/>
        <w:ind w:right="9295"/>
        <w:spacing w:after="0"/>
        <w:rPr>
          <w:sz w:val="20"/>
          <w:szCs w:val="20"/>
          <w:color w:val="auto"/>
        </w:rPr>
      </w:pPr>
      <w:r>
        <w:rPr>
          <w:rFonts w:ascii="Courier New" w:cs="Courier New" w:eastAsia="Courier New" w:hAnsi="Courier New"/>
          <w:sz w:val="14"/>
          <w:szCs w:val="14"/>
          <w:color w:val="auto"/>
        </w:rPr>
        <w:t>Note: ----</w:t>
      </w:r>
    </w:p>
    <w:p>
      <w:pPr>
        <w:spacing w:after="0" w:line="1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ind w:left="5"/>
        <w:spacing w:after="0" w:line="236" w:lineRule="auto"/>
        <w:rPr>
          <w:sz w:val="20"/>
          <w:szCs w:val="20"/>
          <w:color w:val="auto"/>
        </w:rPr>
      </w:pPr>
      <w:r>
        <w:rPr>
          <w:rFonts w:ascii="Courier New" w:cs="Courier New" w:eastAsia="Courier New" w:hAnsi="Courier New"/>
          <w:sz w:val="16"/>
          <w:szCs w:val="16"/>
          <w:color w:val="auto"/>
        </w:rPr>
        <w:t>----------</w:t>
      </w:r>
    </w:p>
    <w:p>
      <w:pPr>
        <w:ind w:left="5"/>
        <w:spacing w:after="0" w:line="237" w:lineRule="auto"/>
        <w:rPr>
          <w:sz w:val="20"/>
          <w:szCs w:val="20"/>
          <w:color w:val="auto"/>
        </w:rPr>
      </w:pPr>
      <w:r>
        <w:rPr>
          <w:rFonts w:ascii="Courier New" w:cs="Courier New" w:eastAsia="Courier New" w:hAnsi="Courier New"/>
          <w:sz w:val="16"/>
          <w:szCs w:val="16"/>
          <w:color w:val="auto"/>
        </w:rPr>
        <w:t>----------</w:t>
      </w:r>
    </w:p>
    <w:p>
      <w:pPr>
        <w:ind w:left="285" w:hanging="285"/>
        <w:spacing w:after="0" w:line="237" w:lineRule="auto"/>
        <w:tabs>
          <w:tab w:leader="none" w:pos="285"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7" w:lineRule="auto"/>
        <w:rPr>
          <w:sz w:val="20"/>
          <w:szCs w:val="20"/>
          <w:color w:val="auto"/>
        </w:rPr>
      </w:pPr>
      <w:r>
        <w:rPr>
          <w:rFonts w:ascii="Courier New" w:cs="Courier New" w:eastAsia="Courier New" w:hAnsi="Courier New"/>
          <w:sz w:val="16"/>
          <w:szCs w:val="16"/>
          <w:color w:val="auto"/>
        </w:rPr>
        <w:t>[Assignor</w:t>
      </w:r>
    </w:p>
    <w:p>
      <w:pPr>
        <w:ind w:left="5"/>
        <w:spacing w:after="0" w:line="237" w:lineRule="auto"/>
        <w:rPr>
          <w:sz w:val="20"/>
          <w:szCs w:val="20"/>
          <w:color w:val="auto"/>
        </w:rPr>
      </w:pPr>
      <w:r>
        <w:rPr>
          <w:rFonts w:ascii="Courier New" w:cs="Courier New" w:eastAsia="Courier New" w:hAnsi="Courier New"/>
          <w:sz w:val="16"/>
          <w:szCs w:val="16"/>
          <w:color w:val="auto"/>
        </w:rPr>
        <w:t>Syndicated</w:t>
      </w:r>
    </w:p>
    <w:p>
      <w:pPr>
        <w:ind w:left="185" w:hanging="185"/>
        <w:spacing w:after="0" w:line="237" w:lineRule="auto"/>
        <w:tabs>
          <w:tab w:leader="none" w:pos="185"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both"/>
        <w:ind w:left="5"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[Assignee Syndicated</w:t>
      </w:r>
    </w:p>
    <w:p>
      <w:pPr>
        <w:ind w:left="185" w:hanging="185"/>
        <w:spacing w:after="0" w:line="236" w:lineRule="auto"/>
        <w:tabs>
          <w:tab w:leader="none" w:pos="185"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both"/>
        <w:ind w:left="5"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[Assignor Swing Line</w:t>
      </w:r>
    </w:p>
    <w:p>
      <w:pPr>
        <w:ind w:left="185" w:hanging="185"/>
        <w:spacing w:after="0" w:line="236" w:lineRule="auto"/>
        <w:tabs>
          <w:tab w:leader="none" w:pos="185"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8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both"/>
        <w:ind w:left="5"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[Assignee Swing Line</w:t>
      </w:r>
    </w:p>
    <w:p>
      <w:pPr>
        <w:ind w:left="185" w:hanging="185"/>
        <w:spacing w:after="0" w:line="236" w:lineRule="auto"/>
        <w:tabs>
          <w:tab w:leader="none" w:pos="185"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505" w:hanging="458"/>
        <w:spacing w:after="0" w:line="236" w:lineRule="auto"/>
        <w:tabs>
          <w:tab w:leader="none" w:pos="505" w:val="left"/>
        </w:tabs>
        <w:numPr>
          <w:ilvl w:val="1"/>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w:t>
      </w:r>
    </w:p>
    <w:p>
      <w:pPr>
        <w:jc w:val="both"/>
        <w:ind w:left="5"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[Assignor Term $ ]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jc w:val="both"/>
        <w:ind w:left="5" w:right="9299" w:firstLine="46"/>
        <w:spacing w:after="0" w:line="270"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[Assignee Term $ ] -</w:t>
      </w:r>
    </w:p>
    <w:p>
      <w:pPr>
        <w:ind w:left="5"/>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27" w:lineRule="exact"/>
        <w:rPr>
          <w:sz w:val="20"/>
          <w:szCs w:val="20"/>
          <w:color w:val="auto"/>
        </w:rPr>
      </w:pPr>
    </w:p>
    <w:p>
      <w:pPr>
        <w:ind w:left="5" w:right="2779" w:firstLine="837"/>
        <w:spacing w:after="0" w:line="272" w:lineRule="auto"/>
        <w:rPr>
          <w:sz w:val="20"/>
          <w:szCs w:val="20"/>
          <w:color w:val="auto"/>
        </w:rPr>
      </w:pPr>
      <w:r>
        <w:rPr>
          <w:rFonts w:ascii="Courier New" w:cs="Courier New" w:eastAsia="Courier New" w:hAnsi="Courier New"/>
          <w:sz w:val="16"/>
          <w:szCs w:val="16"/>
          <w:color w:val="auto"/>
        </w:rPr>
        <w:t>[The Assignor requests that [the Borrower issue [a] new Competitive Bid Note[s] payable to the Assignee and/or Assignor] or [the Administrative Agent make the appropriate entries on the Competitive Bid Loan Accounts] to reflect the assignment of Competitive Bid Loans.(1)]</w:t>
      </w:r>
    </w:p>
    <w:p>
      <w:pPr>
        <w:spacing w:after="0" w:line="73" w:lineRule="exact"/>
        <w:rPr>
          <w:sz w:val="20"/>
          <w:szCs w:val="20"/>
          <w:color w:val="auto"/>
        </w:rPr>
      </w:pPr>
    </w:p>
    <w:p>
      <w:pPr>
        <w:ind w:left="5" w:right="2779" w:firstLine="833"/>
        <w:spacing w:after="0" w:line="279" w:lineRule="auto"/>
        <w:tabs>
          <w:tab w:leader="none" w:pos="1214" w:val="left"/>
        </w:tabs>
        <w:numPr>
          <w:ilvl w:val="1"/>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ASSIGNEE'S REPRESENTATIONS. The Assignee (i) represents and warrants that (A) it is duly and legally authorized to enter into this Assignment and Acceptance, (B) the execution, delivery and performance of this Assignment and Acceptance do not conflict with any provision of law or of the charter or by-laws of the Assignee, or of any agreement binding on the Assignee,</w:t>
      </w:r>
    </w:p>
    <w:p>
      <w:pPr>
        <w:ind w:left="5" w:right="2779" w:hanging="5"/>
        <w:spacing w:after="0" w:line="242" w:lineRule="auto"/>
        <w:tabs>
          <w:tab w:leader="none" w:pos="377"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acts, conditions and things required to be done and performed and to have occurred prior to the execution, delivery and performance of this Assignment and Acceptance, and to render the same the legal, valid and binding obligation of the Assignee, enforceable against it in accordance with its terms, have been done and performed and have occurred in due and strict compliance with all applicable laws, (ii) confirms that it has received a copy of the Loan Agreement and each of the other Loan Documents, together with copies of the most recent financial statements delivered pursuant to Sections 7.4 and 8.4 of the Loan Agreement and such other documents and information as it has deemed appropriate to make its own credit analysis and decision to enter into this Assignment and Acceptance; (iii) agrees that it will, independently and without reliance upon the Assignor, the Administrative Agent, or any other Bank and based on such documents</w:t>
      </w:r>
    </w:p>
    <w:p>
      <w:pPr>
        <w:spacing w:after="0" w:line="10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4"/>
          </w:cols>
          <w:pgMar w:left="235" w:top="269" w:right="1440" w:bottom="998" w:gutter="0" w:footer="0" w:header="0"/>
        </w:sectPr>
      </w:pPr>
    </w:p>
    <w:p>
      <w:pPr>
        <w:spacing w:after="0" w:line="355" w:lineRule="exact"/>
        <w:rPr>
          <w:sz w:val="20"/>
          <w:szCs w:val="20"/>
          <w:color w:val="auto"/>
        </w:rPr>
      </w:pPr>
    </w:p>
    <w:p>
      <w:pPr>
        <w:ind w:left="5"/>
        <w:spacing w:after="0"/>
        <w:rPr>
          <w:sz w:val="20"/>
          <w:szCs w:val="20"/>
          <w:color w:val="auto"/>
        </w:rPr>
      </w:pPr>
      <w:r>
        <w:rPr>
          <w:rFonts w:ascii="Courier New" w:cs="Courier New" w:eastAsia="Courier New" w:hAnsi="Courier New"/>
          <w:sz w:val="14"/>
          <w:szCs w:val="14"/>
          <w:color w:val="auto"/>
        </w:rPr>
        <w:t>(1) Elect applicable option (unless a Term Note is requested).</w:t>
      </w:r>
    </w:p>
    <w:p>
      <w:pPr>
        <w:sectPr>
          <w:pgSz w:w="11900" w:h="16838" w:orient="portrait"/>
          <w:cols w:equalWidth="0" w:num="1">
            <w:col w:w="10224"/>
          </w:cols>
          <w:pgMar w:left="235" w:top="269" w:right="1440" w:bottom="998" w:gutter="0" w:footer="0" w:header="0"/>
          <w:type w:val="continuous"/>
        </w:sectPr>
      </w:pPr>
    </w:p>
    <w:bookmarkStart w:id="292" w:name="page293"/>
    <w:bookmarkEnd w:id="292"/>
    <w:p>
      <w:pPr>
        <w:ind w:left="280"/>
        <w:spacing w:after="0"/>
        <w:rPr>
          <w:sz w:val="20"/>
          <w:szCs w:val="20"/>
          <w:color w:val="auto"/>
        </w:rPr>
      </w:pPr>
      <w:r>
        <w:rPr>
          <w:rFonts w:ascii="Courier New" w:cs="Courier New" w:eastAsia="Courier New" w:hAnsi="Courier New"/>
          <w:sz w:val="16"/>
          <w:szCs w:val="16"/>
          <w:color w:val="auto"/>
        </w:rPr>
        <w:t>107</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327" w:lineRule="exact"/>
        <w:rPr>
          <w:sz w:val="20"/>
          <w:szCs w:val="20"/>
          <w:color w:val="auto"/>
        </w:rPr>
      </w:pPr>
    </w:p>
    <w:p>
      <w:pPr>
        <w:ind w:right="2779"/>
        <w:spacing w:after="0" w:line="246" w:lineRule="auto"/>
        <w:rPr>
          <w:sz w:val="20"/>
          <w:szCs w:val="20"/>
          <w:color w:val="auto"/>
        </w:rPr>
      </w:pPr>
      <w:r>
        <w:rPr>
          <w:rFonts w:ascii="Courier New" w:cs="Courier New" w:eastAsia="Courier New" w:hAnsi="Courier New"/>
          <w:sz w:val="16"/>
          <w:szCs w:val="16"/>
          <w:color w:val="auto"/>
        </w:rPr>
        <w:t>and information as it shall deem appropriate at the time, continue to make its own credit decisions in taking or not taking action under the Loan Agreement and the other Loan Documents; (iv) appoints and authorizes the Administrative Agent to take such action as agent on its behalf and to exercise such powers under the Loan Agreement and the other Loan Documents as are delegated to the Administrative Agent by the terms thereof, together with such powers as are reasonably incidental thereto; (v) agrees that it will perform in accordance with their terms all the obligations which by the terms of the Loan Agreement are required to be performed by it as a Bank; and (vi) acknowledges that it has made arrangements with the Assignor satisfactory to the Assignee with respect to its pro rata share of Letter of Credit Fees in respect of outstanding Letters of Credit.</w:t>
      </w:r>
    </w:p>
    <w:p>
      <w:pPr>
        <w:spacing w:after="0" w:line="96" w:lineRule="exact"/>
        <w:rPr>
          <w:sz w:val="20"/>
          <w:szCs w:val="20"/>
          <w:color w:val="auto"/>
        </w:rPr>
      </w:pPr>
    </w:p>
    <w:p>
      <w:pPr>
        <w:ind w:right="2779" w:firstLine="833"/>
        <w:spacing w:after="0" w:line="258" w:lineRule="auto"/>
        <w:tabs>
          <w:tab w:leader="none" w:pos="120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The effective date for this Assignment and Acceptance shall be _____________________ (the "Effective Date"). Following the execution of this Assignment and Acceptance, each party hereto shall deliver its duly executed counterpart hereof to the Administrative Agent for acceptance by the Administrative Agent. The Loan Agreement shall thereupon be amended to reflect the status and rights of the Banks thereunder.</w:t>
      </w:r>
    </w:p>
    <w:p>
      <w:pPr>
        <w:spacing w:after="0" w:line="83" w:lineRule="exact"/>
        <w:rPr>
          <w:rFonts w:ascii="Courier New" w:cs="Courier New" w:eastAsia="Courier New" w:hAnsi="Courier New"/>
          <w:sz w:val="16"/>
          <w:szCs w:val="16"/>
          <w:color w:val="auto"/>
        </w:rPr>
      </w:pPr>
    </w:p>
    <w:p>
      <w:pPr>
        <w:ind w:right="2779" w:firstLine="833"/>
        <w:spacing w:after="0" w:line="290" w:lineRule="auto"/>
        <w:tabs>
          <w:tab w:leader="none" w:pos="1209"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RIGHTS UNDER LOAN AGREEMENT. Upon such acceptance and amendment, from and after the Effective Date, (i) the Assignee shall be a party to the Loan Agreement and, to the extent provided in this Assignment and Acceptance, have the rights and obligations of a Bank thereunder, and (ii) the Assignor shall, with respect to that portion of its interest under the Loan Agreement assigned hereunder, relinquish its rights and be released from its obligations under the Loan Agreement; provided, however, that the Assignor shall retain its rights to be indemnified pursuant to Section 17 of the Loan Agreement with respect to any claims or actions with reference to matters arising prior to the Effective Date.</w:t>
      </w:r>
    </w:p>
    <w:p>
      <w:pPr>
        <w:spacing w:after="0" w:line="64" w:lineRule="exact"/>
        <w:rPr>
          <w:rFonts w:ascii="Courier New" w:cs="Courier New" w:eastAsia="Courier New" w:hAnsi="Courier New"/>
          <w:sz w:val="14"/>
          <w:szCs w:val="14"/>
          <w:color w:val="auto"/>
        </w:rPr>
      </w:pPr>
    </w:p>
    <w:p>
      <w:pPr>
        <w:ind w:right="2779" w:firstLine="833"/>
        <w:spacing w:after="0" w:line="254" w:lineRule="auto"/>
        <w:tabs>
          <w:tab w:leader="none" w:pos="120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PAYMENTS. Upon such acceptance and amendment, from and after the Effective Date, the Administrative Agent shall make all payments in respect of the rights and interests assigned hereby (including payments of principal, interest, fees and other amounts) to the Assignee. The Assignor and the Assignee shall make any appropriate adjustments in payments for periods prior to the Effective Date by the Administrative Agent or with respect to the making of this assignment directly between themselves.</w:t>
      </w:r>
    </w:p>
    <w:p>
      <w:pPr>
        <w:spacing w:after="0" w:line="88" w:lineRule="exact"/>
        <w:rPr>
          <w:rFonts w:ascii="Courier New" w:cs="Courier New" w:eastAsia="Courier New" w:hAnsi="Courier New"/>
          <w:sz w:val="16"/>
          <w:szCs w:val="16"/>
          <w:color w:val="auto"/>
        </w:rPr>
      </w:pPr>
    </w:p>
    <w:p>
      <w:pPr>
        <w:ind w:right="2879" w:firstLine="833"/>
        <w:spacing w:after="0" w:line="263" w:lineRule="auto"/>
        <w:tabs>
          <w:tab w:leader="none" w:pos="120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ASSIGNMENT AND ACCEPTANCE IS A CONTRACT UNDER THE LAWS OF THE STATE OF NEW YORK AND SHALL, PURSUANT TO NEW YORK GENERAL OBLIGATIONS LAW SECTION 5-1401, BE CONSTRUED IN ACCORDANCE WITH AND GOVERNED BY THE LAW OF THE STATE OF NEW YORK (WITHOUT REFERENCE TO CONFLICT OF LAWS OR CHOICE OF LAW DOCTRINES).</w:t>
      </w:r>
    </w:p>
    <w:p>
      <w:pPr>
        <w:spacing w:after="0" w:line="80" w:lineRule="exact"/>
        <w:rPr>
          <w:rFonts w:ascii="Courier New" w:cs="Courier New" w:eastAsia="Courier New" w:hAnsi="Courier New"/>
          <w:sz w:val="16"/>
          <w:szCs w:val="16"/>
          <w:color w:val="auto"/>
        </w:rPr>
      </w:pPr>
    </w:p>
    <w:p>
      <w:pPr>
        <w:ind w:right="2779" w:firstLine="833"/>
        <w:spacing w:after="0" w:line="289" w:lineRule="auto"/>
        <w:tabs>
          <w:tab w:leader="none" w:pos="1209" w:val="left"/>
        </w:tabs>
        <w:numPr>
          <w:ilvl w:val="0"/>
          <w:numId w:val="2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Assignment and Acceptance may be executed in any number of counterparts which shall together constitute but one and the same agreement.</w:t>
      </w:r>
    </w:p>
    <w:p>
      <w:pPr>
        <w:sectPr>
          <w:pgSz w:w="11900" w:h="16838" w:orient="portrait"/>
          <w:cols w:equalWidth="0" w:num="1">
            <w:col w:w="10219"/>
          </w:cols>
          <w:pgMar w:left="240" w:top="269" w:right="1440" w:bottom="1440" w:gutter="0" w:footer="0" w:header="0"/>
        </w:sectPr>
      </w:pPr>
    </w:p>
    <w:bookmarkStart w:id="293" w:name="page294"/>
    <w:bookmarkEnd w:id="293"/>
    <w:p>
      <w:pPr>
        <w:ind w:left="280"/>
        <w:spacing w:after="0"/>
        <w:rPr>
          <w:sz w:val="20"/>
          <w:szCs w:val="20"/>
          <w:color w:val="auto"/>
        </w:rPr>
      </w:pPr>
      <w:r>
        <w:rPr>
          <w:rFonts w:ascii="Courier New" w:cs="Courier New" w:eastAsia="Courier New" w:hAnsi="Courier New"/>
          <w:sz w:val="16"/>
          <w:szCs w:val="16"/>
          <w:color w:val="auto"/>
        </w:rPr>
        <w:t>108</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06" w:lineRule="exact"/>
        <w:rPr>
          <w:sz w:val="20"/>
          <w:szCs w:val="20"/>
          <w:color w:val="auto"/>
        </w:rPr>
      </w:pPr>
    </w:p>
    <w:p>
      <w:pPr>
        <w:ind w:right="2779" w:firstLine="1674"/>
        <w:spacing w:after="0" w:line="272" w:lineRule="auto"/>
        <w:rPr>
          <w:sz w:val="20"/>
          <w:szCs w:val="20"/>
          <w:color w:val="auto"/>
        </w:rPr>
      </w:pPr>
      <w:r>
        <w:rPr>
          <w:rFonts w:ascii="Courier New" w:cs="Courier New" w:eastAsia="Courier New" w:hAnsi="Courier New"/>
          <w:sz w:val="16"/>
          <w:szCs w:val="16"/>
          <w:color w:val="auto"/>
        </w:rPr>
        <w:t>IN WITNESS WHEREOF, intending to be legally bound, each of the undersigned has caused this Assignment and Acceptance to be executed on its behalf by its officer thereunto duly authorized, as of the date first above written.</w:t>
      </w:r>
    </w:p>
    <w:p>
      <w:pPr>
        <w:spacing w:after="0" w:line="7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[ASSIGNOR]</w:t>
      </w: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Name:</w:t>
      </w:r>
    </w:p>
    <w:p>
      <w:pPr>
        <w:ind w:left="418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[ASSIGNEE]</w:t>
      </w: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Name:</w:t>
      </w:r>
    </w:p>
    <w:p>
      <w:pPr>
        <w:ind w:left="4180"/>
        <w:spacing w:after="0" w:line="236" w:lineRule="auto"/>
        <w:rPr>
          <w:sz w:val="20"/>
          <w:szCs w:val="20"/>
          <w:color w:val="auto"/>
        </w:rPr>
      </w:pPr>
      <w:r>
        <w:rPr>
          <w:rFonts w:ascii="Courier New" w:cs="Courier New" w:eastAsia="Courier New" w:hAnsi="Courier New"/>
          <w:sz w:val="16"/>
          <w:szCs w:val="16"/>
          <w:color w:val="auto"/>
        </w:rPr>
        <w:t>Title: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CONSENTED TO:</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NATIONAL BANK, as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Agent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ind w:left="28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ind w:left="28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Waste Management Holdings, Inc. executes this Assignment and Acceptance solely for purposes of ratifying its guaranty under Section 29 of the Loan Agreement.</w:t>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WASTE MANAGEMENT HOLDINGS, INC.</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t>
      </w:r>
    </w:p>
    <w:p>
      <w:pPr>
        <w:ind w:left="28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69" w:right="1440" w:bottom="1440" w:gutter="0" w:footer="0" w:header="0"/>
        </w:sectPr>
      </w:pPr>
    </w:p>
    <w:bookmarkStart w:id="294" w:name="page295"/>
    <w:bookmarkEnd w:id="294"/>
    <w:p>
      <w:pPr>
        <w:ind w:left="280"/>
        <w:spacing w:after="0"/>
        <w:rPr>
          <w:sz w:val="20"/>
          <w:szCs w:val="20"/>
          <w:color w:val="auto"/>
        </w:rPr>
      </w:pPr>
      <w:r>
        <w:rPr>
          <w:rFonts w:ascii="Courier New" w:cs="Courier New" w:eastAsia="Courier New" w:hAnsi="Courier New"/>
          <w:sz w:val="16"/>
          <w:szCs w:val="16"/>
          <w:color w:val="auto"/>
        </w:rPr>
        <w:t>109</w:t>
      </w:r>
    </w:p>
    <w:p>
      <w:pPr>
        <w:spacing w:after="0" w:line="26" w:lineRule="exact"/>
        <w:rPr>
          <w:sz w:val="20"/>
          <w:szCs w:val="20"/>
          <w:color w:val="auto"/>
        </w:rPr>
      </w:pPr>
    </w:p>
    <w:p>
      <w:pPr>
        <w:ind w:left="6600"/>
        <w:spacing w:after="0"/>
        <w:rPr>
          <w:sz w:val="20"/>
          <w:szCs w:val="20"/>
          <w:color w:val="auto"/>
        </w:rPr>
      </w:pPr>
      <w:r>
        <w:rPr>
          <w:rFonts w:ascii="Courier New" w:cs="Courier New" w:eastAsia="Courier New" w:hAnsi="Courier New"/>
          <w:sz w:val="16"/>
          <w:szCs w:val="16"/>
          <w:color w:val="auto"/>
        </w:rPr>
        <w:t>EXHIBIT H</w:t>
      </w:r>
    </w:p>
    <w:p>
      <w:pPr>
        <w:spacing w:after="0" w:line="149"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FORM OF COMPETITIVE BID QUOTE REQUEST</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364-Day Loan Agreement (the "Loan Agreement")</w:t>
      </w:r>
    </w:p>
    <w:p>
      <w:pPr>
        <w:jc w:val="center"/>
        <w:ind w:right="2679"/>
        <w:spacing w:after="0"/>
        <w:rPr>
          <w:sz w:val="20"/>
          <w:szCs w:val="20"/>
          <w:color w:val="auto"/>
        </w:rPr>
      </w:pPr>
      <w:r>
        <w:rPr>
          <w:rFonts w:ascii="Courier New" w:cs="Courier New" w:eastAsia="Courier New" w:hAnsi="Courier New"/>
          <w:sz w:val="16"/>
          <w:szCs w:val="16"/>
          <w:color w:val="auto"/>
        </w:rPr>
        <w:t>dated as of June 29, 2001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Competitive Bid Quote Request under Section 4.3</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Commitment</w:t>
      </w:r>
    </w:p>
    <w:p>
      <w:pPr>
        <w:spacing w:after="0" w:line="26"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Competitive Bid Loans outstanding</w:t>
      </w:r>
    </w:p>
    <w:p>
      <w:pPr>
        <w:ind w:left="60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Competitive Bid Loans Requested</w:t>
      </w:r>
    </w:p>
    <w:p>
      <w:pPr>
        <w:ind w:left="60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Drawing Amount of</w:t>
      </w:r>
    </w:p>
    <w:p>
      <w:pPr>
        <w:ind w:left="840"/>
        <w:spacing w:after="0" w:line="236" w:lineRule="auto"/>
        <w:rPr>
          <w:sz w:val="20"/>
          <w:szCs w:val="20"/>
          <w:color w:val="auto"/>
        </w:rPr>
      </w:pPr>
      <w:r>
        <w:rPr>
          <w:rFonts w:ascii="Courier New" w:cs="Courier New" w:eastAsia="Courier New" w:hAnsi="Courier New"/>
          <w:sz w:val="16"/>
          <w:szCs w:val="16"/>
          <w:color w:val="auto"/>
        </w:rPr>
        <w:t>outstanding Letters of Credit</w:t>
      </w:r>
    </w:p>
    <w:p>
      <w:pPr>
        <w:spacing w:after="0" w:line="1" w:lineRule="exact"/>
        <w:rPr>
          <w:sz w:val="20"/>
          <w:szCs w:val="20"/>
          <w:color w:val="auto"/>
        </w:rPr>
      </w:pPr>
    </w:p>
    <w:p>
      <w:pPr>
        <w:ind w:left="60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Syndicated Loans (including Swing Line Loans) outstanding</w:t>
      </w:r>
    </w:p>
    <w:p>
      <w:pPr>
        <w:ind w:left="60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of all outstanding and Requested</w:t>
      </w:r>
    </w:p>
    <w:p>
      <w:pPr>
        <w:ind w:left="60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Competitive Bid Loans</w:t>
      </w:r>
    </w:p>
    <w:p>
      <w:pPr>
        <w:ind w:left="840"/>
        <w:spacing w:after="0" w:line="236" w:lineRule="auto"/>
        <w:rPr>
          <w:sz w:val="20"/>
          <w:szCs w:val="20"/>
          <w:color w:val="auto"/>
        </w:rPr>
      </w:pPr>
      <w:r>
        <w:rPr>
          <w:rFonts w:ascii="Courier New" w:cs="Courier New" w:eastAsia="Courier New" w:hAnsi="Courier New"/>
          <w:sz w:val="16"/>
          <w:szCs w:val="16"/>
          <w:color w:val="auto"/>
        </w:rPr>
        <w:t>(must not exceed the Total Commitment</w:t>
      </w:r>
    </w:p>
    <w:p>
      <w:pPr>
        <w:ind w:left="840"/>
        <w:spacing w:after="0" w:line="237" w:lineRule="auto"/>
        <w:rPr>
          <w:sz w:val="20"/>
          <w:szCs w:val="20"/>
          <w:color w:val="auto"/>
        </w:rPr>
      </w:pPr>
      <w:r>
        <w:rPr>
          <w:rFonts w:ascii="Courier New" w:cs="Courier New" w:eastAsia="Courier New" w:hAnsi="Courier New"/>
          <w:sz w:val="16"/>
          <w:szCs w:val="16"/>
          <w:color w:val="auto"/>
        </w:rPr>
        <w:t>minus Total of all Syndicated Loans outstanding</w:t>
      </w:r>
    </w:p>
    <w:p>
      <w:pPr>
        <w:ind w:left="840"/>
        <w:spacing w:after="0" w:line="237" w:lineRule="auto"/>
        <w:rPr>
          <w:sz w:val="20"/>
          <w:szCs w:val="20"/>
          <w:color w:val="auto"/>
        </w:rPr>
      </w:pPr>
      <w:r>
        <w:rPr>
          <w:rFonts w:ascii="Courier New" w:cs="Courier New" w:eastAsia="Courier New" w:hAnsi="Courier New"/>
          <w:sz w:val="16"/>
          <w:szCs w:val="16"/>
          <w:color w:val="auto"/>
        </w:rPr>
        <w:t>(including Swing Line Loans) and Maximum</w:t>
      </w:r>
    </w:p>
    <w:p>
      <w:pPr>
        <w:ind w:left="840"/>
        <w:spacing w:after="0"/>
        <w:rPr>
          <w:sz w:val="20"/>
          <w:szCs w:val="20"/>
          <w:color w:val="auto"/>
        </w:rPr>
      </w:pPr>
      <w:r>
        <w:rPr>
          <w:rFonts w:ascii="Courier New" w:cs="Courier New" w:eastAsia="Courier New" w:hAnsi="Courier New"/>
          <w:sz w:val="16"/>
          <w:szCs w:val="16"/>
          <w:color w:val="auto"/>
        </w:rPr>
        <w:t>Drawing Amount of outstanding Letters of Credit)</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80" w:type="dxa"/>
            <w:vAlign w:val="bottom"/>
          </w:tcPr>
          <w:p>
            <w:pPr>
              <w:spacing w:after="0"/>
              <w:rPr>
                <w:sz w:val="20"/>
                <w:szCs w:val="20"/>
                <w:color w:val="auto"/>
              </w:rPr>
            </w:pPr>
            <w:r>
              <w:rPr>
                <w:rFonts w:ascii="Courier New" w:cs="Courier New" w:eastAsia="Courier New" w:hAnsi="Courier New"/>
                <w:sz w:val="16"/>
                <w:szCs w:val="16"/>
                <w:color w:val="auto"/>
              </w:rPr>
              <w:t>Type of Competitive Bid Loans Requested</w:t>
            </w:r>
          </w:p>
        </w:tc>
        <w:tc>
          <w:tcPr>
            <w:tcW w:w="2600" w:type="dxa"/>
            <w:vAlign w:val="bottom"/>
          </w:tcPr>
          <w:p>
            <w:pPr>
              <w:jc w:val="center"/>
              <w:ind w:left="562"/>
              <w:spacing w:after="0"/>
              <w:rPr>
                <w:sz w:val="20"/>
                <w:szCs w:val="20"/>
                <w:color w:val="auto"/>
              </w:rPr>
            </w:pPr>
            <w:r>
              <w:rPr>
                <w:rFonts w:ascii="Courier New" w:cs="Courier New" w:eastAsia="Courier New" w:hAnsi="Courier New"/>
                <w:sz w:val="16"/>
                <w:szCs w:val="16"/>
                <w:color w:val="auto"/>
                <w:w w:val="97"/>
              </w:rPr>
              <w:t>Eurodollar / Absolute</w:t>
            </w:r>
          </w:p>
        </w:tc>
        <w:tc>
          <w:tcPr>
            <w:tcW w:w="0" w:type="dxa"/>
            <w:vAlign w:val="bottom"/>
          </w:tcPr>
          <w:p>
            <w:pPr>
              <w:spacing w:after="0"/>
              <w:rPr>
                <w:sz w:val="1"/>
                <w:szCs w:val="1"/>
                <w:color w:val="auto"/>
              </w:rPr>
            </w:pPr>
          </w:p>
        </w:tc>
      </w:tr>
      <w:tr>
        <w:trPr>
          <w:trHeight w:val="358"/>
        </w:trPr>
        <w:tc>
          <w:tcPr>
            <w:tcW w:w="4280" w:type="dxa"/>
            <w:vAlign w:val="bottom"/>
          </w:tcPr>
          <w:p>
            <w:pPr>
              <w:spacing w:after="0"/>
              <w:rPr>
                <w:sz w:val="20"/>
                <w:szCs w:val="20"/>
                <w:color w:val="auto"/>
              </w:rPr>
            </w:pPr>
            <w:r>
              <w:rPr>
                <w:rFonts w:ascii="Courier New" w:cs="Courier New" w:eastAsia="Courier New" w:hAnsi="Courier New"/>
                <w:sz w:val="16"/>
                <w:szCs w:val="16"/>
                <w:color w:val="auto"/>
              </w:rPr>
              <w:t>Requested Drawdown Date</w:t>
            </w:r>
          </w:p>
        </w:tc>
        <w:tc>
          <w:tcPr>
            <w:tcW w:w="260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280" w:type="dxa"/>
            <w:vAlign w:val="bottom"/>
          </w:tcPr>
          <w:p>
            <w:pPr>
              <w:spacing w:after="0"/>
              <w:rPr>
                <w:sz w:val="15"/>
                <w:szCs w:val="15"/>
                <w:color w:val="auto"/>
              </w:rPr>
            </w:pP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280" w:type="dxa"/>
            <w:vAlign w:val="bottom"/>
          </w:tcPr>
          <w:p>
            <w:pPr>
              <w:jc w:val="center"/>
              <w:ind w:right="3202"/>
              <w:spacing w:after="0"/>
              <w:rPr>
                <w:sz w:val="20"/>
                <w:szCs w:val="20"/>
                <w:color w:val="auto"/>
              </w:rPr>
            </w:pPr>
            <w:r>
              <w:rPr>
                <w:rFonts w:ascii="Courier New" w:cs="Courier New" w:eastAsia="Courier New" w:hAnsi="Courier New"/>
                <w:sz w:val="16"/>
                <w:szCs w:val="16"/>
                <w:color w:val="auto"/>
                <w:w w:val="97"/>
              </w:rPr>
              <w:t>Principal</w:t>
            </w:r>
          </w:p>
        </w:tc>
        <w:tc>
          <w:tcPr>
            <w:tcW w:w="2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202"/>
              <w:spacing w:after="0" w:line="179" w:lineRule="exact"/>
              <w:rPr>
                <w:sz w:val="20"/>
                <w:szCs w:val="20"/>
                <w:color w:val="auto"/>
              </w:rPr>
            </w:pPr>
            <w:r>
              <w:rPr>
                <w:rFonts w:ascii="Courier New" w:cs="Courier New" w:eastAsia="Courier New" w:hAnsi="Courier New"/>
                <w:sz w:val="16"/>
                <w:szCs w:val="16"/>
                <w:color w:val="auto"/>
                <w:w w:val="97"/>
              </w:rPr>
              <w:t>Amount of</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202"/>
              <w:spacing w:after="0" w:line="179" w:lineRule="exact"/>
              <w:rPr>
                <w:sz w:val="20"/>
                <w:szCs w:val="20"/>
                <w:color w:val="auto"/>
              </w:rPr>
            </w:pPr>
            <w:r>
              <w:rPr>
                <w:rFonts w:ascii="Courier New" w:cs="Courier New" w:eastAsia="Courier New" w:hAnsi="Courier New"/>
                <w:sz w:val="16"/>
                <w:szCs w:val="16"/>
                <w:color w:val="auto"/>
                <w:w w:val="97"/>
              </w:rPr>
              <w:t>Requested</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182"/>
              <w:spacing w:after="0" w:line="179" w:lineRule="exact"/>
              <w:rPr>
                <w:sz w:val="20"/>
                <w:szCs w:val="20"/>
                <w:color w:val="auto"/>
              </w:rPr>
            </w:pPr>
            <w:r>
              <w:rPr>
                <w:rFonts w:ascii="Courier New" w:cs="Courier New" w:eastAsia="Courier New" w:hAnsi="Courier New"/>
                <w:sz w:val="16"/>
                <w:szCs w:val="16"/>
                <w:color w:val="auto"/>
                <w:w w:val="96"/>
              </w:rPr>
              <w:t>Competitive</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182"/>
              <w:spacing w:after="0" w:line="179" w:lineRule="exact"/>
              <w:rPr>
                <w:sz w:val="20"/>
                <w:szCs w:val="20"/>
                <w:color w:val="auto"/>
              </w:rPr>
            </w:pPr>
            <w:r>
              <w:rPr>
                <w:rFonts w:ascii="Courier New" w:cs="Courier New" w:eastAsia="Courier New" w:hAnsi="Courier New"/>
                <w:sz w:val="16"/>
                <w:szCs w:val="16"/>
                <w:color w:val="auto"/>
                <w:w w:val="96"/>
              </w:rPr>
              <w:t>Bid Loan</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202"/>
              <w:spacing w:after="0" w:line="179" w:lineRule="exact"/>
              <w:rPr>
                <w:sz w:val="20"/>
                <w:szCs w:val="20"/>
                <w:color w:val="auto"/>
              </w:rPr>
            </w:pPr>
            <w:r>
              <w:rPr>
                <w:rFonts w:ascii="Courier New" w:cs="Courier New" w:eastAsia="Courier New" w:hAnsi="Courier New"/>
                <w:sz w:val="16"/>
                <w:szCs w:val="16"/>
                <w:color w:val="auto"/>
                <w:w w:val="97"/>
              </w:rPr>
              <w:t>Requested</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182"/>
              <w:spacing w:after="0" w:line="179" w:lineRule="exact"/>
              <w:rPr>
                <w:sz w:val="20"/>
                <w:szCs w:val="20"/>
                <w:color w:val="auto"/>
              </w:rPr>
            </w:pPr>
            <w:r>
              <w:rPr>
                <w:rFonts w:ascii="Courier New" w:cs="Courier New" w:eastAsia="Courier New" w:hAnsi="Courier New"/>
                <w:sz w:val="16"/>
                <w:szCs w:val="16"/>
                <w:color w:val="auto"/>
                <w:w w:val="96"/>
              </w:rPr>
              <w:t>Interest</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202"/>
              <w:spacing w:after="0" w:line="179" w:lineRule="exact"/>
              <w:rPr>
                <w:sz w:val="20"/>
                <w:szCs w:val="20"/>
                <w:color w:val="auto"/>
              </w:rPr>
            </w:pPr>
            <w:r>
              <w:rPr>
                <w:rFonts w:ascii="Courier New" w:cs="Courier New" w:eastAsia="Courier New" w:hAnsi="Courier New"/>
                <w:sz w:val="16"/>
                <w:szCs w:val="16"/>
                <w:color w:val="auto"/>
                <w:w w:val="97"/>
              </w:rPr>
              <w:t>Period(s)</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202"/>
              <w:spacing w:after="0" w:line="179" w:lineRule="exact"/>
              <w:rPr>
                <w:sz w:val="20"/>
                <w:szCs w:val="20"/>
                <w:color w:val="auto"/>
              </w:rPr>
            </w:pPr>
            <w:r>
              <w:rPr>
                <w:rFonts w:ascii="Courier New" w:cs="Courier New" w:eastAsia="Courier New" w:hAnsi="Courier New"/>
                <w:sz w:val="16"/>
                <w:szCs w:val="16"/>
                <w:color w:val="auto"/>
                <w:w w:val="95"/>
              </w:rPr>
              <w:t>----------</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202"/>
              <w:spacing w:after="0" w:line="179" w:lineRule="exact"/>
              <w:rPr>
                <w:sz w:val="20"/>
                <w:szCs w:val="20"/>
                <w:color w:val="auto"/>
              </w:rPr>
            </w:pPr>
            <w:r>
              <w:rPr>
                <w:rFonts w:ascii="Courier New" w:cs="Courier New" w:eastAsia="Courier New" w:hAnsi="Courier New"/>
                <w:sz w:val="16"/>
                <w:szCs w:val="16"/>
                <w:color w:val="auto"/>
                <w:w w:val="95"/>
              </w:rPr>
              <w:t>----------</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202"/>
              <w:spacing w:after="0" w:line="179" w:lineRule="exact"/>
              <w:rPr>
                <w:sz w:val="20"/>
                <w:szCs w:val="20"/>
                <w:color w:val="auto"/>
              </w:rPr>
            </w:pPr>
            <w:r>
              <w:rPr>
                <w:rFonts w:ascii="Courier New" w:cs="Courier New" w:eastAsia="Courier New" w:hAnsi="Courier New"/>
                <w:sz w:val="16"/>
                <w:szCs w:val="16"/>
                <w:color w:val="auto"/>
                <w:w w:val="95"/>
              </w:rPr>
              <w:t>----------</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280" w:type="dxa"/>
            <w:vAlign w:val="bottom"/>
          </w:tcPr>
          <w:p>
            <w:pPr>
              <w:jc w:val="center"/>
              <w:ind w:right="3202"/>
              <w:spacing w:after="0" w:line="179" w:lineRule="exact"/>
              <w:rPr>
                <w:sz w:val="20"/>
                <w:szCs w:val="20"/>
                <w:color w:val="auto"/>
              </w:rPr>
            </w:pPr>
            <w:r>
              <w:rPr>
                <w:rFonts w:ascii="Courier New" w:cs="Courier New" w:eastAsia="Courier New" w:hAnsi="Courier New"/>
                <w:sz w:val="16"/>
                <w:szCs w:val="16"/>
                <w:color w:val="auto"/>
                <w:w w:val="95"/>
              </w:rPr>
              <w:t>----------</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280" w:type="dxa"/>
            <w:vAlign w:val="bottom"/>
          </w:tcPr>
          <w:p>
            <w:pPr>
              <w:jc w:val="center"/>
              <w:ind w:right="3182"/>
              <w:spacing w:after="0"/>
              <w:rPr>
                <w:sz w:val="20"/>
                <w:szCs w:val="20"/>
                <w:color w:val="auto"/>
              </w:rPr>
            </w:pPr>
            <w:r>
              <w:rPr>
                <w:rFonts w:ascii="Courier New" w:cs="Courier New" w:eastAsia="Courier New" w:hAnsi="Courier New"/>
                <w:sz w:val="16"/>
                <w:szCs w:val="16"/>
                <w:color w:val="auto"/>
                <w:w w:val="96"/>
              </w:rPr>
              <w:t>--------</w:t>
            </w:r>
          </w:p>
        </w:tc>
        <w:tc>
          <w:tcPr>
            <w:tcW w:w="2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I certify that the above is true and correct, and that all of the conditions set forth in Section 12 of the Loan Agreement have been satisfied as of the date hereof.</w:t>
      </w:r>
    </w:p>
    <w:p>
      <w:pPr>
        <w:spacing w:after="0" w:line="6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ind w:left="4360"/>
        <w:spacing w:after="0" w:line="236" w:lineRule="auto"/>
        <w:rPr>
          <w:sz w:val="20"/>
          <w:szCs w:val="20"/>
          <w:color w:val="auto"/>
        </w:rPr>
      </w:pPr>
      <w:r>
        <w:rPr>
          <w:rFonts w:ascii="Courier New" w:cs="Courier New" w:eastAsia="Courier New" w:hAnsi="Courier New"/>
          <w:sz w:val="16"/>
          <w:szCs w:val="16"/>
          <w:color w:val="auto"/>
        </w:rPr>
        <w:t>Name:</w:t>
      </w:r>
    </w:p>
    <w:p>
      <w:pPr>
        <w:spacing w:after="0" w:line="1"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spacing w:after="0" w:line="149"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269" w:right="1440" w:bottom="1440" w:gutter="0" w:footer="0" w:header="0"/>
        </w:sectPr>
      </w:pPr>
    </w:p>
    <w:bookmarkStart w:id="295" w:name="page296"/>
    <w:bookmarkEnd w:id="295"/>
    <w:p>
      <w:pPr>
        <w:ind w:left="280"/>
        <w:spacing w:after="0"/>
        <w:rPr>
          <w:sz w:val="20"/>
          <w:szCs w:val="20"/>
          <w:color w:val="auto"/>
        </w:rPr>
      </w:pPr>
      <w:r>
        <w:rPr>
          <w:rFonts w:ascii="Courier New" w:cs="Courier New" w:eastAsia="Courier New" w:hAnsi="Courier New"/>
          <w:sz w:val="16"/>
          <w:szCs w:val="16"/>
          <w:color w:val="auto"/>
        </w:rPr>
        <w:t>110</w:t>
      </w:r>
    </w:p>
    <w:p>
      <w:pPr>
        <w:spacing w:after="0" w:line="35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I</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(the "Borrower")</w:t>
      </w:r>
    </w:p>
    <w:p>
      <w:pPr>
        <w:jc w:val="center"/>
        <w:ind w:right="2699"/>
        <w:spacing w:after="0"/>
        <w:rPr>
          <w:sz w:val="20"/>
          <w:szCs w:val="20"/>
          <w:color w:val="auto"/>
        </w:rPr>
      </w:pPr>
      <w:r>
        <w:rPr>
          <w:rFonts w:ascii="Courier New" w:cs="Courier New" w:eastAsia="Courier New" w:hAnsi="Courier New"/>
          <w:sz w:val="16"/>
          <w:szCs w:val="16"/>
          <w:color w:val="auto"/>
        </w:rPr>
        <w:t>364-Day Loan Agreement (the "Loan Agreement") dated as of June 29, 2001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60" w:type="dxa"/>
            <w:vAlign w:val="bottom"/>
          </w:tcPr>
          <w:p>
            <w:pPr>
              <w:spacing w:after="0"/>
              <w:rPr>
                <w:sz w:val="22"/>
                <w:szCs w:val="22"/>
                <w:color w:val="auto"/>
              </w:rPr>
            </w:pPr>
          </w:p>
        </w:tc>
        <w:tc>
          <w:tcPr>
            <w:tcW w:w="55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FORM OF INVITATION FOR COMPETITIVE BID QUOTES</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ATTN:</w:t>
            </w:r>
          </w:p>
        </w:tc>
        <w:tc>
          <w:tcPr>
            <w:tcW w:w="3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060" w:type="dxa"/>
            <w:vAlign w:val="bottom"/>
          </w:tcPr>
          <w:p>
            <w:pPr>
              <w:spacing w:after="0"/>
              <w:rPr>
                <w:sz w:val="20"/>
                <w:szCs w:val="20"/>
                <w:color w:val="auto"/>
              </w:rPr>
            </w:pPr>
            <w:r>
              <w:rPr>
                <w:rFonts w:ascii="Courier New" w:cs="Courier New" w:eastAsia="Courier New" w:hAnsi="Courier New"/>
                <w:sz w:val="16"/>
                <w:szCs w:val="16"/>
                <w:color w:val="auto"/>
              </w:rPr>
              <w:t>REF:</w:t>
            </w:r>
          </w:p>
        </w:tc>
        <w:tc>
          <w:tcPr>
            <w:tcW w:w="31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060" w:type="dxa"/>
            <w:vAlign w:val="bottom"/>
          </w:tcPr>
          <w:p>
            <w:pPr>
              <w:spacing w:after="0"/>
              <w:rPr>
                <w:sz w:val="20"/>
                <w:szCs w:val="20"/>
                <w:color w:val="auto"/>
              </w:rPr>
            </w:pPr>
            <w:r>
              <w:rPr>
                <w:rFonts w:ascii="Courier New" w:cs="Courier New" w:eastAsia="Courier New" w:hAnsi="Courier New"/>
                <w:sz w:val="16"/>
                <w:szCs w:val="16"/>
                <w:color w:val="auto"/>
              </w:rPr>
              <w:t>RE:</w:t>
            </w:r>
          </w:p>
        </w:tc>
        <w:tc>
          <w:tcPr>
            <w:tcW w:w="558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INVITATION FOR COMPETITIVE BID QUOTES</w:t>
            </w:r>
          </w:p>
        </w:tc>
        <w:tc>
          <w:tcPr>
            <w:tcW w:w="6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261"/>
        </w:trPr>
        <w:tc>
          <w:tcPr>
            <w:tcW w:w="106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24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AGT DTD</w:t>
            </w: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FLEET NATIONAL BANK AS ADMINISTRATIVE AGENT</w:t>
            </w:r>
          </w:p>
        </w:tc>
        <w:tc>
          <w:tcPr>
            <w:tcW w:w="2420" w:type="dxa"/>
            <w:vAlign w:val="bottom"/>
            <w:vMerge w:val="restart"/>
          </w:tcPr>
          <w:p>
            <w:pPr>
              <w:jc w:val="right"/>
              <w:ind w:right="1722"/>
              <w:spacing w:after="0"/>
              <w:rPr>
                <w:sz w:val="20"/>
                <w:szCs w:val="20"/>
                <w:color w:val="auto"/>
              </w:rPr>
            </w:pPr>
            <w:r>
              <w:rPr>
                <w:rFonts w:ascii="Courier New" w:cs="Courier New" w:eastAsia="Courier New" w:hAnsi="Courier New"/>
                <w:sz w:val="16"/>
                <w:szCs w:val="16"/>
                <w:color w:val="auto"/>
              </w:rPr>
              <w:t>/  /</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220" w:type="dxa"/>
            <w:vAlign w:val="bottom"/>
            <w:gridSpan w:val="2"/>
          </w:tcPr>
          <w:p>
            <w:pPr>
              <w:spacing w:after="0"/>
              <w:rPr>
                <w:sz w:val="20"/>
                <w:szCs w:val="20"/>
                <w:color w:val="auto"/>
              </w:rPr>
            </w:pPr>
            <w:r>
              <w:rPr>
                <w:rFonts w:ascii="Courier New" w:cs="Courier New" w:eastAsia="Courier New" w:hAnsi="Courier New"/>
                <w:sz w:val="16"/>
                <w:szCs w:val="16"/>
                <w:color w:val="auto"/>
              </w:rPr>
              <w:t>INVITATION FOR COMPETITIVE BID QUOTES DATED</w:t>
            </w:r>
          </w:p>
        </w:tc>
        <w:tc>
          <w:tcPr>
            <w:tcW w:w="2420" w:type="dxa"/>
            <w:vAlign w:val="bottom"/>
            <w:vMerge w:val="continue"/>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right="2879"/>
        <w:spacing w:after="0" w:line="289" w:lineRule="auto"/>
        <w:rPr>
          <w:sz w:val="20"/>
          <w:szCs w:val="20"/>
          <w:color w:val="auto"/>
        </w:rPr>
      </w:pPr>
      <w:r>
        <w:rPr>
          <w:rFonts w:ascii="Courier New" w:cs="Courier New" w:eastAsia="Courier New" w:hAnsi="Courier New"/>
          <w:sz w:val="16"/>
          <w:szCs w:val="16"/>
          <w:color w:val="auto"/>
        </w:rPr>
        <w:t>PURSUANT TO SECTION 4.3 OF THE ABOVE REFERENCED LOAN AGREEMENT, YOU ARE INVITED TO SUBMIT A COMPETITIVE BID QUOTE TO THE BORROWER FOR THE FOLLOWING PROPOSED COMPETITIVE BID LOAN(S):</w:t>
      </w:r>
    </w:p>
    <w:p>
      <w:pPr>
        <w:spacing w:after="0" w:line="61" w:lineRule="exact"/>
        <w:rPr>
          <w:sz w:val="20"/>
          <w:szCs w:val="20"/>
          <w:color w:val="auto"/>
        </w:rPr>
      </w:pPr>
    </w:p>
    <w:p>
      <w:pPr>
        <w:spacing w:after="0"/>
        <w:tabs>
          <w:tab w:leader="none" w:pos="2020" w:val="left"/>
          <w:tab w:leader="none" w:pos="2400" w:val="left"/>
        </w:tabs>
        <w:rPr>
          <w:sz w:val="20"/>
          <w:szCs w:val="20"/>
          <w:color w:val="auto"/>
        </w:rPr>
      </w:pPr>
      <w:r>
        <w:rPr>
          <w:rFonts w:ascii="Courier New" w:cs="Courier New" w:eastAsia="Courier New" w:hAnsi="Courier New"/>
          <w:sz w:val="16"/>
          <w:szCs w:val="16"/>
          <w:color w:val="auto"/>
        </w:rPr>
        <w:t>DATE OF BORROWING:</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3"/>
          <w:szCs w:val="13"/>
          <w:color w:val="auto"/>
        </w:rPr>
        <w:t>/</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AMOUNT REQUESTED:</w:t>
      </w:r>
    </w:p>
    <w:p>
      <w:pPr>
        <w:sectPr>
          <w:pgSz w:w="11900" w:h="16838" w:orient="portrait"/>
          <w:cols w:equalWidth="0" w:num="1">
            <w:col w:w="10219"/>
          </w:cols>
          <w:pgMar w:left="240" w:top="269" w:right="1440" w:bottom="1440" w:gutter="0" w:footer="0" w:header="0"/>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PERIOD</w:t>
      </w:r>
    </w:p>
    <w:p>
      <w:pPr>
        <w:spacing w:after="0" w:line="100" w:lineRule="exact"/>
        <w:rPr>
          <w:sz w:val="20"/>
          <w:szCs w:val="20"/>
          <w:color w:val="auto"/>
        </w:rPr>
      </w:pPr>
    </w:p>
    <w:p>
      <w:pPr>
        <w:sectPr>
          <w:pgSz w:w="11900" w:h="16838" w:orient="portrait"/>
          <w:cols w:equalWidth="0" w:num="2">
            <w:col w:w="2620" w:space="720"/>
            <w:col w:w="6879"/>
          </w:cols>
          <w:pgMar w:left="240" w:top="269" w:right="1440" w:bottom="1440" w:gutter="0" w:footer="0" w:header="0"/>
          <w:type w:val="continuous"/>
        </w:sectPr>
      </w:pPr>
    </w:p>
    <w:p>
      <w:pPr>
        <w:spacing w:after="0"/>
        <w:tabs>
          <w:tab w:leader="none" w:pos="352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COMPETITIVE BID QUOTES SHOULD OFFER COMPETITIVE BID RATE(S)/MARGIN(S).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RESPOND IN WRITING TO THIS INVITATION BY NO LATER THAN A.M./P.M. (NEW</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YORK TIME ON / / TO ONE OF THE FOLLOWING:</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PRIMARY FAX NO. 212-819-5897 (Attn: Ellie Awad)</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ALTERNATE FAX NO. 212-819-5898 (Attn: DawnMarie Matos)</w:t>
      </w:r>
    </w:p>
    <w:p>
      <w:pPr>
        <w:spacing w:after="0" w:line="149" w:lineRule="exact"/>
        <w:rPr>
          <w:sz w:val="20"/>
          <w:szCs w:val="20"/>
          <w:color w:val="auto"/>
        </w:rPr>
      </w:pPr>
    </w:p>
    <w:p>
      <w:pPr>
        <w:ind w:right="2879"/>
        <w:spacing w:after="0" w:line="291" w:lineRule="auto"/>
        <w:rPr>
          <w:sz w:val="20"/>
          <w:szCs w:val="20"/>
          <w:color w:val="auto"/>
        </w:rPr>
      </w:pPr>
      <w:r>
        <w:rPr>
          <w:rFonts w:ascii="Courier New" w:cs="Courier New" w:eastAsia="Courier New" w:hAnsi="Courier New"/>
          <w:sz w:val="14"/>
          <w:szCs w:val="14"/>
          <w:color w:val="auto"/>
        </w:rPr>
        <w:t>NOTE: PLEASE FOLLOW-UP YOUR SUBMITTED WRITTEN BID(S) WITH PHONE VERIFICATION TO CONFIRM. IF YOU ARE UNABLE TO SEND YOUR FAX DUE TO AN OCCUPIED FAX LINE, PLEASE</w:t>
      </w:r>
    </w:p>
    <w:p>
      <w:pPr>
        <w:spacing w:after="0" w:line="1" w:lineRule="exact"/>
        <w:rPr>
          <w:sz w:val="20"/>
          <w:szCs w:val="20"/>
          <w:color w:val="auto"/>
        </w:rPr>
      </w:pPr>
    </w:p>
    <w:p>
      <w:pPr>
        <w:ind w:right="2779"/>
        <w:spacing w:after="0" w:line="305" w:lineRule="auto"/>
        <w:rPr>
          <w:sz w:val="20"/>
          <w:szCs w:val="20"/>
          <w:color w:val="auto"/>
        </w:rPr>
      </w:pPr>
      <w:r>
        <w:rPr>
          <w:rFonts w:ascii="Courier New" w:cs="Courier New" w:eastAsia="Courier New" w:hAnsi="Courier New"/>
          <w:sz w:val="16"/>
          <w:szCs w:val="16"/>
          <w:color w:val="auto"/>
        </w:rPr>
        <w:t>CALL BY A.M./P.M. IN ADDITION, PLEASE SUBMIT YOUR BID(S) IN SUBSTANTIALLY THE FORM OF "EXHIBIT J" TO THE LOAN AGREEMENT.</w:t>
      </w:r>
    </w:p>
    <w:p>
      <w:pPr>
        <w:spacing w:after="0" w:line="48" w:lineRule="exact"/>
        <w:rPr>
          <w:sz w:val="20"/>
          <w:szCs w:val="20"/>
          <w:color w:val="auto"/>
        </w:rPr>
      </w:pPr>
    </w:p>
    <w:p>
      <w:pPr>
        <w:jc w:val="both"/>
        <w:ind w:right="3239"/>
        <w:spacing w:after="0" w:line="289" w:lineRule="auto"/>
        <w:rPr>
          <w:sz w:val="20"/>
          <w:szCs w:val="20"/>
          <w:color w:val="auto"/>
        </w:rPr>
      </w:pPr>
      <w:r>
        <w:rPr>
          <w:rFonts w:ascii="Courier New" w:cs="Courier New" w:eastAsia="Courier New" w:hAnsi="Courier New"/>
          <w:sz w:val="16"/>
          <w:szCs w:val="16"/>
          <w:color w:val="auto"/>
        </w:rPr>
        <w:t>QUOTES RECEIVED AFTER [2:00 P.M. (IN THE CASE OF EURODOLLAR COMPETITIVE BID LOANS)/10:00 A.M. (IN THE CASE OF ABSOLUTE COMPETITIVE BID LOANS] (NEW YORK TIME) WILL NOT BE FORWARDED TO THE BORROWER.</w:t>
      </w:r>
    </w:p>
    <w:p>
      <w:pPr>
        <w:sectPr>
          <w:pgSz w:w="11900" w:h="16838" w:orient="portrait"/>
          <w:cols w:equalWidth="0" w:num="1">
            <w:col w:w="10219"/>
          </w:cols>
          <w:pgMar w:left="240" w:top="269" w:right="1440" w:bottom="1440" w:gutter="0" w:footer="0" w:header="0"/>
          <w:type w:val="continuous"/>
        </w:sectPr>
      </w:pPr>
    </w:p>
    <w:bookmarkStart w:id="296" w:name="page297"/>
    <w:bookmarkEnd w:id="296"/>
    <w:p>
      <w:pPr>
        <w:ind w:left="280"/>
        <w:spacing w:after="0"/>
        <w:rPr>
          <w:sz w:val="20"/>
          <w:szCs w:val="20"/>
          <w:color w:val="auto"/>
        </w:rPr>
      </w:pPr>
      <w:r>
        <w:rPr>
          <w:rFonts w:ascii="Courier New" w:cs="Courier New" w:eastAsia="Courier New" w:hAnsi="Courier New"/>
          <w:sz w:val="16"/>
          <w:szCs w:val="16"/>
          <w:color w:val="auto"/>
        </w:rPr>
        <w:t>111</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ind w:right="2879"/>
        <w:spacing w:after="0" w:line="342" w:lineRule="auto"/>
        <w:rPr>
          <w:sz w:val="20"/>
          <w:szCs w:val="20"/>
          <w:color w:val="auto"/>
        </w:rPr>
      </w:pPr>
      <w:r>
        <w:rPr>
          <w:rFonts w:ascii="Courier New" w:cs="Courier New" w:eastAsia="Courier New" w:hAnsi="Courier New"/>
          <w:sz w:val="16"/>
          <w:szCs w:val="16"/>
          <w:color w:val="auto"/>
        </w:rPr>
        <w:t>SUBMITTED BIDS MUST BE FIVE MILLION DOLLARS OR A LARGER MULTIPLE OF ONE MILLION DOLLARS. ALSO, PLEASE SPECIFY LIMITATION AMOUNTS, IF APPLICABLE.</w:t>
      </w:r>
    </w:p>
    <w:p>
      <w:pPr>
        <w:spacing w:after="0" w:line="20"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FLEET NATIONAL BANK, as</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Administrative Agent</w:t>
      </w:r>
    </w:p>
    <w:p>
      <w:pPr>
        <w:spacing w:after="0" w:line="149"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Name:</w:t>
      </w:r>
    </w:p>
    <w:p>
      <w:pPr>
        <w:ind w:left="484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Title:</w:t>
      </w:r>
    </w:p>
    <w:p>
      <w:pPr>
        <w:ind w:left="49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Date:</w:t>
      </w:r>
    </w:p>
    <w:p>
      <w:pPr>
        <w:spacing w:after="0" w:line="26"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69" w:right="1440" w:bottom="1440" w:gutter="0" w:footer="0" w:header="0"/>
        </w:sectPr>
      </w:pPr>
    </w:p>
    <w:bookmarkStart w:id="297" w:name="page298"/>
    <w:bookmarkEnd w:id="297"/>
    <w:p>
      <w:pPr>
        <w:ind w:left="280"/>
        <w:spacing w:after="0"/>
        <w:rPr>
          <w:sz w:val="20"/>
          <w:szCs w:val="20"/>
          <w:color w:val="auto"/>
        </w:rPr>
      </w:pPr>
      <w:r>
        <w:rPr>
          <w:rFonts w:ascii="Courier New" w:cs="Courier New" w:eastAsia="Courier New" w:hAnsi="Courier New"/>
          <w:sz w:val="16"/>
          <w:szCs w:val="16"/>
          <w:color w:val="auto"/>
        </w:rPr>
        <w:t>112</w:t>
      </w:r>
    </w:p>
    <w:p>
      <w:pPr>
        <w:spacing w:after="0" w:line="35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J</w:t>
      </w:r>
    </w:p>
    <w:p>
      <w:pPr>
        <w:spacing w:after="0" w:line="35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FORM OF COMPETITIVE BID QUOTE</w:t>
      </w:r>
    </w:p>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364-Day Loan Agreement (the "Loan Agreement")</w:t>
      </w:r>
    </w:p>
    <w:p>
      <w:pPr>
        <w:jc w:val="center"/>
        <w:ind w:right="2699"/>
        <w:spacing w:after="0"/>
        <w:rPr>
          <w:sz w:val="20"/>
          <w:szCs w:val="20"/>
          <w:color w:val="auto"/>
        </w:rPr>
      </w:pPr>
      <w:r>
        <w:rPr>
          <w:rFonts w:ascii="Courier New" w:cs="Courier New" w:eastAsia="Courier New" w:hAnsi="Courier New"/>
          <w:sz w:val="16"/>
          <w:szCs w:val="16"/>
          <w:color w:val="auto"/>
        </w:rPr>
        <w:t>dated as of June 29, 2001</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Competitive Bid Quote under Section 4.5</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Person to Contact</w:t>
            </w:r>
          </w:p>
        </w:tc>
        <w:tc>
          <w:tcPr>
            <w:tcW w:w="242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51"/>
        </w:trPr>
        <w:tc>
          <w:tcPr>
            <w:tcW w:w="4080" w:type="dxa"/>
            <w:vAlign w:val="bottom"/>
            <w:vMerge w:val="continue"/>
          </w:tcPr>
          <w:p>
            <w:pPr>
              <w:spacing w:after="0"/>
              <w:rPr>
                <w:sz w:val="13"/>
                <w:szCs w:val="13"/>
                <w:color w:val="auto"/>
              </w:rPr>
            </w:pPr>
          </w:p>
        </w:tc>
        <w:tc>
          <w:tcPr>
            <w:tcW w:w="2420" w:type="dxa"/>
            <w:vAlign w:val="bottom"/>
            <w:vMerge w:val="restart"/>
          </w:tcPr>
          <w:p>
            <w:pPr>
              <w:jc w:val="center"/>
              <w:ind w:left="40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79"/>
        </w:trPr>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Date of Competitive Bid Quote Request</w:t>
            </w: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vMerge w:val="continue"/>
          </w:tcPr>
          <w:p>
            <w:pPr>
              <w:spacing w:after="0"/>
              <w:rPr>
                <w:sz w:val="15"/>
                <w:szCs w:val="15"/>
                <w:color w:val="auto"/>
              </w:rPr>
            </w:pPr>
          </w:p>
        </w:tc>
        <w:tc>
          <w:tcPr>
            <w:tcW w:w="2420" w:type="dxa"/>
            <w:vAlign w:val="bottom"/>
            <w:vMerge w:val="restart"/>
          </w:tcPr>
          <w:p>
            <w:pPr>
              <w:jc w:val="center"/>
              <w:ind w:left="40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080" w:type="dxa"/>
            <w:vAlign w:val="bottom"/>
          </w:tcPr>
          <w:p>
            <w:pPr>
              <w:spacing w:after="0"/>
              <w:rPr>
                <w:sz w:val="20"/>
                <w:szCs w:val="20"/>
                <w:color w:val="auto"/>
              </w:rPr>
            </w:pPr>
            <w:r>
              <w:rPr>
                <w:rFonts w:ascii="Courier New" w:cs="Courier New" w:eastAsia="Courier New" w:hAnsi="Courier New"/>
                <w:sz w:val="16"/>
                <w:szCs w:val="16"/>
                <w:color w:val="auto"/>
              </w:rPr>
              <w:t>Type of Competitive Bid Loans Requested</w:t>
            </w:r>
          </w:p>
        </w:tc>
        <w:tc>
          <w:tcPr>
            <w:tcW w:w="2420" w:type="dxa"/>
            <w:vAlign w:val="bottom"/>
          </w:tcPr>
          <w:p>
            <w:pPr>
              <w:jc w:val="center"/>
              <w:ind w:left="402"/>
              <w:spacing w:after="0"/>
              <w:rPr>
                <w:sz w:val="20"/>
                <w:szCs w:val="20"/>
                <w:color w:val="auto"/>
              </w:rPr>
            </w:pPr>
            <w:r>
              <w:rPr>
                <w:rFonts w:ascii="Courier New" w:cs="Courier New" w:eastAsia="Courier New" w:hAnsi="Courier New"/>
                <w:sz w:val="16"/>
                <w:szCs w:val="16"/>
                <w:color w:val="auto"/>
                <w:w w:val="96"/>
              </w:rPr>
              <w:t>Eurodollar / Absolute</w:t>
            </w:r>
          </w:p>
        </w:tc>
        <w:tc>
          <w:tcPr>
            <w:tcW w:w="0" w:type="dxa"/>
            <w:vAlign w:val="bottom"/>
          </w:tcPr>
          <w:p>
            <w:pPr>
              <w:spacing w:after="0"/>
              <w:rPr>
                <w:sz w:val="1"/>
                <w:szCs w:val="1"/>
                <w:color w:val="auto"/>
              </w:rPr>
            </w:pPr>
          </w:p>
        </w:tc>
      </w:tr>
      <w:tr>
        <w:trPr>
          <w:trHeight w:val="261"/>
        </w:trPr>
        <w:tc>
          <w:tcPr>
            <w:tcW w:w="4080" w:type="dxa"/>
            <w:vAlign w:val="bottom"/>
          </w:tcPr>
          <w:p>
            <w:pPr>
              <w:spacing w:after="0"/>
              <w:rPr>
                <w:sz w:val="20"/>
                <w:szCs w:val="20"/>
                <w:color w:val="auto"/>
              </w:rPr>
            </w:pPr>
            <w:r>
              <w:rPr>
                <w:rFonts w:ascii="Courier New" w:cs="Courier New" w:eastAsia="Courier New" w:hAnsi="Courier New"/>
                <w:sz w:val="16"/>
                <w:szCs w:val="16"/>
                <w:color w:val="auto"/>
              </w:rPr>
              <w:t>Requested Drawdown Date</w:t>
            </w:r>
          </w:p>
        </w:tc>
        <w:tc>
          <w:tcPr>
            <w:tcW w:w="2420" w:type="dxa"/>
            <w:vAlign w:val="bottom"/>
            <w:vMerge w:val="restart"/>
          </w:tcPr>
          <w:p>
            <w:pPr>
              <w:jc w:val="center"/>
              <w:ind w:left="402"/>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179"/>
        </w:trPr>
        <w:tc>
          <w:tcPr>
            <w:tcW w:w="408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4"/>
        </w:trPr>
        <w:tc>
          <w:tcPr>
            <w:tcW w:w="4080" w:type="dxa"/>
            <w:vAlign w:val="bottom"/>
          </w:tcPr>
          <w:p>
            <w:pPr>
              <w:jc w:val="center"/>
              <w:ind w:right="2522"/>
              <w:spacing w:after="0"/>
              <w:rPr>
                <w:sz w:val="20"/>
                <w:szCs w:val="20"/>
                <w:color w:val="auto"/>
              </w:rPr>
            </w:pPr>
            <w:r>
              <w:rPr>
                <w:rFonts w:ascii="Courier New" w:cs="Courier New" w:eastAsia="Courier New" w:hAnsi="Courier New"/>
                <w:sz w:val="16"/>
                <w:szCs w:val="16"/>
                <w:color w:val="auto"/>
                <w:w w:val="97"/>
              </w:rPr>
              <w:t>Principal</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22"/>
              <w:spacing w:after="0" w:line="179" w:lineRule="exact"/>
              <w:rPr>
                <w:sz w:val="20"/>
                <w:szCs w:val="20"/>
                <w:color w:val="auto"/>
              </w:rPr>
            </w:pPr>
            <w:r>
              <w:rPr>
                <w:rFonts w:ascii="Courier New" w:cs="Courier New" w:eastAsia="Courier New" w:hAnsi="Courier New"/>
                <w:sz w:val="16"/>
                <w:szCs w:val="16"/>
                <w:color w:val="auto"/>
                <w:w w:val="97"/>
              </w:rPr>
              <w:t>Amount Proposed</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42"/>
              <w:spacing w:after="0" w:line="179" w:lineRule="exact"/>
              <w:rPr>
                <w:sz w:val="20"/>
                <w:szCs w:val="20"/>
                <w:color w:val="auto"/>
              </w:rPr>
            </w:pPr>
            <w:r>
              <w:rPr>
                <w:rFonts w:ascii="Courier New" w:cs="Courier New" w:eastAsia="Courier New" w:hAnsi="Courier New"/>
                <w:sz w:val="16"/>
                <w:szCs w:val="16"/>
                <w:color w:val="auto"/>
                <w:w w:val="96"/>
              </w:rPr>
              <w:t>Competitive of</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42"/>
              <w:spacing w:after="0" w:line="179" w:lineRule="exact"/>
              <w:rPr>
                <w:sz w:val="20"/>
                <w:szCs w:val="20"/>
                <w:color w:val="auto"/>
              </w:rPr>
            </w:pPr>
            <w:r>
              <w:rPr>
                <w:rFonts w:ascii="Courier New" w:cs="Courier New" w:eastAsia="Courier New" w:hAnsi="Courier New"/>
                <w:sz w:val="16"/>
                <w:szCs w:val="16"/>
                <w:color w:val="auto"/>
                <w:w w:val="96"/>
              </w:rPr>
              <w:t>Competitive</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22"/>
              <w:spacing w:after="0" w:line="179" w:lineRule="exact"/>
              <w:rPr>
                <w:sz w:val="20"/>
                <w:szCs w:val="20"/>
                <w:color w:val="auto"/>
              </w:rPr>
            </w:pPr>
            <w:r>
              <w:rPr>
                <w:rFonts w:ascii="Courier New" w:cs="Courier New" w:eastAsia="Courier New" w:hAnsi="Courier New"/>
                <w:sz w:val="16"/>
                <w:szCs w:val="16"/>
                <w:color w:val="auto"/>
                <w:w w:val="96"/>
              </w:rPr>
              <w:t>Requested Bid</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22"/>
              <w:spacing w:after="0" w:line="179" w:lineRule="exact"/>
              <w:rPr>
                <w:sz w:val="20"/>
                <w:szCs w:val="20"/>
                <w:color w:val="auto"/>
              </w:rPr>
            </w:pPr>
            <w:r>
              <w:rPr>
                <w:rFonts w:ascii="Courier New" w:cs="Courier New" w:eastAsia="Courier New" w:hAnsi="Courier New"/>
                <w:sz w:val="16"/>
                <w:szCs w:val="16"/>
                <w:color w:val="auto"/>
                <w:w w:val="96"/>
              </w:rPr>
              <w:t>Rate/Competitive</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42"/>
              <w:spacing w:after="0" w:line="179" w:lineRule="exact"/>
              <w:rPr>
                <w:sz w:val="20"/>
                <w:szCs w:val="20"/>
                <w:color w:val="auto"/>
              </w:rPr>
            </w:pPr>
            <w:r>
              <w:rPr>
                <w:rFonts w:ascii="Courier New" w:cs="Courier New" w:eastAsia="Courier New" w:hAnsi="Courier New"/>
                <w:sz w:val="16"/>
                <w:szCs w:val="16"/>
                <w:color w:val="auto"/>
                <w:w w:val="96"/>
              </w:rPr>
              <w:t>Bid Loan</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42"/>
              <w:spacing w:after="0" w:line="179" w:lineRule="exact"/>
              <w:rPr>
                <w:sz w:val="20"/>
                <w:szCs w:val="20"/>
                <w:color w:val="auto"/>
              </w:rPr>
            </w:pPr>
            <w:r>
              <w:rPr>
                <w:rFonts w:ascii="Courier New" w:cs="Courier New" w:eastAsia="Courier New" w:hAnsi="Courier New"/>
                <w:sz w:val="16"/>
                <w:szCs w:val="16"/>
                <w:color w:val="auto"/>
                <w:w w:val="98"/>
              </w:rPr>
              <w:t>Offered</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42"/>
              <w:spacing w:after="0" w:line="179" w:lineRule="exact"/>
              <w:rPr>
                <w:sz w:val="20"/>
                <w:szCs w:val="20"/>
                <w:color w:val="auto"/>
              </w:rPr>
            </w:pPr>
            <w:r>
              <w:rPr>
                <w:rFonts w:ascii="Courier New" w:cs="Courier New" w:eastAsia="Courier New" w:hAnsi="Courier New"/>
                <w:sz w:val="16"/>
                <w:szCs w:val="16"/>
                <w:color w:val="auto"/>
                <w:w w:val="96"/>
              </w:rPr>
              <w:t>Interest</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22"/>
              <w:spacing w:after="0" w:line="179" w:lineRule="exact"/>
              <w:rPr>
                <w:sz w:val="20"/>
                <w:szCs w:val="20"/>
                <w:color w:val="auto"/>
              </w:rPr>
            </w:pPr>
            <w:r>
              <w:rPr>
                <w:rFonts w:ascii="Courier New" w:cs="Courier New" w:eastAsia="Courier New" w:hAnsi="Courier New"/>
                <w:sz w:val="16"/>
                <w:szCs w:val="16"/>
                <w:color w:val="auto"/>
                <w:w w:val="96"/>
              </w:rPr>
              <w:t>Period(s) Bid</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22"/>
              <w:spacing w:after="0" w:line="179" w:lineRule="exact"/>
              <w:rPr>
                <w:sz w:val="20"/>
                <w:szCs w:val="20"/>
                <w:color w:val="auto"/>
              </w:rPr>
            </w:pPr>
            <w:r>
              <w:rPr>
                <w:rFonts w:ascii="Courier New" w:cs="Courier New" w:eastAsia="Courier New" w:hAnsi="Courier New"/>
                <w:sz w:val="16"/>
                <w:szCs w:val="16"/>
                <w:color w:val="auto"/>
                <w:w w:val="97"/>
              </w:rPr>
              <w:t>Margin --------</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22"/>
              <w:spacing w:after="0" w:line="179" w:lineRule="exact"/>
              <w:rPr>
                <w:sz w:val="20"/>
                <w:szCs w:val="20"/>
                <w:color w:val="auto"/>
              </w:rPr>
            </w:pPr>
            <w:r>
              <w:rPr>
                <w:rFonts w:ascii="Courier New" w:cs="Courier New" w:eastAsia="Courier New" w:hAnsi="Courier New"/>
                <w:sz w:val="16"/>
                <w:szCs w:val="16"/>
                <w:color w:val="auto"/>
                <w:w w:val="97"/>
              </w:rPr>
              <w:t>-------- ------</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22"/>
              <w:spacing w:after="0" w:line="179" w:lineRule="exact"/>
              <w:rPr>
                <w:sz w:val="20"/>
                <w:szCs w:val="20"/>
                <w:color w:val="auto"/>
              </w:rPr>
            </w:pPr>
            <w:r>
              <w:rPr>
                <w:rFonts w:ascii="Courier New" w:cs="Courier New" w:eastAsia="Courier New" w:hAnsi="Courier New"/>
                <w:sz w:val="16"/>
                <w:szCs w:val="16"/>
                <w:color w:val="auto"/>
                <w:w w:val="97"/>
              </w:rPr>
              <w:t>------------ --</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080" w:type="dxa"/>
            <w:vAlign w:val="bottom"/>
          </w:tcPr>
          <w:p>
            <w:pPr>
              <w:jc w:val="center"/>
              <w:ind w:right="2522"/>
              <w:spacing w:after="0" w:line="179" w:lineRule="exact"/>
              <w:rPr>
                <w:sz w:val="20"/>
                <w:szCs w:val="20"/>
                <w:color w:val="auto"/>
              </w:rPr>
            </w:pPr>
            <w:r>
              <w:rPr>
                <w:rFonts w:ascii="Courier New" w:cs="Courier New" w:eastAsia="Courier New" w:hAnsi="Courier New"/>
                <w:sz w:val="16"/>
                <w:szCs w:val="16"/>
                <w:color w:val="auto"/>
                <w:w w:val="97"/>
              </w:rPr>
              <w:t>---------------</w:t>
            </w:r>
          </w:p>
        </w:tc>
        <w:tc>
          <w:tcPr>
            <w:tcW w:w="2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4080" w:type="dxa"/>
            <w:vAlign w:val="bottom"/>
          </w:tcPr>
          <w:p>
            <w:pPr>
              <w:jc w:val="center"/>
              <w:ind w:right="2522"/>
              <w:spacing w:after="0"/>
              <w:rPr>
                <w:sz w:val="20"/>
                <w:szCs w:val="20"/>
                <w:color w:val="auto"/>
              </w:rPr>
            </w:pPr>
            <w:r>
              <w:rPr>
                <w:rFonts w:ascii="Courier New" w:cs="Courier New" w:eastAsia="Courier New" w:hAnsi="Courier New"/>
                <w:sz w:val="16"/>
                <w:szCs w:val="16"/>
                <w:color w:val="auto"/>
                <w:w w:val="97"/>
              </w:rPr>
              <w:t>---</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2879"/>
        <w:spacing w:after="0" w:line="263" w:lineRule="auto"/>
        <w:rPr>
          <w:sz w:val="20"/>
          <w:szCs w:val="20"/>
          <w:color w:val="auto"/>
        </w:rPr>
      </w:pPr>
      <w:r>
        <w:rPr>
          <w:rFonts w:ascii="Courier New" w:cs="Courier New" w:eastAsia="Courier New" w:hAnsi="Courier New"/>
          <w:sz w:val="16"/>
          <w:szCs w:val="16"/>
          <w:color w:val="auto"/>
        </w:rPr>
        <w:t>I certify that the above is true and correct, and that the offer(s) set forth above irrevocably obligates us to make such Competitive Bid Loan(s) if such offer(s) is/are accepted by the Borrower and all of the conditions set forth in Section 12 of the Loan Agreement have been satisfied as of the requested Drawdown Date.</w:t>
      </w:r>
    </w:p>
    <w:p>
      <w:pPr>
        <w:spacing w:after="0" w:line="80"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6"/>
          <w:szCs w:val="16"/>
          <w:color w:val="auto"/>
        </w:rPr>
        <w:t>[NAME OF BANK]</w:t>
      </w:r>
    </w:p>
    <w:p>
      <w:pPr>
        <w:spacing w:after="0" w:line="355"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Name:</w:t>
      </w:r>
    </w:p>
    <w:p>
      <w:pPr>
        <w:ind w:left="51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Title:</w:t>
      </w:r>
    </w:p>
    <w:p>
      <w:pPr>
        <w:ind w:left="52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ind w:left="5760"/>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269" w:right="1440" w:bottom="1440" w:gutter="0" w:footer="0" w:header="0"/>
        </w:sectPr>
      </w:pPr>
    </w:p>
    <w:bookmarkStart w:id="298" w:name="page299"/>
    <w:bookmarkEnd w:id="298"/>
    <w:p>
      <w:pPr>
        <w:ind w:left="280"/>
        <w:spacing w:after="0"/>
        <w:rPr>
          <w:sz w:val="20"/>
          <w:szCs w:val="20"/>
          <w:color w:val="auto"/>
        </w:rPr>
      </w:pPr>
      <w:r>
        <w:rPr>
          <w:rFonts w:ascii="Courier New" w:cs="Courier New" w:eastAsia="Courier New" w:hAnsi="Courier New"/>
          <w:sz w:val="16"/>
          <w:szCs w:val="16"/>
          <w:color w:val="auto"/>
        </w:rPr>
        <w:t>113</w:t>
      </w:r>
    </w:p>
    <w:p>
      <w:pPr>
        <w:spacing w:after="0" w:line="355"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K</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FORM OF NOTICE</w:t>
      </w:r>
    </w:p>
    <w:p>
      <w:pPr>
        <w:spacing w:after="0" w:line="23"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OF ACCEPTANCE/REJECTION</w:t>
      </w:r>
    </w:p>
    <w:p>
      <w:pPr>
        <w:ind w:left="2500"/>
        <w:spacing w:after="0"/>
        <w:rPr>
          <w:sz w:val="20"/>
          <w:szCs w:val="20"/>
          <w:color w:val="auto"/>
        </w:rPr>
      </w:pPr>
      <w:r>
        <w:rPr>
          <w:rFonts w:ascii="Courier New" w:cs="Courier New" w:eastAsia="Courier New" w:hAnsi="Courier New"/>
          <w:sz w:val="16"/>
          <w:szCs w:val="16"/>
          <w:color w:val="auto"/>
        </w:rPr>
        <w:t>OF COMPETITIVE BID QUOTE(S)</w:t>
      </w:r>
    </w:p>
    <w:p>
      <w:pPr>
        <w:spacing w:after="0" w:line="149"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364-Day Loan Agreement (the "Loan Agreement")</w:t>
      </w:r>
    </w:p>
    <w:p>
      <w:pPr>
        <w:jc w:val="center"/>
        <w:ind w:right="2699"/>
        <w:spacing w:after="0"/>
        <w:rPr>
          <w:sz w:val="20"/>
          <w:szCs w:val="20"/>
          <w:color w:val="auto"/>
        </w:rPr>
      </w:pPr>
      <w:r>
        <w:rPr>
          <w:rFonts w:ascii="Courier New" w:cs="Courier New" w:eastAsia="Courier New" w:hAnsi="Courier New"/>
          <w:sz w:val="16"/>
          <w:szCs w:val="16"/>
          <w:color w:val="auto"/>
        </w:rPr>
        <w:t>dated as of June 29, 2001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Competitive Bid Quote(s) under Section 4.7</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360" w:type="dxa"/>
            <w:vAlign w:val="bottom"/>
          </w:tcPr>
          <w:p>
            <w:pPr>
              <w:spacing w:after="0"/>
              <w:rPr>
                <w:sz w:val="20"/>
                <w:szCs w:val="20"/>
                <w:color w:val="auto"/>
              </w:rPr>
            </w:pPr>
            <w:r>
              <w:rPr>
                <w:rFonts w:ascii="Courier New" w:cs="Courier New" w:eastAsia="Courier New" w:hAnsi="Courier New"/>
                <w:sz w:val="16"/>
                <w:szCs w:val="16"/>
                <w:color w:val="auto"/>
              </w:rPr>
              <w:t>Date of Competitive Bid Quote(s)</w:t>
            </w:r>
          </w:p>
        </w:tc>
        <w:tc>
          <w:tcPr>
            <w:tcW w:w="2700" w:type="dxa"/>
            <w:vAlign w:val="bottom"/>
            <w:vMerge w:val="restart"/>
          </w:tcPr>
          <w:p>
            <w:pPr>
              <w:ind w:left="76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97"/>
        </w:trPr>
        <w:tc>
          <w:tcPr>
            <w:tcW w:w="4360" w:type="dxa"/>
            <w:vAlign w:val="bottom"/>
            <w:vMerge w:val="restart"/>
          </w:tcPr>
          <w:p>
            <w:pPr>
              <w:spacing w:after="0"/>
              <w:rPr>
                <w:sz w:val="20"/>
                <w:szCs w:val="20"/>
                <w:color w:val="auto"/>
              </w:rPr>
            </w:pPr>
            <w:r>
              <w:rPr>
                <w:rFonts w:ascii="Courier New" w:cs="Courier New" w:eastAsia="Courier New" w:hAnsi="Courier New"/>
                <w:sz w:val="16"/>
                <w:szCs w:val="16"/>
                <w:color w:val="auto"/>
              </w:rPr>
              <w:t>Type of Competitive Bid Loans Requested</w:t>
            </w:r>
          </w:p>
        </w:tc>
        <w:tc>
          <w:tcPr>
            <w:tcW w:w="2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4360" w:type="dxa"/>
            <w:vAlign w:val="bottom"/>
            <w:vMerge w:val="continue"/>
          </w:tcPr>
          <w:p>
            <w:pPr>
              <w:spacing w:after="0"/>
              <w:rPr>
                <w:sz w:val="22"/>
                <w:szCs w:val="22"/>
                <w:color w:val="auto"/>
              </w:rPr>
            </w:pPr>
          </w:p>
        </w:tc>
        <w:tc>
          <w:tcPr>
            <w:tcW w:w="2700" w:type="dxa"/>
            <w:vAlign w:val="bottom"/>
          </w:tcPr>
          <w:p>
            <w:pPr>
              <w:ind w:left="760"/>
              <w:spacing w:after="0"/>
              <w:rPr>
                <w:sz w:val="20"/>
                <w:szCs w:val="20"/>
                <w:color w:val="auto"/>
              </w:rPr>
            </w:pPr>
            <w:r>
              <w:rPr>
                <w:rFonts w:ascii="Courier New" w:cs="Courier New" w:eastAsia="Courier New" w:hAnsi="Courier New"/>
                <w:sz w:val="16"/>
                <w:szCs w:val="16"/>
                <w:color w:val="auto"/>
                <w:w w:val="95"/>
              </w:rPr>
              <w:t>Eurodollar / Absolute</w:t>
            </w:r>
          </w:p>
        </w:tc>
        <w:tc>
          <w:tcPr>
            <w:tcW w:w="0" w:type="dxa"/>
            <w:vAlign w:val="bottom"/>
          </w:tcPr>
          <w:p>
            <w:pPr>
              <w:spacing w:after="0"/>
              <w:rPr>
                <w:sz w:val="1"/>
                <w:szCs w:val="1"/>
                <w:color w:val="auto"/>
              </w:rPr>
            </w:pPr>
          </w:p>
        </w:tc>
      </w:tr>
      <w:tr>
        <w:trPr>
          <w:trHeight w:val="358"/>
        </w:trPr>
        <w:tc>
          <w:tcPr>
            <w:tcW w:w="4360" w:type="dxa"/>
            <w:vAlign w:val="bottom"/>
          </w:tcPr>
          <w:p>
            <w:pPr>
              <w:spacing w:after="0"/>
              <w:rPr>
                <w:sz w:val="20"/>
                <w:szCs w:val="20"/>
                <w:color w:val="auto"/>
              </w:rPr>
            </w:pPr>
            <w:r>
              <w:rPr>
                <w:rFonts w:ascii="Courier New" w:cs="Courier New" w:eastAsia="Courier New" w:hAnsi="Courier New"/>
                <w:sz w:val="16"/>
                <w:szCs w:val="16"/>
                <w:color w:val="auto"/>
              </w:rPr>
              <w:t>Requested Drawdown Date</w:t>
            </w:r>
          </w:p>
        </w:tc>
        <w:tc>
          <w:tcPr>
            <w:tcW w:w="2700" w:type="dxa"/>
            <w:vAlign w:val="bottom"/>
            <w:vMerge w:val="restart"/>
          </w:tcPr>
          <w:p>
            <w:pPr>
              <w:ind w:left="760"/>
              <w:spacing w:after="0"/>
              <w:rPr>
                <w:sz w:val="20"/>
                <w:szCs w:val="20"/>
                <w:color w:val="auto"/>
              </w:rPr>
            </w:pPr>
            <w:r>
              <w:rPr>
                <w:rFonts w:ascii="Courier New" w:cs="Courier New" w:eastAsia="Courier New" w:hAnsi="Courier New"/>
                <w:sz w:val="16"/>
                <w:szCs w:val="16"/>
                <w:color w:val="auto"/>
                <w:w w:val="95"/>
              </w:rPr>
              <w:t>---------------------</w:t>
            </w:r>
          </w:p>
        </w:tc>
        <w:tc>
          <w:tcPr>
            <w:tcW w:w="0" w:type="dxa"/>
            <w:vAlign w:val="bottom"/>
          </w:tcPr>
          <w:p>
            <w:pPr>
              <w:spacing w:after="0"/>
              <w:rPr>
                <w:sz w:val="1"/>
                <w:szCs w:val="1"/>
                <w:color w:val="auto"/>
              </w:rPr>
            </w:pPr>
          </w:p>
        </w:tc>
      </w:tr>
      <w:tr>
        <w:trPr>
          <w:trHeight w:val="179"/>
        </w:trPr>
        <w:tc>
          <w:tcPr>
            <w:tcW w:w="4360" w:type="dxa"/>
            <w:vAlign w:val="bottom"/>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hereby ACCEPT the following Competitive Bid Quote(s):</w:t>
      </w:r>
    </w:p>
    <w:p>
      <w:pPr>
        <w:spacing w:after="0" w:line="177"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Competitive Bid</w:t>
      </w:r>
    </w:p>
    <w:p>
      <w:pPr>
        <w:spacing w:after="0" w:line="2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Principal</w:t>
      </w:r>
    </w:p>
    <w:p>
      <w:pPr>
        <w:jc w:val="center"/>
        <w:ind w:right="8739"/>
        <w:spacing w:after="0"/>
        <w:rPr>
          <w:sz w:val="20"/>
          <w:szCs w:val="20"/>
          <w:color w:val="auto"/>
        </w:rPr>
      </w:pPr>
      <w:r>
        <w:rPr>
          <w:rFonts w:ascii="Courier New" w:cs="Courier New" w:eastAsia="Courier New" w:hAnsi="Courier New"/>
          <w:sz w:val="14"/>
          <w:szCs w:val="14"/>
          <w:color w:val="auto"/>
        </w:rPr>
        <w:t>Rate/Competitive</w:t>
      </w:r>
    </w:p>
    <w:p>
      <w:pPr>
        <w:spacing w:after="0" w:line="1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Amount of Quote</w:t>
      </w:r>
    </w:p>
    <w:p>
      <w:pPr>
        <w:jc w:val="center"/>
        <w:ind w:right="8739"/>
        <w:spacing w:after="0" w:line="236" w:lineRule="auto"/>
        <w:rPr>
          <w:sz w:val="20"/>
          <w:szCs w:val="20"/>
          <w:color w:val="auto"/>
        </w:rPr>
      </w:pPr>
      <w:r>
        <w:rPr>
          <w:rFonts w:ascii="Courier New" w:cs="Courier New" w:eastAsia="Courier New" w:hAnsi="Courier New"/>
          <w:sz w:val="16"/>
          <w:szCs w:val="16"/>
          <w:color w:val="auto"/>
        </w:rPr>
        <w:t>Interest</w:t>
      </w:r>
    </w:p>
    <w:p>
      <w:pPr>
        <w:jc w:val="center"/>
        <w:ind w:right="8739"/>
        <w:spacing w:after="0" w:line="237" w:lineRule="auto"/>
        <w:rPr>
          <w:sz w:val="20"/>
          <w:szCs w:val="20"/>
          <w:color w:val="auto"/>
        </w:rPr>
      </w:pPr>
      <w:r>
        <w:rPr>
          <w:rFonts w:ascii="Courier New" w:cs="Courier New" w:eastAsia="Courier New" w:hAnsi="Courier New"/>
          <w:sz w:val="16"/>
          <w:szCs w:val="16"/>
          <w:color w:val="auto"/>
        </w:rPr>
        <w:t>Period(s) Bid</w:t>
      </w:r>
    </w:p>
    <w:p>
      <w:pPr>
        <w:jc w:val="center"/>
        <w:ind w:right="8739"/>
        <w:spacing w:after="0" w:line="237" w:lineRule="auto"/>
        <w:rPr>
          <w:sz w:val="20"/>
          <w:szCs w:val="20"/>
          <w:color w:val="auto"/>
        </w:rPr>
      </w:pPr>
      <w:r>
        <w:rPr>
          <w:rFonts w:ascii="Courier New" w:cs="Courier New" w:eastAsia="Courier New" w:hAnsi="Courier New"/>
          <w:sz w:val="16"/>
          <w:szCs w:val="16"/>
          <w:color w:val="auto"/>
        </w:rPr>
        <w:t>Margin Bank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320"/>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hereby REJECT the following Competitive Bid Quote(s):</w:t>
      </w:r>
    </w:p>
    <w:p>
      <w:pPr>
        <w:spacing w:after="0" w:line="177"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Competitive Bid</w:t>
      </w:r>
    </w:p>
    <w:p>
      <w:pPr>
        <w:spacing w:after="0" w:line="23"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Principal</w:t>
      </w:r>
    </w:p>
    <w:p>
      <w:pPr>
        <w:jc w:val="center"/>
        <w:ind w:right="8739"/>
        <w:spacing w:after="0"/>
        <w:rPr>
          <w:sz w:val="20"/>
          <w:szCs w:val="20"/>
          <w:color w:val="auto"/>
        </w:rPr>
      </w:pPr>
      <w:r>
        <w:rPr>
          <w:rFonts w:ascii="Courier New" w:cs="Courier New" w:eastAsia="Courier New" w:hAnsi="Courier New"/>
          <w:sz w:val="14"/>
          <w:szCs w:val="14"/>
          <w:color w:val="auto"/>
        </w:rPr>
        <w:t>Rate/Competitive</w:t>
      </w:r>
    </w:p>
    <w:p>
      <w:pPr>
        <w:spacing w:after="0" w:line="1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Amount of Quote</w:t>
      </w:r>
    </w:p>
    <w:p>
      <w:pPr>
        <w:jc w:val="center"/>
        <w:ind w:right="8739"/>
        <w:spacing w:after="0" w:line="236" w:lineRule="auto"/>
        <w:rPr>
          <w:sz w:val="20"/>
          <w:szCs w:val="20"/>
          <w:color w:val="auto"/>
        </w:rPr>
      </w:pPr>
      <w:r>
        <w:rPr>
          <w:rFonts w:ascii="Courier New" w:cs="Courier New" w:eastAsia="Courier New" w:hAnsi="Courier New"/>
          <w:sz w:val="16"/>
          <w:szCs w:val="16"/>
          <w:color w:val="auto"/>
        </w:rPr>
        <w:t>Interest</w:t>
      </w:r>
    </w:p>
    <w:p>
      <w:pPr>
        <w:jc w:val="center"/>
        <w:ind w:right="8739"/>
        <w:spacing w:after="0" w:line="237" w:lineRule="auto"/>
        <w:rPr>
          <w:sz w:val="20"/>
          <w:szCs w:val="20"/>
          <w:color w:val="auto"/>
        </w:rPr>
      </w:pPr>
      <w:r>
        <w:rPr>
          <w:rFonts w:ascii="Courier New" w:cs="Courier New" w:eastAsia="Courier New" w:hAnsi="Courier New"/>
          <w:sz w:val="16"/>
          <w:szCs w:val="16"/>
          <w:color w:val="auto"/>
        </w:rPr>
        <w:t>Period(s) Bid</w:t>
      </w:r>
    </w:p>
    <w:p>
      <w:pPr>
        <w:jc w:val="center"/>
        <w:ind w:right="8739"/>
        <w:spacing w:after="0" w:line="237" w:lineRule="auto"/>
        <w:rPr>
          <w:sz w:val="20"/>
          <w:szCs w:val="20"/>
          <w:color w:val="auto"/>
        </w:rPr>
      </w:pPr>
      <w:r>
        <w:rPr>
          <w:rFonts w:ascii="Courier New" w:cs="Courier New" w:eastAsia="Courier New" w:hAnsi="Courier New"/>
          <w:sz w:val="16"/>
          <w:szCs w:val="16"/>
          <w:color w:val="auto"/>
        </w:rPr>
        <w:t>Margin Bank ---</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40"/>
        <w:spacing w:after="0" w:line="237" w:lineRule="auto"/>
        <w:rPr>
          <w:sz w:val="20"/>
          <w:szCs w:val="20"/>
          <w:color w:val="auto"/>
        </w:rPr>
      </w:pPr>
      <w:r>
        <w:rPr>
          <w:rFonts w:ascii="Courier New" w:cs="Courier New" w:eastAsia="Courier New" w:hAnsi="Courier New"/>
          <w:sz w:val="16"/>
          <w:szCs w:val="16"/>
          <w:color w:val="auto"/>
        </w:rPr>
        <w:t>---------------</w:t>
      </w:r>
    </w:p>
    <w:p>
      <w:pPr>
        <w:ind w:left="40"/>
        <w:spacing w:after="0" w:line="237" w:lineRule="auto"/>
        <w:rPr>
          <w:sz w:val="20"/>
          <w:szCs w:val="20"/>
          <w:color w:val="auto"/>
        </w:rPr>
      </w:pPr>
      <w:r>
        <w:rPr>
          <w:rFonts w:ascii="Courier New" w:cs="Courier New" w:eastAsia="Courier New" w:hAnsi="Courier New"/>
          <w:sz w:val="16"/>
          <w:szCs w:val="16"/>
          <w:color w:val="auto"/>
        </w:rPr>
        <w:t>- -------------</w:t>
      </w:r>
    </w:p>
    <w:p>
      <w:pPr>
        <w:ind w:left="360"/>
        <w:spacing w:after="0"/>
        <w:rPr>
          <w:sz w:val="20"/>
          <w:szCs w:val="20"/>
          <w:color w:val="auto"/>
        </w:rPr>
      </w:pPr>
      <w:r>
        <w:rPr>
          <w:rFonts w:ascii="Courier New" w:cs="Courier New" w:eastAsia="Courier New" w:hAnsi="Courier New"/>
          <w:sz w:val="16"/>
          <w:szCs w:val="16"/>
          <w:color w:val="auto"/>
        </w:rPr>
        <w:t>--- ----</w:t>
      </w:r>
    </w:p>
    <w:p>
      <w:pPr>
        <w:spacing w:after="0" w:line="327"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The accepted and rejected Competitive Bid Quotes described above constitute all Competitive Bid Quotes submitted by the Banks in accordance with Section 4.5 of the Loan Agreement.</w:t>
      </w:r>
    </w:p>
    <w:p>
      <w:pPr>
        <w:spacing w:after="0" w:line="61"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By:</w:t>
      </w:r>
    </w:p>
    <w:p>
      <w:pPr>
        <w:spacing w:after="0" w:line="26" w:lineRule="exact"/>
        <w:rPr>
          <w:sz w:val="20"/>
          <w:szCs w:val="20"/>
          <w:color w:val="auto"/>
        </w:rPr>
      </w:pPr>
    </w:p>
    <w:p>
      <w:pPr>
        <w:ind w:left="52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Name:</w:t>
      </w:r>
    </w:p>
    <w:p>
      <w:pPr>
        <w:ind w:left="540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6"/>
          <w:szCs w:val="16"/>
          <w:color w:val="auto"/>
        </w:rPr>
        <w:t>Title:</w:t>
      </w:r>
    </w:p>
    <w:p>
      <w:pPr>
        <w:ind w:left="54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ind w:left="6140"/>
        <w:spacing w:after="0"/>
        <w:rPr>
          <w:sz w:val="20"/>
          <w:szCs w:val="20"/>
          <w:color w:val="auto"/>
        </w:rPr>
      </w:pPr>
      <w:r>
        <w:rPr>
          <w:rFonts w:ascii="Courier New" w:cs="Courier New" w:eastAsia="Courier New" w:hAnsi="Courier New"/>
          <w:sz w:val="16"/>
          <w:szCs w:val="16"/>
          <w:color w:val="auto"/>
        </w:rPr>
        <w:t>Date</w:t>
      </w:r>
    </w:p>
    <w:p>
      <w:pPr>
        <w:sectPr>
          <w:pgSz w:w="11900" w:h="16838" w:orient="portrait"/>
          <w:cols w:equalWidth="0" w:num="1">
            <w:col w:w="10219"/>
          </w:cols>
          <w:pgMar w:left="240" w:top="269" w:right="1440" w:bottom="1440" w:gutter="0" w:footer="0" w:header="0"/>
        </w:sectPr>
      </w:pPr>
    </w:p>
    <w:bookmarkStart w:id="299" w:name="page300"/>
    <w:bookmarkEnd w:id="299"/>
    <w:p>
      <w:pPr>
        <w:ind w:left="280"/>
        <w:spacing w:after="0"/>
        <w:rPr>
          <w:sz w:val="20"/>
          <w:szCs w:val="20"/>
          <w:color w:val="auto"/>
        </w:rPr>
      </w:pPr>
      <w:r>
        <w:rPr>
          <w:rFonts w:ascii="Courier New" w:cs="Courier New" w:eastAsia="Courier New" w:hAnsi="Courier New"/>
          <w:sz w:val="16"/>
          <w:szCs w:val="16"/>
          <w:color w:val="auto"/>
        </w:rPr>
        <w:t>114</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L</w:t>
      </w:r>
    </w:p>
    <w:p>
      <w:pPr>
        <w:spacing w:after="0" w:line="17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FORM OF</w:t>
      </w:r>
    </w:p>
    <w:p>
      <w:pPr>
        <w:spacing w:after="0" w:line="26"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TERM NOTE</w:t>
      </w:r>
    </w:p>
    <w:p>
      <w:pPr>
        <w:sectPr>
          <w:pgSz w:w="11900" w:h="16838" w:orient="portrait"/>
          <w:cols w:equalWidth="0" w:num="1">
            <w:col w:w="10219"/>
          </w:cols>
          <w:pgMar w:left="240" w:top="269" w:right="1440" w:bottom="1440" w:gutter="0" w:footer="0" w:header="0"/>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0" w:lineRule="exact"/>
        <w:rPr>
          <w:sz w:val="20"/>
          <w:szCs w:val="20"/>
          <w:color w:val="auto"/>
        </w:rPr>
      </w:pPr>
    </w:p>
    <w:p>
      <w:pPr>
        <w:sectPr>
          <w:pgSz w:w="11900" w:h="16838" w:orient="portrait"/>
          <w:cols w:equalWidth="0" w:num="2">
            <w:col w:w="6060" w:space="720"/>
            <w:col w:w="3439"/>
          </w:cols>
          <w:pgMar w:left="240" w:top="269"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5040" w:space="720"/>
            <w:col w:w="1020" w:space="200"/>
            <w:col w:w="3239"/>
          </w:cols>
          <w:pgMar w:left="240" w:top="269" w:right="1440" w:bottom="1440" w:gutter="0" w:footer="0" w:header="0"/>
          <w:type w:val="continuous"/>
        </w:sectPr>
      </w:pPr>
    </w:p>
    <w:p>
      <w:pPr>
        <w:spacing w:after="0" w:line="96"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FOR VALUE RECEIVED, the undersigned WASTE MANAGEMENT, INC., a Delaware corporation (the "Borrower"), hereby promises to pay to the order of [INSERT NAME OF PAYEE BANK] (the "Bank") at the loan office of Fleet National Bank, as Administrative Agent for the Banks, at 100 Federal Street, Boston, Massachusetts 02110:</w:t>
      </w:r>
    </w:p>
    <w:p>
      <w:pPr>
        <w:spacing w:after="0" w:line="80" w:lineRule="exact"/>
        <w:rPr>
          <w:sz w:val="20"/>
          <w:szCs w:val="20"/>
          <w:color w:val="auto"/>
        </w:rPr>
      </w:pPr>
    </w:p>
    <w:p>
      <w:pPr>
        <w:ind w:left="840" w:right="2779" w:firstLine="830"/>
        <w:spacing w:after="0" w:line="254" w:lineRule="auto"/>
        <w:tabs>
          <w:tab w:leader="none" w:pos="2049"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or on the Term Loan Maturity Date as defined in the 364-Day Loan Agreement dated as of June 29, 2001 (as amended, modified, supplemented, restated and in effect from time to time, the "Loan Agreement"), by and among the Borrower, the Bank and other parties thereto, the principal amount of ___________________ DOLLARS ($_________), evidencing the Term Loan made by the Bank to the Borrower pursuant to the Loan Agreement; and</w:t>
      </w:r>
    </w:p>
    <w:p>
      <w:pPr>
        <w:spacing w:after="0" w:line="88" w:lineRule="exact"/>
        <w:rPr>
          <w:rFonts w:ascii="Courier New" w:cs="Courier New" w:eastAsia="Courier New" w:hAnsi="Courier New"/>
          <w:sz w:val="16"/>
          <w:szCs w:val="16"/>
          <w:color w:val="auto"/>
        </w:rPr>
      </w:pPr>
    </w:p>
    <w:p>
      <w:pPr>
        <w:ind w:left="840" w:right="2779" w:firstLine="830"/>
        <w:spacing w:after="0" w:line="272" w:lineRule="auto"/>
        <w:tabs>
          <w:tab w:leader="none" w:pos="2049"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from the date hereof on the principal amount from time to time outstanding to and including the maturity hereof at the rates and terms and in all cases in accordance with the terms of the Loan Agreement.</w:t>
      </w:r>
    </w:p>
    <w:p>
      <w:pPr>
        <w:spacing w:after="0" w:line="73"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This Note evidences borrowings under and has been issued by the Borrower in accordance with the terms of the Loan Agreement and is a Term Note referred to therein. The Bank and any holder hereof is entitled to the benefits of the Loan Agreement and the other Loan Documents, and may enforce the agreements of the Borrower contained therein, and any holder hereof may exercise the respective remedies provided for thereby or otherwise available in respect thereof, all in accordance with the respective terms thereof. All capitalized terms used in this Note and not otherwise defined herein shall have the same meanings herein as in the Loan Agreement.</w:t>
      </w:r>
    </w:p>
    <w:p>
      <w:pPr>
        <w:spacing w:after="0" w:line="90"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The Borrower irrevocably authorizes the Bank to make or cause to be made, at the time of receipt of any payment of principal of this Note, an appropriate notation on the grid attached to this Note, or the continuation of such grid, or any other similar record, including computer records, reflecting the receipt of such payment. The outstanding amount of the Term Loan set forth on the grid attached to this Note, or the continuation of such grid, or any other similar record, including computer records, maintained by the Bank with respect to the Term Loan shall be prima facie evidence of the principal amount of the Term Loan owing and unpaid to the Bank, but the failure to record, or any error in so recording, any such amount on any such grid, continuation or other record shall not limit or otherwise affect the obligation of the Borrower hereunder or under the Loan Agreement to make payments of principal of and interest on this Note when due.</w:t>
      </w:r>
    </w:p>
    <w:p>
      <w:pPr>
        <w:spacing w:after="0" w:line="99" w:lineRule="exact"/>
        <w:rPr>
          <w:sz w:val="20"/>
          <w:szCs w:val="20"/>
          <w:color w:val="auto"/>
        </w:rPr>
      </w:pPr>
    </w:p>
    <w:p>
      <w:pPr>
        <w:ind w:right="2879" w:firstLine="837"/>
        <w:spacing w:after="0" w:line="348" w:lineRule="auto"/>
        <w:rPr>
          <w:sz w:val="20"/>
          <w:szCs w:val="20"/>
          <w:color w:val="auto"/>
        </w:rPr>
      </w:pPr>
      <w:r>
        <w:rPr>
          <w:rFonts w:ascii="Courier New" w:cs="Courier New" w:eastAsia="Courier New" w:hAnsi="Courier New"/>
          <w:sz w:val="14"/>
          <w:szCs w:val="14"/>
          <w:color w:val="auto"/>
        </w:rPr>
        <w:t>The Borrower has the right in certain circumstances and the obligation under certain other circumstances to prepay the whole or part of the principal of this Note on the terms and conditions specified in the Loan Agreement.</w:t>
      </w:r>
    </w:p>
    <w:p>
      <w:pPr>
        <w:sectPr>
          <w:pgSz w:w="11900" w:h="16838" w:orient="portrait"/>
          <w:cols w:equalWidth="0" w:num="1">
            <w:col w:w="10219"/>
          </w:cols>
          <w:pgMar w:left="240" w:top="269" w:right="1440" w:bottom="1440" w:gutter="0" w:footer="0" w:header="0"/>
          <w:type w:val="continuous"/>
        </w:sectPr>
      </w:pPr>
    </w:p>
    <w:bookmarkStart w:id="300" w:name="page301"/>
    <w:bookmarkEnd w:id="300"/>
    <w:p>
      <w:pPr>
        <w:ind w:left="280"/>
        <w:spacing w:after="0"/>
        <w:rPr>
          <w:sz w:val="20"/>
          <w:szCs w:val="20"/>
          <w:color w:val="auto"/>
        </w:rPr>
      </w:pPr>
      <w:r>
        <w:rPr>
          <w:rFonts w:ascii="Courier New" w:cs="Courier New" w:eastAsia="Courier New" w:hAnsi="Courier New"/>
          <w:sz w:val="16"/>
          <w:szCs w:val="16"/>
          <w:color w:val="auto"/>
        </w:rPr>
        <w:t>115</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-2-</w:t>
      </w:r>
    </w:p>
    <w:p>
      <w:pPr>
        <w:spacing w:after="0" w:line="327" w:lineRule="exact"/>
        <w:rPr>
          <w:sz w:val="20"/>
          <w:szCs w:val="20"/>
          <w:color w:val="auto"/>
        </w:rPr>
      </w:pPr>
    </w:p>
    <w:p>
      <w:pPr>
        <w:jc w:val="both"/>
        <w:ind w:right="3159" w:firstLine="837"/>
        <w:spacing w:after="0" w:line="272" w:lineRule="auto"/>
        <w:rPr>
          <w:sz w:val="20"/>
          <w:szCs w:val="20"/>
          <w:color w:val="auto"/>
        </w:rPr>
      </w:pPr>
      <w:r>
        <w:rPr>
          <w:rFonts w:ascii="Courier New" w:cs="Courier New" w:eastAsia="Courier New" w:hAnsi="Courier New"/>
          <w:sz w:val="16"/>
          <w:szCs w:val="16"/>
          <w:color w:val="auto"/>
        </w:rPr>
        <w:t>If any one or more of the Events of Default shall occur, the entire unpaid principal amount of this Note and all of the unpaid interest accrued thereon may become or be declared due and payable in the manner and with the effect provided in the Loan Agreement.</w:t>
      </w:r>
    </w:p>
    <w:p>
      <w:pPr>
        <w:spacing w:after="0" w:line="73"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No delay or omission on the part of the Bank or any holder hereof in exercising any right hereunder shall operate as a waiver of such right or of any other rights of the Bank or such holder, nor shall any delay, omission or waiver on any one occasion be deemed a bar or waiver of the same or any other right on any future occasion.</w:t>
      </w:r>
    </w:p>
    <w:p>
      <w:pPr>
        <w:spacing w:after="0" w:line="80" w:lineRule="exact"/>
        <w:rPr>
          <w:sz w:val="20"/>
          <w:szCs w:val="20"/>
          <w:color w:val="auto"/>
        </w:rPr>
      </w:pPr>
    </w:p>
    <w:p>
      <w:pPr>
        <w:ind w:right="2959" w:firstLine="837"/>
        <w:spacing w:after="0" w:line="296" w:lineRule="auto"/>
        <w:rPr>
          <w:sz w:val="20"/>
          <w:szCs w:val="20"/>
          <w:color w:val="auto"/>
        </w:rPr>
      </w:pPr>
      <w:r>
        <w:rPr>
          <w:rFonts w:ascii="Courier New" w:cs="Courier New" w:eastAsia="Courier New" w:hAnsi="Courier New"/>
          <w:sz w:val="14"/>
          <w:szCs w:val="14"/>
          <w:color w:val="auto"/>
        </w:rPr>
        <w:t>The Borrower and every endorser and guarantor of this Note or the obligation represented hereby waives presentment, demand, notice, protest and all other demands and notices in connection with the delivery, acceptance, performance, default or enforcement of this Note, and assents to any extension or postponement of the time of payment or any other indulgence, to any substitution, exchange or release of collateral and to the addition or release of any other party or person primarily or secondarily liable.</w:t>
      </w:r>
    </w:p>
    <w:p>
      <w:pPr>
        <w:spacing w:after="0" w:line="62" w:lineRule="exact"/>
        <w:rPr>
          <w:sz w:val="20"/>
          <w:szCs w:val="20"/>
          <w:color w:val="auto"/>
        </w:rPr>
      </w:pPr>
    </w:p>
    <w:p>
      <w:pPr>
        <w:ind w:right="3159" w:firstLine="837"/>
        <w:spacing w:after="0" w:line="272" w:lineRule="auto"/>
        <w:rPr>
          <w:sz w:val="20"/>
          <w:szCs w:val="20"/>
          <w:color w:val="auto"/>
        </w:rPr>
      </w:pPr>
      <w:r>
        <w:rPr>
          <w:rFonts w:ascii="Courier New" w:cs="Courier New" w:eastAsia="Courier New" w:hAnsi="Courier New"/>
          <w:sz w:val="16"/>
          <w:szCs w:val="16"/>
          <w:color w:val="auto"/>
        </w:rPr>
        <w:t>This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73" w:lineRule="exact"/>
        <w:rPr>
          <w:sz w:val="20"/>
          <w:szCs w:val="20"/>
          <w:color w:val="auto"/>
        </w:rPr>
      </w:pPr>
    </w:p>
    <w:p>
      <w:pPr>
        <w:ind w:right="2959" w:firstLine="837"/>
        <w:spacing w:after="0" w:line="289" w:lineRule="auto"/>
        <w:rPr>
          <w:sz w:val="20"/>
          <w:szCs w:val="20"/>
          <w:color w:val="auto"/>
        </w:rPr>
      </w:pPr>
      <w:r>
        <w:rPr>
          <w:rFonts w:ascii="Courier New" w:cs="Courier New" w:eastAsia="Courier New" w:hAnsi="Courier New"/>
          <w:sz w:val="16"/>
          <w:szCs w:val="16"/>
          <w:color w:val="auto"/>
        </w:rPr>
        <w:t>IN WITNESS WHEREOF, the Borrower has caused this Note to be signed on its behalf by its duly authorized officer as of the day and year first above written.</w:t>
      </w:r>
    </w:p>
    <w:p>
      <w:pPr>
        <w:spacing w:after="0" w:line="6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w:t>
      </w:r>
    </w:p>
    <w:p>
      <w:pPr>
        <w:spacing w:after="0" w:line="2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w:t>
      </w:r>
    </w:p>
    <w:p>
      <w:pPr>
        <w:ind w:left="4080"/>
        <w:spacing w:after="0"/>
        <w:rPr>
          <w:sz w:val="20"/>
          <w:szCs w:val="20"/>
          <w:color w:val="auto"/>
        </w:rPr>
      </w:pPr>
      <w:r>
        <w:rPr>
          <w:rFonts w:ascii="Courier New" w:cs="Courier New" w:eastAsia="Courier New" w:hAnsi="Courier New"/>
          <w:sz w:val="16"/>
          <w:szCs w:val="16"/>
          <w:color w:val="auto"/>
        </w:rPr>
        <w:t>Title:</w:t>
      </w:r>
    </w:p>
    <w:p>
      <w:pPr>
        <w:sectPr>
          <w:pgSz w:w="11900" w:h="16838" w:orient="portrait"/>
          <w:cols w:equalWidth="0" w:num="1">
            <w:col w:w="10219"/>
          </w:cols>
          <w:pgMar w:left="240" w:top="269" w:right="1440" w:bottom="1440" w:gutter="0" w:footer="0" w:header="0"/>
        </w:sectPr>
      </w:pPr>
    </w:p>
    <w:bookmarkStart w:id="301" w:name="page302"/>
    <w:bookmarkEnd w:id="301"/>
    <w:p>
      <w:pPr>
        <w:ind w:left="280"/>
        <w:spacing w:after="0"/>
        <w:rPr>
          <w:sz w:val="20"/>
          <w:szCs w:val="20"/>
          <w:color w:val="auto"/>
        </w:rPr>
      </w:pPr>
      <w:r>
        <w:rPr>
          <w:rFonts w:ascii="Courier New" w:cs="Courier New" w:eastAsia="Courier New" w:hAnsi="Courier New"/>
          <w:sz w:val="16"/>
          <w:szCs w:val="16"/>
          <w:color w:val="auto"/>
        </w:rPr>
        <w:t>116</w:t>
      </w:r>
    </w:p>
    <w:p>
      <w:pPr>
        <w:spacing w:after="0" w:line="26"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06"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Amount</w:t>
      </w:r>
    </w:p>
    <w:p>
      <w:pPr>
        <w:spacing w:after="0" w:line="23"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of</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Balance</w:t>
      </w:r>
    </w:p>
    <w:p>
      <w:pPr>
        <w:jc w:val="center"/>
        <w:ind w:right="9379"/>
        <w:spacing w:after="0" w:line="236" w:lineRule="auto"/>
        <w:rPr>
          <w:sz w:val="20"/>
          <w:szCs w:val="20"/>
          <w:color w:val="auto"/>
        </w:rPr>
      </w:pPr>
      <w:r>
        <w:rPr>
          <w:rFonts w:ascii="Courier New" w:cs="Courier New" w:eastAsia="Courier New" w:hAnsi="Courier New"/>
          <w:sz w:val="16"/>
          <w:szCs w:val="16"/>
          <w:color w:val="auto"/>
        </w:rPr>
        <w:t>of</w:t>
      </w:r>
    </w:p>
    <w:p>
      <w:pPr>
        <w:jc w:val="center"/>
        <w:ind w:right="9379"/>
        <w:spacing w:after="0" w:line="237" w:lineRule="auto"/>
        <w:rPr>
          <w:sz w:val="20"/>
          <w:szCs w:val="20"/>
          <w:color w:val="auto"/>
        </w:rPr>
      </w:pPr>
      <w:r>
        <w:rPr>
          <w:rFonts w:ascii="Courier New" w:cs="Courier New" w:eastAsia="Courier New" w:hAnsi="Courier New"/>
          <w:sz w:val="16"/>
          <w:szCs w:val="16"/>
          <w:color w:val="auto"/>
        </w:rPr>
        <w:t>Amount</w:t>
      </w:r>
    </w:p>
    <w:p>
      <w:pPr>
        <w:jc w:val="center"/>
        <w:ind w:right="9379"/>
        <w:spacing w:after="0" w:line="237" w:lineRule="auto"/>
        <w:rPr>
          <w:sz w:val="20"/>
          <w:szCs w:val="20"/>
          <w:color w:val="auto"/>
        </w:rPr>
      </w:pPr>
      <w:r>
        <w:rPr>
          <w:rFonts w:ascii="Courier New" w:cs="Courier New" w:eastAsia="Courier New" w:hAnsi="Courier New"/>
          <w:sz w:val="16"/>
          <w:szCs w:val="16"/>
          <w:color w:val="auto"/>
        </w:rPr>
        <w:t>of 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or</w:t>
      </w:r>
    </w:p>
    <w:p>
      <w:pPr>
        <w:jc w:val="center"/>
        <w:ind w:right="9379"/>
        <w:spacing w:after="0"/>
        <w:rPr>
          <w:sz w:val="20"/>
          <w:szCs w:val="20"/>
          <w:color w:val="auto"/>
        </w:rPr>
      </w:pPr>
      <w:r>
        <w:rPr>
          <w:rFonts w:ascii="Courier New" w:cs="Courier New" w:eastAsia="Courier New" w:hAnsi="Courier New"/>
          <w:sz w:val="14"/>
          <w:szCs w:val="14"/>
          <w:color w:val="auto"/>
        </w:rPr>
        <w:t>Principal</w:t>
      </w:r>
    </w:p>
    <w:p>
      <w:pPr>
        <w:spacing w:after="0" w:line="18" w:lineRule="exact"/>
        <w:rPr>
          <w:sz w:val="20"/>
          <w:szCs w:val="20"/>
          <w:color w:val="auto"/>
        </w:rPr>
      </w:pPr>
    </w:p>
    <w:p>
      <w:pPr>
        <w:jc w:val="center"/>
        <w:ind w:right="9379"/>
        <w:spacing w:after="0"/>
        <w:rPr>
          <w:sz w:val="20"/>
          <w:szCs w:val="20"/>
          <w:color w:val="auto"/>
        </w:rPr>
      </w:pPr>
      <w:r>
        <w:rPr>
          <w:rFonts w:ascii="Courier New" w:cs="Courier New" w:eastAsia="Courier New" w:hAnsi="Courier New"/>
          <w:sz w:val="16"/>
          <w:szCs w:val="16"/>
          <w:color w:val="auto"/>
        </w:rPr>
        <w:t>Notation</w:t>
      </w:r>
    </w:p>
    <w:p>
      <w:pPr>
        <w:jc w:val="center"/>
        <w:ind w:right="9399"/>
        <w:spacing w:after="0" w:line="236" w:lineRule="auto"/>
        <w:rPr>
          <w:sz w:val="20"/>
          <w:szCs w:val="20"/>
          <w:color w:val="auto"/>
        </w:rPr>
      </w:pPr>
      <w:r>
        <w:rPr>
          <w:rFonts w:ascii="Courier New" w:cs="Courier New" w:eastAsia="Courier New" w:hAnsi="Courier New"/>
          <w:sz w:val="16"/>
          <w:szCs w:val="16"/>
          <w:color w:val="auto"/>
        </w:rPr>
        <w:t>Date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99"/>
        <w:spacing w:after="0" w:line="237" w:lineRule="auto"/>
        <w:rPr>
          <w:sz w:val="20"/>
          <w:szCs w:val="20"/>
          <w:color w:val="auto"/>
        </w:rPr>
      </w:pPr>
      <w:r>
        <w:rPr>
          <w:rFonts w:ascii="Courier New" w:cs="Courier New" w:eastAsia="Courier New" w:hAnsi="Courier New"/>
          <w:sz w:val="16"/>
          <w:szCs w:val="16"/>
          <w:color w:val="auto"/>
        </w:rPr>
        <w:t>Type</w:t>
      </w:r>
    </w:p>
    <w:p>
      <w:pPr>
        <w:jc w:val="center"/>
        <w:ind w:right="9399"/>
        <w:spacing w:after="0" w:line="237" w:lineRule="auto"/>
        <w:rPr>
          <w:sz w:val="20"/>
          <w:szCs w:val="20"/>
          <w:color w:val="auto"/>
        </w:rPr>
      </w:pPr>
      <w:r>
        <w:rPr>
          <w:rFonts w:ascii="Courier New" w:cs="Courier New" w:eastAsia="Courier New" w:hAnsi="Courier New"/>
          <w:sz w:val="16"/>
          <w:szCs w:val="16"/>
          <w:color w:val="auto"/>
        </w:rPr>
        <w:t>Loan</w:t>
      </w:r>
    </w:p>
    <w:p>
      <w:pPr>
        <w:jc w:val="center"/>
        <w:ind w:right="9379"/>
        <w:spacing w:after="0" w:line="237" w:lineRule="auto"/>
        <w:rPr>
          <w:sz w:val="20"/>
          <w:szCs w:val="20"/>
          <w:color w:val="auto"/>
        </w:rPr>
      </w:pPr>
      <w:r>
        <w:rPr>
          <w:rFonts w:ascii="Courier New" w:cs="Courier New" w:eastAsia="Courier New" w:hAnsi="Courier New"/>
          <w:sz w:val="16"/>
          <w:szCs w:val="16"/>
          <w:color w:val="auto"/>
        </w:rPr>
        <w:t>Prepaid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Unpaid</w:t>
      </w:r>
    </w:p>
    <w:p>
      <w:pPr>
        <w:jc w:val="center"/>
        <w:ind w:right="9379"/>
        <w:spacing w:after="0" w:line="237" w:lineRule="auto"/>
        <w:rPr>
          <w:sz w:val="20"/>
          <w:szCs w:val="20"/>
          <w:color w:val="auto"/>
        </w:rPr>
      </w:pPr>
      <w:r>
        <w:rPr>
          <w:rFonts w:ascii="Courier New" w:cs="Courier New" w:eastAsia="Courier New" w:hAnsi="Courier New"/>
          <w:sz w:val="16"/>
          <w:szCs w:val="16"/>
          <w:color w:val="auto"/>
        </w:rPr>
        <w:t>Made By</w:t>
      </w:r>
    </w:p>
    <w:p>
      <w:pPr>
        <w:ind w:left="220" w:hanging="179"/>
        <w:spacing w:after="0" w:line="237" w:lineRule="auto"/>
        <w:tabs>
          <w:tab w:leader="none" w:pos="22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0" w:hanging="553"/>
        <w:spacing w:after="0" w:line="236" w:lineRule="auto"/>
        <w:tabs>
          <w:tab w:leader="none" w:pos="640" w:val="left"/>
        </w:tabs>
        <w:numPr>
          <w:ilvl w:val="1"/>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20" w:hanging="179"/>
        <w:spacing w:after="0" w:line="236" w:lineRule="auto"/>
        <w:tabs>
          <w:tab w:leader="none" w:pos="220" w:val="left"/>
        </w:tabs>
        <w:numPr>
          <w:ilvl w:val="0"/>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8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640" w:hanging="553"/>
        <w:spacing w:after="0" w:line="236" w:lineRule="auto"/>
        <w:tabs>
          <w:tab w:leader="none" w:pos="640" w:val="left"/>
        </w:tabs>
        <w:numPr>
          <w:ilvl w:val="1"/>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ind w:left="4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69" w:right="1440" w:bottom="0" w:gutter="0" w:footer="0" w:header="0"/>
        </w:sectPr>
      </w:pPr>
    </w:p>
    <w:bookmarkStart w:id="302" w:name="page303"/>
    <w:bookmarkEnd w:id="302"/>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303" w:name="page304"/>
    <w:bookmarkEnd w:id="303"/>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4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80" w:hanging="279"/>
        <w:spacing w:after="0"/>
        <w:tabs>
          <w:tab w:leader="none" w:pos="28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179"/>
          </w:cols>
          <w:pgMar w:left="280" w:top="114" w:right="1440" w:bottom="0" w:gutter="0" w:footer="0" w:header="0"/>
        </w:sectPr>
      </w:pPr>
    </w:p>
    <w:bookmarkStart w:id="304" w:name="page305"/>
    <w:bookmarkEnd w:id="304"/>
    <w:p>
      <w:pPr>
        <w:spacing w:after="0"/>
        <w:rPr>
          <w:sz w:val="20"/>
          <w:szCs w:val="20"/>
          <w:color w:val="auto"/>
        </w:rPr>
      </w:pPr>
      <w:r>
        <w:rPr>
          <w:rFonts w:ascii="Courier New" w:cs="Courier New" w:eastAsia="Courier New" w:hAnsi="Courier New"/>
          <w:sz w:val="14"/>
          <w:szCs w:val="14"/>
          <w:color w:val="auto"/>
        </w:rPr>
        <w:t>--------</w:t>
      </w:r>
    </w:p>
    <w:p>
      <w:pPr>
        <w:spacing w:after="0" w:line="48" w:lineRule="exact"/>
        <w:rPr>
          <w:sz w:val="20"/>
          <w:szCs w:val="20"/>
          <w:color w:val="auto"/>
        </w:rPr>
      </w:pPr>
    </w:p>
    <w:p>
      <w:pPr>
        <w:ind w:left="560" w:hanging="559"/>
        <w:spacing w:after="0"/>
        <w:tabs>
          <w:tab w:leader="none" w:pos="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600" w:hanging="553"/>
        <w:spacing w:after="0" w:line="236" w:lineRule="auto"/>
        <w:tabs>
          <w:tab w:leader="none" w:pos="600" w:val="left"/>
        </w:tabs>
        <w:numPr>
          <w:ilvl w:val="1"/>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6"/>
          <w:szCs w:val="16"/>
          <w:color w:val="auto"/>
        </w:rPr>
      </w:pPr>
    </w:p>
    <w:p>
      <w:pPr>
        <w:ind w:left="560" w:hanging="559"/>
        <w:spacing w:after="0"/>
        <w:tabs>
          <w:tab w:leader="none" w:pos="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40"/>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560" w:hanging="559"/>
        <w:spacing w:after="0"/>
        <w:tabs>
          <w:tab w:leader="none" w:pos="560"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140"/>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w:t>
      </w:r>
    </w:p>
    <w:p>
      <w:pPr>
        <w:sectPr>
          <w:pgSz w:w="11900" w:h="16838" w:orient="portrait"/>
          <w:cols w:equalWidth="0" w:num="1">
            <w:col w:w="10179"/>
          </w:cols>
          <w:pgMar w:left="280" w:top="114" w:right="1440" w:bottom="1440" w:gutter="0" w:footer="0" w:header="0"/>
        </w:sectPr>
      </w:pPr>
    </w:p>
    <w:bookmarkStart w:id="305" w:name="page306"/>
    <w:bookmarkEnd w:id="305"/>
    <w:p>
      <w:pPr>
        <w:ind w:left="285"/>
        <w:spacing w:after="0"/>
        <w:rPr>
          <w:sz w:val="20"/>
          <w:szCs w:val="20"/>
          <w:color w:val="auto"/>
        </w:rPr>
      </w:pPr>
      <w:r>
        <w:rPr>
          <w:rFonts w:ascii="Courier New" w:cs="Courier New" w:eastAsia="Courier New" w:hAnsi="Courier New"/>
          <w:sz w:val="16"/>
          <w:szCs w:val="16"/>
          <w:color w:val="auto"/>
        </w:rPr>
        <w:t>117</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APPLICATION AND AGREEMENT</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FOR STANDBY LETTER OF CREDIT</w:t>
      </w:r>
    </w:p>
    <w:p>
      <w:pPr>
        <w:spacing w:after="0" w:line="200" w:lineRule="exact"/>
        <w:rPr>
          <w:sz w:val="20"/>
          <w:szCs w:val="20"/>
          <w:color w:val="auto"/>
        </w:rPr>
      </w:pPr>
    </w:p>
    <w:p>
      <w:pPr>
        <w:spacing w:after="0" w:line="306" w:lineRule="exact"/>
        <w:rPr>
          <w:sz w:val="20"/>
          <w:szCs w:val="20"/>
          <w:color w:val="auto"/>
        </w:rPr>
      </w:pPr>
    </w:p>
    <w:p>
      <w:pPr>
        <w:ind w:left="185" w:hanging="185"/>
        <w:spacing w:after="0"/>
        <w:tabs>
          <w:tab w:leader="none" w:pos="185"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8" w:lineRule="exact"/>
        <w:rPr>
          <w:rFonts w:ascii="Courier New" w:cs="Courier New" w:eastAsia="Courier New" w:hAnsi="Courier New"/>
          <w:sz w:val="14"/>
          <w:szCs w:val="14"/>
          <w:color w:val="auto"/>
        </w:rPr>
      </w:pPr>
    </w:p>
    <w:p>
      <w:pPr>
        <w:ind w:left="5"/>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To:  (Please Check One Issuing "Bank.</w:t>
      </w:r>
    </w:p>
    <w:p>
      <w:pPr>
        <w:spacing w:after="0" w:line="149" w:lineRule="exact"/>
        <w:rPr>
          <w:sz w:val="20"/>
          <w:szCs w:val="20"/>
          <w:color w:val="auto"/>
        </w:rPr>
      </w:pPr>
    </w:p>
    <w:p>
      <w:pPr>
        <w:ind w:left="5" w:right="4080"/>
        <w:spacing w:after="0" w:line="342" w:lineRule="auto"/>
        <w:rPr>
          <w:sz w:val="20"/>
          <w:szCs w:val="20"/>
          <w:color w:val="auto"/>
        </w:rPr>
      </w:pPr>
      <w:r>
        <w:rPr>
          <w:rFonts w:ascii="Courier New" w:cs="Courier New" w:eastAsia="Courier New" w:hAnsi="Courier New"/>
          <w:sz w:val="16"/>
          <w:szCs w:val="16"/>
          <w:color w:val="auto"/>
        </w:rPr>
        <w:t>Please issue an irrevocable Standby Letter of Credit substantially in accordance with this application.</w:t>
      </w:r>
    </w:p>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94"/>
        </w:trPr>
        <w:tc>
          <w:tcPr>
            <w:tcW w:w="5020" w:type="dxa"/>
            <w:vAlign w:val="bottom"/>
            <w:gridSpan w:val="2"/>
            <w:vMerge w:val="restart"/>
          </w:tcPr>
          <w:p>
            <w:pPr>
              <w:spacing w:after="0"/>
              <w:rPr>
                <w:sz w:val="20"/>
                <w:szCs w:val="20"/>
                <w:color w:val="auto"/>
              </w:rPr>
            </w:pPr>
            <w:r>
              <w:rPr>
                <w:rFonts w:ascii="Courier New" w:cs="Courier New" w:eastAsia="Courier New" w:hAnsi="Courier New"/>
                <w:sz w:val="17"/>
                <w:szCs w:val="17"/>
                <w:color w:val="auto"/>
                <w:w w:val="70"/>
                <w:vertAlign w:val="subscript"/>
              </w:rPr>
              <w:t>Deliver</w:t>
            </w: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theLetterofCredit:</w:t>
            </w:r>
          </w:p>
        </w:tc>
        <w:tc>
          <w:tcPr>
            <w:tcW w:w="2560" w:type="dxa"/>
            <w:vAlign w:val="bottom"/>
          </w:tcPr>
          <w:p>
            <w:pPr>
              <w:spacing w:after="0"/>
              <w:rPr>
                <w:sz w:val="16"/>
                <w:szCs w:val="16"/>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79"/>
        </w:trPr>
        <w:tc>
          <w:tcPr>
            <w:tcW w:w="400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_______________________</w:t>
            </w:r>
          </w:p>
        </w:tc>
        <w:tc>
          <w:tcPr>
            <w:tcW w:w="264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(For Bank Use Only)</w:t>
            </w:r>
          </w:p>
        </w:tc>
        <w:tc>
          <w:tcPr>
            <w:tcW w:w="0" w:type="dxa"/>
            <w:vAlign w:val="bottom"/>
          </w:tcPr>
          <w:p>
            <w:pPr>
              <w:spacing w:after="0"/>
              <w:rPr>
                <w:sz w:val="1"/>
                <w:szCs w:val="1"/>
                <w:color w:val="auto"/>
              </w:rPr>
            </w:pPr>
          </w:p>
        </w:tc>
      </w:tr>
      <w:tr>
        <w:trPr>
          <w:trHeight w:val="179"/>
        </w:trPr>
        <w:tc>
          <w:tcPr>
            <w:tcW w:w="5020" w:type="dxa"/>
            <w:vAlign w:val="bottom"/>
            <w:gridSpan w:val="2"/>
          </w:tcPr>
          <w:p>
            <w:pPr>
              <w:ind w:left="740"/>
              <w:spacing w:after="0" w:line="179" w:lineRule="exact"/>
              <w:rPr>
                <w:sz w:val="20"/>
                <w:szCs w:val="20"/>
                <w:color w:val="auto"/>
              </w:rPr>
            </w:pPr>
            <w:r>
              <w:rPr>
                <w:rFonts w:ascii="Courier New" w:cs="Courier New" w:eastAsia="Courier New" w:hAnsi="Courier New"/>
                <w:sz w:val="16"/>
                <w:szCs w:val="16"/>
                <w:color w:val="auto"/>
                <w:w w:val="98"/>
              </w:rPr>
              <w:t>Directly to the beneficiary by courier, Attn:</w:t>
            </w:r>
          </w:p>
        </w:tc>
        <w:tc>
          <w:tcPr>
            <w:tcW w:w="2560" w:type="dxa"/>
            <w:vAlign w:val="bottom"/>
            <w:vMerge w:val="continue"/>
          </w:tcPr>
          <w:p>
            <w:pPr>
              <w:spacing w:after="0"/>
              <w:rPr>
                <w:sz w:val="15"/>
                <w:szCs w:val="15"/>
                <w:color w:val="auto"/>
              </w:rPr>
            </w:pPr>
          </w:p>
        </w:tc>
        <w:tc>
          <w:tcPr>
            <w:tcW w:w="1060" w:type="dxa"/>
            <w:vAlign w:val="bottom"/>
          </w:tcPr>
          <w:p>
            <w:pPr>
              <w:ind w:left="320"/>
              <w:spacing w:after="0" w:line="179" w:lineRule="exact"/>
              <w:rPr>
                <w:sz w:val="20"/>
                <w:szCs w:val="20"/>
                <w:color w:val="auto"/>
              </w:rPr>
            </w:pPr>
            <w:r>
              <w:rPr>
                <w:rFonts w:ascii="Courier New" w:cs="Courier New" w:eastAsia="Courier New" w:hAnsi="Courier New"/>
                <w:sz w:val="16"/>
                <w:szCs w:val="16"/>
                <w:color w:val="auto"/>
              </w:rPr>
              <w:t>L/C No.</w:t>
            </w:r>
          </w:p>
        </w:tc>
        <w:tc>
          <w:tcPr>
            <w:tcW w:w="15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____________</w:t>
            </w:r>
          </w:p>
        </w:tc>
        <w:tc>
          <w:tcPr>
            <w:tcW w:w="0" w:type="dxa"/>
            <w:vAlign w:val="bottom"/>
          </w:tcPr>
          <w:p>
            <w:pPr>
              <w:spacing w:after="0"/>
              <w:rPr>
                <w:sz w:val="1"/>
                <w:szCs w:val="1"/>
                <w:color w:val="auto"/>
              </w:rPr>
            </w:pPr>
          </w:p>
        </w:tc>
      </w:tr>
      <w:tr>
        <w:trPr>
          <w:trHeight w:val="261"/>
        </w:trPr>
        <w:tc>
          <w:tcPr>
            <w:tcW w:w="400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Through your correspondent by</w:t>
            </w:r>
          </w:p>
        </w:tc>
        <w:tc>
          <w:tcPr>
            <w:tcW w:w="1020" w:type="dxa"/>
            <w:vAlign w:val="bottom"/>
            <w:vMerge w:val="restart"/>
          </w:tcPr>
          <w:p>
            <w:pPr>
              <w:spacing w:after="0"/>
              <w:rPr>
                <w:sz w:val="20"/>
                <w:szCs w:val="20"/>
                <w:color w:val="auto"/>
              </w:rPr>
            </w:pPr>
            <w:r>
              <w:rPr>
                <w:rFonts w:ascii="Courier New" w:cs="Courier New" w:eastAsia="Courier New" w:hAnsi="Courier New"/>
                <w:sz w:val="16"/>
                <w:szCs w:val="16"/>
                <w:color w:val="auto"/>
              </w:rPr>
              <w:t>courier,</w:t>
            </w:r>
          </w:p>
        </w:tc>
        <w:tc>
          <w:tcPr>
            <w:tcW w:w="25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Swift/Telex</w:t>
            </w:r>
          </w:p>
        </w:tc>
        <w:tc>
          <w:tcPr>
            <w:tcW w:w="1060" w:type="dxa"/>
            <w:vAlign w:val="bottom"/>
          </w:tcPr>
          <w:p>
            <w:pPr>
              <w:ind w:left="320"/>
              <w:spacing w:after="0"/>
              <w:rPr>
                <w:sz w:val="20"/>
                <w:szCs w:val="20"/>
                <w:color w:val="auto"/>
              </w:rPr>
            </w:pPr>
            <w:r>
              <w:rPr>
                <w:rFonts w:ascii="Courier New" w:cs="Courier New" w:eastAsia="Courier New" w:hAnsi="Courier New"/>
                <w:sz w:val="16"/>
                <w:szCs w:val="16"/>
                <w:color w:val="auto"/>
              </w:rPr>
              <w:t>D/T No.</w:t>
            </w:r>
          </w:p>
        </w:tc>
        <w:tc>
          <w:tcPr>
            <w:tcW w:w="15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____________</w:t>
            </w:r>
          </w:p>
        </w:tc>
        <w:tc>
          <w:tcPr>
            <w:tcW w:w="0" w:type="dxa"/>
            <w:vAlign w:val="bottom"/>
          </w:tcPr>
          <w:p>
            <w:pPr>
              <w:spacing w:after="0"/>
              <w:rPr>
                <w:sz w:val="1"/>
                <w:szCs w:val="1"/>
                <w:color w:val="auto"/>
              </w:rPr>
            </w:pPr>
          </w:p>
        </w:tc>
      </w:tr>
      <w:tr>
        <w:trPr>
          <w:trHeight w:val="97"/>
        </w:trPr>
        <w:tc>
          <w:tcPr>
            <w:tcW w:w="40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56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4000" w:type="dxa"/>
            <w:vAlign w:val="bottom"/>
          </w:tcPr>
          <w:p>
            <w:pPr>
              <w:ind w:left="740"/>
              <w:spacing w:after="0" w:line="179" w:lineRule="exact"/>
              <w:rPr>
                <w:sz w:val="20"/>
                <w:szCs w:val="20"/>
                <w:color w:val="auto"/>
              </w:rPr>
            </w:pPr>
            <w:r>
              <w:rPr>
                <w:rFonts w:ascii="Courier New" w:cs="Courier New" w:eastAsia="Courier New" w:hAnsi="Courier New"/>
                <w:sz w:val="16"/>
                <w:szCs w:val="16"/>
                <w:color w:val="auto"/>
              </w:rPr>
              <w:t>for delivery to the beneficiary</w:t>
            </w:r>
          </w:p>
        </w:tc>
        <w:tc>
          <w:tcPr>
            <w:tcW w:w="10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64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1"/>
        </w:trPr>
        <w:tc>
          <w:tcPr>
            <w:tcW w:w="5020" w:type="dxa"/>
            <w:vAlign w:val="bottom"/>
            <w:gridSpan w:val="2"/>
          </w:tcPr>
          <w:p>
            <w:pPr>
              <w:spacing w:after="0"/>
              <w:rPr>
                <w:sz w:val="20"/>
                <w:szCs w:val="20"/>
                <w:color w:val="auto"/>
              </w:rPr>
            </w:pPr>
            <w:r>
              <w:rPr>
                <w:rFonts w:ascii="Courier New" w:cs="Courier New" w:eastAsia="Courier New" w:hAnsi="Courier New"/>
                <w:sz w:val="14"/>
                <w:szCs w:val="14"/>
                <w:color w:val="auto"/>
                <w:w w:val="71"/>
              </w:rPr>
              <w:t>- ---------------------------------------------------------------------------------</w:t>
            </w:r>
          </w:p>
        </w:tc>
        <w:tc>
          <w:tcPr>
            <w:tcW w:w="2560" w:type="dxa"/>
            <w:vAlign w:val="bottom"/>
          </w:tcPr>
          <w:p>
            <w:pPr>
              <w:spacing w:after="0"/>
              <w:rPr>
                <w:sz w:val="22"/>
                <w:szCs w:val="22"/>
                <w:color w:val="auto"/>
              </w:rPr>
            </w:pPr>
          </w:p>
        </w:tc>
        <w:tc>
          <w:tcPr>
            <w:tcW w:w="26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ind w:left="5"/>
        <w:spacing w:after="0"/>
        <w:tabs>
          <w:tab w:leader="none" w:pos="6024" w:val="left"/>
        </w:tabs>
        <w:rPr>
          <w:sz w:val="20"/>
          <w:szCs w:val="20"/>
          <w:color w:val="auto"/>
        </w:rPr>
      </w:pPr>
      <w:r>
        <w:rPr>
          <w:rFonts w:ascii="Courier New" w:cs="Courier New" w:eastAsia="Courier New" w:hAnsi="Courier New"/>
          <w:sz w:val="16"/>
          <w:szCs w:val="16"/>
          <w:color w:val="auto"/>
        </w:rPr>
        <w:t>Advising Bank (Name and Address)</w:t>
      </w:r>
      <w:r>
        <w:rPr>
          <w:sz w:val="20"/>
          <w:szCs w:val="20"/>
          <w:color w:val="auto"/>
        </w:rPr>
        <w:tab/>
      </w:r>
      <w:r>
        <w:rPr>
          <w:rFonts w:ascii="Courier New" w:cs="Courier New" w:eastAsia="Courier New" w:hAnsi="Courier New"/>
          <w:sz w:val="14"/>
          <w:szCs w:val="14"/>
          <w:color w:val="auto"/>
        </w:rPr>
        <w:t>Applicant (Name and Address)</w:t>
      </w:r>
    </w:p>
    <w:p>
      <w:pPr>
        <w:spacing w:after="0" w:line="200" w:lineRule="exact"/>
        <w:rPr>
          <w:sz w:val="20"/>
          <w:szCs w:val="20"/>
          <w:color w:val="auto"/>
        </w:rPr>
      </w:pPr>
    </w:p>
    <w:p>
      <w:pPr>
        <w:spacing w:after="0" w:line="30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6" w:lineRule="exact"/>
        <w:rPr>
          <w:sz w:val="20"/>
          <w:szCs w:val="20"/>
          <w:color w:val="auto"/>
        </w:rPr>
      </w:pPr>
    </w:p>
    <w:p>
      <w:pPr>
        <w:jc w:val="right"/>
        <w:ind w:left="5" w:right="1380"/>
        <w:spacing w:after="0" w:line="305" w:lineRule="auto"/>
        <w:rPr>
          <w:sz w:val="20"/>
          <w:szCs w:val="20"/>
          <w:color w:val="auto"/>
        </w:rPr>
      </w:pPr>
      <w:r>
        <w:rPr>
          <w:rFonts w:ascii="Courier New" w:cs="Courier New" w:eastAsia="Courier New" w:hAnsi="Courier New"/>
          <w:sz w:val="16"/>
          <w:szCs w:val="16"/>
          <w:color w:val="auto"/>
        </w:rPr>
        <w:t>Beneficiary (Name and Address:                                   Amount  ____________________________________ INCLUDE CURRENCY IN NOT U.S. DOLLARS</w:t>
      </w:r>
    </w:p>
    <w:p>
      <w:pPr>
        <w:spacing w:after="0" w:line="48" w:lineRule="exact"/>
        <w:rPr>
          <w:sz w:val="20"/>
          <w:szCs w:val="20"/>
          <w:color w:val="auto"/>
        </w:rPr>
      </w:pPr>
    </w:p>
    <w:p>
      <w:pPr>
        <w:ind w:left="6045"/>
        <w:spacing w:after="0"/>
        <w:tabs>
          <w:tab w:leader="none" w:pos="7704" w:val="left"/>
        </w:tabs>
        <w:rPr>
          <w:sz w:val="20"/>
          <w:szCs w:val="20"/>
          <w:color w:val="auto"/>
        </w:rPr>
      </w:pPr>
      <w:r>
        <w:rPr>
          <w:rFonts w:ascii="Courier New" w:cs="Courier New" w:eastAsia="Courier New" w:hAnsi="Courier New"/>
          <w:sz w:val="16"/>
          <w:szCs w:val="16"/>
          <w:color w:val="auto"/>
        </w:rPr>
        <w:t>Amount in Words:</w:t>
      </w:r>
      <w:r>
        <w:rPr>
          <w:sz w:val="20"/>
          <w:szCs w:val="20"/>
          <w:color w:val="auto"/>
        </w:rPr>
        <w:tab/>
      </w:r>
      <w:r>
        <w:rPr>
          <w:rFonts w:ascii="Courier New" w:cs="Courier New" w:eastAsia="Courier New" w:hAnsi="Courier New"/>
          <w:sz w:val="14"/>
          <w:szCs w:val="14"/>
          <w:color w:val="auto"/>
        </w:rPr>
        <w:t>__________________________</w:t>
      </w:r>
    </w:p>
    <w:p>
      <w:pPr>
        <w:spacing w:after="0" w:line="2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ind w:left="5"/>
        <w:spacing w:after="0"/>
        <w:tabs>
          <w:tab w:leader="none" w:pos="6024" w:val="left"/>
          <w:tab w:leader="none" w:pos="8064" w:val="left"/>
          <w:tab w:leader="none" w:pos="9184" w:val="left"/>
        </w:tabs>
        <w:rPr>
          <w:sz w:val="20"/>
          <w:szCs w:val="20"/>
          <w:color w:val="auto"/>
        </w:rPr>
      </w:pPr>
      <w:r>
        <w:rPr>
          <w:rFonts w:ascii="Courier New" w:cs="Courier New" w:eastAsia="Courier New" w:hAnsi="Courier New"/>
          <w:sz w:val="16"/>
          <w:szCs w:val="16"/>
          <w:color w:val="auto"/>
        </w:rPr>
        <w:t>This Letter of Credit is transferable.</w:t>
      </w:r>
      <w:r>
        <w:rPr>
          <w:sz w:val="20"/>
          <w:szCs w:val="20"/>
          <w:color w:val="auto"/>
        </w:rPr>
        <w:tab/>
      </w:r>
      <w:r>
        <w:rPr>
          <w:rFonts w:ascii="Courier New" w:cs="Courier New" w:eastAsia="Courier New" w:hAnsi="Courier New"/>
          <w:sz w:val="16"/>
          <w:szCs w:val="16"/>
          <w:color w:val="auto"/>
        </w:rPr>
        <w:t>Partial drawings are</w:t>
        <w:tab/>
        <w:t>Permitted</w:t>
      </w:r>
      <w:r>
        <w:rPr>
          <w:sz w:val="20"/>
          <w:szCs w:val="20"/>
          <w:color w:val="auto"/>
        </w:rPr>
        <w:tab/>
      </w:r>
      <w:r>
        <w:rPr>
          <w:rFonts w:ascii="Courier New" w:cs="Courier New" w:eastAsia="Courier New" w:hAnsi="Courier New"/>
          <w:sz w:val="14"/>
          <w:szCs w:val="14"/>
          <w:color w:val="auto"/>
        </w:rPr>
        <w:t>Prohibited</w:t>
      </w:r>
    </w:p>
    <w:p>
      <w:pPr>
        <w:spacing w:after="0" w:line="200" w:lineRule="exact"/>
        <w:rPr>
          <w:sz w:val="20"/>
          <w:szCs w:val="20"/>
          <w:color w:val="auto"/>
        </w:rPr>
      </w:pPr>
    </w:p>
    <w:p>
      <w:pPr>
        <w:spacing w:after="0" w:line="30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 -------------------------------------------------------------------------------------------------------------</w:t>
      </w:r>
    </w:p>
    <w:p>
      <w:pPr>
        <w:spacing w:after="0" w:line="23" w:lineRule="exact"/>
        <w:rPr>
          <w:sz w:val="20"/>
          <w:szCs w:val="20"/>
          <w:color w:val="auto"/>
        </w:rPr>
      </w:pPr>
    </w:p>
    <w:p>
      <w:pPr>
        <w:ind w:left="5"/>
        <w:spacing w:after="0"/>
        <w:tabs>
          <w:tab w:leader="none" w:pos="6024" w:val="left"/>
        </w:tabs>
        <w:rPr>
          <w:sz w:val="20"/>
          <w:szCs w:val="20"/>
          <w:color w:val="auto"/>
        </w:rPr>
      </w:pPr>
      <w:r>
        <w:rPr>
          <w:rFonts w:ascii="Courier New" w:cs="Courier New" w:eastAsia="Courier New" w:hAnsi="Courier New"/>
          <w:sz w:val="16"/>
          <w:szCs w:val="16"/>
          <w:color w:val="auto"/>
        </w:rPr>
        <w:t>All bank charges, other than Bank's, are for</w:t>
      </w:r>
      <w:r>
        <w:rPr>
          <w:sz w:val="20"/>
          <w:szCs w:val="20"/>
          <w:color w:val="auto"/>
        </w:rPr>
        <w:tab/>
      </w:r>
      <w:r>
        <w:rPr>
          <w:rFonts w:ascii="Courier New" w:cs="Courier New" w:eastAsia="Courier New" w:hAnsi="Courier New"/>
          <w:sz w:val="14"/>
          <w:szCs w:val="14"/>
          <w:color w:val="auto"/>
        </w:rPr>
        <w:t>Expiry Date:</w:t>
      </w:r>
    </w:p>
    <w:p>
      <w:pPr>
        <w:ind w:left="5"/>
        <w:spacing w:after="0"/>
        <w:rPr>
          <w:sz w:val="20"/>
          <w:szCs w:val="20"/>
          <w:color w:val="auto"/>
        </w:rPr>
      </w:pPr>
      <w:r>
        <w:rPr>
          <w:rFonts w:ascii="Courier New" w:cs="Courier New" w:eastAsia="Courier New" w:hAnsi="Courier New"/>
          <w:sz w:val="16"/>
          <w:szCs w:val="16"/>
          <w:color w:val="auto"/>
        </w:rPr>
        <w:t>beneficiary's account.</w:t>
      </w:r>
    </w:p>
    <w:p>
      <w:pPr>
        <w:spacing w:after="0" w:line="327" w:lineRule="exact"/>
        <w:rPr>
          <w:sz w:val="20"/>
          <w:szCs w:val="20"/>
          <w:color w:val="auto"/>
        </w:rPr>
      </w:pPr>
    </w:p>
    <w:p>
      <w:pPr>
        <w:ind w:left="185" w:hanging="185"/>
        <w:spacing w:after="0"/>
        <w:tabs>
          <w:tab w:leader="none" w:pos="185"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6"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Available by beneficiary's drafts at sight accompanied by the following:</w:t>
      </w:r>
    </w:p>
    <w:p>
      <w:pPr>
        <w:spacing w:after="0" w:line="149" w:lineRule="exact"/>
        <w:rPr>
          <w:sz w:val="20"/>
          <w:szCs w:val="20"/>
          <w:color w:val="auto"/>
        </w:rPr>
      </w:pPr>
    </w:p>
    <w:p>
      <w:pPr>
        <w:ind w:left="845" w:right="4920"/>
        <w:spacing w:after="0" w:line="406" w:lineRule="auto"/>
        <w:rPr>
          <w:sz w:val="20"/>
          <w:szCs w:val="20"/>
          <w:color w:val="auto"/>
        </w:rPr>
      </w:pPr>
      <w:r>
        <w:rPr>
          <w:rFonts w:ascii="Courier New" w:cs="Courier New" w:eastAsia="Courier New" w:hAnsi="Courier New"/>
          <w:sz w:val="14"/>
          <w:szCs w:val="14"/>
          <w:color w:val="auto"/>
        </w:rPr>
        <w:t>A statement purportedly signed by an authorized officer of the beneficiary reading as follows: (Please use concise terms).</w:t>
      </w:r>
    </w:p>
    <w:p>
      <w:pPr>
        <w:ind w:left="185" w:hanging="185"/>
        <w:spacing w:after="0"/>
        <w:tabs>
          <w:tab w:leader="none" w:pos="185"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5"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Attached is a format which is an integral part of this application.</w:t>
      </w:r>
    </w:p>
    <w:p>
      <w:pPr>
        <w:spacing w:after="0" w:line="23" w:lineRule="exact"/>
        <w:rPr>
          <w:sz w:val="20"/>
          <w:szCs w:val="20"/>
          <w:color w:val="auto"/>
        </w:rPr>
      </w:pPr>
    </w:p>
    <w:p>
      <w:pPr>
        <w:ind w:left="645"/>
        <w:spacing w:after="0"/>
        <w:rPr>
          <w:sz w:val="20"/>
          <w:szCs w:val="20"/>
          <w:color w:val="auto"/>
        </w:rPr>
      </w:pPr>
      <w:r>
        <w:rPr>
          <w:rFonts w:ascii="Courier New" w:cs="Courier New" w:eastAsia="Courier New" w:hAnsi="Courier New"/>
          <w:sz w:val="16"/>
          <w:szCs w:val="16"/>
          <w:color w:val="auto"/>
        </w:rPr>
        <w:t>Special Instructions:</w:t>
      </w:r>
    </w:p>
    <w:p>
      <w:pPr>
        <w:ind w:left="2605"/>
        <w:spacing w:after="0"/>
        <w:rPr>
          <w:sz w:val="20"/>
          <w:szCs w:val="20"/>
          <w:color w:val="auto"/>
        </w:rPr>
      </w:pPr>
      <w:r>
        <w:rPr>
          <w:rFonts w:ascii="Courier New" w:cs="Courier New" w:eastAsia="Courier New" w:hAnsi="Courier New"/>
          <w:sz w:val="16"/>
          <w:szCs w:val="16"/>
          <w:color w:val="auto"/>
        </w:rPr>
        <w:t>---------------------------------------------------</w:t>
      </w:r>
    </w:p>
    <w:p>
      <w:pPr>
        <w:spacing w:after="0" w:line="149" w:lineRule="exact"/>
        <w:rPr>
          <w:sz w:val="20"/>
          <w:szCs w:val="20"/>
          <w:color w:val="auto"/>
        </w:rPr>
      </w:pPr>
    </w:p>
    <w:p>
      <w:pPr>
        <w:ind w:left="185" w:hanging="185"/>
        <w:spacing w:after="0"/>
        <w:tabs>
          <w:tab w:leader="none" w:pos="185"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6" w:lineRule="exact"/>
        <w:rPr>
          <w:rFonts w:ascii="Courier New" w:cs="Courier New" w:eastAsia="Courier New" w:hAnsi="Courier New"/>
          <w:sz w:val="16"/>
          <w:szCs w:val="16"/>
          <w:color w:val="auto"/>
        </w:rPr>
      </w:pPr>
    </w:p>
    <w:p>
      <w:pPr>
        <w:ind w:left="185" w:hanging="185"/>
        <w:spacing w:after="0"/>
        <w:tabs>
          <w:tab w:leader="none" w:pos="185"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55" w:lineRule="exact"/>
        <w:rPr>
          <w:sz w:val="20"/>
          <w:szCs w:val="20"/>
          <w:color w:val="auto"/>
        </w:rPr>
      </w:pPr>
    </w:p>
    <w:p>
      <w:pPr>
        <w:ind w:left="5" w:right="4180"/>
        <w:spacing w:after="0" w:line="258" w:lineRule="auto"/>
        <w:rPr>
          <w:sz w:val="20"/>
          <w:szCs w:val="20"/>
          <w:color w:val="auto"/>
        </w:rPr>
      </w:pPr>
      <w:r>
        <w:rPr>
          <w:rFonts w:ascii="Courier New" w:cs="Courier New" w:eastAsia="Courier New" w:hAnsi="Courier New"/>
          <w:sz w:val="16"/>
          <w:szCs w:val="16"/>
          <w:color w:val="auto"/>
        </w:rPr>
        <w:t>We hereby certify that the transactions covered by this Application and Agreement are not prohibited under any existing Laws and regulations of the United States, including the Foreign Assets Control Regulations of the United States Treasury Department and that any transaction covered by this Application and Agreement complies in every respect with all existing United States Government Laws and Regulations.</w:t>
      </w:r>
    </w:p>
    <w:p>
      <w:pPr>
        <w:spacing w:after="0" w:line="83" w:lineRule="exact"/>
        <w:rPr>
          <w:sz w:val="20"/>
          <w:szCs w:val="20"/>
          <w:color w:val="auto"/>
        </w:rPr>
      </w:pPr>
    </w:p>
    <w:p>
      <w:pPr>
        <w:ind w:left="5" w:right="4820"/>
        <w:spacing w:after="0" w:line="348" w:lineRule="auto"/>
        <w:rPr>
          <w:sz w:val="20"/>
          <w:szCs w:val="20"/>
          <w:color w:val="auto"/>
        </w:rPr>
      </w:pPr>
      <w:r>
        <w:rPr>
          <w:rFonts w:ascii="Courier New" w:cs="Courier New" w:eastAsia="Courier New" w:hAnsi="Courier New"/>
          <w:sz w:val="14"/>
          <w:szCs w:val="14"/>
          <w:color w:val="auto"/>
        </w:rPr>
        <w:t>Reference to any document, instrument or agreement is for identification purposes only and such document, instrument or agreement will not be incorporated into the terms of the Letter of Credit.</w:t>
      </w:r>
    </w:p>
    <w:p>
      <w:pPr>
        <w:spacing w:after="0" w:line="26" w:lineRule="exact"/>
        <w:rPr>
          <w:sz w:val="20"/>
          <w:szCs w:val="20"/>
          <w:color w:val="auto"/>
        </w:rPr>
      </w:pPr>
    </w:p>
    <w:p>
      <w:pPr>
        <w:ind w:left="5" w:right="4180"/>
        <w:spacing w:after="0" w:line="425" w:lineRule="auto"/>
        <w:rPr>
          <w:sz w:val="20"/>
          <w:szCs w:val="20"/>
          <w:color w:val="auto"/>
        </w:rPr>
      </w:pPr>
      <w:r>
        <w:rPr>
          <w:rFonts w:ascii="Courier New" w:cs="Courier New" w:eastAsia="Courier New" w:hAnsi="Courier New"/>
          <w:sz w:val="14"/>
          <w:szCs w:val="14"/>
          <w:color w:val="auto"/>
        </w:rPr>
        <w:t>This credit will be subject to the Uniform Customs and Practice for Documentary Credits of the International Chamber of Commerce Currently in effect.</w:t>
      </w:r>
    </w:p>
    <w:p>
      <w:pPr>
        <w:spacing w:after="0" w:line="318" w:lineRule="exact"/>
        <w:rPr>
          <w:sz w:val="20"/>
          <w:szCs w:val="20"/>
          <w:color w:val="auto"/>
        </w:rPr>
      </w:pPr>
    </w:p>
    <w:tbl>
      <w:tblPr>
        <w:tblLayout w:type="fixed"/>
        <w:tblInd w:w="5" w:type="dxa"/>
        <w:tblCellMar>
          <w:top w:w="0" w:type="dxa"/>
          <w:left w:w="0" w:type="dxa"/>
          <w:bottom w:w="0" w:type="dxa"/>
          <w:right w:w="0" w:type="dxa"/>
        </w:tblCellMar>
      </w:tblPr>
      <w:tr>
        <w:trPr>
          <w:trHeight w:val="194"/>
        </w:trPr>
        <w:tc>
          <w:tcPr>
            <w:tcW w:w="3940" w:type="dxa"/>
            <w:vAlign w:val="bottom"/>
            <w:vMerge w:val="restart"/>
          </w:tcPr>
          <w:p>
            <w:pPr>
              <w:spacing w:after="0"/>
              <w:rPr>
                <w:sz w:val="20"/>
                <w:szCs w:val="20"/>
                <w:color w:val="auto"/>
              </w:rPr>
            </w:pPr>
            <w:r>
              <w:rPr>
                <w:rFonts w:ascii="Courier New" w:cs="Courier New" w:eastAsia="Courier New" w:hAnsi="Courier New"/>
                <w:sz w:val="15"/>
                <w:szCs w:val="15"/>
                <w:color w:val="auto"/>
                <w:w w:val="70"/>
              </w:rPr>
              <w:t>- ---------------------------------------</w:t>
            </w:r>
            <w:r>
              <w:rPr>
                <w:rFonts w:ascii="Courier New" w:cs="Courier New" w:eastAsia="Courier New" w:hAnsi="Courier New"/>
                <w:sz w:val="29"/>
                <w:szCs w:val="29"/>
                <w:color w:val="auto"/>
                <w:w w:val="70"/>
                <w:vertAlign w:val="subscript"/>
              </w:rPr>
              <w:t>(FORBANKUSEONLY)</w:t>
            </w:r>
          </w:p>
        </w:tc>
        <w:tc>
          <w:tcPr>
            <w:tcW w:w="7120" w:type="dxa"/>
            <w:vAlign w:val="bottom"/>
          </w:tcPr>
          <w:p>
            <w:pPr>
              <w:ind w:left="34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79"/>
        </w:trPr>
        <w:tc>
          <w:tcPr>
            <w:tcW w:w="3940" w:type="dxa"/>
            <w:vAlign w:val="bottom"/>
            <w:vMerge w:val="continue"/>
          </w:tcPr>
          <w:p>
            <w:pPr>
              <w:spacing w:after="0"/>
              <w:rPr>
                <w:sz w:val="15"/>
                <w:szCs w:val="15"/>
                <w:color w:val="auto"/>
              </w:rPr>
            </w:pPr>
          </w:p>
        </w:tc>
        <w:tc>
          <w:tcPr>
            <w:tcW w:w="712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9"/>
              </w:rPr>
              <w:t>WE AGREE TO ALL THE TERMS AND CONDITIONS ON THE FACE AND REVERSE HEREOF.*</w:t>
            </w:r>
          </w:p>
        </w:tc>
        <w:tc>
          <w:tcPr>
            <w:tcW w:w="0" w:type="dxa"/>
            <w:vAlign w:val="bottom"/>
          </w:tcPr>
          <w:p>
            <w:pPr>
              <w:spacing w:after="0"/>
              <w:rPr>
                <w:sz w:val="1"/>
                <w:szCs w:val="1"/>
                <w:color w:val="auto"/>
              </w:rPr>
            </w:pPr>
          </w:p>
        </w:tc>
      </w:tr>
      <w:tr>
        <w:trPr>
          <w:trHeight w:val="179"/>
        </w:trPr>
        <w:tc>
          <w:tcPr>
            <w:tcW w:w="394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Relationship Manager approval</w:t>
            </w:r>
          </w:p>
        </w:tc>
        <w:tc>
          <w:tcPr>
            <w:tcW w:w="7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940" w:type="dxa"/>
            <w:vAlign w:val="bottom"/>
          </w:tcPr>
          <w:p>
            <w:pPr>
              <w:jc w:val="center"/>
              <w:ind w:right="163"/>
              <w:spacing w:after="0" w:line="179" w:lineRule="exact"/>
              <w:rPr>
                <w:sz w:val="20"/>
                <w:szCs w:val="20"/>
                <w:color w:val="auto"/>
              </w:rPr>
            </w:pPr>
            <w:r>
              <w:rPr>
                <w:rFonts w:ascii="Courier New" w:cs="Courier New" w:eastAsia="Courier New" w:hAnsi="Courier New"/>
                <w:sz w:val="16"/>
                <w:szCs w:val="16"/>
                <w:color w:val="auto"/>
                <w:w w:val="97"/>
              </w:rPr>
              <w:t>(also indicate approval of applicant's</w:t>
            </w:r>
          </w:p>
        </w:tc>
        <w:tc>
          <w:tcPr>
            <w:tcW w:w="7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940" w:type="dxa"/>
            <w:vAlign w:val="bottom"/>
          </w:tcPr>
          <w:p>
            <w:pPr>
              <w:jc w:val="center"/>
              <w:ind w:right="143"/>
              <w:spacing w:after="0"/>
              <w:rPr>
                <w:sz w:val="20"/>
                <w:szCs w:val="20"/>
                <w:color w:val="auto"/>
              </w:rPr>
            </w:pPr>
            <w:r>
              <w:rPr>
                <w:rFonts w:ascii="Courier New" w:cs="Courier New" w:eastAsia="Courier New" w:hAnsi="Courier New"/>
                <w:sz w:val="16"/>
                <w:szCs w:val="16"/>
                <w:color w:val="auto"/>
                <w:w w:val="95"/>
              </w:rPr>
              <w:t>authority)</w:t>
            </w:r>
          </w:p>
        </w:tc>
        <w:tc>
          <w:tcPr>
            <w:tcW w:w="7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9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712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COMPANY/</w:t>
            </w:r>
          </w:p>
        </w:tc>
        <w:tc>
          <w:tcPr>
            <w:tcW w:w="0" w:type="dxa"/>
            <w:vAlign w:val="bottom"/>
          </w:tcPr>
          <w:p>
            <w:pPr>
              <w:spacing w:after="0"/>
              <w:rPr>
                <w:sz w:val="1"/>
                <w:szCs w:val="1"/>
                <w:color w:val="auto"/>
              </w:rPr>
            </w:pPr>
          </w:p>
        </w:tc>
      </w:tr>
      <w:tr>
        <w:trPr>
          <w:trHeight w:val="261"/>
        </w:trPr>
        <w:tc>
          <w:tcPr>
            <w:tcW w:w="3940" w:type="dxa"/>
            <w:vAlign w:val="bottom"/>
          </w:tcPr>
          <w:p>
            <w:pPr>
              <w:jc w:val="center"/>
              <w:ind w:right="163"/>
              <w:spacing w:after="0"/>
              <w:rPr>
                <w:sz w:val="20"/>
                <w:szCs w:val="20"/>
                <w:color w:val="auto"/>
              </w:rPr>
            </w:pPr>
            <w:r>
              <w:rPr>
                <w:rFonts w:ascii="Courier New" w:cs="Courier New" w:eastAsia="Courier New" w:hAnsi="Courier New"/>
                <w:sz w:val="16"/>
                <w:szCs w:val="16"/>
                <w:color w:val="auto"/>
                <w:w w:val="96"/>
              </w:rPr>
              <w:t>AUTHORIZED SIGNATURE</w:t>
            </w:r>
          </w:p>
        </w:tc>
        <w:tc>
          <w:tcPr>
            <w:tcW w:w="7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525"/>
          </w:cols>
          <w:pgMar w:left="235" w:top="269" w:right="139" w:bottom="0" w:gutter="0" w:footer="0" w:header="0"/>
        </w:sectPr>
      </w:pPr>
    </w:p>
    <w:bookmarkStart w:id="306" w:name="page307"/>
    <w:bookmarkEnd w:id="306"/>
    <w:p>
      <w:pPr>
        <w:ind w:left="4280"/>
        <w:spacing w:after="0"/>
        <w:rPr>
          <w:sz w:val="20"/>
          <w:szCs w:val="20"/>
          <w:color w:val="auto"/>
        </w:rPr>
      </w:pPr>
      <w:r>
        <w:rPr>
          <w:rFonts w:ascii="Courier New" w:cs="Courier New" w:eastAsia="Courier New" w:hAnsi="Courier New"/>
          <w:sz w:val="16"/>
          <w:szCs w:val="16"/>
          <w:color w:val="auto"/>
        </w:rPr>
        <w:t>BANK NAME:</w:t>
      </w:r>
    </w:p>
    <w:p>
      <w:pPr>
        <w:spacing w:after="0" w:line="23" w:lineRule="exact"/>
        <w:rPr>
          <w:sz w:val="20"/>
          <w:szCs w:val="20"/>
          <w:color w:val="auto"/>
        </w:rPr>
      </w:pPr>
    </w:p>
    <w:p>
      <w:pPr>
        <w:spacing w:after="0"/>
        <w:tabs>
          <w:tab w:leader="none" w:pos="538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w:t>
      </w:r>
    </w:p>
    <w:tbl>
      <w:tblPr>
        <w:tblLayout w:type="fixed"/>
        <w:tblInd w:w="0" w:type="dxa"/>
        <w:tblCellMar>
          <w:top w:w="0" w:type="dxa"/>
          <w:left w:w="0" w:type="dxa"/>
          <w:bottom w:w="0" w:type="dxa"/>
          <w:right w:w="0" w:type="dxa"/>
        </w:tblCellMar>
      </w:tblPr>
      <w:tr>
        <w:trPr>
          <w:trHeight w:val="261"/>
        </w:trPr>
        <w:tc>
          <w:tcPr>
            <w:tcW w:w="3800" w:type="dxa"/>
            <w:vAlign w:val="bottom"/>
          </w:tcPr>
          <w:p>
            <w:pPr>
              <w:ind w:left="1660"/>
              <w:spacing w:after="0"/>
              <w:rPr>
                <w:sz w:val="20"/>
                <w:szCs w:val="20"/>
                <w:color w:val="auto"/>
              </w:rPr>
            </w:pPr>
            <w:r>
              <w:rPr>
                <w:rFonts w:ascii="Courier New" w:cs="Courier New" w:eastAsia="Courier New" w:hAnsi="Courier New"/>
                <w:sz w:val="16"/>
                <w:szCs w:val="16"/>
                <w:color w:val="auto"/>
              </w:rPr>
              <w:t>DATE</w:t>
            </w:r>
          </w:p>
        </w:tc>
        <w:tc>
          <w:tcPr>
            <w:tcW w:w="55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3800" w:type="dxa"/>
            <w:vAlign w:val="bottom"/>
          </w:tcPr>
          <w:p>
            <w:pPr>
              <w:spacing w:after="0"/>
              <w:rPr>
                <w:sz w:val="20"/>
                <w:szCs w:val="20"/>
                <w:color w:val="auto"/>
              </w:rPr>
            </w:pPr>
            <w:r>
              <w:rPr>
                <w:rFonts w:ascii="Courier New" w:cs="Courier New" w:eastAsia="Courier New" w:hAnsi="Courier New"/>
                <w:sz w:val="16"/>
                <w:szCs w:val="16"/>
                <w:color w:val="auto"/>
              </w:rPr>
              <w:t>Internal Form #13429 "Standby LC</w:t>
            </w:r>
          </w:p>
        </w:tc>
        <w:tc>
          <w:tcPr>
            <w:tcW w:w="5500" w:type="dxa"/>
            <w:vAlign w:val="bottom"/>
          </w:tcPr>
          <w:p>
            <w:pPr>
              <w:ind w:left="480"/>
              <w:spacing w:after="0"/>
              <w:rPr>
                <w:sz w:val="20"/>
                <w:szCs w:val="20"/>
                <w:color w:val="auto"/>
              </w:rPr>
            </w:pPr>
            <w:r>
              <w:rPr>
                <w:rFonts w:ascii="Courier New" w:cs="Courier New" w:eastAsia="Courier New" w:hAnsi="Courier New"/>
                <w:sz w:val="16"/>
                <w:szCs w:val="16"/>
                <w:color w:val="auto"/>
              </w:rPr>
              <w:t>BY:</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3800" w:type="dxa"/>
            <w:vAlign w:val="bottom"/>
          </w:tcPr>
          <w:p>
            <w:pPr>
              <w:spacing w:after="0" w:line="179" w:lineRule="exact"/>
              <w:rPr>
                <w:sz w:val="20"/>
                <w:szCs w:val="20"/>
                <w:color w:val="auto"/>
              </w:rPr>
            </w:pPr>
            <w:r>
              <w:rPr>
                <w:rFonts w:ascii="Courier New" w:cs="Courier New" w:eastAsia="Courier New" w:hAnsi="Courier New"/>
                <w:sz w:val="16"/>
                <w:szCs w:val="16"/>
                <w:color w:val="auto"/>
              </w:rPr>
              <w:t>Set-Up/Change" is required with each</w:t>
            </w:r>
          </w:p>
        </w:tc>
        <w:tc>
          <w:tcPr>
            <w:tcW w:w="5500" w:type="dxa"/>
            <w:vAlign w:val="bottom"/>
            <w:vMerge w:val="restart"/>
          </w:tcPr>
          <w:p>
            <w:pPr>
              <w:ind w:left="760"/>
              <w:spacing w:after="0"/>
              <w:rPr>
                <w:sz w:val="20"/>
                <w:szCs w:val="20"/>
                <w:color w:val="auto"/>
              </w:rPr>
            </w:pPr>
            <w:r>
              <w:rPr>
                <w:rFonts w:ascii="Courier New" w:cs="Courier New" w:eastAsia="Courier New" w:hAnsi="Courier New"/>
                <w:sz w:val="19"/>
                <w:szCs w:val="19"/>
                <w:color w:val="auto"/>
                <w:w w:val="73"/>
                <w:vertAlign w:val="subscript"/>
              </w:rPr>
              <w:t>AUTHORIZED</w:t>
            </w:r>
            <w:r>
              <w:rPr>
                <w:rFonts w:ascii="Courier New" w:cs="Courier New" w:eastAsia="Courier New" w:hAnsi="Courier New"/>
                <w:sz w:val="11"/>
                <w:szCs w:val="11"/>
                <w:color w:val="auto"/>
                <w:w w:val="73"/>
              </w:rPr>
              <w:t>--------------------------------------------------------------------</w:t>
            </w:r>
            <w:r>
              <w:rPr>
                <w:rFonts w:ascii="Courier New" w:cs="Courier New" w:eastAsia="Courier New" w:hAnsi="Courier New"/>
                <w:sz w:val="19"/>
                <w:szCs w:val="19"/>
                <w:color w:val="auto"/>
                <w:w w:val="73"/>
                <w:vertAlign w:val="subscript"/>
              </w:rPr>
              <w:t>SIGNATURE-TITLE</w:t>
            </w:r>
          </w:p>
        </w:tc>
        <w:tc>
          <w:tcPr>
            <w:tcW w:w="380" w:type="dxa"/>
            <w:vAlign w:val="bottom"/>
            <w:vMerge w:val="restart"/>
          </w:tcPr>
          <w:p>
            <w:pPr>
              <w:spacing w:after="0"/>
              <w:rPr>
                <w:sz w:val="20"/>
                <w:szCs w:val="20"/>
                <w:color w:val="auto"/>
              </w:rPr>
            </w:pPr>
            <w:r>
              <w:rPr>
                <w:rFonts w:ascii="Courier New" w:cs="Courier New" w:eastAsia="Courier New" w:hAnsi="Courier New"/>
                <w:sz w:val="16"/>
                <w:szCs w:val="16"/>
                <w:color w:val="auto"/>
                <w:w w:val="93"/>
              </w:rPr>
              <w:t>DATE</w:t>
            </w:r>
          </w:p>
        </w:tc>
        <w:tc>
          <w:tcPr>
            <w:tcW w:w="0" w:type="dxa"/>
            <w:vAlign w:val="bottom"/>
          </w:tcPr>
          <w:p>
            <w:pPr>
              <w:spacing w:after="0"/>
              <w:rPr>
                <w:sz w:val="1"/>
                <w:szCs w:val="1"/>
                <w:color w:val="auto"/>
              </w:rPr>
            </w:pPr>
          </w:p>
        </w:tc>
      </w:tr>
      <w:tr>
        <w:trPr>
          <w:trHeight w:val="276"/>
        </w:trPr>
        <w:tc>
          <w:tcPr>
            <w:tcW w:w="3800" w:type="dxa"/>
            <w:vAlign w:val="bottom"/>
          </w:tcPr>
          <w:p>
            <w:pPr>
              <w:spacing w:after="0"/>
              <w:rPr>
                <w:sz w:val="20"/>
                <w:szCs w:val="20"/>
                <w:color w:val="auto"/>
              </w:rPr>
            </w:pPr>
            <w:r>
              <w:rPr>
                <w:rFonts w:ascii="Courier New" w:cs="Courier New" w:eastAsia="Courier New" w:hAnsi="Courier New"/>
                <w:sz w:val="16"/>
                <w:szCs w:val="16"/>
                <w:color w:val="auto"/>
              </w:rPr>
              <w:t>application.</w:t>
            </w:r>
          </w:p>
        </w:tc>
        <w:tc>
          <w:tcPr>
            <w:tcW w:w="5500" w:type="dxa"/>
            <w:vAlign w:val="bottom"/>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tabs>
          <w:tab w:leader="none" w:pos="426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4"/>
          <w:szCs w:val="14"/>
          <w:color w:val="auto"/>
        </w:rPr>
        <w:t>-------------------------------------------------------------------------</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13423 7/00 PKG 25 EA</w:t>
      </w:r>
    </w:p>
    <w:p>
      <w:pPr>
        <w:sectPr>
          <w:pgSz w:w="11900" w:h="16838" w:orient="portrait"/>
          <w:cols w:equalWidth="0" w:num="1">
            <w:col w:w="11060"/>
          </w:cols>
          <w:pgMar w:left="240" w:top="114" w:right="599" w:bottom="1440" w:gutter="0" w:footer="0" w:header="0"/>
        </w:sectPr>
      </w:pPr>
    </w:p>
    <w:bookmarkStart w:id="307" w:name="page308"/>
    <w:bookmarkEnd w:id="307"/>
    <w:p>
      <w:pPr>
        <w:ind w:left="285"/>
        <w:spacing w:after="0"/>
        <w:rPr>
          <w:sz w:val="20"/>
          <w:szCs w:val="20"/>
          <w:color w:val="auto"/>
        </w:rPr>
      </w:pPr>
      <w:r>
        <w:rPr>
          <w:rFonts w:ascii="Courier New" w:cs="Courier New" w:eastAsia="Courier New" w:hAnsi="Courier New"/>
          <w:sz w:val="16"/>
          <w:szCs w:val="16"/>
          <w:color w:val="auto"/>
        </w:rPr>
        <w:t>118</w:t>
      </w:r>
    </w:p>
    <w:p>
      <w:pPr>
        <w:spacing w:after="0" w:line="26" w:lineRule="exact"/>
        <w:rPr>
          <w:sz w:val="20"/>
          <w:szCs w:val="20"/>
          <w:color w:val="auto"/>
        </w:rPr>
      </w:pPr>
    </w:p>
    <w:p>
      <w:pPr>
        <w:ind w:left="3545"/>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06" w:lineRule="exact"/>
        <w:rPr>
          <w:sz w:val="20"/>
          <w:szCs w:val="20"/>
          <w:color w:val="auto"/>
        </w:rPr>
      </w:pPr>
    </w:p>
    <w:p>
      <w:pPr>
        <w:ind w:left="5" w:right="2779" w:hanging="5"/>
        <w:spacing w:after="0" w:line="296" w:lineRule="auto"/>
        <w:tabs>
          <w:tab w:leader="none" w:pos="191"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terms and conditions of this Application and Agreement for Standby Letter of Credit ("LC Agreement") are superceded by that certain 364-Day Loan Agreement dated June 29, 2001 by and among Waste Management, Inc., Waste Management Holdings, Inc., Fleet National Bank, as Administrative Agent, and other financial institutions (the "Credit Agreement"), and to the extent of any conflict or inconsistency between the terms and conditions of the LC Agreement and the Credit Agreement, the Credit Agreement shall control and prevail.</w:t>
      </w:r>
    </w:p>
    <w:p>
      <w:pPr>
        <w:spacing w:after="0" w:line="62" w:lineRule="exact"/>
        <w:rPr>
          <w:sz w:val="20"/>
          <w:szCs w:val="20"/>
          <w:color w:val="auto"/>
        </w:rPr>
      </w:pPr>
    </w:p>
    <w:p>
      <w:pPr>
        <w:ind w:left="5" w:right="2879" w:firstLine="837"/>
        <w:spacing w:after="0" w:line="342" w:lineRule="auto"/>
        <w:rPr>
          <w:sz w:val="20"/>
          <w:szCs w:val="20"/>
          <w:color w:val="auto"/>
        </w:rPr>
      </w:pPr>
      <w:r>
        <w:rPr>
          <w:rFonts w:ascii="Courier New" w:cs="Courier New" w:eastAsia="Courier New" w:hAnsi="Courier New"/>
          <w:sz w:val="16"/>
          <w:szCs w:val="16"/>
          <w:color w:val="auto"/>
        </w:rPr>
        <w:t>For good and valuable consideration, the receipt and adequacy of which is hereby acknowledged, the Bank and the customer agrees as follows:</w:t>
      </w:r>
    </w:p>
    <w:p>
      <w:pPr>
        <w:spacing w:after="0" w:line="20" w:lineRule="exact"/>
        <w:rPr>
          <w:sz w:val="20"/>
          <w:szCs w:val="20"/>
          <w:color w:val="auto"/>
        </w:rPr>
      </w:pPr>
    </w:p>
    <w:p>
      <w:pPr>
        <w:ind w:left="5" w:right="2779" w:firstLine="833"/>
        <w:spacing w:after="0" w:line="244" w:lineRule="auto"/>
        <w:tabs>
          <w:tab w:leader="none" w:pos="1121" w:val="left"/>
        </w:tabs>
        <w:numPr>
          <w:ilvl w:val="1"/>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reference hereinafter contained to: (a) "Bank", "Bank's Address", "Customer", "Customer's Address", and "Expiry Date" shall be deemed to refer to the defined terms on Page 1 of this Agreement; (b) "Agreement" shall be deemed to refer to this Application and Agreement for Standby Letter of Credit, including without limitation the application portion on Page 1 hereof; (c) "Business Day" shall be deemed to refer to any day on which commercial banks located in the state of the Bank's Address are not required or authorized to remain closed and which is not a Saturday, Sunday or legal holiday; (d) "Credit" shall be deemed to refer to the letter of credit to be issued by the Bank substantially in the form set forth in the application portion of this Agreement, all amendments thereto, and any substitutions or replacements thereof; (e) "Events of Default" shall be deemed to refer to one or more of the events of default or defaults specified in Paragraph 6 of this Agreement; (f) "Prime Rate" shall be deemed to refer to the rate of interest designated by the Bank from time to time as being its prime rate of interest.</w:t>
      </w:r>
    </w:p>
    <w:p>
      <w:pPr>
        <w:spacing w:after="0" w:line="98" w:lineRule="exact"/>
        <w:rPr>
          <w:rFonts w:ascii="Courier New" w:cs="Courier New" w:eastAsia="Courier New" w:hAnsi="Courier New"/>
          <w:sz w:val="16"/>
          <w:szCs w:val="16"/>
          <w:color w:val="auto"/>
        </w:rPr>
      </w:pPr>
    </w:p>
    <w:p>
      <w:pPr>
        <w:ind w:left="5" w:right="3059" w:firstLine="833"/>
        <w:spacing w:after="0" w:line="309" w:lineRule="auto"/>
        <w:tabs>
          <w:tab w:leader="none" w:pos="1121"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instruments payable in U.S. Dollars, the Customer will: (a) pay the Bank in U.S. Dollars the amount paid on any sight draft or, at the Bank's option, pay the Bank in advance the amount required to pay such draft; and (b) pay the Bank in U.S. Dollars the amount of each acceptance on demand, but in any event not later than one Business Day prior to maturity.</w:t>
      </w:r>
    </w:p>
    <w:p>
      <w:pPr>
        <w:spacing w:after="0" w:line="52" w:lineRule="exact"/>
        <w:rPr>
          <w:rFonts w:ascii="Courier New" w:cs="Courier New" w:eastAsia="Courier New" w:hAnsi="Courier New"/>
          <w:sz w:val="14"/>
          <w:szCs w:val="14"/>
          <w:color w:val="auto"/>
        </w:rPr>
      </w:pPr>
    </w:p>
    <w:p>
      <w:pPr>
        <w:ind w:left="1125" w:hanging="287"/>
        <w:spacing w:after="0"/>
        <w:tabs>
          <w:tab w:leader="none" w:pos="1125" w:val="left"/>
        </w:tabs>
        <w:numPr>
          <w:ilvl w:val="1"/>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instruments payable in a foreign currency, the Customer will:</w:t>
      </w:r>
    </w:p>
    <w:p>
      <w:pPr>
        <w:spacing w:after="0" w:line="48" w:lineRule="exact"/>
        <w:rPr>
          <w:rFonts w:ascii="Courier New" w:cs="Courier New" w:eastAsia="Courier New" w:hAnsi="Courier New"/>
          <w:sz w:val="14"/>
          <w:szCs w:val="14"/>
          <w:color w:val="auto"/>
        </w:rPr>
      </w:pPr>
    </w:p>
    <w:p>
      <w:pPr>
        <w:ind w:left="5" w:right="2779" w:hanging="5"/>
        <w:spacing w:after="0" w:line="278" w:lineRule="auto"/>
        <w:tabs>
          <w:tab w:leader="none" w:pos="377"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the bank in U.S. Dollars, the equivalent of the amount paid on any sight draft, immediately upon such payment being made, at the Bank's then selling rate for cable transfers to the place of payment in the currency in which the draft is drawn; and (b) in the case of each acceptance pay the Bank in U.S. Dollars, on demand, but in any event in time to reach the place of payment by mail not later than one Business Day prior to maturity, the equivalent thereof at the Bank's then selling rate for the currency in which the acceptance is payable, or at the Bank's option pay the Bank on demand the equivalent of the acceptance in U.S. Dollars at the Bank's then selling rate for cable transfers to the place of payment in such currency. If for any reason there should exist at the time in question no rate of exchange generally current in the sate of the Bank's Address for effective cable transfers of the sort provided for, the Customer will pay the Bank on demand an amount in U.S. Dollars equivalent to the actual cost to the Bank of settlement of the Bank's obligations to the payor of the draft or acceptance or any holder thereof, as the case may be, however and whenever such settlement is made by the Bank.</w:t>
      </w:r>
    </w:p>
    <w:p>
      <w:pPr>
        <w:spacing w:after="0" w:line="257" w:lineRule="exact"/>
        <w:rPr>
          <w:rFonts w:ascii="Courier New" w:cs="Courier New" w:eastAsia="Courier New" w:hAnsi="Courier New"/>
          <w:sz w:val="14"/>
          <w:szCs w:val="14"/>
          <w:color w:val="auto"/>
        </w:rPr>
      </w:pPr>
    </w:p>
    <w:p>
      <w:pPr>
        <w:ind w:left="5" w:right="2779" w:firstLine="833"/>
        <w:spacing w:after="0" w:line="275" w:lineRule="auto"/>
        <w:tabs>
          <w:tab w:leader="none" w:pos="1121" w:val="left"/>
        </w:tabs>
        <w:numPr>
          <w:ilvl w:val="1"/>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Customer will pay the Bank on demand a commission at such rate as the Bank may determine, plus interest where chargeable, and all fees, charges and expenses, including reasonable counsel fees, incurred or paid by the Bank in protecting or enforcing its rights under this Agreement, or in connection with the Credit issued pursuant hereto and any confirmation thereof, or arising or caused in any manner whatsoever in connection therewith, including without limitation reasonable counsel fees and expenses incurred in connection with the defense of all actions seeking to restrain or enjoin payment of the credit or any draft accepted under the Credit or attachment or garnishment proceedings involving any of the proceeds of the Credit or any such draft. In addition to commissions, fees, charges, expenses and amounts otherwise payable with respect to the issuance of the Credit, the customer shall pay to the Bank on demand such amounts as the Bank in its sole discretion determines are necessary to compensate the Bank for any costs attributable to the Bank's issuing or having outstanding or making payment under the Credit resulting from the application or any domestic or foreign law or regulation or the interpretation or administration thereof applicable to the Bank regarding any reserve, assessment, capitalization (including the cost of maintaining capital sufficient to permit issuance of the Credit, provided the cost attributed to the Credit is determined in good faith by any reasonable method) or similar requirement whether existing at the time of issuance of the Credit or adopted thereafter. All amounts not paid when due in accordance with this Agreement (including without limitation those set forth in paragraph 2, 3 and 4 hereof) shall bear interest until paid in full at a rate per annum equal to six percent (6%) above the Prime Rate, not to exceed the maximum rate of interest permitted by applicable law. Each change in such interest rate shall take effect simultaneously with the corresponding change in the Prime Rate. The bank is hereby irrevocably authorized to charge any one or more of the Customer's accounts with the Bank for payment in full or in part of any of the Customer's obligations to the Bank under this Agreement. At the option of the Bank, if there is a separate revolving line of credit, line or credit, or other credit facility existing between the Bank and the customer, the Bank is irrevocably authorized to satisfy the Customer's reimbursement obligation to the Bank, in whole or in part, by making an advance under such facility.</w:t>
      </w:r>
    </w:p>
    <w:p>
      <w:pPr>
        <w:sectPr>
          <w:pgSz w:w="11900" w:h="16838" w:orient="portrait"/>
          <w:cols w:equalWidth="0" w:num="1">
            <w:col w:w="10224"/>
          </w:cols>
          <w:pgMar w:left="235" w:top="268" w:right="1440" w:bottom="353" w:gutter="0" w:footer="0" w:header="0"/>
        </w:sectPr>
      </w:pPr>
    </w:p>
    <w:bookmarkStart w:id="308" w:name="page309"/>
    <w:bookmarkEnd w:id="308"/>
    <w:p>
      <w:pPr>
        <w:ind w:left="-833" w:right="2779" w:firstLine="833"/>
        <w:spacing w:after="0" w:line="277" w:lineRule="auto"/>
        <w:tabs>
          <w:tab w:leader="none" w:pos="28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users of the Credit shall be deemed the Customer's agents, and the customer assumes all risks of their acts or omissions. The Customer's obligation to pay the Bank for all amounts due under this Agreement is absolute and unconditional. Such obligation of the Customer shall not be affected by, and the Bank shall not be responsible for, the validity, sufficiency, correctness or genuineness of documents, even if such documents should in fact prove to be in any or all respects incorrect, defective, invalid, insufficient, fraudulent or forged; any breach of contract or dispute between any beneficiary of the Credit and the Customer; the existence of any claim, setoff, defense or other right which the Customer may have at any time against the beneficiary or any other person or entity, whether in connection with this Agreement, the transaction contemplated herein or any unrelated transaction; the failure of any draft or certificate to bear reference or adequate reference to the Credit; errors, omissions, interruptions or delays in transmission or delivery of any messages by mail, telex, telecopy, or otherwise; the exchange, release or non-perfection of any collateral or the release of any guarantor; or any consequences arising from causes beyond the Bank's control; and none of the above shall affect, impair or prevent the fixing of any of the Bank's rights or powers hereunder. Any provision with respect to any of the foregoing matters which is contained in the Credit itself may be waived by the Bank. The Customer will hold the Bank harmless from all loss or damage in respect of any of the foregoing matters which is contained in the Credit itself may be waived by the Bank. The Customer will hold the Bank harmless from all loss or damage in respect of any of the foregoing matters, and from any and all damage and loss whatsoever suffered by the Bank by reason of any and all action taken by the Bank in good faith.</w:t>
      </w:r>
    </w:p>
    <w:p>
      <w:pPr>
        <w:spacing w:after="0" w:line="200" w:lineRule="exact"/>
        <w:rPr>
          <w:rFonts w:ascii="Courier New" w:cs="Courier New" w:eastAsia="Courier New" w:hAnsi="Courier New"/>
          <w:sz w:val="14"/>
          <w:szCs w:val="14"/>
          <w:color w:val="auto"/>
        </w:rPr>
      </w:pPr>
    </w:p>
    <w:p>
      <w:pPr>
        <w:spacing w:after="0" w:line="241" w:lineRule="exact"/>
        <w:rPr>
          <w:rFonts w:ascii="Courier New" w:cs="Courier New" w:eastAsia="Courier New" w:hAnsi="Courier New"/>
          <w:sz w:val="14"/>
          <w:szCs w:val="14"/>
          <w:color w:val="auto"/>
        </w:rPr>
      </w:pPr>
    </w:p>
    <w:p>
      <w:pPr>
        <w:ind w:left="-833" w:right="2779" w:firstLine="833"/>
        <w:spacing w:after="0" w:line="273" w:lineRule="auto"/>
        <w:tabs>
          <w:tab w:leader="none" w:pos="28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Customer will deliver to the Bank on demand such additional security (including cash) as the Bank may from time to time require, to be held as general collateral for all the customer's liabilities to the Bank hereunder and for all other liabilities, absolute or contingent due or to become due, which may be at any time owing to Bank by the Customer. All property belonging to the Customer, including any collection items, now or hereafter handed to the Bank or for any purpose left in the Bank's possession by the Customer for the Customer's account, or in transit to or from the Bank, by mail or carriers, and all balances of any deposit accounts the customer may have with the Bank, are hereby made security, and the Bank is hereby granted a security interest therein, for all such liabilities and may be held or disposed of as the Bank may see fit, and applied toward any payment of any and all such liabilities, all of which shall become immediately due and payable upon an Event of Default. Each of the following events or actions by or affecting the Customer shall constitute an Event of Default; default in the performance of any undertaking to the Bank under this Agreement, any trust receipt, or under any other obligation to the Bank or agreement with the Bank; insolvency, or the filing by or against the Customer of any petition under the Bankruptcy Code or any similar Federal or state statute; the filing by or against the Customer of a petition for the appointment of a receiver; the making of an assignment for the benefit of creditors; the Customer's death, failure in business, dissolution, suspension or termination of existence; any seizure, vesting or intervention by or under authority in the conduct of its business is curtailed; or the attachment or distraint of any of the Customer's funds or other property which may be in, or come into, the Bank's possession or under the Bank's control, or that of any third party acting for the Bank, or of the same becoming subject at any time to any mandatory order of court or other legal proceSection The Bank may at any time transfer into the Bank's or its nominee's name all or any part of such security, before or after maturity of any of the customer's obligations and without any notice to the Customer or any other person. Whenever the Bank deems it necessary for the Bank's or the Customer's protection, or after an Event of Default specified herein, or other default, the Bank shall have the right to accelerate and make immediately due and payable all of the Customer's obligations to the Bank under the Credit and this Agreement and under any other document or agreement (including without limitation the obligations evidenced by the outstanding (but undrawn upon) Credit and/or by acceptances which have not matured). The Bank shall have, in addition to all other rights and remedies under applicable law, the rights and remedies of a secured party under the Uniform Commercial Code, and the Bank may, without regard to such maturity, realize upon (by sale, assignment, setoff, application or otherwise) all or any part of such security, in each case without advertisement, notice to, tender, demand or call of any kind upon the Customer or any other person, except that, unless such security is perishable or threatens to decline speedily in value or is of a type customarily sold on a recognized market, the Bank shall give the Customer three Business Days prior written notice of the time and place of any public sale thereof or of the time after which any private sale or other intended disposition thereof is to be made. Any such sale or assignment may be public, private or upon any broker's board or exchange, for cash, on credit or for future delivery, and as such price and upon such terms and conditions, as the Bank deems appropriate. For this purpose, the Bank may, so far as the Customer can give authority therefor, enter upon any premises on which such security or any proceeds thereof may be situated and remove the same therefrom, or require that such security or proceeds be made available tot he Bank at a place or places reasonably convenient to both the Bank and the Customer. The Bank may acquire all or any part of such security and any purchaser shall hold same free from any equity of redemption or other claim or right on the Customer's part, which are hereby specifically waiver specifically waived and released. The Bank may discount, settle compromise, or extend any obligations constituting such security, and sue thereon in the Bank's or the Customer's name. However, the Banks shall not be liable for failure to collect or demand payment of, or protest or give notice of non-payment of, any obligation included in such security or part thereof, or for any delay in so doing, nor shall the Bank be under any obligation to take any action whatever in respect to such security or any part thereof. No advertising, notice, tender, demand, or call at any time given or made shall be a waiver of the Bank's right to proceed in the same or other instances without any further action.</w:t>
      </w:r>
    </w:p>
    <w:p>
      <w:pPr>
        <w:sectPr>
          <w:pgSz w:w="11900" w:h="16838" w:orient="portrait"/>
          <w:cols w:equalWidth="0" w:num="1">
            <w:col w:w="9387"/>
          </w:cols>
          <w:pgMar w:left="1073" w:top="113" w:right="1440" w:bottom="685" w:gutter="0" w:footer="0" w:header="0"/>
        </w:sectPr>
      </w:pPr>
    </w:p>
    <w:bookmarkStart w:id="309" w:name="page310"/>
    <w:bookmarkEnd w:id="309"/>
    <w:p>
      <w:pPr>
        <w:jc w:val="both"/>
        <w:ind w:left="5" w:right="2779" w:firstLine="833"/>
        <w:spacing w:after="0" w:line="289" w:lineRule="auto"/>
        <w:tabs>
          <w:tab w:leader="none" w:pos="1121"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receipt by the Bank at any time or other collateral shall not be deemed a waiver of any of the Bank's rights or powers relating to any collateral which the Bank may hold at the time of such receipt.</w:t>
      </w:r>
    </w:p>
    <w:p>
      <w:pPr>
        <w:spacing w:after="0" w:line="60" w:lineRule="exact"/>
        <w:rPr>
          <w:rFonts w:ascii="Courier New" w:cs="Courier New" w:eastAsia="Courier New" w:hAnsi="Courier New"/>
          <w:sz w:val="16"/>
          <w:szCs w:val="16"/>
          <w:color w:val="auto"/>
        </w:rPr>
      </w:pPr>
    </w:p>
    <w:p>
      <w:pPr>
        <w:ind w:left="5" w:right="2779" w:firstLine="833"/>
        <w:spacing w:after="0" w:line="248" w:lineRule="auto"/>
        <w:tabs>
          <w:tab w:leader="none" w:pos="1121"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on the part of the Bank to exercise, and no delay in exercising, any right hereunder shall operate as a waiver thereto; nor shall any single or partial exercise of any right hereunder preclude any other further exercise thereof or the exercise of any right. The remedies herein provided are cumulative and not exclusive of any remedies provided by law. No amendment or waiver of any provision of this Agreement nor consent to any departure by the parties hereto shall in any event be effective unless the same shall be in writing and signed by such party, and then such waiver or consent shall be effective only in the specific instance and for the specific purpose for which given.</w:t>
      </w:r>
    </w:p>
    <w:p>
      <w:pPr>
        <w:spacing w:after="0" w:line="94" w:lineRule="exact"/>
        <w:rPr>
          <w:rFonts w:ascii="Courier New" w:cs="Courier New" w:eastAsia="Courier New" w:hAnsi="Courier New"/>
          <w:sz w:val="16"/>
          <w:szCs w:val="16"/>
          <w:color w:val="auto"/>
        </w:rPr>
      </w:pPr>
    </w:p>
    <w:p>
      <w:pPr>
        <w:jc w:val="both"/>
        <w:ind w:left="5" w:right="2779" w:firstLine="833"/>
        <w:spacing w:after="0" w:line="289" w:lineRule="auto"/>
        <w:tabs>
          <w:tab w:leader="none" w:pos="1121"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continue in force notwithstanding any change in the composition of firm or firms parties hereto, or drawers of drafts hereunder, or in the incorporation of any such firm.</w:t>
      </w:r>
    </w:p>
    <w:p>
      <w:pPr>
        <w:spacing w:after="0" w:line="60" w:lineRule="exact"/>
        <w:rPr>
          <w:rFonts w:ascii="Courier New" w:cs="Courier New" w:eastAsia="Courier New" w:hAnsi="Courier New"/>
          <w:sz w:val="16"/>
          <w:szCs w:val="16"/>
          <w:color w:val="auto"/>
        </w:rPr>
      </w:pPr>
    </w:p>
    <w:p>
      <w:pPr>
        <w:ind w:left="5" w:right="2879" w:firstLine="833"/>
        <w:spacing w:after="0" w:line="258" w:lineRule="auto"/>
        <w:tabs>
          <w:tab w:leader="none" w:pos="1214"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authorizes the Bank, without reference to or approval by the Customer, to set forth the terms of this Agreement in the Credit in such language as the Bank may deem appropriate with such variations from such terms as the Bank may in its discretion determine (which determination shall be conclusive and binding upon the Customer) are necessary and are not materially inconsistent with this Agreement.</w:t>
      </w:r>
    </w:p>
    <w:p>
      <w:pPr>
        <w:spacing w:after="0" w:line="83" w:lineRule="exact"/>
        <w:rPr>
          <w:rFonts w:ascii="Courier New" w:cs="Courier New" w:eastAsia="Courier New" w:hAnsi="Courier New"/>
          <w:sz w:val="16"/>
          <w:szCs w:val="16"/>
          <w:color w:val="auto"/>
        </w:rPr>
      </w:pPr>
    </w:p>
    <w:p>
      <w:pPr>
        <w:ind w:left="5" w:right="2779" w:firstLine="833"/>
        <w:spacing w:after="0" w:line="248" w:lineRule="auto"/>
        <w:tabs>
          <w:tab w:leader="none" w:pos="1214"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under the Credit and this Agreement (whether or not the Credit is documentary or non-documentary in nature) shall be determined by the Uniform Customs and Practice for Documentary Credits of the International Chamber of Commerce in effect (International Chamber of Commerce Publication No. 500 or the most recent revision or successor thereto which shall be in effect from time to time), the terms of which are known to the Customer and which are incorporated by reference herein, and all rights under the Credit and this Agreement, to the extent not inconsistent with said Uniform Customs and Practices, shall be construed in accordance with the local laws of the State of the Bank's Address.</w:t>
      </w:r>
    </w:p>
    <w:p>
      <w:pPr>
        <w:spacing w:after="0" w:line="94" w:lineRule="exact"/>
        <w:rPr>
          <w:rFonts w:ascii="Courier New" w:cs="Courier New" w:eastAsia="Courier New" w:hAnsi="Courier New"/>
          <w:sz w:val="16"/>
          <w:szCs w:val="16"/>
          <w:color w:val="auto"/>
        </w:rPr>
      </w:pPr>
    </w:p>
    <w:p>
      <w:pPr>
        <w:ind w:left="1205" w:hanging="367"/>
        <w:spacing w:after="0"/>
        <w:tabs>
          <w:tab w:leader="none" w:pos="1205" w:val="left"/>
        </w:tabs>
        <w:numPr>
          <w:ilvl w:val="1"/>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represents, warrants and covenants to the Bank that</w:t>
      </w:r>
    </w:p>
    <w:p>
      <w:pPr>
        <w:spacing w:after="0" w:line="25" w:lineRule="exact"/>
        <w:rPr>
          <w:rFonts w:ascii="Courier New" w:cs="Courier New" w:eastAsia="Courier New" w:hAnsi="Courier New"/>
          <w:sz w:val="16"/>
          <w:szCs w:val="16"/>
          <w:color w:val="auto"/>
        </w:rPr>
      </w:pPr>
    </w:p>
    <w:p>
      <w:pPr>
        <w:ind w:left="5" w:right="2779" w:hanging="5"/>
        <w:spacing w:after="0" w:line="239" w:lineRule="auto"/>
        <w:tabs>
          <w:tab w:leader="none" w:pos="377"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partnership or a corporation, it is duly organized, validly existing and in good standing; (b) it has the power to execute, deliver and perform this Agreement; (c) the execution, delivery and performance of this Agreement have been duly authorized by all requisite action; (d) the execution delivery and performance of this Agreement and the issuance of the Credit will not violate any provision of law, any order of any court or other agency of government, the Articles of Incorporation or By-Laws of a corporate Customer or the Partnership Agreement of a partnership Customer, or any indenture, agreement or other instrument of which it is a party, or by which it is bound, or be in conflict with result in a breach of or constitute (with the due notice or lapse of time or both) a default under any such indenture, agreement or other instrument, or result in the creation or imposition of any lien, charge or encumbrance of any nature whatsoever upon any of the property or assets of the Customer (other than in favor of the Bank) or the acceleration of any of the Customer's outstanding indebtedness; (e) the Customer has heretofore furnished to the Bank accurate and complete financial data and other information based on its operations in previous years, and said financial data furnished to the Bank is accurate and complete and fairly presents the financial position and the results of operations for the periods indicated therein; (f) there has been no material adverse change in the condition, financial or otherwise, of the Customer since the date of the most recent financial statement; and (g) the Customer shall furnish to the Bank periodically such financial statements, balance sheets and profit and loss statements, together with supporting schedules, tax returns, and such other information regarding the operations, assets, business, affairs and financial conditions of the Customer, as the Bank shall from time to time request.</w:t>
      </w:r>
    </w:p>
    <w:p>
      <w:pPr>
        <w:spacing w:after="0" w:line="109" w:lineRule="exact"/>
        <w:rPr>
          <w:rFonts w:ascii="Courier New" w:cs="Courier New" w:eastAsia="Courier New" w:hAnsi="Courier New"/>
          <w:sz w:val="16"/>
          <w:szCs w:val="16"/>
          <w:color w:val="auto"/>
        </w:rPr>
      </w:pPr>
    </w:p>
    <w:p>
      <w:pPr>
        <w:ind w:left="5" w:right="2959" w:firstLine="833"/>
        <w:spacing w:after="0" w:line="342" w:lineRule="auto"/>
        <w:tabs>
          <w:tab w:leader="none" w:pos="1214"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signed by two or more Customers, it shall be the joint and several agreement and obligation of such Customers.</w:t>
      </w:r>
    </w:p>
    <w:p>
      <w:pPr>
        <w:spacing w:after="0" w:line="20" w:lineRule="exact"/>
        <w:rPr>
          <w:rFonts w:ascii="Courier New" w:cs="Courier New" w:eastAsia="Courier New" w:hAnsi="Courier New"/>
          <w:sz w:val="16"/>
          <w:szCs w:val="16"/>
          <w:color w:val="auto"/>
        </w:rPr>
      </w:pPr>
    </w:p>
    <w:p>
      <w:pPr>
        <w:ind w:left="5" w:right="2779" w:firstLine="833"/>
        <w:spacing w:after="0" w:line="263" w:lineRule="auto"/>
        <w:tabs>
          <w:tab w:leader="none" w:pos="1214"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agrees that in the event of any extension of the maturity or time for presentation of drafts, acceptances or documents, or any other amendments or modification of the terms of the Credit, at the request of any single Customer, with or without notification to the others, or in the event of any increase in the amount of the Credit at any single</w:t>
      </w:r>
    </w:p>
    <w:p>
      <w:pPr>
        <w:sectPr>
          <w:pgSz w:w="11900" w:h="16838" w:orient="portrait"/>
          <w:cols w:equalWidth="0" w:num="1">
            <w:col w:w="10224"/>
          </w:cols>
          <w:pgMar w:left="235" w:top="292" w:right="1440" w:bottom="1440" w:gutter="0" w:footer="0" w:header="0"/>
        </w:sectPr>
      </w:pPr>
    </w:p>
    <w:bookmarkStart w:id="310" w:name="page311"/>
    <w:bookmarkEnd w:id="310"/>
    <w:p>
      <w:pPr>
        <w:ind w:left="280"/>
        <w:spacing w:after="0"/>
        <w:rPr>
          <w:sz w:val="20"/>
          <w:szCs w:val="20"/>
          <w:color w:val="auto"/>
        </w:rPr>
      </w:pPr>
      <w:r>
        <w:rPr>
          <w:rFonts w:ascii="Courier New" w:cs="Courier New" w:eastAsia="Courier New" w:hAnsi="Courier New"/>
          <w:sz w:val="16"/>
          <w:szCs w:val="16"/>
          <w:color w:val="auto"/>
        </w:rPr>
        <w:t>119</w:t>
      </w:r>
    </w:p>
    <w:p>
      <w:pPr>
        <w:spacing w:after="0" w:line="26"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-3-</w:t>
      </w:r>
    </w:p>
    <w:p>
      <w:pPr>
        <w:spacing w:after="0" w:line="327" w:lineRule="exact"/>
        <w:rPr>
          <w:sz w:val="20"/>
          <w:szCs w:val="20"/>
          <w:color w:val="auto"/>
        </w:rPr>
      </w:pPr>
    </w:p>
    <w:p>
      <w:pPr>
        <w:ind w:right="3159"/>
        <w:spacing w:after="0" w:line="309" w:lineRule="auto"/>
        <w:rPr>
          <w:sz w:val="20"/>
          <w:szCs w:val="20"/>
          <w:color w:val="auto"/>
        </w:rPr>
      </w:pPr>
      <w:r>
        <w:rPr>
          <w:rFonts w:ascii="Courier New" w:cs="Courier New" w:eastAsia="Courier New" w:hAnsi="Courier New"/>
          <w:sz w:val="14"/>
          <w:szCs w:val="14"/>
          <w:color w:val="auto"/>
        </w:rPr>
        <w:t>Customer's request, with or without notification to the others, this amount shall be binding upon the Customer with regard to the Credit so increased or otherwise amended or modified, to drafts, documents and property covered thereby, and to any action taken by the Bank or any of its corespondents in accordance with such extension, increase or other modification.</w:t>
      </w:r>
    </w:p>
    <w:p>
      <w:pPr>
        <w:spacing w:after="0" w:line="52" w:lineRule="exact"/>
        <w:rPr>
          <w:sz w:val="20"/>
          <w:szCs w:val="20"/>
          <w:color w:val="auto"/>
        </w:rPr>
      </w:pPr>
    </w:p>
    <w:p>
      <w:pPr>
        <w:ind w:right="2959" w:firstLine="833"/>
        <w:spacing w:after="0" w:line="289"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is authorized to interpret the Credit in accordance with rules, regulations, and customs prevailing at the place and time during which the Credit is available or the drafts are drawn or negotiated.</w:t>
      </w:r>
    </w:p>
    <w:p>
      <w:pPr>
        <w:spacing w:after="0" w:line="60" w:lineRule="exact"/>
        <w:rPr>
          <w:rFonts w:ascii="Courier New" w:cs="Courier New" w:eastAsia="Courier New" w:hAnsi="Courier New"/>
          <w:sz w:val="16"/>
          <w:szCs w:val="16"/>
          <w:color w:val="auto"/>
        </w:rPr>
      </w:pPr>
    </w:p>
    <w:p>
      <w:pPr>
        <w:ind w:right="2879" w:firstLine="833"/>
        <w:spacing w:after="0" w:line="272"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is authorized to pay conforming drawings submitted by an administrator, trustee in bankruptcy, debtor-in-possession, assignee for the benefit of creditors, liquidator, receiver or other legal representative of the party who is authorized to draw.</w:t>
      </w:r>
    </w:p>
    <w:p>
      <w:pPr>
        <w:spacing w:after="0" w:line="72" w:lineRule="exact"/>
        <w:rPr>
          <w:rFonts w:ascii="Courier New" w:cs="Courier New" w:eastAsia="Courier New" w:hAnsi="Courier New"/>
          <w:sz w:val="16"/>
          <w:szCs w:val="16"/>
          <w:color w:val="auto"/>
        </w:rPr>
      </w:pPr>
    </w:p>
    <w:p>
      <w:pPr>
        <w:ind w:right="2959" w:firstLine="833"/>
        <w:spacing w:after="0" w:line="342"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available amount of the Credit shall be reduced by the amount of any conforming drawing made thereunder.</w:t>
      </w:r>
    </w:p>
    <w:p>
      <w:pPr>
        <w:spacing w:after="0" w:line="20" w:lineRule="exact"/>
        <w:rPr>
          <w:rFonts w:ascii="Courier New" w:cs="Courier New" w:eastAsia="Courier New" w:hAnsi="Courier New"/>
          <w:sz w:val="16"/>
          <w:szCs w:val="16"/>
          <w:color w:val="auto"/>
        </w:rPr>
      </w:pPr>
    </w:p>
    <w:p>
      <w:pPr>
        <w:ind w:right="2779" w:firstLine="833"/>
        <w:spacing w:after="0" w:line="279" w:lineRule="auto"/>
        <w:tabs>
          <w:tab w:leader="none" w:pos="120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notices and other communications provided hereunder shall be in writing and shall be personally delivered or sent by certified first class mail, return receipt requested, or by telex or telecopy. Unless otherwise specified in this Agreement, all such notices and other communications to the Bank shall be mailed, telexed, telecopied or delivered to it, addressed to the Bank, c/o</w:t>
      </w:r>
    </w:p>
    <w:p>
      <w:pPr>
        <w:ind w:right="2779"/>
        <w:spacing w:after="0" w:line="24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_____________________________________________________________________, and all such notices and other communications to the Customer shall be mailed, telexed, telecopied or delivered to the Customer, at the Customer's AddreSection The Bank and the Customer reserve the right to change such address, telex number and/or telecopy number in a written notice to the other party. All such notices and other communications shall, when mailed certified or registered mail, be effective three days after the date of deposit in the mails, addressed as aforesaid; when personally delivered, when received a the address aforesaid; and, when sent by telex or telecopy when received at the then current telex or telecopy number.</w:t>
      </w:r>
    </w:p>
    <w:p>
      <w:pPr>
        <w:spacing w:after="0" w:line="97" w:lineRule="exact"/>
        <w:rPr>
          <w:rFonts w:ascii="Courier New" w:cs="Courier New" w:eastAsia="Courier New" w:hAnsi="Courier New"/>
          <w:sz w:val="14"/>
          <w:szCs w:val="14"/>
          <w:color w:val="auto"/>
        </w:rPr>
      </w:pPr>
    </w:p>
    <w:p>
      <w:pPr>
        <w:ind w:right="2879" w:firstLine="833"/>
        <w:spacing w:after="0" w:line="258"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provision of this Agreement which is prohibited, unenforceable or not authorized in any jurisdiction shall, as to such jurisdiction, be ineffective to the extent of such prohibition, unenforceability or non-authorization without invalidating the remaining provisions hereof or affecting the validity, enforceability or legality of such provision in any other jurisdiction.</w:t>
      </w:r>
    </w:p>
    <w:p>
      <w:pPr>
        <w:spacing w:after="0" w:line="83" w:lineRule="exact"/>
        <w:rPr>
          <w:rFonts w:ascii="Courier New" w:cs="Courier New" w:eastAsia="Courier New" w:hAnsi="Courier New"/>
          <w:sz w:val="16"/>
          <w:szCs w:val="16"/>
          <w:color w:val="auto"/>
        </w:rPr>
      </w:pPr>
    </w:p>
    <w:p>
      <w:pPr>
        <w:ind w:right="2779" w:firstLine="833"/>
        <w:spacing w:after="0" w:line="263"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tow or more counterparts, each of which shall constitute an original, but both or all of which, when taken together, shall constitute but one instrument, and shall become effective when copies hereof which, when taken together, bear the signatures of each of the parties, hereto shall be delivered to the Bank.</w:t>
      </w:r>
    </w:p>
    <w:p>
      <w:pPr>
        <w:spacing w:after="0" w:line="80" w:lineRule="exact"/>
        <w:rPr>
          <w:rFonts w:ascii="Courier New" w:cs="Courier New" w:eastAsia="Courier New" w:hAnsi="Courier New"/>
          <w:sz w:val="16"/>
          <w:szCs w:val="16"/>
          <w:color w:val="auto"/>
        </w:rPr>
      </w:pPr>
    </w:p>
    <w:p>
      <w:pPr>
        <w:ind w:right="2779" w:firstLine="833"/>
        <w:spacing w:after="0" w:line="281" w:lineRule="auto"/>
        <w:tabs>
          <w:tab w:leader="none" w:pos="120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Customer hereby expressly submits to the non-exclusive jurisdiction of all federal and state courts sitting in the state of the Bank's Address, and agrees that any processor notice of motion or other application to any of said courts or a judge thereof may be served upon the Customer within or without such court's jurisdiction by registered or certified mail, return receipt requested, or by personal service, at the Customer's Address (or at such other address as the Customer shall specify by a prior notice in writing to the Bank), provided reasonable time for appearance is allowed. The Customer hereby irrevocably waives any objection which it may now or hereafter have to the laying of venue to any suit, action or proceeding arising out of or relating to this Agreement brought in any federal or state courts sitting in the Bank's location and hereby further irrevocably waives any claim that any such suit, action or proceeding brought in any such court has been brought in any inconvenient forum. Notwithstanding the foregoing, the Bank may sue the Customer in any jurisdiction where the Customer or any of its assets may be found and may serve legal process upon the Customer in any other manner permitted by law.</w:t>
      </w:r>
    </w:p>
    <w:p>
      <w:pPr>
        <w:spacing w:after="0" w:line="255" w:lineRule="exact"/>
        <w:rPr>
          <w:rFonts w:ascii="Courier New" w:cs="Courier New" w:eastAsia="Courier New" w:hAnsi="Courier New"/>
          <w:sz w:val="14"/>
          <w:szCs w:val="14"/>
          <w:color w:val="auto"/>
        </w:rPr>
      </w:pPr>
    </w:p>
    <w:p>
      <w:pPr>
        <w:ind w:right="2779" w:firstLine="833"/>
        <w:spacing w:after="0" w:line="272"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CUSTOMER HEREBY WAIVES ANY RIGHTS IT MAY HAVE TO A TRIAL BY JURY OF ANY DISPUTE ARISING UNDER OR RELATING TO THIS AGREEMENT OR THE CREDIT, AND AGREES THAT ANY SUCH DISPUTE SHALL BE TRIED BEFORE A JUDGE SITTING WITHOUT A JURY.</w:t>
      </w:r>
    </w:p>
    <w:p>
      <w:pPr>
        <w:spacing w:after="0" w:line="72" w:lineRule="exact"/>
        <w:rPr>
          <w:rFonts w:ascii="Courier New" w:cs="Courier New" w:eastAsia="Courier New" w:hAnsi="Courier New"/>
          <w:sz w:val="16"/>
          <w:szCs w:val="16"/>
          <w:color w:val="auto"/>
        </w:rPr>
      </w:pPr>
    </w:p>
    <w:p>
      <w:pPr>
        <w:ind w:right="2779" w:firstLine="833"/>
        <w:spacing w:after="0" w:line="251"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reserves the right to sell or assign all or any portion of the Bank's right, title and interest in and to the Agreement and all related documents, and to participate all or any portion of the aforesaid. In connection therewith, the Customer authorizes the Bank to deliver to any such purchaser or participant and any prospective purchaser or participant the originals and/or copies of the Agreement, financial statements relating to the Customer and any guarantors, and any and all other credit or other information from time to time in the Bank's possession.</w:t>
      </w:r>
    </w:p>
    <w:p>
      <w:pPr>
        <w:spacing w:after="0" w:line="93" w:lineRule="exact"/>
        <w:rPr>
          <w:rFonts w:ascii="Courier New" w:cs="Courier New" w:eastAsia="Courier New" w:hAnsi="Courier New"/>
          <w:sz w:val="16"/>
          <w:szCs w:val="16"/>
          <w:color w:val="auto"/>
        </w:rPr>
      </w:pPr>
    </w:p>
    <w:p>
      <w:pPr>
        <w:ind w:right="2879" w:firstLine="833"/>
        <w:spacing w:after="0" w:line="289"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issuance of the Credit by the Bank constitutes the Bank's adoption, authentication, signature, and agreement to be bound by the terms and provisions of this Agreement.</w:t>
      </w:r>
    </w:p>
    <w:p>
      <w:pPr>
        <w:spacing w:after="0" w:line="60" w:lineRule="exact"/>
        <w:rPr>
          <w:rFonts w:ascii="Courier New" w:cs="Courier New" w:eastAsia="Courier New" w:hAnsi="Courier New"/>
          <w:sz w:val="16"/>
          <w:szCs w:val="16"/>
          <w:color w:val="auto"/>
        </w:rPr>
      </w:pPr>
    </w:p>
    <w:p>
      <w:pPr>
        <w:ind w:right="2779" w:firstLine="833"/>
        <w:spacing w:after="0" w:line="289" w:lineRule="auto"/>
        <w:tabs>
          <w:tab w:leader="none" w:pos="1209"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binding upon the Customer's respective executors, administrators, successors and assigns and shall inure to the benefit of the Bank and its successors and assigns.</w:t>
      </w:r>
    </w:p>
    <w:p>
      <w:pPr>
        <w:sectPr>
          <w:pgSz w:w="11900" w:h="16838" w:orient="portrait"/>
          <w:cols w:equalWidth="0" w:num="1">
            <w:col w:w="10219"/>
          </w:cols>
          <w:pgMar w:left="240" w:top="268" w:right="1440" w:bottom="0" w:gutter="0" w:footer="0" w:header="0"/>
        </w:sectPr>
      </w:pPr>
    </w:p>
    <w:bookmarkStart w:id="311" w:name="page312"/>
    <w:bookmarkEnd w:id="311"/>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10.3</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WASTE MANAGEMENT, INC.</w:t>
      </w:r>
    </w:p>
    <w:p>
      <w:pPr>
        <w:spacing w:after="0" w:line="23" w:lineRule="exact"/>
        <w:rPr>
          <w:sz w:val="20"/>
          <w:szCs w:val="20"/>
          <w:color w:val="auto"/>
        </w:rPr>
      </w:pPr>
    </w:p>
    <w:p>
      <w:pPr>
        <w:ind w:left="1660"/>
        <w:spacing w:after="0"/>
        <w:rPr>
          <w:sz w:val="20"/>
          <w:szCs w:val="20"/>
          <w:color w:val="auto"/>
        </w:rPr>
      </w:pPr>
      <w:r>
        <w:rPr>
          <w:rFonts w:ascii="Courier New" w:cs="Courier New" w:eastAsia="Courier New" w:hAnsi="Courier New"/>
          <w:sz w:val="16"/>
          <w:szCs w:val="16"/>
          <w:color w:val="auto"/>
        </w:rPr>
        <w:t>Performance-Based Incentive Compensation Plan</w:t>
      </w:r>
    </w:p>
    <w:p>
      <w:pPr>
        <w:ind w:left="1660"/>
        <w:spacing w:after="0"/>
        <w:rPr>
          <w:sz w:val="20"/>
          <w:szCs w:val="20"/>
          <w:color w:val="auto"/>
        </w:rPr>
      </w:pPr>
      <w:r>
        <w:rPr>
          <w:rFonts w:ascii="Courier New" w:cs="Courier New" w:eastAsia="Courier New" w:hAnsi="Courier New"/>
          <w:sz w:val="16"/>
          <w:szCs w:val="16"/>
          <w:color w:val="auto"/>
        </w:rPr>
        <w:t>(Amended and Restated as of January 1, 2001)</w:t>
      </w:r>
    </w:p>
    <w:p>
      <w:pPr>
        <w:spacing w:after="0" w:line="149" w:lineRule="exact"/>
        <w:rPr>
          <w:sz w:val="20"/>
          <w:szCs w:val="20"/>
          <w:color w:val="auto"/>
        </w:rPr>
      </w:pPr>
    </w:p>
    <w:p>
      <w:pPr>
        <w:ind w:left="740" w:hanging="279"/>
        <w:spacing w:after="0"/>
        <w:tabs>
          <w:tab w:leader="none" w:pos="740"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principal purpose of the Waste Management, Inc.</w:t>
      </w:r>
    </w:p>
    <w:p>
      <w:pPr>
        <w:spacing w:after="0" w:line="25" w:lineRule="exact"/>
        <w:rPr>
          <w:rFonts w:ascii="Courier New" w:cs="Courier New" w:eastAsia="Courier New" w:hAnsi="Courier New"/>
          <w:sz w:val="16"/>
          <w:szCs w:val="16"/>
          <w:color w:val="auto"/>
        </w:rPr>
      </w:pPr>
    </w:p>
    <w:p>
      <w:pPr>
        <w:ind w:right="2779"/>
        <w:spacing w:after="0" w:line="289"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Performance-Based Incentive Compensation Plan (the "Plan") is to advance the interests of Waste Management, Inc. (the "Company") by providing for annual or other periodic bonuses for key employees of the Company and its subsidiaries who are designated as participants in the Plan in the manner hereinafter provided, so as to attract and retain such individuals, make their compensation competitive with other opportunities and provide them with an incentive to strive to achieve the Company's financial and other business objectives.</w:t>
      </w:r>
    </w:p>
    <w:p>
      <w:pPr>
        <w:spacing w:after="0" w:line="66" w:lineRule="exact"/>
        <w:rPr>
          <w:rFonts w:ascii="Courier New" w:cs="Courier New" w:eastAsia="Courier New" w:hAnsi="Courier New"/>
          <w:sz w:val="16"/>
          <w:szCs w:val="16"/>
          <w:color w:val="auto"/>
        </w:rPr>
      </w:pPr>
    </w:p>
    <w:p>
      <w:pPr>
        <w:ind w:right="2779" w:firstLine="461"/>
        <w:spacing w:after="0" w:line="279" w:lineRule="auto"/>
        <w:tabs>
          <w:tab w:leader="none" w:pos="744"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With respect to participation in the Plan by individuals who are executive officers of the Company ("Key Participants"), the Plan shall be administered by the Compensation Committee (the "Committee") of the Board of Directors of the Company (the "Board"). With respect to participation in the Plan by individuals who are not Key Participants, the Plan shall be administered by a committee appointed by the Company's Chief Executive Officer, and all references herein to the "Committee" shall be deemed to mean such committee as to matters involving the participation in the Plan of such individuals who are not Key Participants, provided, however, that in the event of a Change in Control (as such term is defined in the Company's 1996 Stock Option Plan for Non-Employee Directors, as may be amended from time to time) of the Company, the Plan shall be administered by those members of the Committee, if any, and those members of the Board, continuing as directors of the Company, but, if there are no such continuing directors, decisions shall be made by the Committee as constituted prior to the Change in Control. Any person serving on the Committee shall be entitled to the full benefits of the indemnification provisions set forth in Article X of the Company's By-Laws, including, without limitation, any actions or failure to act by such persons administering this Plan following any Change in Control.</w:t>
      </w:r>
    </w:p>
    <w:p>
      <w:pPr>
        <w:spacing w:after="0" w:line="200" w:lineRule="exact"/>
        <w:rPr>
          <w:rFonts w:ascii="Courier New" w:cs="Courier New" w:eastAsia="Courier New" w:hAnsi="Courier New"/>
          <w:sz w:val="14"/>
          <w:szCs w:val="14"/>
          <w:color w:val="auto"/>
        </w:rPr>
      </w:pPr>
    </w:p>
    <w:p>
      <w:pPr>
        <w:spacing w:after="0" w:line="243" w:lineRule="exact"/>
        <w:rPr>
          <w:rFonts w:ascii="Courier New" w:cs="Courier New" w:eastAsia="Courier New" w:hAnsi="Courier New"/>
          <w:sz w:val="14"/>
          <w:szCs w:val="14"/>
          <w:color w:val="auto"/>
        </w:rPr>
      </w:pPr>
    </w:p>
    <w:p>
      <w:pPr>
        <w:ind w:left="740" w:hanging="279"/>
        <w:spacing w:after="0"/>
        <w:tabs>
          <w:tab w:leader="none" w:pos="740"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77" w:lineRule="exact"/>
        <w:rPr>
          <w:sz w:val="20"/>
          <w:szCs w:val="20"/>
          <w:color w:val="auto"/>
        </w:rPr>
      </w:pPr>
    </w:p>
    <w:p>
      <w:pPr>
        <w:ind w:right="2879" w:firstLine="461"/>
        <w:spacing w:after="0" w:line="289" w:lineRule="auto"/>
        <w:tabs>
          <w:tab w:leader="none" w:pos="837"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in the Plan for a calendar year (a "Plan Year") shall be selected by the Committee at the beginning of such Plan Year from among the key employees of the Company and its subsidiaries.</w:t>
      </w:r>
    </w:p>
    <w:p>
      <w:pPr>
        <w:spacing w:after="0" w:line="60" w:lineRule="exact"/>
        <w:rPr>
          <w:rFonts w:ascii="Courier New" w:cs="Courier New" w:eastAsia="Courier New" w:hAnsi="Courier New"/>
          <w:sz w:val="16"/>
          <w:szCs w:val="16"/>
          <w:color w:val="auto"/>
        </w:rPr>
      </w:pPr>
    </w:p>
    <w:p>
      <w:pPr>
        <w:ind w:right="3159" w:firstLine="461"/>
        <w:spacing w:after="0" w:line="309" w:lineRule="auto"/>
        <w:tabs>
          <w:tab w:leader="none" w:pos="837"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individuals who become eligible to participate in the Plan after the beginning of a Plan Year shall, subject to selection and approval by the Committee, be entitled to a bonus prorated to reflect such participant's number of months of participation during the Plan Year or for any longer period determined by the Committee.</w:t>
      </w:r>
    </w:p>
    <w:p>
      <w:pPr>
        <w:spacing w:after="0" w:line="52" w:lineRule="exact"/>
        <w:rPr>
          <w:rFonts w:ascii="Courier New" w:cs="Courier New" w:eastAsia="Courier New" w:hAnsi="Courier New"/>
          <w:sz w:val="14"/>
          <w:szCs w:val="14"/>
          <w:color w:val="auto"/>
        </w:rPr>
      </w:pPr>
    </w:p>
    <w:p>
      <w:pPr>
        <w:ind w:right="2959" w:firstLine="461"/>
        <w:spacing w:after="0" w:line="263" w:lineRule="auto"/>
        <w:tabs>
          <w:tab w:leader="none" w:pos="837"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terminates during the Plan Year shall not be entitled to the payment of a bonus under the Plan, except, with respect to a non-Key Participant, as the Committee may otherwise determine in its sole discretion. The Committee, in its discretion, may also award all or part of a target bonus to a Key</w:t>
      </w:r>
    </w:p>
    <w:p>
      <w:pPr>
        <w:sectPr>
          <w:pgSz w:w="11900" w:h="16838" w:orient="portrait"/>
          <w:cols w:equalWidth="0" w:num="1">
            <w:col w:w="10219"/>
          </w:cols>
          <w:pgMar w:left="240" w:top="113" w:right="1440" w:bottom="1440" w:gutter="0" w:footer="0" w:header="0"/>
        </w:sectPr>
      </w:pPr>
    </w:p>
    <w:bookmarkStart w:id="312" w:name="page313"/>
    <w:bookmarkEnd w:id="312"/>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right="3059"/>
        <w:spacing w:after="0" w:line="289" w:lineRule="auto"/>
        <w:rPr>
          <w:sz w:val="20"/>
          <w:szCs w:val="20"/>
          <w:color w:val="auto"/>
        </w:rPr>
      </w:pPr>
      <w:r>
        <w:rPr>
          <w:rFonts w:ascii="Courier New" w:cs="Courier New" w:eastAsia="Courier New" w:hAnsi="Courier New"/>
          <w:sz w:val="16"/>
          <w:szCs w:val="16"/>
          <w:color w:val="auto"/>
        </w:rPr>
        <w:t>Participant whose employment terminates due to his disability, death or other circumstances of cessation of employment as determined appropriate by the Committee.</w:t>
      </w:r>
    </w:p>
    <w:p>
      <w:pPr>
        <w:spacing w:after="0" w:line="61" w:lineRule="exact"/>
        <w:rPr>
          <w:sz w:val="20"/>
          <w:szCs w:val="20"/>
          <w:color w:val="auto"/>
        </w:rPr>
      </w:pPr>
    </w:p>
    <w:p>
      <w:pPr>
        <w:ind w:right="2779" w:firstLine="461"/>
        <w:spacing w:after="0" w:line="251" w:lineRule="auto"/>
        <w:tabs>
          <w:tab w:leader="none" w:pos="744"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Bonuses. (a) Each participant in the Plan shall be eligible to receive such bonus, if any, for each Plan Year as may be payable pursuant to the performance criteria described below. Except as provided in Section 7 below, the Committee shall establish each Plan Year a "target bonus" for each participant equal to a percentage of such participant's annual base salary as of the last day of such Plan Year, and the maximum amount of a target bonus that may be awarded to a participant for a Plan Year shall be 200% thereof or as limited by Section 6(c).</w:t>
      </w:r>
    </w:p>
    <w:p>
      <w:pPr>
        <w:spacing w:after="0" w:line="94" w:lineRule="exact"/>
        <w:rPr>
          <w:sz w:val="20"/>
          <w:szCs w:val="20"/>
          <w:color w:val="auto"/>
        </w:rPr>
      </w:pPr>
    </w:p>
    <w:p>
      <w:pPr>
        <w:ind w:right="2779" w:firstLine="461"/>
        <w:spacing w:after="0" w:line="277" w:lineRule="auto"/>
        <w:tabs>
          <w:tab w:leader="none" w:pos="837"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Participants shall have their bonuses, if any, determined on the basis of the degree of achievement of performance goals which shall be established by the Committee in writing, based on corporate objectives determined by the Board, and which goals shall be stated in terms of the attainment of specified levels of or percentage changes (as compared to a prior measurement period or the current year's budget) in any one or more of the following measurements: the Company's revenue, earnings per share of common stock (the "Common Stock"), pretax income, cash flow from operations, total cash flow, return on equity, return on capital, return on assets, net operating profits after taxes, economic value added, total stockholder return, strategic growth, return on sales, or other financial metrics or individual performance objectives which are measured solely in terms of the attainment of quantitative targets related to the Company's business, or any combination thereof. The Committee shall for each Plan Year establish the performance goal or goals from among the foregoing to apply to each participant and a formula or matrix prescribing the extent to which such participant's target bonus shall be earned based upon the degree of achievement of such performance goal or goals. Except as provided in Section 7 below, the Committee may also designate, with respect to a non-Key Participant, any other factor or factors to serve as performance goals. The Committee may determine that the bonus payable to any participant shall be based upon the attainment of the above-specified performance goals but applied in whole or in part to the results of a subsidiary, business unit, division or department of the Company for which such participant has substantial management responsibility.</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8" w:lineRule="exact"/>
        <w:rPr>
          <w:rFonts w:ascii="Courier New" w:cs="Courier New" w:eastAsia="Courier New" w:hAnsi="Courier New"/>
          <w:sz w:val="14"/>
          <w:szCs w:val="14"/>
          <w:color w:val="auto"/>
        </w:rPr>
      </w:pPr>
    </w:p>
    <w:p>
      <w:pPr>
        <w:ind w:right="2779" w:firstLine="461"/>
        <w:spacing w:after="0" w:line="258" w:lineRule="auto"/>
        <w:tabs>
          <w:tab w:leader="none" w:pos="837"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7 below, a non-Key Participant whose target bonus or performance goals are changed by the Committee during the Plan Year to reflect a change in responsibilities or otherwise shall have his or her bonus award, if any, based on the amount of base salary earned and the performance goals applicable while in each target bonus category during the Plan Year.</w:t>
      </w:r>
    </w:p>
    <w:p>
      <w:pPr>
        <w:spacing w:after="0" w:line="83" w:lineRule="exact"/>
        <w:rPr>
          <w:rFonts w:ascii="Courier New" w:cs="Courier New" w:eastAsia="Courier New" w:hAnsi="Courier New"/>
          <w:sz w:val="16"/>
          <w:szCs w:val="16"/>
          <w:color w:val="auto"/>
        </w:rPr>
      </w:pPr>
    </w:p>
    <w:p>
      <w:pPr>
        <w:ind w:right="2779" w:firstLine="461"/>
        <w:spacing w:after="0" w:line="254" w:lineRule="auto"/>
        <w:tabs>
          <w:tab w:leader="none" w:pos="837"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earnings per share of the Company's Common Stock for any year shall be as determined by the Company's independent public accountants or a primary, rather than fully-diluted, basis, and all other financial measurements which are used as the performance goals set forth in this Section 4 (or as a component of such performance goals) shall be determined in accordance with generally accepted accounting principles, excluding as to both such earnings and other measurements the effects of changes in</w:t>
      </w:r>
    </w:p>
    <w:p>
      <w:pPr>
        <w:sectPr>
          <w:pgSz w:w="11900" w:h="16838" w:orient="portrait"/>
          <w:cols w:equalWidth="0" w:num="1">
            <w:col w:w="10219"/>
          </w:cols>
          <w:pgMar w:left="240" w:top="268" w:right="1440" w:bottom="1440" w:gutter="0" w:footer="0" w:header="0"/>
        </w:sectPr>
      </w:pPr>
    </w:p>
    <w:bookmarkStart w:id="313" w:name="page314"/>
    <w:bookmarkEnd w:id="313"/>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right="2959"/>
        <w:spacing w:after="0" w:line="342" w:lineRule="auto"/>
        <w:rPr>
          <w:sz w:val="20"/>
          <w:szCs w:val="20"/>
          <w:color w:val="auto"/>
        </w:rPr>
      </w:pPr>
      <w:r>
        <w:rPr>
          <w:rFonts w:ascii="Courier New" w:cs="Courier New" w:eastAsia="Courier New" w:hAnsi="Courier New"/>
          <w:sz w:val="16"/>
          <w:szCs w:val="16"/>
          <w:color w:val="auto"/>
        </w:rPr>
        <w:t>accounting standards or methods and special, unusual or nonrecurring events as determined appropriate by the Committee.</w:t>
      </w:r>
    </w:p>
    <w:p>
      <w:pPr>
        <w:spacing w:after="0" w:line="20" w:lineRule="exact"/>
        <w:rPr>
          <w:sz w:val="20"/>
          <w:szCs w:val="20"/>
          <w:color w:val="auto"/>
        </w:rPr>
      </w:pPr>
    </w:p>
    <w:p>
      <w:pPr>
        <w:ind w:right="2959" w:firstLine="461"/>
        <w:spacing w:after="0" w:line="301" w:lineRule="auto"/>
        <w:tabs>
          <w:tab w:leader="none" w:pos="837"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6 below, the Committee may, in its sole discretion, (i) award or increase the amount of bonuses payable to one or more non-Key Participants even though not earned in accordance with the performance goals established pursuant to this Section 4, or (ii) decrease the amount of bonuses otherwise payable to one or more participants even though earned in accordance with the performance goals established pursuant to this Section 4.</w:t>
      </w:r>
    </w:p>
    <w:p>
      <w:pPr>
        <w:spacing w:after="0" w:line="59" w:lineRule="exact"/>
        <w:rPr>
          <w:sz w:val="20"/>
          <w:szCs w:val="20"/>
          <w:color w:val="auto"/>
        </w:rPr>
      </w:pPr>
    </w:p>
    <w:p>
      <w:pPr>
        <w:ind w:right="2959" w:firstLine="461"/>
        <w:spacing w:after="0" w:line="342" w:lineRule="auto"/>
        <w:tabs>
          <w:tab w:leader="none" w:pos="744"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Payment of bonuses for any Plan Year shall be made in cash as soon as reasonably practicable after the end of such Plan Year.</w:t>
      </w:r>
    </w:p>
    <w:p>
      <w:pPr>
        <w:spacing w:after="0" w:line="20" w:lineRule="exact"/>
        <w:rPr>
          <w:rFonts w:ascii="Courier New" w:cs="Courier New" w:eastAsia="Courier New" w:hAnsi="Courier New"/>
          <w:sz w:val="16"/>
          <w:szCs w:val="16"/>
          <w:color w:val="auto"/>
        </w:rPr>
      </w:pPr>
    </w:p>
    <w:p>
      <w:pPr>
        <w:ind w:right="2879" w:firstLine="461"/>
        <w:spacing w:after="0" w:line="289" w:lineRule="auto"/>
        <w:tabs>
          <w:tab w:leader="none" w:pos="744"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Participation by Certain Officers. Notwithstanding any other provisions of the Plan to the contrary, the following provisions shall be applicable to participation in the Plan by Key Participants:</w:t>
      </w:r>
    </w:p>
    <w:p>
      <w:pPr>
        <w:spacing w:after="0" w:line="61" w:lineRule="exact"/>
        <w:rPr>
          <w:sz w:val="20"/>
          <w:szCs w:val="20"/>
          <w:color w:val="auto"/>
        </w:rPr>
      </w:pPr>
    </w:p>
    <w:p>
      <w:pPr>
        <w:ind w:right="2779" w:firstLine="461"/>
        <w:spacing w:after="0" w:line="289" w:lineRule="auto"/>
        <w:tabs>
          <w:tab w:leader="none" w:pos="837"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participant's target bonus under this Plan for such Plan Year shall be based solely on achievement of one or more of the performance goals as established by the Committee pursuant to Section 4 above.</w:t>
      </w:r>
    </w:p>
    <w:p>
      <w:pPr>
        <w:spacing w:after="0" w:line="60" w:lineRule="exact"/>
        <w:rPr>
          <w:rFonts w:ascii="Courier New" w:cs="Courier New" w:eastAsia="Courier New" w:hAnsi="Courier New"/>
          <w:sz w:val="16"/>
          <w:szCs w:val="16"/>
          <w:color w:val="auto"/>
        </w:rPr>
      </w:pPr>
    </w:p>
    <w:p>
      <w:pPr>
        <w:ind w:right="2879" w:firstLine="461"/>
        <w:spacing w:after="0" w:line="263" w:lineRule="auto"/>
        <w:tabs>
          <w:tab w:leader="none" w:pos="837"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such participant, no bonus shall be payable hereunder except upon written certification by the Committee that the performance goals have been satisfied to a particular extent and that any other material terms and conditions precedent to payment of a bonus pursuant to the Plan have been satisfied.</w:t>
      </w:r>
    </w:p>
    <w:p>
      <w:pPr>
        <w:spacing w:after="0" w:line="80" w:lineRule="exact"/>
        <w:rPr>
          <w:rFonts w:ascii="Courier New" w:cs="Courier New" w:eastAsia="Courier New" w:hAnsi="Courier New"/>
          <w:sz w:val="16"/>
          <w:szCs w:val="16"/>
          <w:color w:val="auto"/>
        </w:rPr>
      </w:pPr>
    </w:p>
    <w:p>
      <w:pPr>
        <w:ind w:right="3059" w:firstLine="461"/>
        <w:spacing w:after="0" w:line="342" w:lineRule="auto"/>
        <w:tabs>
          <w:tab w:leader="none" w:pos="837"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maximum bonus award payable to any such participant for any Plan Year shall be $3,000,000.</w:t>
      </w:r>
    </w:p>
    <w:p>
      <w:pPr>
        <w:spacing w:after="0" w:line="20" w:lineRule="exact"/>
        <w:rPr>
          <w:sz w:val="20"/>
          <w:szCs w:val="20"/>
          <w:color w:val="auto"/>
        </w:rPr>
      </w:pPr>
    </w:p>
    <w:p>
      <w:pPr>
        <w:ind w:right="2779" w:firstLine="461"/>
        <w:spacing w:after="0" w:line="279" w:lineRule="auto"/>
        <w:tabs>
          <w:tab w:leader="none" w:pos="744"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Adjustments for Changes in Stock, Mergers, Etc. In the event of dividends payable in Common Stock or in the case of the subdivision or combination of Common Stock, appropriate revision shall be made in any earnings per share criteria established by the Committee pursuant to Section 4 above. In the event of a Change in Control (as such term is defined in the Company's 1996 Stock Option Plan for Non-Employee Directors, as may be amended from time to time) of the Company (i) the Plan Year shall end as of the date of such Change in Control, (ii) the Committee shall cause any bonus awards payable to participants for the current Plan Year to be promptly calculated (without any discretionary decrease pursuant to Section 4(e)(ii)) and (iii) the Company shall pay such bonus awards to participants (determined as of the date of the Change in Control without regard to any subsequent termination of employment) as promptly as practicable following the Committee's determination, notwithstanding any other Plan provision to the contrary. In calculating the amount, timing, eligibility and other factors affecting bonuses payable to participant in connection with the Change in Control, the Committee, as constituted prior to the Change in Control, is authorized to take into consideration such factors as the shortened Plan Year, seasonal fluctuations in results of the criteria</w:t>
      </w:r>
    </w:p>
    <w:p>
      <w:pPr>
        <w:sectPr>
          <w:pgSz w:w="11900" w:h="16838" w:orient="portrait"/>
          <w:cols w:equalWidth="0" w:num="1">
            <w:col w:w="10219"/>
          </w:cols>
          <w:pgMar w:left="240" w:top="269" w:right="1440" w:bottom="1440" w:gutter="0" w:footer="0" w:header="0"/>
        </w:sectPr>
      </w:pPr>
    </w:p>
    <w:bookmarkStart w:id="314" w:name="page315"/>
    <w:bookmarkEnd w:id="314"/>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right="2779"/>
        <w:spacing w:after="0" w:line="289" w:lineRule="auto"/>
        <w:rPr>
          <w:sz w:val="20"/>
          <w:szCs w:val="20"/>
          <w:color w:val="auto"/>
        </w:rPr>
      </w:pPr>
      <w:r>
        <w:rPr>
          <w:rFonts w:ascii="Courier New" w:cs="Courier New" w:eastAsia="Courier New" w:hAnsi="Courier New"/>
          <w:sz w:val="16"/>
          <w:szCs w:val="16"/>
          <w:color w:val="auto"/>
        </w:rPr>
        <w:t>established under Section 4(b) hereof and any other equitable adjustments to the formulae or matrices established by the Committee pursuant to Section 4 as it deems appropriate.</w:t>
      </w:r>
    </w:p>
    <w:p>
      <w:pPr>
        <w:spacing w:after="0" w:line="61" w:lineRule="exact"/>
        <w:rPr>
          <w:sz w:val="20"/>
          <w:szCs w:val="20"/>
          <w:color w:val="auto"/>
        </w:rPr>
      </w:pPr>
    </w:p>
    <w:p>
      <w:pPr>
        <w:ind w:right="2779" w:firstLine="461"/>
        <w:spacing w:after="0" w:line="250" w:lineRule="auto"/>
        <w:tabs>
          <w:tab w:leader="none" w:pos="744"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Participant's Interests. A participant's interest in any bonus awards hereunder shall at all times be reflected on the Company's books as a general unsecured and unfunded obligation to the Company subject to the terms and conditions of the Plan. The Plan shall not give any person any right or security interest in any asset of the Company or any fund in which any deferred payment is deemed invested. Neither the Company, the Board nor the Committee shall be responsible for the adequacy of the general assets of the Company to discharge the payment of its obligations hereunder nor shall the Company be required to reserve or set aside funds therefor.</w:t>
      </w:r>
    </w:p>
    <w:p>
      <w:pPr>
        <w:spacing w:after="0" w:line="89" w:lineRule="exact"/>
        <w:rPr>
          <w:rFonts w:ascii="Courier New" w:cs="Courier New" w:eastAsia="Courier New" w:hAnsi="Courier New"/>
          <w:sz w:val="16"/>
          <w:szCs w:val="16"/>
          <w:color w:val="auto"/>
        </w:rPr>
      </w:pPr>
    </w:p>
    <w:p>
      <w:pPr>
        <w:ind w:right="2779" w:firstLine="461"/>
        <w:spacing w:after="0" w:line="288" w:lineRule="auto"/>
        <w:tabs>
          <w:tab w:leader="none" w:pos="744"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Non-Alienation of Benefits: Beneficiary Designation. All rights and benefits under the Plan are personal to the participant and neither the Plan nor any right or interest of a participant or any other person arising under the Plan is subject to voluntary or involuntary alienation, sale, transfer, or assignment without the Committee's consent, which may be withheld in its discretion. Subject to the foregoing, the Company shall establish such procedures as it deems necessary for a participant to designate one or more beneficiaries to whom any bonus payment the Committee determines to make and any deferred amounts would be payable in the event of the participant's death. Absent such a designation, payment shall be made to the participant's estate.</w:t>
      </w:r>
    </w:p>
    <w:p>
      <w:pPr>
        <w:spacing w:after="0" w:line="254" w:lineRule="exact"/>
        <w:rPr>
          <w:rFonts w:ascii="Courier New" w:cs="Courier New" w:eastAsia="Courier New" w:hAnsi="Courier New"/>
          <w:sz w:val="14"/>
          <w:szCs w:val="14"/>
          <w:color w:val="auto"/>
        </w:rPr>
      </w:pPr>
    </w:p>
    <w:p>
      <w:pPr>
        <w:ind w:right="2959" w:firstLine="461"/>
        <w:spacing w:after="0" w:line="301" w:lineRule="auto"/>
        <w:tabs>
          <w:tab w:leader="none" w:pos="83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for Taxes. Notwithstanding any other provisions of this Plan, the Company may withhold from any payment made by it under the Plan such amount or amounts as may be required for purposes of complying with the tax withholding or other provisions of the Code or the Social Security Act or any state's income tax act or for purposes of paying any estate, inheritance or other tax attributable to any amounts payable hereunder.</w:t>
      </w:r>
    </w:p>
    <w:p>
      <w:pPr>
        <w:spacing w:after="0" w:line="58" w:lineRule="exact"/>
        <w:rPr>
          <w:rFonts w:ascii="Courier New" w:cs="Courier New" w:eastAsia="Courier New" w:hAnsi="Courier New"/>
          <w:sz w:val="14"/>
          <w:szCs w:val="14"/>
          <w:color w:val="auto"/>
        </w:rPr>
      </w:pPr>
    </w:p>
    <w:p>
      <w:pPr>
        <w:ind w:right="2779" w:firstLine="461"/>
        <w:spacing w:after="0" w:line="322" w:lineRule="auto"/>
        <w:tabs>
          <w:tab w:leader="none" w:pos="83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Employment Rights. Nothing contained in the Plan shall confer upon any participant any right to be continued in the employ of the Company or any of its subsidiaries or interfere in any way with the right of the Company or any of its subsidiaries to terminate a participant's employment at any time.</w:t>
      </w:r>
    </w:p>
    <w:p>
      <w:pPr>
        <w:spacing w:after="0" w:line="43" w:lineRule="exact"/>
        <w:rPr>
          <w:rFonts w:ascii="Courier New" w:cs="Courier New" w:eastAsia="Courier New" w:hAnsi="Courier New"/>
          <w:sz w:val="14"/>
          <w:szCs w:val="14"/>
          <w:color w:val="auto"/>
        </w:rPr>
      </w:pPr>
    </w:p>
    <w:p>
      <w:pPr>
        <w:ind w:right="2779" w:firstLine="461"/>
        <w:spacing w:after="0" w:line="406" w:lineRule="auto"/>
        <w:tabs>
          <w:tab w:leader="none" w:pos="837"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Gender and Number. Where the context admits, words denoting men include women, the plural includes the singular, and the singular includes the plural.</w:t>
      </w:r>
    </w:p>
    <w:p>
      <w:pPr>
        <w:ind w:right="2879" w:firstLine="461"/>
        <w:spacing w:after="0" w:line="258" w:lineRule="auto"/>
        <w:tabs>
          <w:tab w:leader="none" w:pos="837"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or Company Determinations Final. Each determination provided for in the Plan shall be made by the Committee or the Company, as the case may be, under such procedures as may from time to time be prescribed by the Committee or the Company and shall be made in the sole discretion of the Committee or the Company, as the case may be. As such determination shall be conclusive on all parties.</w:t>
      </w:r>
    </w:p>
    <w:p>
      <w:pPr>
        <w:spacing w:after="0" w:line="83" w:lineRule="exact"/>
        <w:rPr>
          <w:rFonts w:ascii="Courier New" w:cs="Courier New" w:eastAsia="Courier New" w:hAnsi="Courier New"/>
          <w:sz w:val="16"/>
          <w:szCs w:val="16"/>
          <w:color w:val="auto"/>
        </w:rPr>
      </w:pPr>
    </w:p>
    <w:p>
      <w:pPr>
        <w:ind w:right="2879" w:firstLine="461"/>
        <w:spacing w:after="0" w:line="272" w:lineRule="auto"/>
        <w:tabs>
          <w:tab w:leader="none" w:pos="837"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or Termination. The Board may in its sole discretion terminate or amend the Plan from time to time. No such termination or amendment shall alter a participant's right to receive a distribution as awarded but unpaid to such participant, as</w:t>
      </w:r>
    </w:p>
    <w:p>
      <w:pPr>
        <w:sectPr>
          <w:pgSz w:w="11900" w:h="16838" w:orient="portrait"/>
          <w:cols w:equalWidth="0" w:num="1">
            <w:col w:w="10219"/>
          </w:cols>
          <w:pgMar w:left="240" w:top="269" w:right="1440" w:bottom="1440" w:gutter="0" w:footer="0" w:header="0"/>
        </w:sectPr>
      </w:pPr>
    </w:p>
    <w:bookmarkStart w:id="315" w:name="page316"/>
    <w:bookmarkEnd w:id="315"/>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right="3059"/>
        <w:spacing w:after="0" w:line="342" w:lineRule="auto"/>
        <w:rPr>
          <w:sz w:val="20"/>
          <w:szCs w:val="20"/>
          <w:color w:val="auto"/>
        </w:rPr>
      </w:pPr>
      <w:r>
        <w:rPr>
          <w:rFonts w:ascii="Courier New" w:cs="Courier New" w:eastAsia="Courier New" w:hAnsi="Courier New"/>
          <w:sz w:val="16"/>
          <w:szCs w:val="16"/>
          <w:color w:val="auto"/>
        </w:rPr>
        <w:t>to which this Plan shall remain in effect following its termination until all such amounts have been paid.</w:t>
      </w:r>
    </w:p>
    <w:p>
      <w:pPr>
        <w:spacing w:after="0" w:line="20" w:lineRule="exact"/>
        <w:rPr>
          <w:sz w:val="20"/>
          <w:szCs w:val="20"/>
          <w:color w:val="auto"/>
        </w:rPr>
      </w:pPr>
    </w:p>
    <w:p>
      <w:pPr>
        <w:ind w:right="2779" w:firstLine="461"/>
        <w:spacing w:after="0" w:line="289" w:lineRule="auto"/>
        <w:tabs>
          <w:tab w:leader="none" w:pos="837"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The Plan is binding on and will inure to the benefit of any successor to the Company, whether by way of merger, consolidation, purchase or otherwise.</w:t>
      </w:r>
    </w:p>
    <w:p>
      <w:pPr>
        <w:spacing w:after="0" w:line="60" w:lineRule="exact"/>
        <w:rPr>
          <w:rFonts w:ascii="Courier New" w:cs="Courier New" w:eastAsia="Courier New" w:hAnsi="Courier New"/>
          <w:sz w:val="16"/>
          <w:szCs w:val="16"/>
          <w:color w:val="auto"/>
        </w:rPr>
      </w:pPr>
    </w:p>
    <w:p>
      <w:pPr>
        <w:ind w:right="3159" w:firstLine="461"/>
        <w:spacing w:after="0" w:line="342" w:lineRule="auto"/>
        <w:tabs>
          <w:tab w:leader="none" w:pos="837" w:val="left"/>
        </w:tabs>
        <w:numPr>
          <w:ilvl w:val="0"/>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Controlling Law. The Plan shall be construed in accordance with the laws of the State of Texas.</w:t>
      </w:r>
    </w:p>
    <w:p>
      <w:pPr>
        <w:sectPr>
          <w:pgSz w:w="11900" w:h="16838" w:orient="portrait"/>
          <w:cols w:equalWidth="0" w:num="1">
            <w:col w:w="10219"/>
          </w:cols>
          <w:pgMar w:left="240" w:top="269" w:right="1440" w:bottom="1440" w:gutter="0" w:footer="0" w:header="0"/>
        </w:sectPr>
      </w:pPr>
    </w:p>
    <w:bookmarkStart w:id="316" w:name="page317"/>
    <w:bookmarkEnd w:id="316"/>
    <w:p>
      <w:pPr>
        <w:ind w:left="280"/>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10.4</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This EMPLOYMENT AGREEMENT (the "Agreement") is made and entered into on this 1st day of April, 2001 by and between Canadian Waste Services, Inc. (the "Company"), and Domenic Pio (the "Executive"). The Company is an indirect subsidiary of Waste Management, Inc. ("WMI").</w:t>
      </w:r>
    </w:p>
    <w:p>
      <w:pPr>
        <w:spacing w:after="0" w:line="73" w:lineRule="exact"/>
        <w:rPr>
          <w:sz w:val="20"/>
          <w:szCs w:val="20"/>
          <w:color w:val="auto"/>
        </w:rPr>
      </w:pPr>
    </w:p>
    <w:p>
      <w:pPr>
        <w:ind w:left="1660" w:hanging="827"/>
        <w:spacing w:after="0"/>
        <w:tabs>
          <w:tab w:leader="none" w:pos="1660"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AND TERMINATION OF PREVIOUS EMPLOYMENT AGREEMENT.</w:t>
      </w:r>
    </w:p>
    <w:p>
      <w:pPr>
        <w:spacing w:after="0" w:line="177" w:lineRule="exact"/>
        <w:rPr>
          <w:sz w:val="20"/>
          <w:szCs w:val="20"/>
          <w:color w:val="auto"/>
        </w:rPr>
      </w:pPr>
    </w:p>
    <w:p>
      <w:pPr>
        <w:ind w:right="2879" w:firstLine="837"/>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right="2879" w:firstLine="837"/>
        <w:spacing w:after="0" w:line="254" w:lineRule="auto"/>
        <w:rPr>
          <w:sz w:val="20"/>
          <w:szCs w:val="20"/>
          <w:color w:val="auto"/>
        </w:rPr>
      </w:pPr>
      <w:r>
        <w:rPr>
          <w:rFonts w:ascii="Courier New" w:cs="Courier New" w:eastAsia="Courier New" w:hAnsi="Courier New"/>
          <w:sz w:val="16"/>
          <w:szCs w:val="16"/>
          <w:color w:val="auto"/>
        </w:rPr>
        <w:t>The Company and Executive hereby agree that the certain Employment Agreement between Executive and Canadian Waste Services, Inc. dated on or about April 6, 1999 is wholly and completely terminated, and any and all obligations of the Company and Executive created thereunder, whether express or implied, shall be null and void and of no further force or effect, and that the only continuing rights, obligations, and duties between the Company and Executive shall be those expressly set forth in this Agreement.</w:t>
      </w:r>
    </w:p>
    <w:p>
      <w:pPr>
        <w:spacing w:after="0" w:line="88" w:lineRule="exact"/>
        <w:rPr>
          <w:sz w:val="20"/>
          <w:szCs w:val="20"/>
          <w:color w:val="auto"/>
        </w:rPr>
      </w:pPr>
    </w:p>
    <w:p>
      <w:pPr>
        <w:ind w:left="1660" w:hanging="827"/>
        <w:spacing w:after="0"/>
        <w:tabs>
          <w:tab w:leader="none" w:pos="1660" w:val="left"/>
        </w:tabs>
        <w:numPr>
          <w:ilvl w:val="0"/>
          <w:numId w:val="2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OF EMPLOYMENT.</w:t>
      </w:r>
    </w:p>
    <w:p>
      <w:pPr>
        <w:spacing w:after="0" w:line="177" w:lineRule="exact"/>
        <w:rPr>
          <w:sz w:val="20"/>
          <w:szCs w:val="20"/>
          <w:color w:val="auto"/>
        </w:rPr>
      </w:pPr>
    </w:p>
    <w:p>
      <w:pPr>
        <w:ind w:right="2879" w:firstLine="837"/>
        <w:spacing w:after="0" w:line="301" w:lineRule="auto"/>
        <w:rPr>
          <w:sz w:val="20"/>
          <w:szCs w:val="20"/>
          <w:color w:val="auto"/>
        </w:rPr>
      </w:pPr>
      <w:r>
        <w:rPr>
          <w:rFonts w:ascii="Courier New" w:cs="Courier New" w:eastAsia="Courier New" w:hAnsi="Courier New"/>
          <w:sz w:val="14"/>
          <w:szCs w:val="14"/>
          <w:color w:val="auto"/>
        </w:rPr>
        <w:t>The period of Executive's employment under this Agreement shall commence on April 1, 2001 ("Employment Date"), and shall continue for a period of two (2) years thereafter, and shall automatically be renewed for successive one (1) year periods thereafter, unless Executive's employment is terminated in accordance with Section 5 below. The period during which Executive is employed hereunder shall be referred to as the "Employment Period."</w:t>
      </w:r>
    </w:p>
    <w:p>
      <w:pPr>
        <w:spacing w:after="0" w:line="59" w:lineRule="exact"/>
        <w:rPr>
          <w:sz w:val="20"/>
          <w:szCs w:val="20"/>
          <w:color w:val="auto"/>
        </w:rPr>
      </w:pPr>
    </w:p>
    <w:p>
      <w:pPr>
        <w:ind w:left="1660" w:hanging="827"/>
        <w:spacing w:after="0"/>
        <w:tabs>
          <w:tab w:leader="none" w:pos="1660"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right="2779" w:firstLine="833"/>
        <w:spacing w:after="0" w:line="258" w:lineRule="auto"/>
        <w:tabs>
          <w:tab w:leader="none" w:pos="1209"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President of Canadian Waste Services, Inc.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of WMI.</w:t>
      </w:r>
    </w:p>
    <w:p>
      <w:pPr>
        <w:spacing w:after="0" w:line="83" w:lineRule="exact"/>
        <w:rPr>
          <w:rFonts w:ascii="Courier New" w:cs="Courier New" w:eastAsia="Courier New" w:hAnsi="Courier New"/>
          <w:sz w:val="16"/>
          <w:szCs w:val="16"/>
          <w:color w:val="auto"/>
        </w:rPr>
      </w:pPr>
    </w:p>
    <w:p>
      <w:pPr>
        <w:ind w:right="2779" w:firstLine="833"/>
        <w:spacing w:after="0" w:line="250" w:lineRule="auto"/>
        <w:tabs>
          <w:tab w:leader="none" w:pos="1209"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8 of this Agreement), be involved in charitable and professional activities, and, with the prior written consent of the WMI Board of Directors, serve on boards of other for profit entities, provided such activities do not materially interfere with the performance of his duties hereunder.</w:t>
      </w:r>
    </w:p>
    <w:p>
      <w:pPr>
        <w:spacing w:after="0" w:line="90" w:lineRule="exact"/>
        <w:rPr>
          <w:sz w:val="20"/>
          <w:szCs w:val="20"/>
          <w:color w:val="auto"/>
        </w:rPr>
      </w:pPr>
    </w:p>
    <w:p>
      <w:pPr>
        <w:ind w:left="1660" w:hanging="827"/>
        <w:spacing w:after="0"/>
        <w:tabs>
          <w:tab w:leader="none" w:pos="1660"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BENEFITS.</w:t>
      </w:r>
    </w:p>
    <w:p>
      <w:pPr>
        <w:spacing w:after="0" w:line="177" w:lineRule="exact"/>
        <w:rPr>
          <w:sz w:val="20"/>
          <w:szCs w:val="20"/>
          <w:color w:val="auto"/>
        </w:rPr>
      </w:pPr>
    </w:p>
    <w:p>
      <w:pPr>
        <w:ind w:right="2879" w:firstLine="833"/>
        <w:spacing w:after="0" w:line="289" w:lineRule="auto"/>
        <w:tabs>
          <w:tab w:leader="none" w:pos="1209" w:val="left"/>
        </w:tabs>
        <w:numPr>
          <w:ilvl w:val="0"/>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Company shall pay Executive a base salary at the annual rate of Three Hundred Fifty-Four Thousand Eight Hundred Ninety and</w:t>
      </w:r>
    </w:p>
    <w:p>
      <w:pPr>
        <w:sectPr>
          <w:pgSz w:w="11900" w:h="16838" w:orient="portrait"/>
          <w:cols w:equalWidth="0" w:num="1">
            <w:col w:w="10219"/>
          </w:cols>
          <w:pgMar w:left="240" w:top="114" w:right="1440" w:bottom="1440" w:gutter="0" w:footer="0" w:header="0"/>
        </w:sectPr>
      </w:pPr>
    </w:p>
    <w:bookmarkStart w:id="317" w:name="page318"/>
    <w:bookmarkEnd w:id="317"/>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right="2779"/>
        <w:spacing w:after="0" w:line="322" w:lineRule="auto"/>
        <w:rPr>
          <w:sz w:val="20"/>
          <w:szCs w:val="20"/>
          <w:color w:val="auto"/>
        </w:rPr>
      </w:pPr>
      <w:r>
        <w:rPr>
          <w:rFonts w:ascii="Courier New" w:cs="Courier New" w:eastAsia="Courier New" w:hAnsi="Courier New"/>
          <w:sz w:val="14"/>
          <w:szCs w:val="14"/>
          <w:color w:val="auto"/>
        </w:rPr>
        <w:t>00/100ths Canadian Dollars (C$354,890.00)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43" w:lineRule="exact"/>
        <w:rPr>
          <w:sz w:val="20"/>
          <w:szCs w:val="20"/>
          <w:color w:val="auto"/>
        </w:rPr>
      </w:pPr>
    </w:p>
    <w:p>
      <w:pPr>
        <w:ind w:right="2779" w:firstLine="833"/>
        <w:spacing w:after="0" w:line="248" w:lineRule="auto"/>
        <w:tabs>
          <w:tab w:leader="none" w:pos="120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During the Employment Period, Executive will be entitled to participate in an annual incentive compensation plan of the Company. The Executive's target annual bonus will be seventy-five percent (75%) of his Base Salary in effect for such year (the "Target Bonus"), and his actual annual bonus may range from 0% to 150% (two times Target Bonus), and will be determined based upon (i) the achievement of certain WMI and Company performance goals, as may be established and approved by from time to time by the Compensation Committee of the WMI Board of Directors, and (ii) the achievement of personal performance goals as may be established by WMI's Chief Executive Officer.</w:t>
      </w:r>
    </w:p>
    <w:p>
      <w:pPr>
        <w:spacing w:after="0" w:line="94" w:lineRule="exact"/>
        <w:rPr>
          <w:rFonts w:ascii="Courier New" w:cs="Courier New" w:eastAsia="Courier New" w:hAnsi="Courier New"/>
          <w:sz w:val="16"/>
          <w:szCs w:val="16"/>
          <w:color w:val="auto"/>
        </w:rPr>
      </w:pPr>
    </w:p>
    <w:p>
      <w:pPr>
        <w:ind w:right="2779" w:firstLine="833"/>
        <w:spacing w:after="0" w:line="272" w:lineRule="auto"/>
        <w:tabs>
          <w:tab w:leader="none" w:pos="120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Executive shall be eligible to be considered for stock option grants under Waste Management Inc.'s annual stock option award program as administered by, and at the discretion of, the Compensation Committee of the WMI Board of Directors.</w:t>
      </w:r>
    </w:p>
    <w:p>
      <w:pPr>
        <w:spacing w:after="0" w:line="72" w:lineRule="exact"/>
        <w:rPr>
          <w:rFonts w:ascii="Courier New" w:cs="Courier New" w:eastAsia="Courier New" w:hAnsi="Courier New"/>
          <w:sz w:val="16"/>
          <w:szCs w:val="16"/>
          <w:color w:val="auto"/>
        </w:rPr>
      </w:pPr>
    </w:p>
    <w:p>
      <w:pPr>
        <w:ind w:right="2779" w:firstLine="833"/>
        <w:spacing w:after="0" w:line="250" w:lineRule="auto"/>
        <w:tabs>
          <w:tab w:leader="none" w:pos="1209" w:val="left"/>
        </w:tabs>
        <w:numPr>
          <w:ilvl w:val="0"/>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 PLANS AND VACATION. Subject to the terms of such plans, Executive shall be eligible to participate in or receive benefits under any pension plan, profit sharing plan, salary deferral plan, medical and dental benefits plan, life insurance plan, short-term and long-term disability plans, or any other health, welfare or fringe benefit plan, generally made available to similarly-situated WMI executive employees. Neither WMI nor the Company shall be obligated to institute, maintain, or refrain from changing, amending, or discontinuing any benefit plan, or perquisite, so long as such changes are similarly applicable to similarly-situated employees generally.</w:t>
      </w:r>
    </w:p>
    <w:p>
      <w:pPr>
        <w:spacing w:after="0" w:line="90" w:lineRule="exact"/>
        <w:rPr>
          <w:sz w:val="20"/>
          <w:szCs w:val="20"/>
          <w:color w:val="auto"/>
        </w:rPr>
      </w:pPr>
    </w:p>
    <w:p>
      <w:pPr>
        <w:ind w:right="2779" w:firstLine="837"/>
        <w:spacing w:after="0" w:line="348" w:lineRule="auto"/>
        <w:rPr>
          <w:sz w:val="20"/>
          <w:szCs w:val="20"/>
          <w:color w:val="auto"/>
        </w:rPr>
      </w:pPr>
      <w:r>
        <w:rPr>
          <w:rFonts w:ascii="Courier New" w:cs="Courier New" w:eastAsia="Courier New" w:hAnsi="Courier New"/>
          <w:sz w:val="14"/>
          <w:szCs w:val="14"/>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26" w:lineRule="exact"/>
        <w:rPr>
          <w:sz w:val="20"/>
          <w:szCs w:val="20"/>
          <w:color w:val="auto"/>
        </w:rPr>
      </w:pPr>
    </w:p>
    <w:p>
      <w:pPr>
        <w:ind w:right="2779" w:firstLine="833"/>
        <w:spacing w:after="0" w:line="272" w:lineRule="auto"/>
        <w:tabs>
          <w:tab w:leader="none" w:pos="1209"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73" w:lineRule="exact"/>
        <w:rPr>
          <w:sz w:val="20"/>
          <w:szCs w:val="20"/>
          <w:color w:val="auto"/>
        </w:rPr>
      </w:pPr>
    </w:p>
    <w:p>
      <w:pPr>
        <w:ind w:right="2779" w:firstLine="837"/>
        <w:spacing w:after="0" w:line="301" w:lineRule="auto"/>
        <w:rPr>
          <w:sz w:val="20"/>
          <w:szCs w:val="20"/>
          <w:color w:val="auto"/>
        </w:rPr>
      </w:pPr>
      <w:r>
        <w:rPr>
          <w:rFonts w:ascii="Courier New" w:cs="Courier New" w:eastAsia="Courier New" w:hAnsi="Courier New"/>
          <w:sz w:val="14"/>
          <w:szCs w:val="14"/>
          <w:color w:val="auto"/>
        </w:rPr>
        <w:t>During the Employment Period, the Company shall pay Executive a taxable monthly automobile allowance of one thousand (C$1,000) Canadian dollars per month to cover the cost of ownership of an automobile or the Company shall lease an automobile, which Executive shall be entitled to utilize on an exclusive and taxable benefit basis during the Employment Period. The automobile lease cost shall be comparable to the taxable automobile allowance in value.</w:t>
      </w:r>
    </w:p>
    <w:p>
      <w:pPr>
        <w:spacing w:after="0" w:line="59" w:lineRule="exact"/>
        <w:rPr>
          <w:sz w:val="20"/>
          <w:szCs w:val="20"/>
          <w:color w:val="auto"/>
        </w:rPr>
      </w:pPr>
    </w:p>
    <w:p>
      <w:pPr>
        <w:ind w:right="2959" w:firstLine="833"/>
        <w:spacing w:after="0" w:line="272" w:lineRule="auto"/>
        <w:tabs>
          <w:tab w:leader="none" w:pos="1209"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PERQUISITES. Executive shall be entitled to all perquisites provided to Senior Vice Presidents of WMI as approved by the Compensation Committee of the WMI Board of Directors, and as they may exist from time to time.</w:t>
      </w:r>
    </w:p>
    <w:p>
      <w:pPr>
        <w:spacing w:after="0" w:line="7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69" w:right="1440" w:bottom="1440" w:gutter="0" w:footer="0" w:header="0"/>
        </w:sectPr>
      </w:pPr>
    </w:p>
    <w:bookmarkStart w:id="318" w:name="page319"/>
    <w:bookmarkEnd w:id="318"/>
    <w:p>
      <w:pPr>
        <w:ind w:left="280"/>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1660" w:hanging="827"/>
        <w:spacing w:after="0"/>
        <w:tabs>
          <w:tab w:leader="none" w:pos="1660" w:val="left"/>
        </w:tabs>
        <w:numPr>
          <w:ilvl w:val="0"/>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Executive's employment hereunder may be terminated during the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Period under the following circumstances:</w:t>
      </w:r>
    </w:p>
    <w:p>
      <w:pPr>
        <w:spacing w:after="0" w:line="149" w:lineRule="exact"/>
        <w:rPr>
          <w:sz w:val="20"/>
          <w:szCs w:val="20"/>
          <w:color w:val="auto"/>
        </w:rPr>
      </w:pPr>
    </w:p>
    <w:p>
      <w:pPr>
        <w:ind w:right="3439" w:firstLine="833"/>
        <w:spacing w:after="0" w:line="342" w:lineRule="auto"/>
        <w:tabs>
          <w:tab w:leader="none" w:pos="1209"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 w:lineRule="exact"/>
        <w:rPr>
          <w:rFonts w:ascii="Courier New" w:cs="Courier New" w:eastAsia="Courier New" w:hAnsi="Courier New"/>
          <w:sz w:val="16"/>
          <w:szCs w:val="16"/>
          <w:color w:val="auto"/>
        </w:rPr>
      </w:pPr>
    </w:p>
    <w:p>
      <w:pPr>
        <w:ind w:right="2779" w:firstLine="833"/>
        <w:spacing w:after="0" w:line="285" w:lineRule="auto"/>
        <w:tabs>
          <w:tab w:leader="none" w:pos="1209"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Employment Insurance disability benefits shall be deemed conclusive evidence of Total Disability for purpose of this Agreement; provided, however, that in the absence of Executive's receipt of such long-term disability benefits or Employment Insurance benefits, WMI's Board of Directors may, in its reasonable discretion (but based upon appropriate medical evidence), determine that Executive is Totally Disabled.</w:t>
      </w:r>
    </w:p>
    <w:p>
      <w:pPr>
        <w:spacing w:after="0" w:line="253" w:lineRule="exact"/>
        <w:rPr>
          <w:rFonts w:ascii="Courier New" w:cs="Courier New" w:eastAsia="Courier New" w:hAnsi="Courier New"/>
          <w:sz w:val="14"/>
          <w:szCs w:val="14"/>
          <w:color w:val="auto"/>
        </w:rPr>
      </w:pPr>
    </w:p>
    <w:p>
      <w:pPr>
        <w:ind w:right="3159" w:firstLine="833"/>
        <w:spacing w:after="0" w:line="289" w:lineRule="auto"/>
        <w:tabs>
          <w:tab w:leader="none" w:pos="1209"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a Notice of Termination for Cause to Executive.</w:t>
      </w:r>
    </w:p>
    <w:p>
      <w:pPr>
        <w:spacing w:after="0" w:line="61" w:lineRule="exact"/>
        <w:rPr>
          <w:sz w:val="20"/>
          <w:szCs w:val="20"/>
          <w:color w:val="auto"/>
        </w:rPr>
      </w:pPr>
    </w:p>
    <w:p>
      <w:pPr>
        <w:ind w:left="1300" w:right="2779" w:hanging="467"/>
        <w:spacing w:after="0" w:line="282" w:lineRule="auto"/>
        <w:tabs>
          <w:tab w:leader="none" w:pos="130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an indictable offense; (D) willfully or intentionally caused material injury to the Company, its property, or its assets; (E) disclosed to unauthorized person(s) proprietary or confidential information of the Company; or (F) breach of any of the covenants set forth in Section 8 hereof.</w:t>
      </w:r>
    </w:p>
    <w:p>
      <w:pPr>
        <w:spacing w:after="0" w:line="260" w:lineRule="exact"/>
        <w:rPr>
          <w:rFonts w:ascii="Courier New" w:cs="Courier New" w:eastAsia="Courier New" w:hAnsi="Courier New"/>
          <w:sz w:val="14"/>
          <w:szCs w:val="14"/>
          <w:color w:val="auto"/>
        </w:rPr>
      </w:pPr>
    </w:p>
    <w:p>
      <w:pPr>
        <w:ind w:left="1300" w:right="2779" w:hanging="467"/>
        <w:spacing w:after="0" w:line="282" w:lineRule="auto"/>
        <w:tabs>
          <w:tab w:leader="none" w:pos="130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WMI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w:t>
      </w:r>
    </w:p>
    <w:p>
      <w:pPr>
        <w:spacing w:after="0" w:line="26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69" w:right="1440" w:bottom="1440" w:gutter="0" w:footer="0" w:header="0"/>
        </w:sectPr>
      </w:pPr>
    </w:p>
    <w:bookmarkStart w:id="319" w:name="page320"/>
    <w:bookmarkEnd w:id="319"/>
    <w:p>
      <w:pPr>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left="1020" w:right="2779"/>
        <w:spacing w:after="0" w:line="301" w:lineRule="auto"/>
        <w:rPr>
          <w:sz w:val="20"/>
          <w:szCs w:val="20"/>
          <w:color w:val="auto"/>
        </w:rPr>
      </w:pPr>
      <w:r>
        <w:rPr>
          <w:rFonts w:ascii="Courier New" w:cs="Courier New" w:eastAsia="Courier New" w:hAnsi="Courier New"/>
          <w:sz w:val="14"/>
          <w:szCs w:val="14"/>
          <w:color w:val="auto"/>
        </w:rPr>
        <w:t>The date of termination for Cause shall be the date indicated in the Notice of Termination for Cause. Any purported termination for Cause which is held by a court or arbitrator not to have been based on the grounds set forth in this Agreement or not to have followed the procedures set forth in this Agreement shall be deemed a termination by the Company without Cause.</w:t>
      </w:r>
    </w:p>
    <w:p>
      <w:pPr>
        <w:spacing w:after="0" w:line="59" w:lineRule="exact"/>
        <w:rPr>
          <w:sz w:val="20"/>
          <w:szCs w:val="20"/>
          <w:color w:val="auto"/>
        </w:rPr>
      </w:pPr>
    </w:p>
    <w:p>
      <w:pPr>
        <w:ind w:left="-280" w:right="2779" w:firstLine="740"/>
        <w:spacing w:after="0" w:line="289" w:lineRule="auto"/>
        <w:tabs>
          <w:tab w:leader="none" w:pos="929"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his employment hereunder with or without Good Reason at any time upon written notice to the Company.</w:t>
      </w:r>
    </w:p>
    <w:p>
      <w:pPr>
        <w:spacing w:after="0" w:line="60" w:lineRule="exact"/>
        <w:rPr>
          <w:rFonts w:ascii="Courier New" w:cs="Courier New" w:eastAsia="Courier New" w:hAnsi="Courier New"/>
          <w:sz w:val="16"/>
          <w:szCs w:val="16"/>
          <w:color w:val="auto"/>
        </w:rPr>
      </w:pPr>
    </w:p>
    <w:p>
      <w:pPr>
        <w:ind w:left="1020" w:right="2779" w:hanging="467"/>
        <w:spacing w:after="0" w:line="273" w:lineRule="auto"/>
        <w:tabs>
          <w:tab w:leader="none" w:pos="102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for "Good Reason" means a resignation of employment by Executive by written notice ("Notice of Termination for Good Reason") given to WMI's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Cause or Total Disability or as a result of Executive's death, or temporarily as a result of Executive's illness or other absence), provided that the change in the geographic area of Executive's responsibility or the reassignment of Executive to a different geographical area within Canada or the change in reporting structure shall not constitute Good Reason under any circumstances; further provided that if the WMI becomes a fifty percent or more subsidiary of any other entity, Executive shall be deemed to have a substantial change in the core duties of his position unless he is a Senior Vice-President of the ultimate parent entity; (B) removal or the non-reelection of the Executive from the officer position with the Company specified herein, or removal of the Executive from any of his then officer positions;</w:t>
      </w:r>
    </w:p>
    <w:p>
      <w:pPr>
        <w:spacing w:after="0" w:line="347" w:lineRule="exact"/>
        <w:rPr>
          <w:rFonts w:ascii="Courier New" w:cs="Courier New" w:eastAsia="Courier New" w:hAnsi="Courier New"/>
          <w:sz w:val="14"/>
          <w:szCs w:val="14"/>
          <w:color w:val="auto"/>
        </w:rPr>
      </w:pPr>
    </w:p>
    <w:p>
      <w:pPr>
        <w:ind w:left="1020" w:right="2879" w:hanging="2"/>
        <w:spacing w:after="0" w:line="293" w:lineRule="auto"/>
        <w:tabs>
          <w:tab w:leader="none" w:pos="1392" w:val="left"/>
        </w:tabs>
        <w:numPr>
          <w:ilvl w:val="2"/>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breach by the Company of any provision of this Agreement, including without limitation Section 10 hereof; or (D) failure of any successor to the Company or to WMI (whether direct or indirect and whether by merger, acquisition, consolidation or otherwise) to assume in a writing delivered to Executive upon the assignee becoming such, the obligations of the Company hereunder.</w:t>
      </w:r>
    </w:p>
    <w:p>
      <w:pPr>
        <w:spacing w:after="0" w:line="62" w:lineRule="exact"/>
        <w:rPr>
          <w:rFonts w:ascii="Courier New" w:cs="Courier New" w:eastAsia="Courier New" w:hAnsi="Courier New"/>
          <w:sz w:val="14"/>
          <w:szCs w:val="14"/>
          <w:color w:val="auto"/>
        </w:rPr>
      </w:pPr>
    </w:p>
    <w:p>
      <w:pPr>
        <w:ind w:left="1020" w:right="2779" w:hanging="467"/>
        <w:spacing w:after="0" w:line="288" w:lineRule="auto"/>
        <w:tabs>
          <w:tab w:leader="none" w:pos="1020"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w:t>
      </w:r>
    </w:p>
    <w:p>
      <w:pPr>
        <w:spacing w:after="0" w:line="2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939"/>
          </w:cols>
          <w:pgMar w:left="520" w:top="268" w:right="1440" w:bottom="1440" w:gutter="0" w:footer="0" w:header="0"/>
        </w:sectPr>
      </w:pPr>
    </w:p>
    <w:bookmarkStart w:id="320" w:name="page321"/>
    <w:bookmarkEnd w:id="320"/>
    <w:p>
      <w:pPr>
        <w:ind w:left="280"/>
        <w:spacing w:after="0"/>
        <w:rPr>
          <w:sz w:val="20"/>
          <w:szCs w:val="20"/>
          <w:color w:val="auto"/>
        </w:rPr>
      </w:pPr>
      <w:r>
        <w:rPr>
          <w:rFonts w:ascii="Courier New" w:cs="Courier New" w:eastAsia="Courier New" w:hAnsi="Courier New"/>
          <w:sz w:val="16"/>
          <w:szCs w:val="16"/>
          <w:color w:val="auto"/>
        </w:rPr>
        <w:t>5</w:t>
      </w:r>
    </w:p>
    <w:p>
      <w:pPr>
        <w:spacing w:after="0" w:line="355"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date of termination not less than ten (10) nor more than sixty</w:t>
      </w:r>
    </w:p>
    <w:p>
      <w:pPr>
        <w:spacing w:after="0" w:line="26" w:lineRule="exact"/>
        <w:rPr>
          <w:sz w:val="20"/>
          <w:szCs w:val="20"/>
          <w:color w:val="auto"/>
        </w:rPr>
      </w:pPr>
    </w:p>
    <w:p>
      <w:pPr>
        <w:ind w:left="1300" w:right="2779" w:hanging="2"/>
        <w:spacing w:after="0" w:line="259" w:lineRule="auto"/>
        <w:tabs>
          <w:tab w:leader="none" w:pos="1765" w:val="left"/>
        </w:tabs>
        <w:numPr>
          <w:ilvl w:val="1"/>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date such Notice of Termination for Good Reason is given, provided that in the case of the events set forth in Sections 5(d)(i)(A) or (B), the date may be five (5) business days after the giving of such notice.</w:t>
      </w:r>
    </w:p>
    <w:p>
      <w:pPr>
        <w:spacing w:after="0" w:line="84" w:lineRule="exact"/>
        <w:rPr>
          <w:rFonts w:ascii="Courier New" w:cs="Courier New" w:eastAsia="Courier New" w:hAnsi="Courier New"/>
          <w:sz w:val="16"/>
          <w:szCs w:val="16"/>
          <w:color w:val="auto"/>
        </w:rPr>
      </w:pPr>
    </w:p>
    <w:p>
      <w:pPr>
        <w:ind w:right="2779" w:firstLine="833"/>
        <w:spacing w:after="0" w:line="289" w:lineRule="auto"/>
        <w:tabs>
          <w:tab w:leader="none" w:pos="1209"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upon written notice to Executive.</w:t>
      </w:r>
    </w:p>
    <w:p>
      <w:pPr>
        <w:spacing w:after="0" w:line="60" w:lineRule="exact"/>
        <w:rPr>
          <w:rFonts w:ascii="Courier New" w:cs="Courier New" w:eastAsia="Courier New" w:hAnsi="Courier New"/>
          <w:sz w:val="16"/>
          <w:szCs w:val="16"/>
          <w:color w:val="auto"/>
        </w:rPr>
      </w:pPr>
    </w:p>
    <w:p>
      <w:pPr>
        <w:jc w:val="both"/>
        <w:ind w:right="2879" w:firstLine="833"/>
        <w:spacing w:after="0" w:line="272" w:lineRule="auto"/>
        <w:tabs>
          <w:tab w:leader="none" w:pos="1302" w:val="left"/>
        </w:tabs>
        <w:numPr>
          <w:ilvl w:val="0"/>
          <w:numId w:val="3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TERMINATION. Upon any termination of employment for any reason, Executive shall immediately resign from all Board memberships and other positions with the Company, or any of its parent corporations or subsidiaries held by him at such time.</w:t>
      </w:r>
    </w:p>
    <w:p>
      <w:pPr>
        <w:spacing w:after="0" w:line="73" w:lineRule="exact"/>
        <w:rPr>
          <w:sz w:val="20"/>
          <w:szCs w:val="20"/>
          <w:color w:val="auto"/>
        </w:rPr>
      </w:pPr>
    </w:p>
    <w:p>
      <w:pPr>
        <w:ind w:left="1660" w:hanging="827"/>
        <w:spacing w:after="0"/>
        <w:tabs>
          <w:tab w:leader="none" w:pos="1660" w:val="left"/>
        </w:tabs>
        <w:numPr>
          <w:ilvl w:val="0"/>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FOLLOWING TERMINATION OF EMPLOYMENT.</w:t>
      </w:r>
    </w:p>
    <w:p>
      <w:pPr>
        <w:spacing w:after="0" w:line="177"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61" w:lineRule="exact"/>
        <w:rPr>
          <w:sz w:val="20"/>
          <w:szCs w:val="20"/>
          <w:color w:val="auto"/>
        </w:rPr>
      </w:pPr>
    </w:p>
    <w:p>
      <w:pPr>
        <w:ind w:right="2959" w:firstLine="833"/>
        <w:spacing w:after="0" w:line="289" w:lineRule="auto"/>
        <w:tabs>
          <w:tab w:leader="none" w:pos="1302" w:val="left"/>
        </w:tabs>
        <w:numPr>
          <w:ilvl w:val="0"/>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DEATH. In the event that Executive's employment is terminated by reason of Executive's death, the Company shall pay the following amounts to Executive's beneficiary or estate:</w:t>
      </w:r>
    </w:p>
    <w:p>
      <w:pPr>
        <w:spacing w:after="0" w:line="61" w:lineRule="exact"/>
        <w:rPr>
          <w:sz w:val="20"/>
          <w:szCs w:val="20"/>
          <w:color w:val="auto"/>
        </w:rPr>
      </w:pPr>
    </w:p>
    <w:p>
      <w:pPr>
        <w:ind w:left="1300" w:right="2779" w:hanging="467"/>
        <w:spacing w:after="0" w:line="251" w:lineRule="auto"/>
        <w:tabs>
          <w:tab w:leader="none" w:pos="1300" w:val="left"/>
        </w:tabs>
        <w:numPr>
          <w:ilvl w:val="1"/>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WMI and paid at the same time as senior executives are paid.</w:t>
      </w:r>
    </w:p>
    <w:p>
      <w:pPr>
        <w:spacing w:after="0" w:line="93" w:lineRule="exact"/>
        <w:rPr>
          <w:rFonts w:ascii="Courier New" w:cs="Courier New" w:eastAsia="Courier New" w:hAnsi="Courier New"/>
          <w:sz w:val="16"/>
          <w:szCs w:val="16"/>
          <w:color w:val="auto"/>
        </w:rPr>
      </w:pPr>
    </w:p>
    <w:p>
      <w:pPr>
        <w:ind w:left="1300" w:right="2959" w:hanging="467"/>
        <w:spacing w:after="0" w:line="322" w:lineRule="auto"/>
        <w:tabs>
          <w:tab w:leader="none" w:pos="1300" w:val="left"/>
        </w:tabs>
        <w:numPr>
          <w:ilvl w:val="1"/>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43" w:lineRule="exact"/>
        <w:rPr>
          <w:rFonts w:ascii="Courier New" w:cs="Courier New" w:eastAsia="Courier New" w:hAnsi="Courier New"/>
          <w:sz w:val="14"/>
          <w:szCs w:val="14"/>
          <w:color w:val="auto"/>
        </w:rPr>
      </w:pPr>
    </w:p>
    <w:p>
      <w:pPr>
        <w:ind w:left="1300" w:right="2779" w:hanging="560"/>
        <w:spacing w:after="0" w:line="254" w:lineRule="auto"/>
        <w:tabs>
          <w:tab w:leader="none" w:pos="1300"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88" w:lineRule="exact"/>
        <w:rPr>
          <w:rFonts w:ascii="Courier New" w:cs="Courier New" w:eastAsia="Courier New" w:hAnsi="Courier New"/>
          <w:sz w:val="16"/>
          <w:szCs w:val="16"/>
          <w:color w:val="auto"/>
        </w:rPr>
      </w:pPr>
    </w:p>
    <w:p>
      <w:pPr>
        <w:ind w:left="1300" w:right="2779" w:hanging="467"/>
        <w:spacing w:after="0" w:line="293" w:lineRule="auto"/>
        <w:tabs>
          <w:tab w:leader="none" w:pos="13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death, stock options previously awarded to Executive as of the date of death shall be fully vested, and Executive's estate or beneficiary shall have up to one (1) year from the date of death to exercise all such previously-awarded options, provided that in no event will any option be exercisable beyond its term. No stock options contemplated by this Agreement, but not yet awarded to Executive as of the time of his death, shall be granted.</w:t>
      </w:r>
    </w:p>
    <w:p>
      <w:pPr>
        <w:spacing w:after="0" w:line="25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69" w:right="1440" w:bottom="1440" w:gutter="0" w:footer="0" w:header="0"/>
        </w:sectPr>
      </w:pPr>
    </w:p>
    <w:bookmarkStart w:id="321" w:name="page322"/>
    <w:bookmarkEnd w:id="321"/>
    <w:p>
      <w:pPr>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280" w:right="2959" w:firstLine="833"/>
        <w:spacing w:after="0" w:line="272" w:lineRule="auto"/>
        <w:tabs>
          <w:tab w:leader="none" w:pos="1022"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73" w:lineRule="exact"/>
        <w:rPr>
          <w:sz w:val="20"/>
          <w:szCs w:val="20"/>
          <w:color w:val="auto"/>
        </w:rPr>
      </w:pPr>
    </w:p>
    <w:p>
      <w:pPr>
        <w:ind w:left="1020" w:right="2879" w:hanging="467"/>
        <w:spacing w:after="0" w:line="250" w:lineRule="auto"/>
        <w:tabs>
          <w:tab w:leader="none" w:pos="102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WMI for the year in which Executive is terminated, and to the extent not otherwise paid to the Executive.</w:t>
      </w:r>
    </w:p>
    <w:p>
      <w:pPr>
        <w:spacing w:after="0" w:line="89" w:lineRule="exact"/>
        <w:rPr>
          <w:rFonts w:ascii="Courier New" w:cs="Courier New" w:eastAsia="Courier New" w:hAnsi="Courier New"/>
          <w:sz w:val="16"/>
          <w:szCs w:val="16"/>
          <w:color w:val="auto"/>
        </w:rPr>
      </w:pPr>
    </w:p>
    <w:p>
      <w:pPr>
        <w:ind w:left="1020" w:right="2959" w:hanging="560"/>
        <w:spacing w:after="0" w:line="322" w:lineRule="auto"/>
        <w:tabs>
          <w:tab w:leader="none" w:pos="102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43" w:lineRule="exact"/>
        <w:rPr>
          <w:rFonts w:ascii="Courier New" w:cs="Courier New" w:eastAsia="Courier New" w:hAnsi="Courier New"/>
          <w:sz w:val="14"/>
          <w:szCs w:val="14"/>
          <w:color w:val="auto"/>
        </w:rPr>
      </w:pPr>
    </w:p>
    <w:p>
      <w:pPr>
        <w:ind w:left="1020" w:right="2779" w:hanging="653"/>
        <w:spacing w:after="0" w:line="250" w:lineRule="auto"/>
        <w:tabs>
          <w:tab w:leader="none" w:pos="102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89" w:lineRule="exact"/>
        <w:rPr>
          <w:rFonts w:ascii="Courier New" w:cs="Courier New" w:eastAsia="Courier New" w:hAnsi="Courier New"/>
          <w:sz w:val="16"/>
          <w:szCs w:val="16"/>
          <w:color w:val="auto"/>
        </w:rPr>
      </w:pPr>
    </w:p>
    <w:p>
      <w:pPr>
        <w:ind w:left="1020" w:right="2779" w:hanging="560"/>
        <w:spacing w:after="0" w:line="250" w:lineRule="auto"/>
        <w:tabs>
          <w:tab w:leader="none" w:pos="1020"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Total Disability, stock options previously awarded to Executive as of the date of termination shall be fully vested, and Executive or his legal guardian shall have up to one (1) year from the date of death to exercise all such previously-awarded options, provided that in no event will any option be exercisable beyond its term. No stock options contemplated by this Agreement, but not yet awarded to Executive as of the time of his employment termination, shall be granted.</w:t>
      </w:r>
    </w:p>
    <w:p>
      <w:pPr>
        <w:spacing w:after="0" w:line="90" w:lineRule="exact"/>
        <w:rPr>
          <w:sz w:val="20"/>
          <w:szCs w:val="20"/>
          <w:color w:val="auto"/>
        </w:rPr>
      </w:pPr>
    </w:p>
    <w:p>
      <w:pPr>
        <w:jc w:val="both"/>
        <w:ind w:left="-280" w:right="2779" w:firstLine="833"/>
        <w:spacing w:after="0" w:line="289" w:lineRule="auto"/>
        <w:tabs>
          <w:tab w:leader="none" w:pos="929"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the Company shall pay the following amounts to Executive:</w:t>
      </w:r>
    </w:p>
    <w:p>
      <w:pPr>
        <w:spacing w:after="0" w:line="61" w:lineRule="exact"/>
        <w:rPr>
          <w:sz w:val="20"/>
          <w:szCs w:val="20"/>
          <w:color w:val="auto"/>
        </w:rPr>
      </w:pPr>
    </w:p>
    <w:p>
      <w:pPr>
        <w:ind w:left="1020" w:right="2959" w:hanging="467"/>
        <w:spacing w:after="0" w:line="263" w:lineRule="auto"/>
        <w:tabs>
          <w:tab w:leader="none" w:pos="1020"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80" w:lineRule="exact"/>
        <w:rPr>
          <w:rFonts w:ascii="Courier New" w:cs="Courier New" w:eastAsia="Courier New" w:hAnsi="Courier New"/>
          <w:sz w:val="16"/>
          <w:szCs w:val="16"/>
          <w:color w:val="auto"/>
        </w:rPr>
      </w:pPr>
    </w:p>
    <w:p>
      <w:pPr>
        <w:ind w:left="1020" w:hanging="560"/>
        <w:spacing w:after="0"/>
        <w:tabs>
          <w:tab w:leader="none" w:pos="1020"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w:t>
      </w:r>
    </w:p>
    <w:p>
      <w:pPr>
        <w:spacing w:after="0" w:line="25" w:lineRule="exact"/>
        <w:rPr>
          <w:rFonts w:ascii="Courier New" w:cs="Courier New" w:eastAsia="Courier New" w:hAnsi="Courier New"/>
          <w:sz w:val="16"/>
          <w:szCs w:val="16"/>
          <w:color w:val="auto"/>
        </w:rPr>
      </w:pPr>
    </w:p>
    <w:p>
      <w:pPr>
        <w:ind w:left="1020" w:right="287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the plans, policies and arrangements (including those referred to in Section 4(d) hereof up to the date of termination) shall be determined and paid in accordance with the terms of such plans, policies and arrangements.</w:t>
      </w:r>
    </w:p>
    <w:p>
      <w:pPr>
        <w:spacing w:after="0" w:line="8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39"/>
          </w:cols>
          <w:pgMar w:left="520" w:top="269" w:right="1440" w:bottom="1440" w:gutter="0" w:footer="0" w:header="0"/>
        </w:sectPr>
      </w:pPr>
    </w:p>
    <w:bookmarkStart w:id="322" w:name="page323"/>
    <w:bookmarkEnd w:id="322"/>
    <w:p>
      <w:pPr>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1020" w:right="2779" w:hanging="653"/>
        <w:spacing w:after="0" w:line="296" w:lineRule="auto"/>
        <w:tabs>
          <w:tab w:leader="none" w:pos="102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options, whether vested or not vested prior to the date of such termination of employment, shall be automatically cancelled on the date of employment termination. However, it is expressly understood and agreed that Executive would have no obligation to repay or otherwise reimburse the Company for funds received as a result of Executive's having exercised any previously-vested stock options prior to his employment termination.</w:t>
      </w:r>
    </w:p>
    <w:p>
      <w:pPr>
        <w:spacing w:after="0" w:line="62" w:lineRule="exact"/>
        <w:rPr>
          <w:sz w:val="20"/>
          <w:szCs w:val="20"/>
          <w:color w:val="auto"/>
        </w:rPr>
      </w:pPr>
    </w:p>
    <w:p>
      <w:pPr>
        <w:ind w:left="-280" w:right="2879" w:firstLine="833"/>
        <w:spacing w:after="0" w:line="289" w:lineRule="auto"/>
        <w:tabs>
          <w:tab w:leader="none" w:pos="1022"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In the event that Executive voluntarily terminates employment other than for Good Reason, the Company shall pay the following amounts to Executive:</w:t>
      </w:r>
    </w:p>
    <w:p>
      <w:pPr>
        <w:spacing w:after="0" w:line="61" w:lineRule="exact"/>
        <w:rPr>
          <w:sz w:val="20"/>
          <w:szCs w:val="20"/>
          <w:color w:val="auto"/>
        </w:rPr>
      </w:pPr>
    </w:p>
    <w:p>
      <w:pPr>
        <w:ind w:left="1020" w:right="2959" w:hanging="467"/>
        <w:spacing w:after="0" w:line="263" w:lineRule="auto"/>
        <w:tabs>
          <w:tab w:leader="none" w:pos="1020"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80" w:lineRule="exact"/>
        <w:rPr>
          <w:rFonts w:ascii="Courier New" w:cs="Courier New" w:eastAsia="Courier New" w:hAnsi="Courier New"/>
          <w:sz w:val="16"/>
          <w:szCs w:val="16"/>
          <w:color w:val="auto"/>
        </w:rPr>
      </w:pPr>
    </w:p>
    <w:p>
      <w:pPr>
        <w:ind w:left="1020" w:right="2959" w:hanging="560"/>
        <w:spacing w:after="0" w:line="263" w:lineRule="auto"/>
        <w:tabs>
          <w:tab w:leader="none" w:pos="1020" w:val="left"/>
        </w:tabs>
        <w:numPr>
          <w:ilvl w:val="0"/>
          <w:numId w:val="3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80" w:lineRule="exact"/>
        <w:rPr>
          <w:rFonts w:ascii="Courier New" w:cs="Courier New" w:eastAsia="Courier New" w:hAnsi="Courier New"/>
          <w:sz w:val="16"/>
          <w:szCs w:val="16"/>
          <w:color w:val="auto"/>
        </w:rPr>
      </w:pPr>
    </w:p>
    <w:p>
      <w:pPr>
        <w:ind w:left="1020" w:right="2779" w:hanging="653"/>
        <w:spacing w:after="0" w:line="293" w:lineRule="auto"/>
        <w:tabs>
          <w:tab w:leader="none" w:pos="102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 options that have not vested prior to the date of such termination of employment shall be automatically cancelled as of that date, and Executive shall have ninety (90) days following the date of termination of employment to exercise any previously vested options; provided that in no event will any option be exercisable beyond its term. No stock options contemplated by this Agreement, but not yet awarded to Executive as of the time of his employment termination, shall be granted.</w:t>
      </w:r>
    </w:p>
    <w:p>
      <w:pPr>
        <w:spacing w:after="0" w:line="255" w:lineRule="exact"/>
        <w:rPr>
          <w:sz w:val="20"/>
          <w:szCs w:val="20"/>
          <w:color w:val="auto"/>
        </w:rPr>
      </w:pPr>
    </w:p>
    <w:p>
      <w:pPr>
        <w:ind w:left="-280" w:right="2779" w:firstLine="833"/>
        <w:spacing w:after="0" w:line="263" w:lineRule="auto"/>
        <w:tabs>
          <w:tab w:leader="none" w:pos="1022" w:val="left"/>
        </w:tabs>
        <w:numPr>
          <w:ilvl w:val="0"/>
          <w:numId w:val="3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80" w:lineRule="exact"/>
        <w:rPr>
          <w:sz w:val="20"/>
          <w:szCs w:val="20"/>
          <w:color w:val="auto"/>
        </w:rPr>
      </w:pPr>
    </w:p>
    <w:p>
      <w:pPr>
        <w:ind w:left="1020" w:right="2959" w:hanging="467"/>
        <w:spacing w:after="0" w:line="263" w:lineRule="auto"/>
        <w:tabs>
          <w:tab w:leader="none" w:pos="1020"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80" w:lineRule="exact"/>
        <w:rPr>
          <w:rFonts w:ascii="Courier New" w:cs="Courier New" w:eastAsia="Courier New" w:hAnsi="Courier New"/>
          <w:sz w:val="16"/>
          <w:szCs w:val="16"/>
          <w:color w:val="auto"/>
        </w:rPr>
      </w:pPr>
    </w:p>
    <w:p>
      <w:pPr>
        <w:ind w:left="1020" w:right="2959" w:hanging="560"/>
        <w:spacing w:after="0" w:line="272" w:lineRule="auto"/>
        <w:tabs>
          <w:tab w:leader="none" w:pos="1020" w:val="left"/>
        </w:tabs>
        <w:numPr>
          <w:ilvl w:val="0"/>
          <w:numId w:val="3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72" w:lineRule="exact"/>
        <w:rPr>
          <w:rFonts w:ascii="Courier New" w:cs="Courier New" w:eastAsia="Courier New" w:hAnsi="Courier New"/>
          <w:sz w:val="16"/>
          <w:szCs w:val="16"/>
          <w:color w:val="auto"/>
        </w:rPr>
      </w:pPr>
    </w:p>
    <w:p>
      <w:pPr>
        <w:ind w:left="1020" w:right="2879" w:hanging="653"/>
        <w:spacing w:after="0" w:line="322" w:lineRule="auto"/>
        <w:tabs>
          <w:tab w:leader="none" w:pos="102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two times the sum of Executive's Base Salary plus his Target Annual Bonus (in each case as then in effect), of which one-half shall be paid in a lump sum within ten (10) days after such termination and one-half shall be paid</w:t>
      </w:r>
    </w:p>
    <w:p>
      <w:pPr>
        <w:spacing w:after="0" w:line="4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39"/>
          </w:cols>
          <w:pgMar w:left="520" w:top="268" w:right="1440" w:bottom="1440" w:gutter="0" w:footer="0" w:header="0"/>
        </w:sectPr>
      </w:pPr>
    </w:p>
    <w:bookmarkStart w:id="323" w:name="page324"/>
    <w:bookmarkEnd w:id="323"/>
    <w:p>
      <w:pPr>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1020" w:right="2879"/>
        <w:spacing w:after="0" w:line="322" w:lineRule="auto"/>
        <w:rPr>
          <w:sz w:val="20"/>
          <w:szCs w:val="20"/>
          <w:color w:val="auto"/>
        </w:rPr>
      </w:pPr>
      <w:r>
        <w:rPr>
          <w:rFonts w:ascii="Courier New" w:cs="Courier New" w:eastAsia="Courier New" w:hAnsi="Courier New"/>
          <w:sz w:val="14"/>
          <w:szCs w:val="14"/>
          <w:color w:val="auto"/>
        </w:rPr>
        <w:t>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43" w:lineRule="exact"/>
        <w:rPr>
          <w:sz w:val="20"/>
          <w:szCs w:val="20"/>
          <w:color w:val="auto"/>
        </w:rPr>
      </w:pPr>
    </w:p>
    <w:p>
      <w:pPr>
        <w:ind w:left="1020" w:right="2779" w:hanging="560"/>
        <w:spacing w:after="0" w:line="279" w:lineRule="auto"/>
        <w:tabs>
          <w:tab w:leader="none" w:pos="102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at its expense will continue for Executive and Executive's spouse 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264" w:lineRule="exact"/>
        <w:rPr>
          <w:rFonts w:ascii="Courier New" w:cs="Courier New" w:eastAsia="Courier New" w:hAnsi="Courier New"/>
          <w:sz w:val="14"/>
          <w:szCs w:val="14"/>
          <w:color w:val="auto"/>
        </w:rPr>
      </w:pPr>
    </w:p>
    <w:p>
      <w:pPr>
        <w:ind w:left="1020" w:right="2779" w:hanging="467"/>
        <w:spacing w:after="0" w:line="258" w:lineRule="auto"/>
        <w:tabs>
          <w:tab w:leader="none" w:pos="1020" w:val="left"/>
        </w:tabs>
        <w:numPr>
          <w:ilvl w:val="0"/>
          <w:numId w:val="3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may any option be exercisable beyond its term.</w:t>
      </w:r>
    </w:p>
    <w:p>
      <w:pPr>
        <w:spacing w:after="0" w:line="83" w:lineRule="exact"/>
        <w:rPr>
          <w:sz w:val="20"/>
          <w:szCs w:val="20"/>
          <w:color w:val="auto"/>
        </w:rPr>
      </w:pPr>
    </w:p>
    <w:p>
      <w:pPr>
        <w:ind w:left="-280" w:right="2779" w:firstLine="833"/>
        <w:spacing w:after="0" w:line="254" w:lineRule="auto"/>
        <w:tabs>
          <w:tab w:leader="none" w:pos="1022" w:val="left"/>
        </w:tabs>
        <w:numPr>
          <w:ilvl w:val="0"/>
          <w:numId w:val="3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280" w:right="2779" w:firstLine="833"/>
        <w:spacing w:after="0" w:line="292" w:lineRule="auto"/>
        <w:tabs>
          <w:tab w:leader="none" w:pos="1022"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66" w:lineRule="exact"/>
        <w:rPr>
          <w:sz w:val="20"/>
          <w:szCs w:val="20"/>
          <w:color w:val="auto"/>
        </w:rPr>
      </w:pPr>
    </w:p>
    <w:p>
      <w:pPr>
        <w:ind w:left="-280" w:right="3239" w:firstLine="833"/>
        <w:spacing w:after="0" w:line="342" w:lineRule="auto"/>
        <w:tabs>
          <w:tab w:leader="none" w:pos="1394" w:val="left"/>
        </w:tabs>
        <w:numPr>
          <w:ilvl w:val="0"/>
          <w:numId w:val="3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280" w:right="2959" w:firstLine="833"/>
        <w:spacing w:after="0" w:line="272" w:lineRule="auto"/>
        <w:tabs>
          <w:tab w:leader="none" w:pos="1022" w:val="left"/>
        </w:tabs>
        <w:numPr>
          <w:ilvl w:val="0"/>
          <w:numId w:val="3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and Executive terminates his employment for Good Reason thereafter, or the Company terminates Executive's employment other than for Cause, or such</w:t>
      </w:r>
    </w:p>
    <w:p>
      <w:pPr>
        <w:spacing w:after="0" w:line="7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268" w:right="1440" w:bottom="1440" w:gutter="0" w:footer="0" w:header="0"/>
        </w:sectPr>
      </w:pPr>
    </w:p>
    <w:bookmarkStart w:id="324" w:name="page325"/>
    <w:bookmarkEnd w:id="324"/>
    <w:p>
      <w:pPr>
        <w:ind w:left="280"/>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right="2779"/>
        <w:spacing w:after="0" w:line="263" w:lineRule="auto"/>
        <w:rPr>
          <w:sz w:val="20"/>
          <w:szCs w:val="20"/>
          <w:color w:val="auto"/>
        </w:rPr>
      </w:pPr>
      <w:r>
        <w:rPr>
          <w:rFonts w:ascii="Courier New" w:cs="Courier New" w:eastAsia="Courier New" w:hAnsi="Courier New"/>
          <w:sz w:val="16"/>
          <w:szCs w:val="16"/>
          <w:color w:val="auto"/>
        </w:rPr>
        <w:t>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80" w:lineRule="exact"/>
        <w:rPr>
          <w:sz w:val="20"/>
          <w:szCs w:val="20"/>
          <w:color w:val="auto"/>
        </w:rPr>
      </w:pPr>
    </w:p>
    <w:p>
      <w:pPr>
        <w:ind w:left="1300" w:right="2879" w:hanging="467"/>
        <w:spacing w:after="0" w:line="309" w:lineRule="auto"/>
        <w:tabs>
          <w:tab w:leader="none" w:pos="130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payments and benefits provided for in Section 6(e), except that (A) the amount and period with respect to which severance is calculated pursuant to Section 6(e)(iii) will be three (3) years and the amount shall be paid in a lump-sum and (B) the benefit continuation period in Section 6(e)(iv) shall be for three years.</w:t>
      </w:r>
    </w:p>
    <w:p>
      <w:pPr>
        <w:spacing w:after="0" w:line="52" w:lineRule="exact"/>
        <w:rPr>
          <w:rFonts w:ascii="Courier New" w:cs="Courier New" w:eastAsia="Courier New" w:hAnsi="Courier New"/>
          <w:sz w:val="14"/>
          <w:szCs w:val="14"/>
          <w:color w:val="auto"/>
        </w:rPr>
      </w:pPr>
    </w:p>
    <w:p>
      <w:pPr>
        <w:ind w:left="1300" w:right="2779" w:hanging="560"/>
        <w:spacing w:after="0" w:line="274" w:lineRule="auto"/>
        <w:tabs>
          <w:tab w:leader="none" w:pos="130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lieu of Section 6(e)(v), Executive will be 100% vested in all benefits, awards, and grants (including stock option grants and stock awards, all of such stock options exercisable for three (3)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w:t>
      </w:r>
    </w:p>
    <w:p>
      <w:pPr>
        <w:spacing w:after="0" w:line="1" w:lineRule="exact"/>
        <w:rPr>
          <w:rFonts w:ascii="Courier New" w:cs="Courier New" w:eastAsia="Courier New" w:hAnsi="Courier New"/>
          <w:sz w:val="14"/>
          <w:szCs w:val="14"/>
          <w:color w:val="auto"/>
        </w:rPr>
      </w:pPr>
    </w:p>
    <w:p>
      <w:pPr>
        <w:ind w:left="1660" w:hanging="362"/>
        <w:spacing w:after="0" w:line="236" w:lineRule="auto"/>
        <w:tabs>
          <w:tab w:leader="none" w:pos="1660" w:val="left"/>
        </w:tabs>
        <w:numPr>
          <w:ilvl w:val="1"/>
          <w:numId w:val="3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effective date of Executive's termination.</w:t>
      </w:r>
    </w:p>
    <w:p>
      <w:pPr>
        <w:ind w:left="1300" w:right="27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92" w:lineRule="exact"/>
        <w:rPr>
          <w:sz w:val="20"/>
          <w:szCs w:val="20"/>
          <w:color w:val="auto"/>
        </w:rPr>
      </w:pPr>
    </w:p>
    <w:p>
      <w:pPr>
        <w:ind w:right="3159" w:firstLine="833"/>
        <w:spacing w:after="0" w:line="342" w:lineRule="auto"/>
        <w:tabs>
          <w:tab w:leader="none" w:pos="1302" w:val="left"/>
        </w:tabs>
        <w:numPr>
          <w:ilvl w:val="0"/>
          <w:numId w:val="3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sz w:val="20"/>
          <w:szCs w:val="20"/>
          <w:color w:val="auto"/>
        </w:rPr>
      </w:pPr>
    </w:p>
    <w:p>
      <w:pPr>
        <w:ind w:left="1300" w:right="2779" w:hanging="467"/>
        <w:spacing w:after="0" w:line="258" w:lineRule="auto"/>
        <w:tabs>
          <w:tab w:leader="none" w:pos="1300" w:val="left"/>
        </w:tabs>
        <w:numPr>
          <w:ilvl w:val="0"/>
          <w:numId w:val="3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is or becomes the Beneficial Owner, directly or indirectly, of securities of WMI (not including in the securities beneficially owned by such person any securities acquired directly from WMI or its Affiliates) representing twenty-five percent (25%) or more of the combined voting power of WMI's then outstanding voting securities;</w:t>
      </w:r>
    </w:p>
    <w:p>
      <w:pPr>
        <w:spacing w:after="0" w:line="83" w:lineRule="exact"/>
        <w:rPr>
          <w:rFonts w:ascii="Courier New" w:cs="Courier New" w:eastAsia="Courier New" w:hAnsi="Courier New"/>
          <w:sz w:val="16"/>
          <w:szCs w:val="16"/>
          <w:color w:val="auto"/>
        </w:rPr>
      </w:pPr>
    </w:p>
    <w:p>
      <w:pPr>
        <w:ind w:left="1300" w:right="2779" w:hanging="560"/>
        <w:spacing w:after="0" w:line="285" w:lineRule="auto"/>
        <w:tabs>
          <w:tab w:leader="none" w:pos="130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individuals who, on the Employment Date, constitute the Board and any new director (other than a director whose initial assumption of office is in connection with an actual or threatened election contest, including but not limited to a consent solicitation, relating to the election of directors of WMI) whose appointment or election by the Board or nomination for election by WMI's stockholders was approved or recommended by a vote of the at least two-thirds (2/3rds) of the directors then still in office who either were directors on the Employment Date or whose appointment, election or nomination for election was previously so approved or recommended;</w:t>
      </w:r>
    </w:p>
    <w:p>
      <w:pPr>
        <w:spacing w:after="0" w:line="25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68" w:right="1440" w:bottom="1440" w:gutter="0" w:footer="0" w:header="0"/>
        </w:sectPr>
      </w:pPr>
    </w:p>
    <w:bookmarkStart w:id="325" w:name="page326"/>
    <w:bookmarkEnd w:id="325"/>
    <w:p>
      <w:pPr>
        <w:ind w:left="280"/>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1300" w:right="2779" w:hanging="653"/>
        <w:spacing w:after="0" w:line="282" w:lineRule="auto"/>
        <w:tabs>
          <w:tab w:leader="none" w:pos="13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consummated merger or consolidation of WMI or any direct or indirect subsidiary of WMI with any other corporation, other than (A) a merger or consolidation which would result in the voting securities of WMI outstanding immediately prior thereto continuing to represent (either by remaining outstanding or by being converted into voting securities of the surviving or parent entity) more than fifty percent (50%) of the combined voting power of the voting securities of WMI or such surviving or parent equity outstanding immediately after such merger or consolidation or (B) a merger or consolidation effected to implement a recapitalization of WMI (or similar transaction) in which no Person, directly or indirectly, acquired twenty-five percent (25%) or more of the combined voting power of WMI's then outstanding securities (not including in the securities beneficially owned by such person any securities acquired directly from WMI or its Affiliates); or</w:t>
      </w:r>
    </w:p>
    <w:p>
      <w:pPr>
        <w:spacing w:after="0" w:line="253" w:lineRule="exact"/>
        <w:rPr>
          <w:rFonts w:ascii="Courier New" w:cs="Courier New" w:eastAsia="Courier New" w:hAnsi="Courier New"/>
          <w:sz w:val="14"/>
          <w:szCs w:val="14"/>
          <w:color w:val="auto"/>
        </w:rPr>
      </w:pPr>
    </w:p>
    <w:p>
      <w:pPr>
        <w:ind w:left="1300" w:right="2779" w:hanging="560"/>
        <w:spacing w:after="0" w:line="290" w:lineRule="auto"/>
        <w:tabs>
          <w:tab w:leader="none" w:pos="1300"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holders of WMI approve a plan of complete liquidation of WMI or there is consummated an agreement for the sale or disposition by WMI of all or substantially all of WMI's assets (or any transaction having a similar effect), other than a sale or disposition by WMI of all or substantially all of WMI's assets to an entity, at least fifty percent (50%) of the combined voting power of the voting securities of which are owned by stockholders of WMI in substantially the same proportions as their ownership of WMI immediately prior to such sale.</w:t>
      </w:r>
    </w:p>
    <w:p>
      <w:pPr>
        <w:spacing w:after="0" w:line="256"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For purposes of this Section 7(b), the following terms shall have the following meanings:</w:t>
      </w:r>
    </w:p>
    <w:p>
      <w:pPr>
        <w:spacing w:after="0" w:line="20" w:lineRule="exact"/>
        <w:rPr>
          <w:sz w:val="20"/>
          <w:szCs w:val="20"/>
          <w:color w:val="auto"/>
        </w:rPr>
      </w:pPr>
    </w:p>
    <w:p>
      <w:pPr>
        <w:ind w:left="1300" w:hanging="467"/>
        <w:spacing w:after="0"/>
        <w:tabs>
          <w:tab w:leader="none" w:pos="1300"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 affiliate of WMI, as defined in</w:t>
      </w:r>
    </w:p>
    <w:p>
      <w:pPr>
        <w:spacing w:after="0" w:line="25" w:lineRule="exact"/>
        <w:rPr>
          <w:rFonts w:ascii="Courier New" w:cs="Courier New" w:eastAsia="Courier New" w:hAnsi="Courier New"/>
          <w:sz w:val="16"/>
          <w:szCs w:val="16"/>
          <w:color w:val="auto"/>
        </w:rPr>
      </w:pPr>
    </w:p>
    <w:p>
      <w:pPr>
        <w:ind w:left="1300" w:right="2779"/>
        <w:spacing w:after="0" w:line="383" w:lineRule="auto"/>
        <w:rPr>
          <w:rFonts w:ascii="Courier New" w:cs="Courier New" w:eastAsia="Courier New" w:hAnsi="Courier New"/>
          <w:sz w:val="16"/>
          <w:szCs w:val="16"/>
          <w:color w:val="auto"/>
        </w:rPr>
      </w:pPr>
      <w:r>
        <w:rPr>
          <w:rFonts w:ascii="Courier New" w:cs="Courier New" w:eastAsia="Courier New" w:hAnsi="Courier New"/>
          <w:sz w:val="14"/>
          <w:szCs w:val="14"/>
          <w:color w:val="auto"/>
        </w:rPr>
        <w:t>Rule 12b-2 promulgated under Section 12 of the Securities Exchange Act of 1934, as amended from time to time (the "Exchange Act");</w:t>
      </w:r>
    </w:p>
    <w:p>
      <w:pPr>
        <w:spacing w:after="0" w:line="2" w:lineRule="exact"/>
        <w:rPr>
          <w:rFonts w:ascii="Courier New" w:cs="Courier New" w:eastAsia="Courier New" w:hAnsi="Courier New"/>
          <w:sz w:val="16"/>
          <w:szCs w:val="16"/>
          <w:color w:val="auto"/>
        </w:rPr>
      </w:pPr>
    </w:p>
    <w:p>
      <w:pPr>
        <w:ind w:left="1300" w:right="2879" w:hanging="560"/>
        <w:spacing w:after="0" w:line="342" w:lineRule="auto"/>
        <w:tabs>
          <w:tab w:leader="none" w:pos="1300"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shall have the meaning set forth in Rule 13d-3 under the Exchange Act;</w:t>
      </w:r>
    </w:p>
    <w:p>
      <w:pPr>
        <w:spacing w:after="0" w:line="20" w:lineRule="exact"/>
        <w:rPr>
          <w:rFonts w:ascii="Courier New" w:cs="Courier New" w:eastAsia="Courier New" w:hAnsi="Courier New"/>
          <w:sz w:val="16"/>
          <w:szCs w:val="16"/>
          <w:color w:val="auto"/>
        </w:rPr>
      </w:pPr>
    </w:p>
    <w:p>
      <w:pPr>
        <w:ind w:left="1300" w:right="2779" w:hanging="653"/>
        <w:spacing w:after="0" w:line="250" w:lineRule="auto"/>
        <w:tabs>
          <w:tab w:leader="none" w:pos="1300" w:val="left"/>
        </w:tabs>
        <w:numPr>
          <w:ilvl w:val="1"/>
          <w:numId w:val="3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set forth in Section 3(a)(9) of the Exchange Act, as modified and used in Sections 13(d) and 14(d) thereof, except that such term shall not include (1) WMI, (2) a trustee or other fiduciary holding securities under an employee benefit plan of WMI, (3) an underwriter temporarily holding securities pursuant to an offering of such securities or (4) a corporation owned, directly or indirectly, by the stockholders of WMI in substantially the same proportions as their ownership of shares of Common Stock of WMI.</w:t>
      </w:r>
    </w:p>
    <w:p>
      <w:pPr>
        <w:spacing w:after="0" w:line="89" w:lineRule="exact"/>
        <w:rPr>
          <w:rFonts w:ascii="Courier New" w:cs="Courier New" w:eastAsia="Courier New" w:hAnsi="Courier New"/>
          <w:sz w:val="16"/>
          <w:szCs w:val="16"/>
          <w:color w:val="auto"/>
        </w:rPr>
      </w:pPr>
    </w:p>
    <w:p>
      <w:pPr>
        <w:ind w:left="1660" w:hanging="827"/>
        <w:spacing w:after="0"/>
        <w:tabs>
          <w:tab w:leader="none" w:pos="1660" w:val="left"/>
        </w:tabs>
        <w:numPr>
          <w:ilvl w:val="0"/>
          <w:numId w:val="3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COVENANTS</w:t>
      </w:r>
    </w:p>
    <w:p>
      <w:pPr>
        <w:spacing w:after="0" w:line="177" w:lineRule="exact"/>
        <w:rPr>
          <w:sz w:val="20"/>
          <w:szCs w:val="20"/>
          <w:color w:val="auto"/>
        </w:rPr>
      </w:pPr>
    </w:p>
    <w:p>
      <w:pPr>
        <w:ind w:right="2779" w:firstLine="833"/>
        <w:spacing w:after="0" w:line="258" w:lineRule="auto"/>
        <w:tabs>
          <w:tab w:leader="none" w:pos="1302" w:val="left"/>
        </w:tabs>
        <w:numPr>
          <w:ilvl w:val="0"/>
          <w:numId w:val="3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The terms of this Agreement constitute Confidential Information, which Executive shall not disclose to anyone other than Executive's spouse, lawyers, advisors, or as required by law. Disclosure of these terms is a material breach of this Agreement and could subject Executive to disciplinary action, including without limitation, termination of employment for Cause.</w:t>
      </w:r>
    </w:p>
    <w:p>
      <w:pPr>
        <w:spacing w:after="0" w:line="8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68" w:right="1440" w:bottom="1440" w:gutter="0" w:footer="0" w:header="0"/>
        </w:sectPr>
      </w:pPr>
    </w:p>
    <w:bookmarkStart w:id="326" w:name="page327"/>
    <w:bookmarkEnd w:id="326"/>
    <w:p>
      <w:pPr>
        <w:ind w:left="280"/>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right="2779" w:firstLine="833"/>
        <w:spacing w:after="0" w:line="282" w:lineRule="auto"/>
        <w:tabs>
          <w:tab w:leader="none" w:pos="1302"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PROPERTY. All written materials, records, data, and other documents prepared or possessed by Executive during Executive's employment 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260" w:lineRule="exact"/>
        <w:rPr>
          <w:rFonts w:ascii="Courier New" w:cs="Courier New" w:eastAsia="Courier New" w:hAnsi="Courier New"/>
          <w:sz w:val="14"/>
          <w:szCs w:val="14"/>
          <w:color w:val="auto"/>
        </w:rPr>
      </w:pPr>
    </w:p>
    <w:p>
      <w:pPr>
        <w:ind w:right="2879" w:firstLine="833"/>
        <w:spacing w:after="0" w:line="263" w:lineRule="auto"/>
        <w:tabs>
          <w:tab w:leader="none" w:pos="1302" w:val="left"/>
        </w:tabs>
        <w:numPr>
          <w:ilvl w:val="0"/>
          <w:numId w:val="3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NON-DISCLOSURE. Executive acknowledges that the business of the Company is highly competitive and that the Company has agreed to provide and immediately will provide Executive with access to "Confidential Information" relating to the business of the Company, WMI, and their respective affiliates.</w:t>
      </w:r>
    </w:p>
    <w:p>
      <w:pPr>
        <w:spacing w:after="0" w:line="80" w:lineRule="exact"/>
        <w:rPr>
          <w:sz w:val="20"/>
          <w:szCs w:val="20"/>
          <w:color w:val="auto"/>
        </w:rPr>
      </w:pPr>
    </w:p>
    <w:p>
      <w:pPr>
        <w:ind w:right="2779" w:firstLine="837"/>
        <w:spacing w:after="0" w:line="275" w:lineRule="auto"/>
        <w:rPr>
          <w:sz w:val="20"/>
          <w:szCs w:val="20"/>
          <w:color w:val="auto"/>
        </w:rPr>
      </w:pPr>
      <w:r>
        <w:rPr>
          <w:rFonts w:ascii="Courier New" w:cs="Courier New" w:eastAsia="Courier New" w:hAnsi="Courier New"/>
          <w:sz w:val="14"/>
          <w:szCs w:val="14"/>
          <w:color w:val="auto"/>
        </w:rPr>
        <w:t>For purposes of this Agreement, "Confidential Information" means and includes the Company's and WMI's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 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Waste Management, Inc. and their respective affiliates in their businesses to obtain a competitive advantage over their competitors. Executive further acknowledges that protection of such Confidential Information against unauthorized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69" w:right="1440" w:bottom="1440" w:gutter="0" w:footer="0" w:header="0"/>
        </w:sectPr>
      </w:pPr>
    </w:p>
    <w:bookmarkStart w:id="327" w:name="page328"/>
    <w:bookmarkEnd w:id="327"/>
    <w:p>
      <w:pPr>
        <w:ind w:left="280"/>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right="2879"/>
        <w:spacing w:after="0" w:line="406" w:lineRule="auto"/>
        <w:rPr>
          <w:sz w:val="20"/>
          <w:szCs w:val="20"/>
          <w:color w:val="auto"/>
        </w:rPr>
      </w:pPr>
      <w:r>
        <w:rPr>
          <w:rFonts w:ascii="Courier New" w:cs="Courier New" w:eastAsia="Courier New" w:hAnsi="Courier New"/>
          <w:sz w:val="14"/>
          <w:szCs w:val="14"/>
          <w:color w:val="auto"/>
        </w:rPr>
        <w:t>disclosure and use is of critical importance to the Company, Waste Management, Inc. and their respective affiliates in maintaining their competitive position.</w:t>
      </w:r>
    </w:p>
    <w:p>
      <w:pPr>
        <w:ind w:right="2779" w:firstLine="837"/>
        <w:spacing w:after="0" w:line="272" w:lineRule="auto"/>
        <w:rPr>
          <w:sz w:val="20"/>
          <w:szCs w:val="20"/>
          <w:color w:val="auto"/>
        </w:rPr>
      </w:pPr>
      <w:r>
        <w:rPr>
          <w:rFonts w:ascii="Courier New" w:cs="Courier New" w:eastAsia="Courier New" w:hAnsi="Courier New"/>
          <w:sz w:val="16"/>
          <w:szCs w:val="16"/>
          <w:color w:val="auto"/>
        </w:rPr>
        <w:t>Executive also will have access to, or knowledge of, Confidential Information of third parties, such as actual and potential customers, suppliers, partners, joint venturers, investors, financing sources, and the like, of the Company, Waste Management, Inc. and their affiliates.</w:t>
      </w:r>
    </w:p>
    <w:p>
      <w:pPr>
        <w:spacing w:after="0" w:line="73"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The Company also agrees to provide Executive with one or more of the following: access to Confidential Information; specialized training regarding the Company's and WMI's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95" w:lineRule="exact"/>
        <w:rPr>
          <w:sz w:val="20"/>
          <w:szCs w:val="20"/>
          <w:color w:val="auto"/>
        </w:rPr>
      </w:pPr>
    </w:p>
    <w:p>
      <w:pPr>
        <w:ind w:right="2779" w:firstLine="837"/>
        <w:spacing w:after="0" w:line="293" w:lineRule="auto"/>
        <w:rPr>
          <w:sz w:val="20"/>
          <w:szCs w:val="20"/>
          <w:color w:val="auto"/>
        </w:rPr>
      </w:pPr>
      <w:r>
        <w:rPr>
          <w:rFonts w:ascii="Courier New" w:cs="Courier New" w:eastAsia="Courier New" w:hAnsi="Courier New"/>
          <w:sz w:val="14"/>
          <w:szCs w:val="14"/>
          <w:color w:val="auto"/>
        </w:rPr>
        <w:t>In addition to the requirements set forth in Section 5(c)(i), Executive agrees that Executive will not after Executive's employment with the Company, make any unauthorized disclosure of any then Confidential Information or specialized training of the Company, WMI, or their respective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255" w:lineRule="exact"/>
        <w:rPr>
          <w:sz w:val="20"/>
          <w:szCs w:val="20"/>
          <w:color w:val="auto"/>
        </w:rPr>
      </w:pPr>
    </w:p>
    <w:p>
      <w:pPr>
        <w:ind w:right="2779" w:firstLine="833"/>
        <w:spacing w:after="0" w:line="245" w:lineRule="auto"/>
        <w:tabs>
          <w:tab w:leader="none" w:pos="1302" w:val="left"/>
        </w:tabs>
        <w:numPr>
          <w:ilvl w:val="0"/>
          <w:numId w:val="3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UNFAIR COMPETITION RESTRICTIONS. Upon Executive's Employment Date, the Company agrees to and shall provide Executive with immediate access to 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Canada (the "Restricted Area") do the following, unless expressly authorized to do so in writing by the Chief Executive Officer of WMI:</w:t>
      </w:r>
    </w:p>
    <w:p>
      <w:pPr>
        <w:spacing w:after="0" w:line="93" w:lineRule="exact"/>
        <w:rPr>
          <w:sz w:val="20"/>
          <w:szCs w:val="20"/>
          <w:color w:val="auto"/>
        </w:rPr>
      </w:pPr>
    </w:p>
    <w:p>
      <w:pPr>
        <w:ind w:left="1300" w:right="2779"/>
        <w:spacing w:after="0"/>
        <w:rPr>
          <w:sz w:val="20"/>
          <w:szCs w:val="20"/>
          <w:color w:val="auto"/>
        </w:rPr>
      </w:pPr>
      <w:r>
        <w:rPr>
          <w:rFonts w:ascii="Courier New" w:cs="Courier New" w:eastAsia="Courier New" w:hAnsi="Courier New"/>
          <w:sz w:val="16"/>
          <w:szCs w:val="16"/>
          <w:color w:val="auto"/>
        </w:rPr>
        <w:t>Engage in, or assist any person, entity, or business engaged in, the selling or providing of products or services that would displace the products or services that (i) the Company or WMI are currently in the business of providing and were in the business of providing, or were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69" w:right="1440" w:bottom="1440" w:gutter="0" w:footer="0" w:header="0"/>
        </w:sectPr>
      </w:pPr>
    </w:p>
    <w:bookmarkStart w:id="328" w:name="page329"/>
    <w:bookmarkEnd w:id="328"/>
    <w:p>
      <w:pPr>
        <w:ind w:left="280"/>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1300" w:right="2779"/>
        <w:spacing w:after="0" w:line="342" w:lineRule="auto"/>
        <w:rPr>
          <w:sz w:val="20"/>
          <w:szCs w:val="20"/>
          <w:color w:val="auto"/>
        </w:rPr>
      </w:pPr>
      <w:r>
        <w:rPr>
          <w:rFonts w:ascii="Courier New" w:cs="Courier New" w:eastAsia="Courier New" w:hAnsi="Courier New"/>
          <w:sz w:val="16"/>
          <w:szCs w:val="16"/>
          <w:color w:val="auto"/>
        </w:rPr>
        <w:t>solid waste, including the operation of waste-to-energy facilities and alternative energy facilities.</w:t>
      </w:r>
    </w:p>
    <w:p>
      <w:pPr>
        <w:spacing w:after="0" w:line="20" w:lineRule="exact"/>
        <w:rPr>
          <w:sz w:val="20"/>
          <w:szCs w:val="20"/>
          <w:color w:val="auto"/>
        </w:rPr>
      </w:pPr>
    </w:p>
    <w:p>
      <w:pPr>
        <w:ind w:right="2879" w:firstLine="837"/>
        <w:spacing w:after="0" w:line="251" w:lineRule="auto"/>
        <w:rPr>
          <w:sz w:val="20"/>
          <w:szCs w:val="20"/>
          <w:color w:val="auto"/>
        </w:rPr>
      </w:pPr>
      <w:r>
        <w:rPr>
          <w:rFonts w:ascii="Courier New" w:cs="Courier New" w:eastAsia="Courier New" w:hAnsi="Courier New"/>
          <w:sz w:val="16"/>
          <w:szCs w:val="16"/>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94" w:lineRule="exact"/>
        <w:rPr>
          <w:sz w:val="20"/>
          <w:szCs w:val="20"/>
          <w:color w:val="auto"/>
        </w:rPr>
      </w:pPr>
    </w:p>
    <w:p>
      <w:pPr>
        <w:ind w:right="2779" w:firstLine="837"/>
        <w:spacing w:after="0" w:line="245" w:lineRule="auto"/>
        <w:rPr>
          <w:sz w:val="20"/>
          <w:szCs w:val="20"/>
          <w:color w:val="auto"/>
        </w:rPr>
      </w:pPr>
      <w:r>
        <w:rPr>
          <w:rFonts w:ascii="Courier New" w:cs="Courier New" w:eastAsia="Courier New" w:hAnsi="Courier New"/>
          <w:sz w:val="16"/>
          <w:szCs w:val="16"/>
          <w:color w:val="auto"/>
        </w:rPr>
        <w:t>A failure to comply with the foregoing restrictions will create a presumption that Executive is engaging in unfair competition. Executive agrees that this Section defining unfair competition with the Company or with WMI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provincial or federal laws. Executive shall be permitted to engage in activities that would otherwise be prohibited by this covenant if such activities are determined in the sole discretion of the Chief Executive Officer of WMI to be no material threat to the legitimate business interests of the Company or WMI.</w:t>
      </w:r>
    </w:p>
    <w:p>
      <w:pPr>
        <w:spacing w:after="0" w:line="99" w:lineRule="exact"/>
        <w:rPr>
          <w:sz w:val="20"/>
          <w:szCs w:val="20"/>
          <w:color w:val="auto"/>
        </w:rPr>
      </w:pPr>
    </w:p>
    <w:p>
      <w:pPr>
        <w:ind w:right="2779" w:firstLine="833"/>
        <w:spacing w:after="0" w:line="296" w:lineRule="auto"/>
        <w:tabs>
          <w:tab w:leader="none" w:pos="1302"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OF CUSTOMERS. For a period of two (2) years following the termination of employment for any reason, Executive will not call on, service, or solicit competing business from customers of the Company, WMI, or their respective affiliates whom Executive, within the previous twelve (12) months, (i) had or made contact with, or (ii) had access to information and files about, or induce or encourage any such customer or other source of ongoing business to stop doing business with the Company or WMI.</w:t>
      </w:r>
    </w:p>
    <w:p>
      <w:pPr>
        <w:spacing w:after="0" w:line="61" w:lineRule="exact"/>
        <w:rPr>
          <w:rFonts w:ascii="Courier New" w:cs="Courier New" w:eastAsia="Courier New" w:hAnsi="Courier New"/>
          <w:sz w:val="14"/>
          <w:szCs w:val="14"/>
          <w:color w:val="auto"/>
        </w:rPr>
      </w:pPr>
    </w:p>
    <w:p>
      <w:pPr>
        <w:ind w:left="1300" w:hanging="467"/>
        <w:spacing w:after="0"/>
        <w:tabs>
          <w:tab w:leader="none" w:pos="1300" w:val="left"/>
        </w:tabs>
        <w:numPr>
          <w:ilvl w:val="0"/>
          <w:numId w:val="3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OF EMPLOYEES. During Executive's</w:t>
      </w:r>
    </w:p>
    <w:p>
      <w:pPr>
        <w:spacing w:after="0" w:line="26" w:lineRule="exact"/>
        <w:rPr>
          <w:sz w:val="20"/>
          <w:szCs w:val="20"/>
          <w:color w:val="auto"/>
        </w:rPr>
      </w:pPr>
    </w:p>
    <w:p>
      <w:pPr>
        <w:ind w:right="2779"/>
        <w:spacing w:after="0" w:line="248" w:lineRule="auto"/>
        <w:rPr>
          <w:sz w:val="20"/>
          <w:szCs w:val="20"/>
          <w:color w:val="auto"/>
        </w:rPr>
      </w:pPr>
      <w:r>
        <w:rPr>
          <w:rFonts w:ascii="Courier New" w:cs="Courier New" w:eastAsia="Courier New" w:hAnsi="Courier New"/>
          <w:sz w:val="16"/>
          <w:szCs w:val="16"/>
          <w:color w:val="auto"/>
        </w:rPr>
        <w:t>employment, and for a period of two (2) years following the termination of employment for any reason, Executive will not, either directly or indirectly, call on, solicit, encourage, or induce any other employee or officer of the Company, WMI, or their respective affiliates whom Executive had contact with, knowledge of, or association within the course of employment with the Company to terminate his or her employment, and will not assist any other person or entity in such a solicitation.</w:t>
      </w:r>
    </w:p>
    <w:p>
      <w:pPr>
        <w:spacing w:after="0" w:line="92" w:lineRule="exact"/>
        <w:rPr>
          <w:sz w:val="20"/>
          <w:szCs w:val="20"/>
          <w:color w:val="auto"/>
        </w:rPr>
      </w:pPr>
    </w:p>
    <w:p>
      <w:pPr>
        <w:ind w:left="1300" w:hanging="467"/>
        <w:spacing w:after="0"/>
        <w:tabs>
          <w:tab w:leader="none" w:pos="1300" w:val="left"/>
        </w:tabs>
        <w:numPr>
          <w:ilvl w:val="0"/>
          <w:numId w:val="3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NON-DISPARAGEMENT. Executive covenants and agrees that</w:t>
      </w:r>
    </w:p>
    <w:p>
      <w:pPr>
        <w:spacing w:after="0" w:line="26" w:lineRule="exact"/>
        <w:rPr>
          <w:sz w:val="20"/>
          <w:szCs w:val="20"/>
          <w:color w:val="auto"/>
        </w:rPr>
      </w:pPr>
    </w:p>
    <w:p>
      <w:pPr>
        <w:ind w:right="2779"/>
        <w:spacing w:after="0" w:line="250" w:lineRule="auto"/>
        <w:rPr>
          <w:sz w:val="20"/>
          <w:szCs w:val="20"/>
          <w:color w:val="auto"/>
        </w:rPr>
      </w:pPr>
      <w:r>
        <w:rPr>
          <w:rFonts w:ascii="Courier New" w:cs="Courier New" w:eastAsia="Courier New" w:hAnsi="Courier New"/>
          <w:sz w:val="16"/>
          <w:szCs w:val="16"/>
          <w:color w:val="auto"/>
        </w:rPr>
        <w:t>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 damaging to the integrity, reputation or good will of the Company, its management, or of management of corporations affiliated with the Company.</w:t>
      </w:r>
    </w:p>
    <w:p>
      <w:pPr>
        <w:spacing w:after="0" w:line="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69" w:right="1440" w:bottom="1440" w:gutter="0" w:footer="0" w:header="0"/>
        </w:sectPr>
      </w:pPr>
    </w:p>
    <w:bookmarkStart w:id="329" w:name="page330"/>
    <w:bookmarkEnd w:id="329"/>
    <w:p>
      <w:pPr>
        <w:ind w:left="280"/>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left="1660" w:hanging="827"/>
        <w:spacing w:after="0"/>
        <w:tabs>
          <w:tab w:leader="none" w:pos="1660" w:val="left"/>
        </w:tabs>
        <w:numPr>
          <w:ilvl w:val="0"/>
          <w:numId w:val="3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ENFORCEMENT OF COVENANTS.</w:t>
      </w:r>
    </w:p>
    <w:p>
      <w:pPr>
        <w:spacing w:after="0" w:line="177" w:lineRule="exact"/>
        <w:rPr>
          <w:sz w:val="20"/>
          <w:szCs w:val="20"/>
          <w:color w:val="auto"/>
        </w:rPr>
      </w:pPr>
    </w:p>
    <w:p>
      <w:pPr>
        <w:ind w:right="2879" w:firstLine="833"/>
        <w:spacing w:after="0" w:line="281" w:lineRule="auto"/>
        <w:tabs>
          <w:tab w:leader="none" w:pos="1302"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AND FORFEITURE OF COMPENSATION. Executive agrees that any breach by Executive of any of the covenants set forth in Section 8 hereof during Executive's employment by the Company, shall be grounds for immediate dismissal of Executive for Cause pursuant to Section</w:t>
      </w:r>
    </w:p>
    <w:p>
      <w:pPr>
        <w:ind w:right="3059"/>
        <w:spacing w:after="0" w:line="30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5(c)(i), which shall be in addition to and not exclusive of any and all other rights and remedies the Company may have against Executive.</w:t>
      </w:r>
    </w:p>
    <w:p>
      <w:pPr>
        <w:spacing w:after="0" w:line="47" w:lineRule="exact"/>
        <w:rPr>
          <w:rFonts w:ascii="Courier New" w:cs="Courier New" w:eastAsia="Courier New" w:hAnsi="Courier New"/>
          <w:sz w:val="14"/>
          <w:szCs w:val="14"/>
          <w:color w:val="auto"/>
        </w:rPr>
      </w:pPr>
    </w:p>
    <w:p>
      <w:pPr>
        <w:ind w:left="1300" w:hanging="467"/>
        <w:spacing w:after="0"/>
        <w:tabs>
          <w:tab w:leader="none" w:pos="1300" w:val="left"/>
        </w:tabs>
        <w:numPr>
          <w:ilvl w:val="0"/>
          <w:numId w:val="3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INJUNCTION. Executive acknowledges that a breach of</w:t>
      </w:r>
    </w:p>
    <w:p>
      <w:pPr>
        <w:spacing w:after="0" w:line="26"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the covenants set forth in Section 8 hereof will cause irreparable damage to the Company and/or WMI with respect to which the remedy at law for damages will be inadequate. Therefore, in the event of breach or anticipatory breach of the covenants set forth in this section by Executive, Executive and the Company agree that the Company and/or WMI shall be entitled to seek the following particular forms of relief, in addition to remedies otherwise available to it at law or equity: (A) injunctions, both preliminary and permanent, enjoining or restraining such breach or anticipatory breach and Executive hereby consents to the issuance thereof forthwith and without bond by any court of competent jurisdiction; and (B) recovery of all reasonable sums as determined by a court of competent jurisdiction expended and costs, including reasonable lawyer's fees, incurred by the Company and/or WMI to enforce the covenants set forth in this section.</w:t>
      </w:r>
    </w:p>
    <w:p>
      <w:pPr>
        <w:spacing w:after="0" w:line="101" w:lineRule="exact"/>
        <w:rPr>
          <w:sz w:val="20"/>
          <w:szCs w:val="20"/>
          <w:color w:val="auto"/>
        </w:rPr>
      </w:pPr>
    </w:p>
    <w:p>
      <w:pPr>
        <w:ind w:left="1300" w:hanging="467"/>
        <w:spacing w:after="0"/>
        <w:tabs>
          <w:tab w:leader="none" w:pos="1300" w:val="left"/>
        </w:tabs>
        <w:numPr>
          <w:ilvl w:val="0"/>
          <w:numId w:val="3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OF COVENANTS. The covenants contained in</w:t>
      </w:r>
    </w:p>
    <w:p>
      <w:pPr>
        <w:spacing w:after="0" w:line="26" w:lineRule="exact"/>
        <w:rPr>
          <w:sz w:val="20"/>
          <w:szCs w:val="20"/>
          <w:color w:val="auto"/>
        </w:rPr>
      </w:pPr>
    </w:p>
    <w:p>
      <w:pPr>
        <w:ind w:right="2779"/>
        <w:spacing w:after="0" w:line="277" w:lineRule="auto"/>
        <w:rPr>
          <w:sz w:val="20"/>
          <w:szCs w:val="20"/>
          <w:color w:val="auto"/>
        </w:rPr>
      </w:pPr>
      <w:r>
        <w:rPr>
          <w:rFonts w:ascii="Courier New" w:cs="Courier New" w:eastAsia="Courier New" w:hAnsi="Courier New"/>
          <w:sz w:val="14"/>
          <w:szCs w:val="14"/>
          <w:color w:val="auto"/>
        </w:rPr>
        <w:t>Section 8 hereof constitute a series of separate but ancillary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263" w:lineRule="exact"/>
        <w:rPr>
          <w:sz w:val="20"/>
          <w:szCs w:val="20"/>
          <w:color w:val="auto"/>
        </w:rPr>
      </w:pPr>
    </w:p>
    <w:p>
      <w:pPr>
        <w:ind w:left="1660" w:hanging="827"/>
        <w:spacing w:after="0"/>
        <w:tabs>
          <w:tab w:leader="none" w:pos="1660" w:val="left"/>
        </w:tabs>
        <w:numPr>
          <w:ilvl w:val="0"/>
          <w:numId w:val="3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w:t>
      </w:r>
    </w:p>
    <w:p>
      <w:pPr>
        <w:spacing w:after="0" w:line="177" w:lineRule="exact"/>
        <w:rPr>
          <w:sz w:val="20"/>
          <w:szCs w:val="20"/>
          <w:color w:val="auto"/>
        </w:rPr>
      </w:pPr>
    </w:p>
    <w:p>
      <w:pPr>
        <w:ind w:right="2779" w:firstLine="837"/>
        <w:spacing w:after="0" w:line="248"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 advanced by the Company. The Company shall cover the Executive under directors and officers liability insurance both during and, while potential liability exists, after the Employment Period</w:t>
      </w:r>
    </w:p>
    <w:p>
      <w:pPr>
        <w:spacing w:after="0" w:line="9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69" w:right="1440" w:bottom="1440" w:gutter="0" w:footer="0" w:header="0"/>
        </w:sectPr>
      </w:pPr>
    </w:p>
    <w:bookmarkStart w:id="330" w:name="page331"/>
    <w:bookmarkEnd w:id="330"/>
    <w:p>
      <w:pPr>
        <w:ind w:left="280"/>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right="3439"/>
        <w:spacing w:after="0" w:line="342" w:lineRule="auto"/>
        <w:rPr>
          <w:sz w:val="20"/>
          <w:szCs w:val="20"/>
          <w:color w:val="auto"/>
        </w:rPr>
      </w:pPr>
      <w:r>
        <w:rPr>
          <w:rFonts w:ascii="Courier New" w:cs="Courier New" w:eastAsia="Courier New" w:hAnsi="Courier New"/>
          <w:sz w:val="16"/>
          <w:szCs w:val="16"/>
          <w:color w:val="auto"/>
        </w:rPr>
        <w:t>in the same amount and to the same extent as the Company covers its other officers and directors.</w:t>
      </w:r>
    </w:p>
    <w:p>
      <w:pPr>
        <w:spacing w:after="0" w:line="20" w:lineRule="exact"/>
        <w:rPr>
          <w:sz w:val="20"/>
          <w:szCs w:val="20"/>
          <w:color w:val="auto"/>
        </w:rPr>
      </w:pPr>
    </w:p>
    <w:p>
      <w:pPr>
        <w:ind w:left="1660" w:hanging="827"/>
        <w:spacing w:after="0"/>
        <w:tabs>
          <w:tab w:leader="none" w:pos="1660" w:val="left"/>
        </w:tabs>
        <w:numPr>
          <w:ilvl w:val="0"/>
          <w:numId w:val="3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DISPUTES AND PAYMENT OF LAWYER'S FEES.</w:t>
      </w:r>
    </w:p>
    <w:p>
      <w:pPr>
        <w:spacing w:after="0" w:line="177"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lawyer's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05" w:lineRule="exact"/>
        <w:rPr>
          <w:sz w:val="20"/>
          <w:szCs w:val="20"/>
          <w:color w:val="auto"/>
        </w:rPr>
      </w:pPr>
    </w:p>
    <w:p>
      <w:pPr>
        <w:ind w:left="1660" w:hanging="827"/>
        <w:spacing w:after="0"/>
        <w:tabs>
          <w:tab w:leader="none" w:pos="1660" w:val="left"/>
        </w:tabs>
        <w:numPr>
          <w:ilvl w:val="0"/>
          <w:numId w:val="3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w:t>
      </w:r>
    </w:p>
    <w:p>
      <w:pPr>
        <w:spacing w:after="0" w:line="177" w:lineRule="exact"/>
        <w:rPr>
          <w:sz w:val="20"/>
          <w:szCs w:val="20"/>
          <w:color w:val="auto"/>
        </w:rPr>
      </w:pPr>
    </w:p>
    <w:p>
      <w:pPr>
        <w:ind w:right="2879" w:firstLine="837"/>
        <w:spacing w:after="0" w:line="406"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provincial, local, or other taxes.</w:t>
      </w:r>
    </w:p>
    <w:p>
      <w:pPr>
        <w:ind w:left="1660" w:hanging="827"/>
        <w:spacing w:after="0"/>
        <w:tabs>
          <w:tab w:leader="none" w:pos="1660" w:val="left"/>
        </w:tabs>
        <w:numPr>
          <w:ilvl w:val="0"/>
          <w:numId w:val="3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PAYMENTS.</w:t>
      </w:r>
    </w:p>
    <w:p>
      <w:pPr>
        <w:spacing w:after="0" w:line="177"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0" w:lineRule="exact"/>
        <w:rPr>
          <w:sz w:val="20"/>
          <w:szCs w:val="20"/>
          <w:color w:val="auto"/>
        </w:rPr>
      </w:pPr>
    </w:p>
    <w:p>
      <w:pPr>
        <w:ind w:left="1660" w:hanging="827"/>
        <w:spacing w:after="0"/>
        <w:tabs>
          <w:tab w:leader="none" w:pos="1660" w:val="left"/>
        </w:tabs>
        <w:numPr>
          <w:ilvl w:val="0"/>
          <w:numId w:val="3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w:t>
      </w:r>
    </w:p>
    <w:p>
      <w:pPr>
        <w:spacing w:after="0" w:line="177" w:lineRule="exact"/>
        <w:rPr>
          <w:sz w:val="20"/>
          <w:szCs w:val="20"/>
          <w:color w:val="auto"/>
        </w:rPr>
      </w:pPr>
    </w:p>
    <w:p>
      <w:pPr>
        <w:ind w:right="2879" w:firstLine="837"/>
        <w:spacing w:after="0" w:line="282"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 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w:t>
      </w:r>
    </w:p>
    <w:p>
      <w:pPr>
        <w:spacing w:after="0" w:line="26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69" w:right="1440" w:bottom="1440" w:gutter="0" w:footer="0" w:header="0"/>
        </w:sectPr>
      </w:pPr>
    </w:p>
    <w:bookmarkStart w:id="331" w:name="page332"/>
    <w:bookmarkEnd w:id="331"/>
    <w:p>
      <w:pPr>
        <w:ind w:left="280"/>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right="2959"/>
        <w:spacing w:after="0" w:line="342" w:lineRule="auto"/>
        <w:rPr>
          <w:sz w:val="20"/>
          <w:szCs w:val="20"/>
          <w:color w:val="auto"/>
        </w:rPr>
      </w:pPr>
      <w:r>
        <w:rPr>
          <w:rFonts w:ascii="Courier New" w:cs="Courier New" w:eastAsia="Courier New" w:hAnsi="Courier New"/>
          <w:sz w:val="16"/>
          <w:szCs w:val="16"/>
          <w:color w:val="auto"/>
        </w:rPr>
        <w:t>acceptable to Executive (the provisions of this sentence also being applicable to any successive such transaction).</w:t>
      </w:r>
    </w:p>
    <w:p>
      <w:pPr>
        <w:spacing w:after="0" w:line="20" w:lineRule="exact"/>
        <w:rPr>
          <w:sz w:val="20"/>
          <w:szCs w:val="20"/>
          <w:color w:val="auto"/>
        </w:rPr>
      </w:pPr>
    </w:p>
    <w:p>
      <w:pPr>
        <w:ind w:left="1660" w:hanging="827"/>
        <w:spacing w:after="0"/>
        <w:tabs>
          <w:tab w:leader="none" w:pos="1660" w:val="left"/>
        </w:tabs>
        <w:numPr>
          <w:ilvl w:val="0"/>
          <w:numId w:val="3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AMENDMENT.</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parent, subsidiaries or affiliated entities relating to the terms of Executive's employment by the Company. It may not be amended except by a written agreement signed by both parties.</w:t>
      </w:r>
    </w:p>
    <w:p>
      <w:pPr>
        <w:spacing w:after="0" w:line="80" w:lineRule="exact"/>
        <w:rPr>
          <w:sz w:val="20"/>
          <w:szCs w:val="20"/>
          <w:color w:val="auto"/>
        </w:rPr>
      </w:pPr>
    </w:p>
    <w:p>
      <w:pPr>
        <w:ind w:left="1660" w:hanging="827"/>
        <w:spacing w:after="0"/>
        <w:tabs>
          <w:tab w:leader="none" w:pos="1660" w:val="left"/>
        </w:tabs>
        <w:numPr>
          <w:ilvl w:val="0"/>
          <w:numId w:val="3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77" w:lineRule="exact"/>
        <w:rPr>
          <w:sz w:val="20"/>
          <w:szCs w:val="20"/>
          <w:color w:val="auto"/>
        </w:rPr>
      </w:pPr>
    </w:p>
    <w:p>
      <w:pPr>
        <w:ind w:right="2959" w:firstLine="837"/>
        <w:spacing w:after="0" w:line="348"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Province of Ontario applicable to agreements made and to be performed in that Province, without regard to its conflict of laws provisions.</w:t>
      </w:r>
    </w:p>
    <w:p>
      <w:pPr>
        <w:spacing w:after="0" w:line="26" w:lineRule="exact"/>
        <w:rPr>
          <w:sz w:val="20"/>
          <w:szCs w:val="20"/>
          <w:color w:val="auto"/>
        </w:rPr>
      </w:pPr>
    </w:p>
    <w:p>
      <w:pPr>
        <w:ind w:left="1660" w:hanging="827"/>
        <w:spacing w:after="0"/>
        <w:tabs>
          <w:tab w:leader="none" w:pos="1660" w:val="left"/>
        </w:tabs>
        <w:numPr>
          <w:ilvl w:val="0"/>
          <w:numId w:val="3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REQUIREMENT OF TIMELY PAYMENTS.</w:t>
      </w:r>
    </w:p>
    <w:p>
      <w:pPr>
        <w:spacing w:after="0" w:line="177" w:lineRule="exact"/>
        <w:rPr>
          <w:sz w:val="20"/>
          <w:szCs w:val="20"/>
          <w:color w:val="auto"/>
        </w:rPr>
      </w:pPr>
    </w:p>
    <w:p>
      <w:pPr>
        <w:ind w:right="2779" w:firstLine="837"/>
        <w:spacing w:after="0" w:line="288"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55" w:lineRule="exact"/>
        <w:rPr>
          <w:sz w:val="20"/>
          <w:szCs w:val="20"/>
          <w:color w:val="auto"/>
        </w:rPr>
      </w:pPr>
    </w:p>
    <w:p>
      <w:pPr>
        <w:ind w:left="1660" w:hanging="827"/>
        <w:spacing w:after="0"/>
        <w:tabs>
          <w:tab w:leader="none" w:pos="1660" w:val="left"/>
        </w:tabs>
        <w:numPr>
          <w:ilvl w:val="0"/>
          <w:numId w:val="3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w:t>
      </w:r>
    </w:p>
    <w:p>
      <w:pPr>
        <w:spacing w:after="0" w:line="177"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2140"/>
        <w:spacing w:after="0"/>
        <w:tabs>
          <w:tab w:leader="none" w:pos="3880" w:val="left"/>
        </w:tabs>
        <w:rPr>
          <w:sz w:val="20"/>
          <w:szCs w:val="20"/>
          <w:color w:val="auto"/>
        </w:rPr>
      </w:pPr>
      <w:r>
        <w:rPr>
          <w:rFonts w:ascii="Courier New" w:cs="Courier New" w:eastAsia="Courier New" w:hAnsi="Courier New"/>
          <w:sz w:val="16"/>
          <w:szCs w:val="16"/>
          <w:color w:val="auto"/>
        </w:rPr>
        <w:t>To the Company:</w:t>
      </w:r>
      <w:r>
        <w:rPr>
          <w:sz w:val="20"/>
          <w:szCs w:val="20"/>
          <w:color w:val="auto"/>
        </w:rPr>
        <w:tab/>
      </w:r>
      <w:r>
        <w:rPr>
          <w:rFonts w:ascii="Courier New" w:cs="Courier New" w:eastAsia="Courier New" w:hAnsi="Courier New"/>
          <w:sz w:val="14"/>
          <w:szCs w:val="14"/>
          <w:color w:val="auto"/>
        </w:rPr>
        <w:t>Waste Management , Inc.</w:t>
      </w:r>
    </w:p>
    <w:p>
      <w:pPr>
        <w:spacing w:after="0" w:line="2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1001 Fannin, Suite 4000</w:t>
      </w:r>
    </w:p>
    <w:p>
      <w:pPr>
        <w:ind w:left="3900"/>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Attention: Corporate Secretary</w:t>
      </w:r>
    </w:p>
    <w:p>
      <w:pPr>
        <w:sectPr>
          <w:pgSz w:w="11900" w:h="16838" w:orient="portrait"/>
          <w:cols w:equalWidth="0" w:num="1">
            <w:col w:w="10219"/>
          </w:cols>
          <w:pgMar w:left="240" w:top="269" w:right="1440" w:bottom="1440" w:gutter="0" w:footer="0" w:header="0"/>
        </w:sectPr>
      </w:pPr>
    </w:p>
    <w:p>
      <w:pPr>
        <w:spacing w:after="0" w:line="149"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To Executive: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At the address for Executive set forth below.</w:t>
      </w:r>
    </w:p>
    <w:p>
      <w:pPr>
        <w:spacing w:after="0" w:line="20" w:lineRule="exact"/>
        <w:rPr>
          <w:sz w:val="20"/>
          <w:szCs w:val="20"/>
          <w:color w:val="auto"/>
        </w:rPr>
      </w:pPr>
    </w:p>
    <w:p>
      <w:pPr>
        <w:sectPr>
          <w:pgSz w:w="11900" w:h="16838" w:orient="portrait"/>
          <w:cols w:equalWidth="0" w:num="2">
            <w:col w:w="3340" w:space="560"/>
            <w:col w:w="6319"/>
          </w:cols>
          <w:pgMar w:left="240" w:top="269" w:right="1440" w:bottom="1440" w:gutter="0" w:footer="0" w:header="0"/>
          <w:type w:val="continuous"/>
        </w:sectPr>
      </w:pPr>
    </w:p>
    <w:p>
      <w:pPr>
        <w:ind w:left="36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19"/>
          </w:cols>
          <w:pgMar w:left="240" w:top="269" w:right="1440" w:bottom="1440" w:gutter="0" w:footer="0" w:header="0"/>
          <w:type w:val="continuous"/>
        </w:sectPr>
      </w:pPr>
    </w:p>
    <w:bookmarkStart w:id="332" w:name="page333"/>
    <w:bookmarkEnd w:id="332"/>
    <w:p>
      <w:pPr>
        <w:ind w:left="280"/>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left="1660" w:hanging="827"/>
        <w:spacing w:after="0"/>
        <w:tabs>
          <w:tab w:leader="none" w:pos="1660" w:val="left"/>
        </w:tabs>
        <w:numPr>
          <w:ilvl w:val="0"/>
          <w:numId w:val="3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w:t>
      </w:r>
    </w:p>
    <w:p>
      <w:pPr>
        <w:spacing w:after="0" w:line="177" w:lineRule="exact"/>
        <w:rPr>
          <w:sz w:val="20"/>
          <w:szCs w:val="20"/>
          <w:color w:val="auto"/>
        </w:rPr>
      </w:pPr>
    </w:p>
    <w:p>
      <w:pPr>
        <w:ind w:right="2879" w:firstLine="833"/>
        <w:spacing w:after="0" w:line="272" w:lineRule="auto"/>
        <w:tabs>
          <w:tab w:leader="none" w:pos="1302"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72" w:lineRule="exact"/>
        <w:rPr>
          <w:rFonts w:ascii="Courier New" w:cs="Courier New" w:eastAsia="Courier New" w:hAnsi="Courier New"/>
          <w:sz w:val="16"/>
          <w:szCs w:val="16"/>
          <w:color w:val="auto"/>
        </w:rPr>
      </w:pPr>
    </w:p>
    <w:p>
      <w:pPr>
        <w:ind w:right="2779" w:firstLine="833"/>
        <w:spacing w:after="0" w:line="263" w:lineRule="auto"/>
        <w:tabs>
          <w:tab w:leader="none" w:pos="1302"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right="3159" w:firstLine="833"/>
        <w:spacing w:after="0" w:line="289" w:lineRule="auto"/>
        <w:tabs>
          <w:tab w:leader="none" w:pos="1302"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right="2879" w:firstLine="833"/>
        <w:spacing w:after="0" w:line="342" w:lineRule="auto"/>
        <w:tabs>
          <w:tab w:leader="none" w:pos="1302"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right="2959" w:firstLine="833"/>
        <w:spacing w:after="0" w:line="289" w:lineRule="auto"/>
        <w:tabs>
          <w:tab w:leader="none" w:pos="1302" w:val="left"/>
        </w:tabs>
        <w:numPr>
          <w:ilvl w:val="0"/>
          <w:numId w:val="3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61"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IN WITNESS WHEREOF, this Agreement is EXECUTED and EFFECTIVE as of the day set forth above.</w:t>
      </w:r>
    </w:p>
    <w:p>
      <w:pPr>
        <w:spacing w:after="0" w:line="20"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DOMENIC PIO</w:t>
      </w:r>
    </w:p>
    <w:p>
      <w:pPr>
        <w:spacing w:after="0" w:line="26"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("Executive")</w:t>
      </w:r>
    </w:p>
    <w:p>
      <w:pPr>
        <w:spacing w:after="0" w:line="149"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/s/ DOMENIC PIO</w:t>
      </w:r>
    </w:p>
    <w:p>
      <w:pPr>
        <w:spacing w:after="0" w:line="26"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Domenic Pio</w:t>
      </w:r>
    </w:p>
    <w:p>
      <w:pPr>
        <w:spacing w:after="0" w:line="149"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--------------------------(address)</w:t>
      </w:r>
    </w:p>
    <w:p>
      <w:pPr>
        <w:spacing w:after="0" w:line="199"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68" w:right="1440" w:bottom="1440" w:gutter="0" w:footer="0" w:header="0"/>
        </w:sectPr>
      </w:pPr>
    </w:p>
    <w:bookmarkStart w:id="333" w:name="page334"/>
    <w:bookmarkEnd w:id="333"/>
    <w:p>
      <w:pPr>
        <w:spacing w:after="0"/>
        <w:rPr>
          <w:sz w:val="20"/>
          <w:szCs w:val="20"/>
          <w:color w:val="auto"/>
        </w:rPr>
      </w:pPr>
      <w:r>
        <w:rPr>
          <w:rFonts w:ascii="Courier New" w:cs="Courier New" w:eastAsia="Courier New" w:hAnsi="Courier New"/>
          <w:sz w:val="16"/>
          <w:szCs w:val="16"/>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CANADIAN WASTE SERVICES, INC.</w:t>
      </w:r>
    </w:p>
    <w:p>
      <w:pPr>
        <w:spacing w:after="0" w:line="2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(The "Company")</w:t>
      </w: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By: /s/ DAVID P. STEINER</w:t>
      </w:r>
    </w:p>
    <w:p>
      <w:pPr>
        <w:spacing w:after="0" w:line="26"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David Steiner</w:t>
      </w:r>
    </w:p>
    <w:p>
      <w:pPr>
        <w:ind w:left="4180"/>
        <w:spacing w:after="0"/>
        <w:rPr>
          <w:sz w:val="20"/>
          <w:szCs w:val="20"/>
          <w:color w:val="auto"/>
        </w:rPr>
      </w:pPr>
      <w:r>
        <w:rPr>
          <w:rFonts w:ascii="Courier New" w:cs="Courier New" w:eastAsia="Courier New" w:hAnsi="Courier New"/>
          <w:sz w:val="16"/>
          <w:szCs w:val="16"/>
          <w:color w:val="auto"/>
        </w:rPr>
        <w:t>Vice-President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WASTE MANAGEMENT, INC.</w:t>
      </w:r>
    </w:p>
    <w:p>
      <w:pPr>
        <w:spacing w:after="0" w:line="35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By: /s/ A. MAURICE MYERS</w:t>
      </w:r>
    </w:p>
    <w:p>
      <w:pPr>
        <w:spacing w:after="0" w:line="26"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A. Maurice Myers</w:t>
      </w:r>
    </w:p>
    <w:p>
      <w:pPr>
        <w:ind w:left="4180"/>
        <w:spacing w:after="0" w:line="236" w:lineRule="auto"/>
        <w:rPr>
          <w:sz w:val="20"/>
          <w:szCs w:val="20"/>
          <w:color w:val="auto"/>
        </w:rPr>
      </w:pPr>
      <w:r>
        <w:rPr>
          <w:rFonts w:ascii="Courier New" w:cs="Courier New" w:eastAsia="Courier New" w:hAnsi="Courier New"/>
          <w:sz w:val="16"/>
          <w:szCs w:val="16"/>
          <w:color w:val="auto"/>
        </w:rPr>
        <w:t>President and Chief Executive</w:t>
      </w:r>
    </w:p>
    <w:p>
      <w:pPr>
        <w:spacing w:after="0" w:line="1"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Officer</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939"/>
          </w:cols>
          <w:pgMar w:left="520" w:top="269" w:right="1440" w:bottom="1440" w:gutter="0" w:footer="0" w:header="0"/>
        </w:sectPr>
      </w:pPr>
    </w:p>
    <w:bookmarkStart w:id="334" w:name="page335"/>
    <w:bookmarkEnd w:id="334"/>
    <w:p>
      <w:pPr>
        <w:ind w:left="285"/>
        <w:spacing w:after="0"/>
        <w:rPr>
          <w:sz w:val="20"/>
          <w:szCs w:val="20"/>
          <w:color w:val="auto"/>
        </w:rPr>
      </w:pPr>
      <w:r>
        <w:rPr>
          <w:rFonts w:ascii="Courier New" w:cs="Courier New" w:eastAsia="Courier New" w:hAnsi="Courier New"/>
          <w:sz w:val="16"/>
          <w:szCs w:val="16"/>
          <w:color w:val="auto"/>
        </w:rPr>
        <w:t>1</w:t>
      </w:r>
    </w:p>
    <w:p>
      <w:pPr>
        <w:spacing w:after="0" w:line="26"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10.5</w:t>
      </w:r>
    </w:p>
    <w:p>
      <w:pPr>
        <w:spacing w:after="0" w:line="149" w:lineRule="exact"/>
        <w:rPr>
          <w:sz w:val="20"/>
          <w:szCs w:val="20"/>
          <w:color w:val="auto"/>
        </w:rPr>
      </w:pPr>
    </w:p>
    <w:p>
      <w:pPr>
        <w:ind w:left="2785"/>
        <w:spacing w:after="0"/>
        <w:rPr>
          <w:sz w:val="20"/>
          <w:szCs w:val="20"/>
          <w:color w:val="auto"/>
        </w:rPr>
      </w:pPr>
      <w:r>
        <w:rPr>
          <w:rFonts w:ascii="Courier New" w:cs="Courier New" w:eastAsia="Courier New" w:hAnsi="Courier New"/>
          <w:sz w:val="16"/>
          <w:szCs w:val="16"/>
          <w:color w:val="auto"/>
        </w:rPr>
        <w:t>EMPLOYMENT AGREEMENT</w:t>
      </w:r>
    </w:p>
    <w:p>
      <w:pPr>
        <w:spacing w:after="0" w:line="177" w:lineRule="exact"/>
        <w:rPr>
          <w:sz w:val="20"/>
          <w:szCs w:val="20"/>
          <w:color w:val="auto"/>
        </w:rPr>
      </w:pPr>
    </w:p>
    <w:p>
      <w:pPr>
        <w:ind w:left="5" w:right="2779" w:firstLine="837"/>
        <w:spacing w:after="0" w:line="289" w:lineRule="auto"/>
        <w:rPr>
          <w:sz w:val="20"/>
          <w:szCs w:val="20"/>
          <w:color w:val="auto"/>
        </w:rPr>
      </w:pPr>
      <w:r>
        <w:rPr>
          <w:rFonts w:ascii="Courier New" w:cs="Courier New" w:eastAsia="Courier New" w:hAnsi="Courier New"/>
          <w:sz w:val="16"/>
          <w:szCs w:val="16"/>
          <w:color w:val="auto"/>
        </w:rPr>
        <w:t>This EMPLOYMENT AGREEMENT (the "Agreement") is made and entered into on this 14th day of May, 2001 by and between Waste Management, Inc. (the "Company"), and Richard Felago (the "Executive").</w:t>
      </w:r>
    </w:p>
    <w:p>
      <w:pPr>
        <w:spacing w:after="0" w:line="61"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1. EMPLOYMENT AND TERMINATION OF PREVIOUS EMPLOYMENT AGREEMENT.</w:t>
      </w:r>
    </w:p>
    <w:p>
      <w:pPr>
        <w:spacing w:after="0" w:line="177" w:lineRule="exact"/>
        <w:rPr>
          <w:sz w:val="20"/>
          <w:szCs w:val="20"/>
          <w:color w:val="auto"/>
        </w:rPr>
      </w:pPr>
    </w:p>
    <w:p>
      <w:pPr>
        <w:ind w:left="5" w:right="2879" w:firstLine="837"/>
        <w:spacing w:after="0" w:line="289" w:lineRule="auto"/>
        <w:rPr>
          <w:sz w:val="20"/>
          <w:szCs w:val="20"/>
          <w:color w:val="auto"/>
        </w:rPr>
      </w:pPr>
      <w:r>
        <w:rPr>
          <w:rFonts w:ascii="Courier New" w:cs="Courier New" w:eastAsia="Courier New" w:hAnsi="Courier New"/>
          <w:sz w:val="16"/>
          <w:szCs w:val="16"/>
          <w:color w:val="auto"/>
        </w:rPr>
        <w:t>The Company shall employ Executive, and Executive shall be employed by the Company upon the terms and subject to the conditions set forth in this Agreement.</w:t>
      </w:r>
    </w:p>
    <w:p>
      <w:pPr>
        <w:spacing w:after="0" w:line="61" w:lineRule="exact"/>
        <w:rPr>
          <w:sz w:val="20"/>
          <w:szCs w:val="20"/>
          <w:color w:val="auto"/>
        </w:rPr>
      </w:pPr>
    </w:p>
    <w:p>
      <w:pPr>
        <w:ind w:left="5" w:right="2879" w:firstLine="837"/>
        <w:spacing w:after="0" w:line="251" w:lineRule="auto"/>
        <w:rPr>
          <w:sz w:val="20"/>
          <w:szCs w:val="20"/>
          <w:color w:val="auto"/>
        </w:rPr>
      </w:pPr>
      <w:r>
        <w:rPr>
          <w:rFonts w:ascii="Courier New" w:cs="Courier New" w:eastAsia="Courier New" w:hAnsi="Courier New"/>
          <w:sz w:val="16"/>
          <w:szCs w:val="16"/>
          <w:color w:val="auto"/>
        </w:rPr>
        <w:t>The Company and Executive hereby agree that the certain Employment Agreement between Executive and Wheelabrator Technologies, Inc. dated on or about May 25, 1999 is wholly and completely terminated, and any and all obligations of the Company, including those of Wheelabrator Technologies, Inc., and Executive created thereunder, whether express or implied, shall be null and void and of no further force or effect, and that the only continuing rights, obligations, and duties between the Company and Executive shall be those expressly set forth in this Agreement.</w:t>
      </w:r>
    </w:p>
    <w:p>
      <w:pPr>
        <w:spacing w:after="0" w:line="94"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2. TERM OF EMPLOYMENT.</w:t>
      </w:r>
    </w:p>
    <w:p>
      <w:pPr>
        <w:spacing w:after="0" w:line="177" w:lineRule="exact"/>
        <w:rPr>
          <w:sz w:val="20"/>
          <w:szCs w:val="20"/>
          <w:color w:val="auto"/>
        </w:rPr>
      </w:pPr>
    </w:p>
    <w:p>
      <w:pPr>
        <w:ind w:left="5" w:right="2779" w:firstLine="837"/>
        <w:spacing w:after="0" w:line="284" w:lineRule="auto"/>
        <w:rPr>
          <w:sz w:val="20"/>
          <w:szCs w:val="20"/>
          <w:color w:val="auto"/>
        </w:rPr>
      </w:pPr>
      <w:r>
        <w:rPr>
          <w:rFonts w:ascii="Courier New" w:cs="Courier New" w:eastAsia="Courier New" w:hAnsi="Courier New"/>
          <w:sz w:val="14"/>
          <w:szCs w:val="14"/>
          <w:color w:val="auto"/>
        </w:rPr>
        <w:t>The period of Executive's employment under this Agreement shall commence on May 14, 2001 ("Employment Date"), and shall continue for a period of two (2) years thereafter, and shall automatically be renewed for successive one</w:t>
      </w:r>
    </w:p>
    <w:p>
      <w:pPr>
        <w:spacing w:after="0" w:line="2" w:lineRule="exact"/>
        <w:rPr>
          <w:sz w:val="20"/>
          <w:szCs w:val="20"/>
          <w:color w:val="auto"/>
        </w:rPr>
      </w:pPr>
    </w:p>
    <w:p>
      <w:pPr>
        <w:ind w:left="5" w:right="2959" w:hanging="5"/>
        <w:spacing w:after="0" w:line="271" w:lineRule="auto"/>
        <w:tabs>
          <w:tab w:leader="none" w:pos="377" w:val="left"/>
        </w:tabs>
        <w:numPr>
          <w:ilvl w:val="0"/>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 periods thereafter, unless Executive's employment is terminated in accordance with Section 5 below. The period during which Executive is employed hereunder shall be referred to as the "Employment Period."</w:t>
      </w:r>
    </w:p>
    <w:p>
      <w:pPr>
        <w:spacing w:after="0" w:line="73" w:lineRule="exact"/>
        <w:rPr>
          <w:rFonts w:ascii="Courier New" w:cs="Courier New" w:eastAsia="Courier New" w:hAnsi="Courier New"/>
          <w:sz w:val="16"/>
          <w:szCs w:val="16"/>
          <w:color w:val="auto"/>
        </w:rPr>
      </w:pPr>
    </w:p>
    <w:p>
      <w:pPr>
        <w:ind w:left="1125" w:hanging="287"/>
        <w:spacing w:after="0"/>
        <w:tabs>
          <w:tab w:leader="none" w:pos="1125" w:val="left"/>
        </w:tabs>
        <w:numPr>
          <w:ilvl w:val="1"/>
          <w:numId w:val="3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DUTIES AND RESPONSIBILITIES.</w:t>
      </w:r>
    </w:p>
    <w:p>
      <w:pPr>
        <w:spacing w:after="0" w:line="177" w:lineRule="exact"/>
        <w:rPr>
          <w:sz w:val="20"/>
          <w:szCs w:val="20"/>
          <w:color w:val="auto"/>
        </w:rPr>
      </w:pPr>
    </w:p>
    <w:p>
      <w:pPr>
        <w:ind w:left="5" w:right="2779" w:firstLine="833"/>
        <w:spacing w:after="0" w:line="254" w:lineRule="auto"/>
        <w:tabs>
          <w:tab w:leader="none" w:pos="1214"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serve as the Company's Senior Vice-President for the Eastern Area. In such capacity, Executive shall perform such duties and have the power, authority, and functions commensurate with such position in similarly-sized public companies, and have and possess such other authority and functions consistent with such position as may be assigned to Executive from time to time by the Chief Executive Officer, President, or the Board of Directors.</w:t>
      </w:r>
    </w:p>
    <w:p>
      <w:pPr>
        <w:spacing w:after="0" w:line="88" w:lineRule="exact"/>
        <w:rPr>
          <w:rFonts w:ascii="Courier New" w:cs="Courier New" w:eastAsia="Courier New" w:hAnsi="Courier New"/>
          <w:sz w:val="16"/>
          <w:szCs w:val="16"/>
          <w:color w:val="auto"/>
        </w:rPr>
      </w:pPr>
    </w:p>
    <w:p>
      <w:pPr>
        <w:ind w:left="5" w:right="2879" w:firstLine="833"/>
        <w:spacing w:after="0" w:line="250" w:lineRule="auto"/>
        <w:tabs>
          <w:tab w:leader="none" w:pos="1214"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devote substantially all of his working time, attention and energies to the business of the Company, and its affiliated entities. Executive may make and manage his personal investments (provided such investments in other activities do not violate, in any material respect, the provisions of Section 8 of this Agreement), be involved in charitable and professional activities, and, with the prior written consent of the Board of Directors, serve on boards of other for profit entities, provided such activities do not materially interfere with the performance of his duties hereunder.</w:t>
      </w:r>
    </w:p>
    <w:p>
      <w:pPr>
        <w:spacing w:after="0" w:line="90"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4. COMPENSATION AND BENEFITS.</w:t>
      </w:r>
    </w:p>
    <w:p>
      <w:pPr>
        <w:spacing w:after="0" w:line="177" w:lineRule="exact"/>
        <w:rPr>
          <w:sz w:val="20"/>
          <w:szCs w:val="20"/>
          <w:color w:val="auto"/>
        </w:rPr>
      </w:pPr>
    </w:p>
    <w:p>
      <w:pPr>
        <w:jc w:val="both"/>
        <w:ind w:left="5" w:right="3059" w:firstLine="833"/>
        <w:spacing w:after="0" w:line="289" w:lineRule="auto"/>
        <w:tabs>
          <w:tab w:leader="none" w:pos="1214"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 SALARY. During the Employment Period, the Company shall pay Executive a base salary at the annual rate of Four Hundred Forty Thousand and 00/100ths Dollars</w:t>
      </w:r>
    </w:p>
    <w:p>
      <w:pPr>
        <w:sectPr>
          <w:pgSz w:w="11900" w:h="16838" w:orient="portrait"/>
          <w:cols w:equalWidth="0" w:num="1">
            <w:col w:w="10224"/>
          </w:cols>
          <w:pgMar w:left="235" w:top="114" w:right="1440" w:bottom="1440" w:gutter="0" w:footer="0" w:header="0"/>
        </w:sectPr>
      </w:pPr>
    </w:p>
    <w:bookmarkStart w:id="335" w:name="page336"/>
    <w:bookmarkEnd w:id="335"/>
    <w:p>
      <w:pPr>
        <w:ind w:left="280"/>
        <w:spacing w:after="0"/>
        <w:rPr>
          <w:sz w:val="20"/>
          <w:szCs w:val="20"/>
          <w:color w:val="auto"/>
        </w:rPr>
      </w:pPr>
      <w:r>
        <w:rPr>
          <w:rFonts w:ascii="Courier New" w:cs="Courier New" w:eastAsia="Courier New" w:hAnsi="Courier New"/>
          <w:sz w:val="16"/>
          <w:szCs w:val="16"/>
          <w:color w:val="auto"/>
        </w:rPr>
        <w:t>2</w:t>
      </w:r>
    </w:p>
    <w:p>
      <w:pPr>
        <w:spacing w:after="0" w:line="177" w:lineRule="exact"/>
        <w:rPr>
          <w:sz w:val="20"/>
          <w:szCs w:val="20"/>
          <w:color w:val="auto"/>
        </w:rPr>
      </w:pPr>
    </w:p>
    <w:p>
      <w:pPr>
        <w:ind w:right="3059"/>
        <w:spacing w:after="0" w:line="272" w:lineRule="auto"/>
        <w:rPr>
          <w:sz w:val="20"/>
          <w:szCs w:val="20"/>
          <w:color w:val="auto"/>
        </w:rPr>
      </w:pPr>
      <w:r>
        <w:rPr>
          <w:rFonts w:ascii="Courier New" w:cs="Courier New" w:eastAsia="Courier New" w:hAnsi="Courier New"/>
          <w:sz w:val="16"/>
          <w:szCs w:val="16"/>
          <w:color w:val="auto"/>
        </w:rPr>
        <w:t>($440,000.00) per year, or such higher rate as may be determined from time to time by the Company ("Base Salary"). Such Base Salary shall be paid in accordance with the Company's standard payroll practice for its executive officers. Once increased, Base Salary shall not be reduced.</w:t>
      </w:r>
    </w:p>
    <w:p>
      <w:pPr>
        <w:spacing w:after="0" w:line="73" w:lineRule="exact"/>
        <w:rPr>
          <w:sz w:val="20"/>
          <w:szCs w:val="20"/>
          <w:color w:val="auto"/>
        </w:rPr>
      </w:pPr>
    </w:p>
    <w:p>
      <w:pPr>
        <w:ind w:right="2779" w:firstLine="833"/>
        <w:spacing w:after="0" w:line="248" w:lineRule="auto"/>
        <w:tabs>
          <w:tab w:leader="none" w:pos="1209"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 During the Employment Period, Executive will be entitled to participate in an annual incentive compensation plan of the Company. The Executive's target annual bonus will be seventy-five percent (75%) of his Base Salary in effect for such year (the "Target Bonus"), and his actual annual bonus may range from 0% to 150% (two times Target Bonus), and will be determined based upon (i) the achievement of certain corporate and Area performance goals, as may be established and approved by from time to time by the Compensation Committee of the Board of Directors, and (ii) the achievement of personal performance goals as may be established by the Company's Chief Executive Officer.</w:t>
      </w:r>
    </w:p>
    <w:p>
      <w:pPr>
        <w:spacing w:after="0" w:line="94" w:lineRule="exact"/>
        <w:rPr>
          <w:rFonts w:ascii="Courier New" w:cs="Courier New" w:eastAsia="Courier New" w:hAnsi="Courier New"/>
          <w:sz w:val="16"/>
          <w:szCs w:val="16"/>
          <w:color w:val="auto"/>
        </w:rPr>
      </w:pPr>
    </w:p>
    <w:p>
      <w:pPr>
        <w:jc w:val="both"/>
        <w:ind w:right="3159" w:firstLine="833"/>
        <w:spacing w:after="0" w:line="272" w:lineRule="auto"/>
        <w:tabs>
          <w:tab w:leader="none" w:pos="1209"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Executive shall be eligible to be considered for stock option grants under the Company's annual stock option award program as administered by, and at the discretion of, the Compensation Committee of the Board of Directors.</w:t>
      </w:r>
    </w:p>
    <w:p>
      <w:pPr>
        <w:spacing w:after="0" w:line="72" w:lineRule="exact"/>
        <w:rPr>
          <w:rFonts w:ascii="Courier New" w:cs="Courier New" w:eastAsia="Courier New" w:hAnsi="Courier New"/>
          <w:sz w:val="16"/>
          <w:szCs w:val="16"/>
          <w:color w:val="auto"/>
        </w:rPr>
      </w:pPr>
    </w:p>
    <w:p>
      <w:pPr>
        <w:ind w:right="2779" w:firstLine="833"/>
        <w:spacing w:after="0" w:line="290" w:lineRule="auto"/>
        <w:tabs>
          <w:tab w:leader="none" w:pos="1209"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AND VACATION. Subject to the terms of such plans, Executive shall be eligible to participate in or receive benefits under any pension plan, profit sharing plan, salary deferral plan, medical and dental benefits plan, life insurance plan, short-term and long-term disability plans, or any other health, welfare or fringe benefit plan, generally made available by the Company to similarly-situated executive employees. The Company shall not be obligated to institute, maintain, or refrain from changing, amending, or discontinuing any benefit plan, or perquisite, so long as such changes are similarly applicable to similarly-situated employees generally.</w:t>
      </w:r>
    </w:p>
    <w:p>
      <w:pPr>
        <w:spacing w:after="0" w:line="256" w:lineRule="exact"/>
        <w:rPr>
          <w:sz w:val="20"/>
          <w:szCs w:val="20"/>
          <w:color w:val="auto"/>
        </w:rPr>
      </w:pPr>
    </w:p>
    <w:p>
      <w:pPr>
        <w:ind w:right="2779" w:firstLine="837"/>
        <w:spacing w:after="0" w:line="348" w:lineRule="auto"/>
        <w:rPr>
          <w:sz w:val="20"/>
          <w:szCs w:val="20"/>
          <w:color w:val="auto"/>
        </w:rPr>
      </w:pPr>
      <w:r>
        <w:rPr>
          <w:rFonts w:ascii="Courier New" w:cs="Courier New" w:eastAsia="Courier New" w:hAnsi="Courier New"/>
          <w:sz w:val="14"/>
          <w:szCs w:val="14"/>
          <w:color w:val="auto"/>
        </w:rPr>
        <w:t>During the Employment Period, Executive shall be entitled to vacation each year in accordance with the Company's policies in effect from time to time, but in no event less than four (4) weeks paid vacation per calendar year.</w:t>
      </w:r>
    </w:p>
    <w:p>
      <w:pPr>
        <w:spacing w:after="0" w:line="26" w:lineRule="exact"/>
        <w:rPr>
          <w:sz w:val="20"/>
          <w:szCs w:val="20"/>
          <w:color w:val="auto"/>
        </w:rPr>
      </w:pPr>
    </w:p>
    <w:p>
      <w:pPr>
        <w:ind w:right="2779" w:firstLine="833"/>
        <w:spacing w:after="0" w:line="272" w:lineRule="auto"/>
        <w:tabs>
          <w:tab w:leader="none" w:pos="1209"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 REIMBURSEMENT. The Company shall promptly reimburse Executive for the ordinary and necessary business expenses incurred by Executive in the performance of the duties hereunder in accordance with the Company's customary practices applicable to its executive officers.</w:t>
      </w:r>
    </w:p>
    <w:p>
      <w:pPr>
        <w:spacing w:after="0" w:line="72" w:lineRule="exact"/>
        <w:rPr>
          <w:rFonts w:ascii="Courier New" w:cs="Courier New" w:eastAsia="Courier New" w:hAnsi="Courier New"/>
          <w:sz w:val="16"/>
          <w:szCs w:val="16"/>
          <w:color w:val="auto"/>
        </w:rPr>
      </w:pPr>
    </w:p>
    <w:p>
      <w:pPr>
        <w:ind w:right="2959" w:firstLine="833"/>
        <w:spacing w:after="0" w:line="272" w:lineRule="auto"/>
        <w:tabs>
          <w:tab w:leader="none" w:pos="1209"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PERQUISITES. Executive shall be entitled to all perquisites provided to Senior Vice Presidents of the Company as approved by the Compensation Committee of the Board of Directors, and as they may exist from time to time.</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5. TERMINATION OF EMPLOYMENT.</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Executive's employment hereunder may be terminated during the</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Employment Period under the following circumstances:</w:t>
      </w:r>
    </w:p>
    <w:p>
      <w:pPr>
        <w:spacing w:after="0" w:line="149" w:lineRule="exact"/>
        <w:rPr>
          <w:sz w:val="20"/>
          <w:szCs w:val="20"/>
          <w:color w:val="auto"/>
        </w:rPr>
      </w:pPr>
    </w:p>
    <w:p>
      <w:pPr>
        <w:ind w:right="3439" w:firstLine="833"/>
        <w:spacing w:after="0" w:line="342" w:lineRule="auto"/>
        <w:tabs>
          <w:tab w:leader="none" w:pos="1209"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DEATH. Executive's employment hereunder shall terminate upon Executive's death.</w:t>
      </w:r>
    </w:p>
    <w:p>
      <w:pPr>
        <w:spacing w:after="0" w:line="200" w:lineRule="exact"/>
        <w:rPr>
          <w:sz w:val="20"/>
          <w:szCs w:val="20"/>
          <w:color w:val="auto"/>
        </w:rPr>
      </w:pPr>
    </w:p>
    <w:p>
      <w:pPr>
        <w:spacing w:after="0" w:line="35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69" w:right="1440" w:bottom="1440" w:gutter="0" w:footer="0" w:header="0"/>
        </w:sectPr>
      </w:pPr>
    </w:p>
    <w:bookmarkStart w:id="336" w:name="page337"/>
    <w:bookmarkEnd w:id="336"/>
    <w:p>
      <w:pPr>
        <w:spacing w:after="0"/>
        <w:rPr>
          <w:sz w:val="20"/>
          <w:szCs w:val="20"/>
          <w:color w:val="auto"/>
        </w:rPr>
      </w:pPr>
      <w:r>
        <w:rPr>
          <w:rFonts w:ascii="Courier New" w:cs="Courier New" w:eastAsia="Courier New" w:hAnsi="Courier New"/>
          <w:sz w:val="16"/>
          <w:szCs w:val="16"/>
          <w:color w:val="auto"/>
        </w:rPr>
        <w:t>3</w:t>
      </w:r>
    </w:p>
    <w:p>
      <w:pPr>
        <w:spacing w:after="0" w:line="177" w:lineRule="exact"/>
        <w:rPr>
          <w:sz w:val="20"/>
          <w:szCs w:val="20"/>
          <w:color w:val="auto"/>
        </w:rPr>
      </w:pPr>
    </w:p>
    <w:p>
      <w:pPr>
        <w:ind w:left="-280" w:right="2779" w:firstLine="833"/>
        <w:spacing w:after="0" w:line="285" w:lineRule="auto"/>
        <w:tabs>
          <w:tab w:leader="none" w:pos="929"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DISABILITY. The Company may terminate Executive's employment hereunder upon Executive becoming "Totally Disabled." For purposes of this Agreement, Executive shall be considered "Totally Disabled" if Executive has been physically or mentally incapacitated so as to render Executive incapable of performing the essential functions of Executive's position with or without reasonable accommodation. Executive's receipt of disability benefits under the Company's long-term disability plan or receipt of Social Security disability benefits shall be deemed conclusive evidence of Total Disability for purpose of this Agreement; provided, however, that in the absence of Executive's receipt of such long-term disability benefits or Social Security benefits, the Company's Board of Directors may, in its reasonable discretion (but based upon appropriate medical evidence), determine that Executive is Totally Disabled.</w:t>
      </w:r>
    </w:p>
    <w:p>
      <w:pPr>
        <w:spacing w:after="0" w:line="253" w:lineRule="exact"/>
        <w:rPr>
          <w:rFonts w:ascii="Courier New" w:cs="Courier New" w:eastAsia="Courier New" w:hAnsi="Courier New"/>
          <w:sz w:val="14"/>
          <w:szCs w:val="14"/>
          <w:color w:val="auto"/>
        </w:rPr>
      </w:pPr>
    </w:p>
    <w:p>
      <w:pPr>
        <w:ind w:left="-280" w:right="3159" w:firstLine="833"/>
        <w:spacing w:after="0" w:line="289" w:lineRule="auto"/>
        <w:tabs>
          <w:tab w:leader="none" w:pos="929"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FOR CAUSE. The Company may terminate Executive's employment hereunder for "Cause" at any time after providing a Notice of Termination for Cause to Executive.</w:t>
      </w:r>
    </w:p>
    <w:p>
      <w:pPr>
        <w:spacing w:after="0" w:line="61" w:lineRule="exact"/>
        <w:rPr>
          <w:sz w:val="20"/>
          <w:szCs w:val="20"/>
          <w:color w:val="auto"/>
        </w:rPr>
      </w:pPr>
    </w:p>
    <w:p>
      <w:pPr>
        <w:ind w:left="1380" w:right="2779" w:hanging="827"/>
        <w:spacing w:after="0" w:line="282" w:lineRule="auto"/>
        <w:tabs>
          <w:tab w:leader="none" w:pos="13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 "Cause" means any of the following: (A) willful or deliberate and continual refusal to perform Executive's employment duties reasonably requested by the Company after receipt of written notice to Executive of such failure to perform, specifying such failure (other than as a result of Executive's sickness, illness or injury) and Executive fails to cure such nonperformance within ten (10) days of receipt of said written notice; (B) breach of any statutory or common law duty of loyalty to the Company; (C) has been convicted of, or pleaded nolo contendre to, any felony; (D) willfully or intentionally caused material injury to the Company, its property, or its assets; (E) disclosed to unauthorized person(s) proprietary or confidential information of the Company; or (F) breach of any of the covenants set forth in Section 8 hereof.</w:t>
      </w:r>
    </w:p>
    <w:p>
      <w:pPr>
        <w:spacing w:after="0" w:line="253" w:lineRule="exact"/>
        <w:rPr>
          <w:rFonts w:ascii="Courier New" w:cs="Courier New" w:eastAsia="Courier New" w:hAnsi="Courier New"/>
          <w:sz w:val="14"/>
          <w:szCs w:val="14"/>
          <w:color w:val="auto"/>
        </w:rPr>
      </w:pPr>
    </w:p>
    <w:p>
      <w:pPr>
        <w:ind w:left="1380" w:right="2779" w:hanging="827"/>
        <w:spacing w:after="0" w:line="278" w:lineRule="auto"/>
        <w:tabs>
          <w:tab w:leader="none" w:pos="138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phrase "Notice of Termination for Cause" shall mean a written notice that shall indicate the specific termination provision in Section 5(c)(i) relied upon, and shall set forth in reasonable detail the facts and circumstances which provide the basis for termination for Cause. Further, a Notification of Termination for Cause shall be required to include a copy of a resolution duly adopted by at least two-thirds (2/3) of the entire membership of the Board of Directors at a meeting of the Board which was called for the purpose of considering such employment termination, and at which Executive and his representative had the right to attend and address the Board, finding that, in the good faith belief of the Board, Executive engaged in conduct set forth in Section 5(c)(i) herein and specifying the particulars thereof in reasonable detail. The date of termination for Cause shall be the date indicated in the Notice of Termination for Cause. Any purported termination for Cause which is held by an arbitrator not to have been based on the grounds set forth in this Agreement or not to have followed the procedures set forth in this Agreement shall be deemed a termination by the Company without Cause.</w:t>
      </w:r>
    </w:p>
    <w:p>
      <w:pPr>
        <w:spacing w:after="0" w:line="261" w:lineRule="exact"/>
        <w:rPr>
          <w:sz w:val="20"/>
          <w:szCs w:val="20"/>
          <w:color w:val="auto"/>
        </w:rPr>
      </w:pPr>
    </w:p>
    <w:p>
      <w:pPr>
        <w:ind w:left="3340" w:right="3159" w:hanging="2787"/>
        <w:spacing w:after="0" w:line="1290" w:lineRule="auto"/>
        <w:tabs>
          <w:tab w:leader="none" w:pos="921"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Executive may terminate his 3</w:t>
      </w:r>
    </w:p>
    <w:p>
      <w:pPr>
        <w:sectPr>
          <w:pgSz w:w="11900" w:h="16838" w:orient="portrait"/>
          <w:cols w:equalWidth="0" w:num="1">
            <w:col w:w="9939"/>
          </w:cols>
          <w:pgMar w:left="520" w:top="268" w:right="1440" w:bottom="1440" w:gutter="0" w:footer="0" w:header="0"/>
        </w:sectPr>
      </w:pPr>
    </w:p>
    <w:bookmarkStart w:id="337" w:name="page338"/>
    <w:bookmarkEnd w:id="337"/>
    <w:p>
      <w:pPr>
        <w:ind w:left="280"/>
        <w:spacing w:after="0"/>
        <w:rPr>
          <w:sz w:val="20"/>
          <w:szCs w:val="20"/>
          <w:color w:val="auto"/>
        </w:rPr>
      </w:pPr>
      <w:r>
        <w:rPr>
          <w:rFonts w:ascii="Courier New" w:cs="Courier New" w:eastAsia="Courier New" w:hAnsi="Courier New"/>
          <w:sz w:val="16"/>
          <w:szCs w:val="16"/>
          <w:color w:val="auto"/>
        </w:rPr>
        <w:t>4</w:t>
      </w:r>
    </w:p>
    <w:p>
      <w:pPr>
        <w:spacing w:after="0" w:line="177" w:lineRule="exact"/>
        <w:rPr>
          <w:sz w:val="20"/>
          <w:szCs w:val="20"/>
          <w:color w:val="auto"/>
        </w:rPr>
      </w:pPr>
    </w:p>
    <w:p>
      <w:pPr>
        <w:ind w:right="2779"/>
        <w:spacing w:after="0" w:line="342" w:lineRule="auto"/>
        <w:rPr>
          <w:sz w:val="20"/>
          <w:szCs w:val="20"/>
          <w:color w:val="auto"/>
        </w:rPr>
      </w:pPr>
      <w:r>
        <w:rPr>
          <w:rFonts w:ascii="Courier New" w:cs="Courier New" w:eastAsia="Courier New" w:hAnsi="Courier New"/>
          <w:sz w:val="16"/>
          <w:szCs w:val="16"/>
          <w:color w:val="auto"/>
        </w:rPr>
        <w:t>employment hereunder with or without Good Reason at any time upon written notice to the Company.</w:t>
      </w:r>
    </w:p>
    <w:p>
      <w:pPr>
        <w:spacing w:after="0" w:line="20" w:lineRule="exact"/>
        <w:rPr>
          <w:sz w:val="20"/>
          <w:szCs w:val="20"/>
          <w:color w:val="auto"/>
        </w:rPr>
      </w:pPr>
    </w:p>
    <w:p>
      <w:pPr>
        <w:ind w:left="1660" w:right="2779" w:hanging="827"/>
        <w:spacing w:after="0" w:line="275" w:lineRule="auto"/>
        <w:tabs>
          <w:tab w:leader="none" w:pos="166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termination for "Good Reason" means a resignation of employment by Executive by written notice ("Notice of Termination for Good Reason") given to the Company's Chief Executive Officer within ninety (90) days after the occurrence of the Good Reason event, unless such circumstances are substantially corrected prior to the date of termination specified in the Notice of Termination for Good Reason. For purposes of this Agreement, "Good Reason" shall mean the occurrence or failure to cause the occurrence, as the case may be, without Executive's express written consent, of any of the following circumstances: (A) the Company substantially changes Executive's core duties or removes Executive's responsibility for those core duties, so as to effectively cause Executive to no longer be performing the duties of his position (except in each case in connection with the termination of Executive's employment for Cause or Total Disability or as a result of Executive's death, or temporarily as a result of Executive's illness or other absence), provided that the change in the geographic area of Executive's responsibility or the reassignment of Executive to a different geographical area within the United States or the change in reporting structure shall not constitute Good Reason under any circumstances; further provided that if the Company becomes a fifty percent or more subsidiary of any other entity, Executive shall be deemed to have a substantial change in the core duties of his position unless he is also Senior Vice-President of the ultimate parent entity; (B) removal or the non-reelection of the Executive from the officer position with the Company specified herein, or removal of the Executive from any of his then officer positions; (C) any material breach by the Company of any provision of this Agreement, including without limitation Section 10 hereof; or (D) failure of any successor to the Company (whether direct or indirect and whether by merger, acquisition, consolidation or otherwise) to assume in a writing delivered to Executive upon the assignee becoming such, the obligations of the Company hereunder.</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2" w:lineRule="exact"/>
        <w:rPr>
          <w:rFonts w:ascii="Courier New" w:cs="Courier New" w:eastAsia="Courier New" w:hAnsi="Courier New"/>
          <w:sz w:val="14"/>
          <w:szCs w:val="14"/>
          <w:color w:val="auto"/>
        </w:rPr>
      </w:pPr>
    </w:p>
    <w:p>
      <w:pPr>
        <w:ind w:left="1660" w:right="2879" w:hanging="827"/>
        <w:spacing w:after="0" w:line="276" w:lineRule="auto"/>
        <w:tabs>
          <w:tab w:leader="none" w:pos="166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"Notice of Termination for Good Reason" shall mean a notice that shall indicate the specific termination provision relied upon and shall set forth in reasonable detail the facts and circumstances claimed to provide a basis for Termination for Good Reason. The failure by Executive to set forth in the Notice of Termination for Good Reason any facts or circumstances which contribute to the showing of Good Reason shall not waive any right of Executive hereunder or preclude Executive from asserting such fact or circumstance in enforcing his rights hereunder. The Notice of Termination for Good Reason shall provide for a date of termination not less than ten (10) nor more than sixty (60) days after the date such Notice of Termination for Good Reason is given, provided that in the case of the events set forth in Sections</w:t>
      </w:r>
    </w:p>
    <w:p>
      <w:pPr>
        <w:spacing w:after="0" w:line="161" w:lineRule="exact"/>
        <w:rPr>
          <w:rFonts w:ascii="Courier New" w:cs="Courier New" w:eastAsia="Courier New" w:hAnsi="Courier New"/>
          <w:sz w:val="14"/>
          <w:szCs w:val="14"/>
          <w:color w:val="auto"/>
        </w:rPr>
      </w:pPr>
    </w:p>
    <w:p>
      <w:pPr>
        <w:ind w:left="1660" w:right="3239"/>
        <w:spacing w:after="0" w:line="305"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5(d)(i)(A) or (B), the date may be five (5) business days after the giving of such notice.</w:t>
      </w:r>
    </w:p>
    <w:p>
      <w:pPr>
        <w:spacing w:after="0" w:line="48" w:lineRule="exact"/>
        <w:rPr>
          <w:sz w:val="20"/>
          <w:szCs w:val="20"/>
          <w:color w:val="auto"/>
        </w:rPr>
      </w:pPr>
    </w:p>
    <w:p>
      <w:pPr>
        <w:ind w:right="2779" w:firstLine="833"/>
        <w:spacing w:after="0" w:line="289" w:lineRule="auto"/>
        <w:tabs>
          <w:tab w:leader="none" w:pos="1209" w:val="left"/>
        </w:tabs>
        <w:numPr>
          <w:ilvl w:val="0"/>
          <w:numId w:val="3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The Company may terminate Executive's employment hereunder without Cause at any time upon written notice to Executive.</w:t>
      </w:r>
    </w:p>
    <w:p>
      <w:pPr>
        <w:spacing w:after="0" w:line="200" w:lineRule="exact"/>
        <w:rPr>
          <w:sz w:val="20"/>
          <w:szCs w:val="20"/>
          <w:color w:val="auto"/>
        </w:rPr>
      </w:pPr>
    </w:p>
    <w:p>
      <w:pPr>
        <w:spacing w:after="0" w:line="39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68" w:right="1440" w:bottom="1440" w:gutter="0" w:footer="0" w:header="0"/>
        </w:sectPr>
      </w:pPr>
    </w:p>
    <w:bookmarkStart w:id="338" w:name="page339"/>
    <w:bookmarkEnd w:id="338"/>
    <w:p>
      <w:pPr>
        <w:ind w:left="280"/>
        <w:spacing w:after="0"/>
        <w:rPr>
          <w:sz w:val="20"/>
          <w:szCs w:val="20"/>
          <w:color w:val="auto"/>
        </w:rPr>
      </w:pPr>
      <w:r>
        <w:rPr>
          <w:rFonts w:ascii="Courier New" w:cs="Courier New" w:eastAsia="Courier New" w:hAnsi="Courier New"/>
          <w:sz w:val="16"/>
          <w:szCs w:val="16"/>
          <w:color w:val="auto"/>
        </w:rPr>
        <w:t>5</w:t>
      </w:r>
    </w:p>
    <w:p>
      <w:pPr>
        <w:spacing w:after="0" w:line="177" w:lineRule="exact"/>
        <w:rPr>
          <w:sz w:val="20"/>
          <w:szCs w:val="20"/>
          <w:color w:val="auto"/>
        </w:rPr>
      </w:pPr>
    </w:p>
    <w:p>
      <w:pPr>
        <w:ind w:right="2879" w:firstLine="833"/>
        <w:spacing w:after="0" w:line="348" w:lineRule="auto"/>
        <w:tabs>
          <w:tab w:leader="none" w:pos="1209"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TERMINATION. Upon any termination of employment for any reason, Executive shall immediately resign from all Board memberships and other positions with the Company or any of its subsidiaries held by him at such time.</w:t>
      </w:r>
    </w:p>
    <w:p>
      <w:pPr>
        <w:spacing w:after="0" w:line="2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6. COMPENSATION FOLLOWING TERMINATION OF EMPLOYMENT.</w:t>
      </w:r>
    </w:p>
    <w:p>
      <w:pPr>
        <w:spacing w:after="0" w:line="177"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In the event that Executive's employment hereunder is terminated, Executive shall be entitled to the following compensation and benefits upon such termination:</w:t>
      </w:r>
    </w:p>
    <w:p>
      <w:pPr>
        <w:spacing w:after="0" w:line="61" w:lineRule="exact"/>
        <w:rPr>
          <w:sz w:val="20"/>
          <w:szCs w:val="20"/>
          <w:color w:val="auto"/>
        </w:rPr>
      </w:pPr>
    </w:p>
    <w:p>
      <w:pPr>
        <w:ind w:right="2959" w:firstLine="833"/>
        <w:spacing w:after="0" w:line="289" w:lineRule="auto"/>
        <w:tabs>
          <w:tab w:leader="none" w:pos="1209" w:val="left"/>
        </w:tabs>
        <w:numPr>
          <w:ilvl w:val="0"/>
          <w:numId w:val="3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DEATH. In the event that Executive's employment is terminated by reason of Executive's death, the Company shall pay the following amounts to Executive's beneficiary or estate:</w:t>
      </w:r>
    </w:p>
    <w:p>
      <w:pPr>
        <w:spacing w:after="0" w:line="61" w:lineRule="exact"/>
        <w:rPr>
          <w:sz w:val="20"/>
          <w:szCs w:val="20"/>
          <w:color w:val="auto"/>
        </w:rPr>
      </w:pPr>
    </w:p>
    <w:p>
      <w:pPr>
        <w:ind w:left="1660" w:right="2779" w:hanging="827"/>
        <w:spacing w:after="0" w:line="292" w:lineRule="auto"/>
        <w:tabs>
          <w:tab w:leader="none" w:pos="166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accrued but unpaid Base Salary for services rendered to the date of death, any accrued but unpaid expenses required to be reimbursed under this Agreement, any vacation accrued to the date of termination, any earned but unpaid bonuses for any prior period, and, to the extent not otherwise paid, a pro-rata bonus or incentive compensation payment to the extent payments are awarded to senior executives of the Company and paid at the same time as senior executives are paid.</w:t>
      </w:r>
    </w:p>
    <w:p>
      <w:pPr>
        <w:spacing w:after="0" w:line="66" w:lineRule="exact"/>
        <w:rPr>
          <w:rFonts w:ascii="Courier New" w:cs="Courier New" w:eastAsia="Courier New" w:hAnsi="Courier New"/>
          <w:sz w:val="14"/>
          <w:szCs w:val="14"/>
          <w:color w:val="auto"/>
        </w:rPr>
      </w:pPr>
    </w:p>
    <w:p>
      <w:pPr>
        <w:ind w:left="1660" w:right="2779" w:hanging="827"/>
        <w:spacing w:after="0" w:line="263" w:lineRule="auto"/>
        <w:tabs>
          <w:tab w:leader="none" w:pos="1660"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as determined and paid in accordance with the terms of such plans, policies and arrangements.</w:t>
      </w:r>
    </w:p>
    <w:p>
      <w:pPr>
        <w:spacing w:after="0" w:line="80" w:lineRule="exact"/>
        <w:rPr>
          <w:rFonts w:ascii="Courier New" w:cs="Courier New" w:eastAsia="Courier New" w:hAnsi="Courier New"/>
          <w:sz w:val="16"/>
          <w:szCs w:val="16"/>
          <w:color w:val="auto"/>
        </w:rPr>
      </w:pPr>
    </w:p>
    <w:p>
      <w:pPr>
        <w:ind w:left="1660" w:right="2879" w:hanging="827"/>
        <w:spacing w:after="0" w:line="254" w:lineRule="auto"/>
        <w:tabs>
          <w:tab w:leader="none" w:pos="1660"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death) which would have been payable to Executive if Executive had continued in employment for two additional years. Said payments will be paid to Executive's estate or beneficiary at the same time and in the same manner as such compensation would have been paid if Executive had remained in active employment.</w:t>
      </w:r>
    </w:p>
    <w:p>
      <w:pPr>
        <w:spacing w:after="0" w:line="88" w:lineRule="exact"/>
        <w:rPr>
          <w:rFonts w:ascii="Courier New" w:cs="Courier New" w:eastAsia="Courier New" w:hAnsi="Courier New"/>
          <w:sz w:val="16"/>
          <w:szCs w:val="16"/>
          <w:color w:val="auto"/>
        </w:rPr>
      </w:pPr>
    </w:p>
    <w:p>
      <w:pPr>
        <w:ind w:left="1660" w:right="2879" w:hanging="827"/>
        <w:spacing w:after="0" w:line="250" w:lineRule="auto"/>
        <w:tabs>
          <w:tab w:leader="none" w:pos="1660" w:val="left"/>
        </w:tabs>
        <w:numPr>
          <w:ilvl w:val="0"/>
          <w:numId w:val="3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of termination by reason of Executive's death, stock options previously awarded to Executive as of the date of death shall be fully vested, and Executive's estate or beneficiary shall have up to one (1) year from the date of death to exercise all such previously-awarded options, provided that in no event will any option be exercisable beyond its term. No stock options contemplated by this Agreement, but not yet awarded to Executive as of the time of his death, shall be granted.</w:t>
      </w:r>
    </w:p>
    <w:p>
      <w:pPr>
        <w:spacing w:after="0" w:line="90" w:lineRule="exact"/>
        <w:rPr>
          <w:sz w:val="20"/>
          <w:szCs w:val="20"/>
          <w:color w:val="auto"/>
        </w:rPr>
      </w:pPr>
    </w:p>
    <w:p>
      <w:pPr>
        <w:ind w:right="2959" w:firstLine="833"/>
        <w:spacing w:after="0" w:line="272" w:lineRule="auto"/>
        <w:tabs>
          <w:tab w:leader="none" w:pos="1209" w:val="left"/>
        </w:tabs>
        <w:numPr>
          <w:ilvl w:val="0"/>
          <w:numId w:val="3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REASON OF TOTAL DISABILITY. In the event that Executive's employment is terminated by reason of Executive's Total Disability as determined in accordance with Section 5(b), the Company shall pay the following amounts to Executive:</w:t>
      </w:r>
    </w:p>
    <w:p>
      <w:pPr>
        <w:spacing w:after="0" w:line="73" w:lineRule="exact"/>
        <w:rPr>
          <w:sz w:val="20"/>
          <w:szCs w:val="20"/>
          <w:color w:val="auto"/>
        </w:rPr>
      </w:pPr>
    </w:p>
    <w:p>
      <w:pPr>
        <w:ind w:left="1660" w:right="3059" w:hanging="827"/>
        <w:spacing w:after="0" w:line="342" w:lineRule="auto"/>
        <w:tabs>
          <w:tab w:leader="none" w:pos="1660" w:val="left"/>
        </w:tabs>
        <w:numPr>
          <w:ilvl w:val="0"/>
          <w:numId w:val="3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w:t>
      </w:r>
    </w:p>
    <w:p>
      <w:pPr>
        <w:spacing w:after="0" w:line="3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68" w:right="1440" w:bottom="1440" w:gutter="0" w:footer="0" w:header="0"/>
        </w:sectPr>
      </w:pPr>
    </w:p>
    <w:bookmarkStart w:id="339" w:name="page340"/>
    <w:bookmarkEnd w:id="339"/>
    <w:p>
      <w:pPr>
        <w:spacing w:after="0"/>
        <w:rPr>
          <w:sz w:val="20"/>
          <w:szCs w:val="20"/>
          <w:color w:val="auto"/>
        </w:rPr>
      </w:pPr>
      <w:r>
        <w:rPr>
          <w:rFonts w:ascii="Courier New" w:cs="Courier New" w:eastAsia="Courier New" w:hAnsi="Courier New"/>
          <w:sz w:val="16"/>
          <w:szCs w:val="16"/>
          <w:color w:val="auto"/>
        </w:rPr>
        <w:t>6</w:t>
      </w:r>
    </w:p>
    <w:p>
      <w:pPr>
        <w:spacing w:after="0" w:line="177" w:lineRule="exact"/>
        <w:rPr>
          <w:sz w:val="20"/>
          <w:szCs w:val="20"/>
          <w:color w:val="auto"/>
        </w:rPr>
      </w:pPr>
    </w:p>
    <w:p>
      <w:pPr>
        <w:ind w:left="1380" w:right="2779"/>
        <w:spacing w:after="0" w:line="251" w:lineRule="auto"/>
        <w:rPr>
          <w:sz w:val="20"/>
          <w:szCs w:val="20"/>
          <w:color w:val="auto"/>
        </w:rPr>
      </w:pPr>
      <w:r>
        <w:rPr>
          <w:rFonts w:ascii="Courier New" w:cs="Courier New" w:eastAsia="Courier New" w:hAnsi="Courier New"/>
          <w:sz w:val="16"/>
          <w:szCs w:val="16"/>
          <w:color w:val="auto"/>
        </w:rPr>
        <w:t>termination, any accrued but unpaid expenses required to be reimbursed under this Agreement, any vacation accrued to the date of termination, and any earned but unpaid bonuses for any prior period. Executive shall also be eligible for a pro-rata bonus or incentive compensation payment to the extent such awards are made to senior executives of the Company for the year in which Executive is terminated, and to the extent not otherwise paid to the Executive.</w:t>
      </w:r>
    </w:p>
    <w:p>
      <w:pPr>
        <w:spacing w:after="0" w:line="94" w:lineRule="exact"/>
        <w:rPr>
          <w:sz w:val="20"/>
          <w:szCs w:val="20"/>
          <w:color w:val="auto"/>
        </w:rPr>
      </w:pPr>
    </w:p>
    <w:p>
      <w:pPr>
        <w:ind w:left="1380" w:right="2779" w:hanging="827"/>
        <w:spacing w:after="0" w:line="263" w:lineRule="auto"/>
        <w:tabs>
          <w:tab w:leader="none" w:pos="1380"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shall be determined and paid in accordance with the terms of such plans, policies and arrangements.</w:t>
      </w:r>
    </w:p>
    <w:p>
      <w:pPr>
        <w:spacing w:after="0" w:line="80" w:lineRule="exact"/>
        <w:rPr>
          <w:rFonts w:ascii="Courier New" w:cs="Courier New" w:eastAsia="Courier New" w:hAnsi="Courier New"/>
          <w:sz w:val="16"/>
          <w:szCs w:val="16"/>
          <w:color w:val="auto"/>
        </w:rPr>
      </w:pPr>
    </w:p>
    <w:p>
      <w:pPr>
        <w:ind w:left="1380" w:right="2779" w:hanging="827"/>
        <w:spacing w:after="0" w:line="250" w:lineRule="auto"/>
        <w:tabs>
          <w:tab w:leader="none" w:pos="1380" w:val="left"/>
        </w:tabs>
        <w:numPr>
          <w:ilvl w:val="0"/>
          <w:numId w:val="3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the Base Salary (at the rate in effect as of the date of Executive's Total Disability) which would have been payable to Executive if Executive had continued in active employment for two years following termination of employment, less any payments under any long-term disability plan or arrangement paid for by the Company. Payment shall be made at the same time and in the same manner as such compensation would have been paid if Executive had remained in active employment until the end of such period.</w:t>
      </w:r>
    </w:p>
    <w:p>
      <w:pPr>
        <w:spacing w:after="0" w:line="89" w:lineRule="exact"/>
        <w:rPr>
          <w:rFonts w:ascii="Courier New" w:cs="Courier New" w:eastAsia="Courier New" w:hAnsi="Courier New"/>
          <w:sz w:val="16"/>
          <w:szCs w:val="16"/>
          <w:color w:val="auto"/>
        </w:rPr>
      </w:pPr>
    </w:p>
    <w:p>
      <w:pPr>
        <w:ind w:left="1380" w:right="2779" w:hanging="827"/>
        <w:spacing w:after="0" w:line="290" w:lineRule="auto"/>
        <w:tabs>
          <w:tab w:leader="none" w:pos="138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date of termination by reason of Executive's Total Disability, stock options previously awarded to Executive as of the date of termination shall be fully vested, and Executive or his legal guardian shall have up to one (1) year from the date of death to exercise all such previously-awarded options, provided that in no event will any option be exercisable beyond its term. No stock options contemplated by this Agreement, but not yet awarded to Executive as of the time of his employment termination, shall be granted.</w:t>
      </w:r>
    </w:p>
    <w:p>
      <w:pPr>
        <w:spacing w:after="0" w:line="64" w:lineRule="exact"/>
        <w:rPr>
          <w:sz w:val="20"/>
          <w:szCs w:val="20"/>
          <w:color w:val="auto"/>
        </w:rPr>
      </w:pPr>
    </w:p>
    <w:p>
      <w:pPr>
        <w:ind w:left="-280" w:right="2779" w:firstLine="833"/>
        <w:spacing w:after="0" w:line="289" w:lineRule="auto"/>
        <w:tabs>
          <w:tab w:leader="none" w:pos="929" w:val="left"/>
        </w:tabs>
        <w:numPr>
          <w:ilvl w:val="0"/>
          <w:numId w:val="3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FOR CAUSE. In the event that Executive's employment is terminated by the Company for Cause, the Company shall pay the following amounts to Executive:</w:t>
      </w:r>
    </w:p>
    <w:p>
      <w:pPr>
        <w:spacing w:after="0" w:line="61" w:lineRule="exact"/>
        <w:rPr>
          <w:sz w:val="20"/>
          <w:szCs w:val="20"/>
          <w:color w:val="auto"/>
        </w:rPr>
      </w:pPr>
    </w:p>
    <w:p>
      <w:pPr>
        <w:ind w:left="1380" w:right="2879" w:hanging="827"/>
        <w:spacing w:after="0" w:line="263" w:lineRule="auto"/>
        <w:tabs>
          <w:tab w:leader="none" w:pos="1380"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80" w:lineRule="exact"/>
        <w:rPr>
          <w:rFonts w:ascii="Courier New" w:cs="Courier New" w:eastAsia="Courier New" w:hAnsi="Courier New"/>
          <w:sz w:val="16"/>
          <w:szCs w:val="16"/>
          <w:color w:val="auto"/>
        </w:rPr>
      </w:pPr>
    </w:p>
    <w:p>
      <w:pPr>
        <w:ind w:left="1380" w:right="2779" w:hanging="827"/>
        <w:spacing w:after="0" w:line="263" w:lineRule="auto"/>
        <w:tabs>
          <w:tab w:leader="none" w:pos="1380"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80" w:lineRule="exact"/>
        <w:rPr>
          <w:rFonts w:ascii="Courier New" w:cs="Courier New" w:eastAsia="Courier New" w:hAnsi="Courier New"/>
          <w:sz w:val="16"/>
          <w:szCs w:val="16"/>
          <w:color w:val="auto"/>
        </w:rPr>
      </w:pPr>
    </w:p>
    <w:p>
      <w:pPr>
        <w:ind w:left="1380" w:right="2779" w:hanging="827"/>
        <w:spacing w:after="0" w:line="251" w:lineRule="auto"/>
        <w:tabs>
          <w:tab w:leader="none" w:pos="1380" w:val="left"/>
        </w:tabs>
        <w:numPr>
          <w:ilvl w:val="0"/>
          <w:numId w:val="3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options, whether vested or not vested prior to the date of such termination of employment, shall be automatically cancelled on the date of employment termination. However, it is expressly understood and agreed that Executive would have no obligation to repay or otherwise reimburse the Company for funds received as a result of Executive's having exercised any previously-vested stock options prior to his employment termination.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939"/>
          </w:cols>
          <w:pgMar w:left="520" w:top="268" w:right="1440" w:bottom="1440" w:gutter="0" w:footer="0" w:header="0"/>
        </w:sectPr>
      </w:pPr>
    </w:p>
    <w:bookmarkStart w:id="340" w:name="page341"/>
    <w:bookmarkEnd w:id="340"/>
    <w:p>
      <w:pPr>
        <w:spacing w:after="0"/>
        <w:rPr>
          <w:sz w:val="20"/>
          <w:szCs w:val="20"/>
          <w:color w:val="auto"/>
        </w:rPr>
      </w:pPr>
      <w:r>
        <w:rPr>
          <w:rFonts w:ascii="Courier New" w:cs="Courier New" w:eastAsia="Courier New" w:hAnsi="Courier New"/>
          <w:sz w:val="16"/>
          <w:szCs w:val="16"/>
          <w:color w:val="auto"/>
        </w:rPr>
        <w:t>7</w:t>
      </w:r>
    </w:p>
    <w:p>
      <w:pPr>
        <w:spacing w:after="0" w:line="177" w:lineRule="exact"/>
        <w:rPr>
          <w:sz w:val="20"/>
          <w:szCs w:val="20"/>
          <w:color w:val="auto"/>
        </w:rPr>
      </w:pPr>
    </w:p>
    <w:p>
      <w:pPr>
        <w:ind w:left="-280" w:right="2879" w:firstLine="833"/>
        <w:spacing w:after="0" w:line="289" w:lineRule="auto"/>
        <w:tabs>
          <w:tab w:leader="none" w:pos="929" w:val="left"/>
        </w:tabs>
        <w:numPr>
          <w:ilvl w:val="0"/>
          <w:numId w:val="3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VOLUNTARY TERMINATION BY EXECUTIVE. In the event that Executive voluntarily terminates employment other than for Good Reason, the Company shall pay the following amounts to Executive:</w:t>
      </w:r>
    </w:p>
    <w:p>
      <w:pPr>
        <w:spacing w:after="0" w:line="61" w:lineRule="exact"/>
        <w:rPr>
          <w:sz w:val="20"/>
          <w:szCs w:val="20"/>
          <w:color w:val="auto"/>
        </w:rPr>
      </w:pPr>
    </w:p>
    <w:p>
      <w:pPr>
        <w:ind w:left="1380" w:right="2879" w:hanging="827"/>
        <w:spacing w:after="0" w:line="263" w:lineRule="auto"/>
        <w:tabs>
          <w:tab w:leader="none" w:pos="1380"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80" w:lineRule="exact"/>
        <w:rPr>
          <w:rFonts w:ascii="Courier New" w:cs="Courier New" w:eastAsia="Courier New" w:hAnsi="Courier New"/>
          <w:sz w:val="16"/>
          <w:szCs w:val="16"/>
          <w:color w:val="auto"/>
        </w:rPr>
      </w:pPr>
    </w:p>
    <w:p>
      <w:pPr>
        <w:ind w:left="1380" w:right="2779" w:hanging="827"/>
        <w:spacing w:after="0" w:line="263" w:lineRule="auto"/>
        <w:tabs>
          <w:tab w:leader="none" w:pos="1380" w:val="left"/>
        </w:tabs>
        <w:numPr>
          <w:ilvl w:val="0"/>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benefits to which Executive may be entitled pursuant to the plans, policies and arrangements (including those referred to in Section 4(d) hereof up to the date of termination) shall be determined and paid in accordance with the terms of such plans, policies and arrangements.</w:t>
      </w:r>
    </w:p>
    <w:p>
      <w:pPr>
        <w:spacing w:after="0" w:line="80" w:lineRule="exact"/>
        <w:rPr>
          <w:rFonts w:ascii="Courier New" w:cs="Courier New" w:eastAsia="Courier New" w:hAnsi="Courier New"/>
          <w:sz w:val="16"/>
          <w:szCs w:val="16"/>
          <w:color w:val="auto"/>
        </w:rPr>
      </w:pPr>
    </w:p>
    <w:p>
      <w:pPr>
        <w:ind w:left="1380" w:right="3059" w:hanging="827"/>
        <w:spacing w:after="0" w:line="284" w:lineRule="auto"/>
        <w:tabs>
          <w:tab w:leader="none" w:pos="1380" w:val="left"/>
        </w:tabs>
        <w:numPr>
          <w:ilvl w:val="0"/>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 options that have not vested prior to the date of such termination of employment shall be automatically cancelled as of that date, and Executive shall have ninety</w:t>
      </w:r>
    </w:p>
    <w:p>
      <w:pPr>
        <w:spacing w:after="0" w:line="1" w:lineRule="exact"/>
        <w:rPr>
          <w:rFonts w:ascii="Courier New" w:cs="Courier New" w:eastAsia="Courier New" w:hAnsi="Courier New"/>
          <w:sz w:val="14"/>
          <w:szCs w:val="14"/>
          <w:color w:val="auto"/>
        </w:rPr>
      </w:pPr>
    </w:p>
    <w:p>
      <w:pPr>
        <w:ind w:left="1380" w:right="2779" w:firstLine="10"/>
        <w:spacing w:after="0" w:line="250" w:lineRule="auto"/>
        <w:tabs>
          <w:tab w:leader="none" w:pos="1845" w:val="left"/>
        </w:tabs>
        <w:numPr>
          <w:ilvl w:val="1"/>
          <w:numId w:val="3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following the date of termination of employment to exercise any previously vested options; provided that in no event will any option be exercisable beyond its term. No stock options contemplated by this Agreement, but not yet awarded to Executive as of the time of his employment termination, shall be granted.</w:t>
      </w:r>
    </w:p>
    <w:p>
      <w:pPr>
        <w:spacing w:after="0" w:line="91" w:lineRule="exact"/>
        <w:rPr>
          <w:sz w:val="20"/>
          <w:szCs w:val="20"/>
          <w:color w:val="auto"/>
        </w:rPr>
      </w:pPr>
    </w:p>
    <w:p>
      <w:pPr>
        <w:ind w:left="-280" w:right="2879" w:firstLine="833"/>
        <w:spacing w:after="0" w:line="263" w:lineRule="auto"/>
        <w:tabs>
          <w:tab w:leader="none" w:pos="929" w:val="left"/>
        </w:tabs>
        <w:numPr>
          <w:ilvl w:val="0"/>
          <w:numId w:val="3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WITHOUT CAUSE; TERMINATION BY EXECUTIVE FOR GOOD REASON. In the event that Executive's employment is terminated by the Company for reasons other than death, Total Disability or Cause, or Executive terminates his employment for Good Reason, the Company shall pay the following amounts to Executive:</w:t>
      </w:r>
    </w:p>
    <w:p>
      <w:pPr>
        <w:spacing w:after="0" w:line="80" w:lineRule="exact"/>
        <w:rPr>
          <w:sz w:val="20"/>
          <w:szCs w:val="20"/>
          <w:color w:val="auto"/>
        </w:rPr>
      </w:pPr>
    </w:p>
    <w:p>
      <w:pPr>
        <w:ind w:left="1380" w:right="2879" w:hanging="827"/>
        <w:spacing w:after="0" w:line="263" w:lineRule="auto"/>
        <w:tabs>
          <w:tab w:leader="none" w:pos="1380"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accrued but unpaid Base Salary for services rendered to the date of termination, any accrued but unpaid expenses required to be reimbursed under this Agreement, any vacation accrued to the date of termination, and any earned but unpaid bonuses for any prior period.</w:t>
      </w:r>
    </w:p>
    <w:p>
      <w:pPr>
        <w:spacing w:after="0" w:line="80" w:lineRule="exact"/>
        <w:rPr>
          <w:rFonts w:ascii="Courier New" w:cs="Courier New" w:eastAsia="Courier New" w:hAnsi="Courier New"/>
          <w:sz w:val="16"/>
          <w:szCs w:val="16"/>
          <w:color w:val="auto"/>
        </w:rPr>
      </w:pPr>
    </w:p>
    <w:p>
      <w:pPr>
        <w:jc w:val="both"/>
        <w:ind w:left="1380" w:right="3059" w:hanging="827"/>
        <w:spacing w:after="0" w:line="322" w:lineRule="auto"/>
        <w:tabs>
          <w:tab w:leader="none" w:pos="138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benefits to which Executive may be entitled pursuant to the plans, policies and arrangements referred to in Section 4(d) hereof shall be determined and paid in accordance with the terms of such plans, policies and arrangements.</w:t>
      </w:r>
    </w:p>
    <w:p>
      <w:pPr>
        <w:spacing w:after="0" w:line="43" w:lineRule="exact"/>
        <w:rPr>
          <w:rFonts w:ascii="Courier New" w:cs="Courier New" w:eastAsia="Courier New" w:hAnsi="Courier New"/>
          <w:sz w:val="14"/>
          <w:szCs w:val="14"/>
          <w:color w:val="auto"/>
        </w:rPr>
      </w:pPr>
    </w:p>
    <w:p>
      <w:pPr>
        <w:ind w:left="1380" w:right="2779" w:hanging="827"/>
        <w:spacing w:after="0" w:line="250" w:lineRule="auto"/>
        <w:tabs>
          <w:tab w:leader="none" w:pos="1380"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amount equal to two times the sum of Executive's Base Salary plus his Target Annual Bonus (in each case as then in effect), of which one-half shall be paid in a lump sum within ten (10) days after such termination and one-half shall be paid during the two (2) year period beginning on the date of Executive's termination and shall be paid at the same time and in the same manner as Base Salary would have been paid if Executive had remained in active employment until the end of such period.</w:t>
      </w:r>
    </w:p>
    <w:p>
      <w:pPr>
        <w:spacing w:after="0" w:line="89" w:lineRule="exact"/>
        <w:rPr>
          <w:rFonts w:ascii="Courier New" w:cs="Courier New" w:eastAsia="Courier New" w:hAnsi="Courier New"/>
          <w:sz w:val="16"/>
          <w:szCs w:val="16"/>
          <w:color w:val="auto"/>
        </w:rPr>
      </w:pPr>
    </w:p>
    <w:p>
      <w:pPr>
        <w:ind w:left="1380" w:right="3159" w:hanging="827"/>
        <w:spacing w:after="0" w:line="342" w:lineRule="auto"/>
        <w:tabs>
          <w:tab w:leader="none" w:pos="1380" w:val="left"/>
        </w:tabs>
        <w:numPr>
          <w:ilvl w:val="0"/>
          <w:numId w:val="3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at its expense will continue for Executive and Executive's spouse</w:t>
      </w:r>
    </w:p>
    <w:p>
      <w:pPr>
        <w:spacing w:after="0" w:line="37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39"/>
          </w:cols>
          <w:pgMar w:left="520" w:top="269" w:right="1440" w:bottom="1440" w:gutter="0" w:footer="0" w:header="0"/>
        </w:sectPr>
      </w:pPr>
    </w:p>
    <w:bookmarkStart w:id="341" w:name="page342"/>
    <w:bookmarkEnd w:id="341"/>
    <w:p>
      <w:pPr>
        <w:spacing w:after="0"/>
        <w:rPr>
          <w:sz w:val="20"/>
          <w:szCs w:val="20"/>
          <w:color w:val="auto"/>
        </w:rPr>
      </w:pPr>
      <w:r>
        <w:rPr>
          <w:rFonts w:ascii="Courier New" w:cs="Courier New" w:eastAsia="Courier New" w:hAnsi="Courier New"/>
          <w:sz w:val="16"/>
          <w:szCs w:val="16"/>
          <w:color w:val="auto"/>
        </w:rPr>
        <w:t>8</w:t>
      </w:r>
    </w:p>
    <w:p>
      <w:pPr>
        <w:spacing w:after="0" w:line="177" w:lineRule="exact"/>
        <w:rPr>
          <w:sz w:val="20"/>
          <w:szCs w:val="20"/>
          <w:color w:val="auto"/>
        </w:rPr>
      </w:pPr>
    </w:p>
    <w:p>
      <w:pPr>
        <w:ind w:left="1380" w:right="2779"/>
        <w:spacing w:after="0" w:line="279" w:lineRule="auto"/>
        <w:rPr>
          <w:sz w:val="20"/>
          <w:szCs w:val="20"/>
          <w:color w:val="auto"/>
        </w:rPr>
      </w:pPr>
      <w:r>
        <w:rPr>
          <w:rFonts w:ascii="Courier New" w:cs="Courier New" w:eastAsia="Courier New" w:hAnsi="Courier New"/>
          <w:sz w:val="14"/>
          <w:szCs w:val="14"/>
          <w:color w:val="auto"/>
        </w:rPr>
        <w:t>and dependents, all health benefit plans, programs or arrangements, whether group or individual, disability, and other benefit plans, in which Executive was entitled to participate at any time during the twelve-month period prior to the date of termination, until the earliest to occur of (A) two years after the date of termination; (B) Executive's death (provided that benefits provided to Executive's spouse and dependents shall not terminate upon Executive's death); or (C) with respect to any particular plan, program or arrangement, the date Executive becomes eligible to participate in a comparable benefit provided by a subsequent employer. In the event that Executive's continued participation in any such Company plan, program, or arrangement is prohibited, the Company will arrange to provide Executive with benefits substantially similar to those which Executive would have been entitled to receive under such plan, program, or arrangement, for such period on a basis which provides Executive with no additional after tax cost.</w:t>
      </w:r>
    </w:p>
    <w:p>
      <w:pPr>
        <w:spacing w:after="0" w:line="265" w:lineRule="exact"/>
        <w:rPr>
          <w:sz w:val="20"/>
          <w:szCs w:val="20"/>
          <w:color w:val="auto"/>
        </w:rPr>
      </w:pPr>
    </w:p>
    <w:p>
      <w:pPr>
        <w:ind w:left="1380" w:right="2779" w:hanging="827"/>
        <w:spacing w:after="0" w:line="254" w:lineRule="auto"/>
        <w:tabs>
          <w:tab w:leader="none" w:pos="1380" w:val="left"/>
        </w:tabs>
        <w:numPr>
          <w:ilvl w:val="0"/>
          <w:numId w:val="3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continue to vest in all stock option awards or restricted stock awards over the two (2) year period commencing on the date of such termination. Executive shall have two (2) years and six (6) months after the date of termination to exercise all options to the extent then vested, provided that in no event may any option be exercisable beyond its term.</w:t>
      </w:r>
    </w:p>
    <w:p>
      <w:pPr>
        <w:spacing w:after="0" w:line="88" w:lineRule="exact"/>
        <w:rPr>
          <w:sz w:val="20"/>
          <w:szCs w:val="20"/>
          <w:color w:val="auto"/>
        </w:rPr>
      </w:pPr>
    </w:p>
    <w:p>
      <w:pPr>
        <w:ind w:left="-280" w:right="2779" w:firstLine="833"/>
        <w:spacing w:after="0" w:line="254" w:lineRule="auto"/>
        <w:tabs>
          <w:tab w:leader="none" w:pos="929" w:val="left"/>
        </w:tabs>
        <w:numPr>
          <w:ilvl w:val="0"/>
          <w:numId w:val="3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BENEFITS OR COMPENSATION. Except as may be provided under this Agreement, under the terms of any incentive compensation, employee benefit, or fringe benefit plan applicable to Executive at the time of Executive's termination or resignation of employment, Executive shall have no right to receive any other compensation, or to participate in any other plan, arrangement or benefit, with respect to future periods after such termination or resignation.</w:t>
      </w:r>
    </w:p>
    <w:p>
      <w:pPr>
        <w:spacing w:after="0" w:line="88" w:lineRule="exact"/>
        <w:rPr>
          <w:rFonts w:ascii="Courier New" w:cs="Courier New" w:eastAsia="Courier New" w:hAnsi="Courier New"/>
          <w:sz w:val="16"/>
          <w:szCs w:val="16"/>
          <w:color w:val="auto"/>
        </w:rPr>
      </w:pPr>
    </w:p>
    <w:p>
      <w:pPr>
        <w:ind w:left="-280" w:right="2779" w:firstLine="833"/>
        <w:spacing w:after="0" w:line="292" w:lineRule="auto"/>
        <w:tabs>
          <w:tab w:leader="none" w:pos="929"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MITIGATION; NO SET-OFF. In the event of any termination of employment hereunder, Executive shall be under no obligation to seek other employment, and there shall be no offset against any amounts due Executive under this Agreement on account of any remuneration attributable to any subsequent employment that Executive may obtain. The amounts payable hereunder shall not be subject to setoff, counterclaim, recoupment, defense or other right which the Company may have against the Executive or others, except upon obtaining by the Company of a final non-appealable judgment against Executive.</w:t>
      </w:r>
    </w:p>
    <w:p>
      <w:pPr>
        <w:spacing w:after="0" w:line="66" w:lineRule="exact"/>
        <w:rPr>
          <w:sz w:val="20"/>
          <w:szCs w:val="20"/>
          <w:color w:val="auto"/>
        </w:rPr>
      </w:pPr>
    </w:p>
    <w:p>
      <w:pPr>
        <w:ind w:left="-280" w:right="3059" w:firstLine="833"/>
        <w:spacing w:after="0" w:line="342" w:lineRule="auto"/>
        <w:tabs>
          <w:tab w:leader="none" w:pos="836" w:val="left"/>
        </w:tabs>
        <w:numPr>
          <w:ilvl w:val="0"/>
          <w:numId w:val="3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BY EXECUTIVE FOR GOOD REASON AND COMPENSATION PAYABLE FOLLOWING CHANGE IN CONTROL.</w:t>
      </w:r>
    </w:p>
    <w:p>
      <w:pPr>
        <w:spacing w:after="0" w:line="20" w:lineRule="exact"/>
        <w:rPr>
          <w:sz w:val="20"/>
          <w:szCs w:val="20"/>
          <w:color w:val="auto"/>
        </w:rPr>
      </w:pPr>
    </w:p>
    <w:p>
      <w:pPr>
        <w:ind w:left="-280" w:right="2879" w:firstLine="833"/>
        <w:spacing w:after="0" w:line="251" w:lineRule="auto"/>
        <w:tabs>
          <w:tab w:leader="none" w:pos="929" w:val="left"/>
        </w:tabs>
        <w:numPr>
          <w:ilvl w:val="0"/>
          <w:numId w:val="3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 FOR GOOD REASON FOLLOWING CHANGE IN CONTROL. In the event a "Change in Control" occurs and Executive terminates his employment for Good Reason thereafter, or the Company terminates Executive's employment other than for Cause, or such termination for Good Reason or without Cause occurs in contemplation of such Change in Control (any termination within six (6) months prior to such Change in Control being presumed to be in contemplation unless rebutted by clear and demonstrable evidence to the contrary), the Company shall pay the following amounts to Executive:</w:t>
      </w:r>
    </w:p>
    <w:p>
      <w:pPr>
        <w:spacing w:after="0" w:line="94" w:lineRule="exact"/>
        <w:rPr>
          <w:sz w:val="20"/>
          <w:szCs w:val="20"/>
          <w:color w:val="auto"/>
        </w:rPr>
      </w:pPr>
    </w:p>
    <w:p>
      <w:pPr>
        <w:ind w:left="1380" w:right="2779" w:hanging="827"/>
        <w:spacing w:after="0" w:line="342" w:lineRule="auto"/>
        <w:tabs>
          <w:tab w:leader="none" w:pos="1380" w:val="left"/>
        </w:tabs>
        <w:numPr>
          <w:ilvl w:val="0"/>
          <w:numId w:val="3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payments and benefits provided for in Section 6(e), except that (A) the</w:t>
      </w:r>
    </w:p>
    <w:p>
      <w:pPr>
        <w:spacing w:after="0" w:line="378"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939"/>
          </w:cols>
          <w:pgMar w:left="520" w:top="269" w:right="1440" w:bottom="1440" w:gutter="0" w:footer="0" w:header="0"/>
        </w:sectPr>
      </w:pPr>
    </w:p>
    <w:bookmarkStart w:id="342" w:name="page343"/>
    <w:bookmarkEnd w:id="342"/>
    <w:p>
      <w:pPr>
        <w:spacing w:after="0"/>
        <w:rPr>
          <w:sz w:val="20"/>
          <w:szCs w:val="20"/>
          <w:color w:val="auto"/>
        </w:rPr>
      </w:pPr>
      <w:r>
        <w:rPr>
          <w:rFonts w:ascii="Courier New" w:cs="Courier New" w:eastAsia="Courier New" w:hAnsi="Courier New"/>
          <w:sz w:val="16"/>
          <w:szCs w:val="16"/>
          <w:color w:val="auto"/>
        </w:rPr>
        <w:t>9</w:t>
      </w:r>
    </w:p>
    <w:p>
      <w:pPr>
        <w:spacing w:after="0" w:line="177" w:lineRule="exact"/>
        <w:rPr>
          <w:sz w:val="20"/>
          <w:szCs w:val="20"/>
          <w:color w:val="auto"/>
        </w:rPr>
      </w:pPr>
    </w:p>
    <w:p>
      <w:pPr>
        <w:ind w:left="1380" w:right="2959"/>
        <w:spacing w:after="0" w:line="263" w:lineRule="auto"/>
        <w:rPr>
          <w:sz w:val="20"/>
          <w:szCs w:val="20"/>
          <w:color w:val="auto"/>
        </w:rPr>
      </w:pPr>
      <w:r>
        <w:rPr>
          <w:rFonts w:ascii="Courier New" w:cs="Courier New" w:eastAsia="Courier New" w:hAnsi="Courier New"/>
          <w:sz w:val="16"/>
          <w:szCs w:val="16"/>
          <w:color w:val="auto"/>
        </w:rPr>
        <w:t>amount and period with respect to which severance is calculated pursuant to Section 6(e)(iii) will be three (3) years and the amount shall be paid in a lump-sum and (B) the benefit continuation period in Section 6(e)(iv) shall be for three (3) years.</w:t>
      </w:r>
    </w:p>
    <w:p>
      <w:pPr>
        <w:spacing w:after="0" w:line="80" w:lineRule="exact"/>
        <w:rPr>
          <w:sz w:val="20"/>
          <w:szCs w:val="20"/>
          <w:color w:val="auto"/>
        </w:rPr>
      </w:pPr>
    </w:p>
    <w:p>
      <w:pPr>
        <w:ind w:left="1380" w:right="2779" w:hanging="827"/>
        <w:spacing w:after="0" w:line="241" w:lineRule="auto"/>
        <w:tabs>
          <w:tab w:leader="none" w:pos="1380" w:val="left"/>
        </w:tabs>
        <w:numPr>
          <w:ilvl w:val="0"/>
          <w:numId w:val="3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Section 6(e)(v), Executive will be 100% vested in all benefits, awards, and grants (including stock option grants and stock awards, all of such stock options exercisable for three (3) years following Termination, provided that in no event will any option be exercisable beyond its term) accrued but unpaid as of the date of termination under any non-qualified pension plan, supplemental and/or incentive compensation or bonus plans, in which Executive was a participant as of the date of termination. Executive shall also receive a bonus or incentive compensation payment (the "bonus payment"), payable at 100% of the maximum bonus available to Executive, pro-rated as of the effective date of the termination. The bonus payment shall be payable within five (5) days after the effective date of Executive's termination. Except as may be provided under this Section 7 or under the terms of any incentive compensation, employee benefit, or fringe benefit plan applicable to Executive at the time of Executive's termination of employment, Executive shall have no right to receive any other compensation, or to participate in any other plan, arrangement or benefit, with respect to future periods after such resignation or termination.</w:t>
      </w:r>
    </w:p>
    <w:p>
      <w:pPr>
        <w:spacing w:after="0" w:line="11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(B) CERTAIN ADDITIONAL PAYMENTS BY THE COMPANY.</w:t>
      </w:r>
    </w:p>
    <w:p>
      <w:pPr>
        <w:spacing w:after="0" w:line="177" w:lineRule="exact"/>
        <w:rPr>
          <w:sz w:val="20"/>
          <w:szCs w:val="20"/>
          <w:color w:val="auto"/>
        </w:rPr>
      </w:pPr>
    </w:p>
    <w:p>
      <w:pPr>
        <w:ind w:left="1380" w:right="2779" w:hanging="827"/>
        <w:spacing w:after="0" w:line="241" w:lineRule="auto"/>
        <w:tabs>
          <w:tab w:leader="none" w:pos="1380" w:val="left"/>
        </w:tabs>
        <w:numPr>
          <w:ilvl w:val="0"/>
          <w:numId w:val="3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Executive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 Code or any person affiliated with the Company or such person) as a result of such change in ownership or effective control (collectively the "Company Payments"), and such Company Payments will be subject to the tax (the "Excise Tax") imposed by Section 4999 of the Code (and any similar tax that may hereafter be imposed by any taxing authority) the Company shall pay to the Executive at the time specified in subsection (iv) below an additional amount (the "Gross-up Payment") such that the net amount retained by the Executive, after deduction of any Excise Tax on the Company Payments and any U.S. federal, state, and for local income or payroll tax upon the Gross-up Payment provided for by this Section 7(b), but before deduction for any U.S. federal, state, and local income or payroll tax on the Company Payments, shall be equal to the Company Payments.</w:t>
      </w:r>
    </w:p>
    <w:p>
      <w:pPr>
        <w:spacing w:after="0" w:line="110" w:lineRule="exact"/>
        <w:rPr>
          <w:rFonts w:ascii="Courier New" w:cs="Courier New" w:eastAsia="Courier New" w:hAnsi="Courier New"/>
          <w:sz w:val="16"/>
          <w:szCs w:val="16"/>
          <w:color w:val="auto"/>
        </w:rPr>
      </w:pPr>
    </w:p>
    <w:p>
      <w:pPr>
        <w:ind w:left="1380" w:right="2779" w:hanging="827"/>
        <w:spacing w:after="0" w:line="292" w:lineRule="auto"/>
        <w:tabs>
          <w:tab w:leader="none" w:pos="138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whether any of the Company Payments and Gross-up Payments (collectively the "Total Payments") will be subject to the Excise Tax and the amount of such Excise Tax, (x) the Total Payments shall be treated as "parachute payments" within the meaning of Section 280G(b)(2) of the Code, and all "parachute payments" in excess of the "base amount" (as defined under Code Section 280G[b][3] of the Code) shall be treated as subject to the Excise Tax,</w:t>
      </w:r>
    </w:p>
    <w:p>
      <w:pPr>
        <w:spacing w:after="0" w:line="200" w:lineRule="exact"/>
        <w:rPr>
          <w:sz w:val="20"/>
          <w:szCs w:val="20"/>
          <w:color w:val="auto"/>
        </w:rPr>
      </w:pPr>
    </w:p>
    <w:p>
      <w:pPr>
        <w:spacing w:after="0" w:line="224"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939"/>
          </w:cols>
          <w:pgMar w:left="520" w:top="269" w:right="1440" w:bottom="1440" w:gutter="0" w:footer="0" w:header="0"/>
        </w:sectPr>
      </w:pPr>
    </w:p>
    <w:bookmarkStart w:id="343" w:name="page344"/>
    <w:bookmarkEnd w:id="343"/>
    <w:p>
      <w:pPr>
        <w:spacing w:after="0"/>
        <w:rPr>
          <w:sz w:val="20"/>
          <w:szCs w:val="20"/>
          <w:color w:val="auto"/>
        </w:rPr>
      </w:pPr>
      <w:r>
        <w:rPr>
          <w:rFonts w:ascii="Courier New" w:cs="Courier New" w:eastAsia="Courier New" w:hAnsi="Courier New"/>
          <w:sz w:val="16"/>
          <w:szCs w:val="16"/>
          <w:color w:val="auto"/>
        </w:rPr>
        <w:t>10</w:t>
      </w:r>
    </w:p>
    <w:p>
      <w:pPr>
        <w:spacing w:after="0" w:line="177" w:lineRule="exact"/>
        <w:rPr>
          <w:sz w:val="20"/>
          <w:szCs w:val="20"/>
          <w:color w:val="auto"/>
        </w:rPr>
      </w:pPr>
    </w:p>
    <w:p>
      <w:pPr>
        <w:ind w:left="1380" w:right="2779"/>
        <w:spacing w:after="0" w:line="245" w:lineRule="auto"/>
        <w:rPr>
          <w:sz w:val="20"/>
          <w:szCs w:val="20"/>
          <w:color w:val="auto"/>
        </w:rPr>
      </w:pPr>
      <w:r>
        <w:rPr>
          <w:rFonts w:ascii="Courier New" w:cs="Courier New" w:eastAsia="Courier New" w:hAnsi="Courier New"/>
          <w:sz w:val="16"/>
          <w:szCs w:val="16"/>
          <w:color w:val="auto"/>
        </w:rPr>
        <w:t>unless and except to the extent that, in the opinion of the Company's independent certified public accountants appointed prior to any change in ownership (as defined under Code Section 280G[b][2]) or tax counsel selected by such accountants (the "Accountants") such Total Payments (in whole or in part) either do not constitute "parachute payments," represent reasonable compensation for services actually rendered within the meaning of Section 280G(b)(4) of the Code in excess of the "base amount" or are otherwise not subject to the Excise Tax, and (y) the value of any non-cash benefits or any deferred payment or benefit shall be determined by the Accountants in accordance with the principles of Section 280G of the Code.</w:t>
      </w:r>
    </w:p>
    <w:p>
      <w:pPr>
        <w:spacing w:after="0" w:line="99" w:lineRule="exact"/>
        <w:rPr>
          <w:sz w:val="20"/>
          <w:szCs w:val="20"/>
          <w:color w:val="auto"/>
        </w:rPr>
      </w:pPr>
    </w:p>
    <w:p>
      <w:pPr>
        <w:ind w:left="1380" w:right="2779" w:hanging="827"/>
        <w:spacing w:after="0" w:line="275" w:lineRule="auto"/>
        <w:tabs>
          <w:tab w:leader="none" w:pos="1380"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determining the amount of the Gross-up Payment, the Executive shall be deemed to pay U.S. federal income taxes at the highest marginal rate of U.S. federal income taxation in the calendar year in which the Gross-up Payment is to be made and state and local income taxes at the highest marginal rate of taxation in the state and locality of the Executive's residence for the calendar year in which the Company Payment is to be made, net of the maximum reduction in U.S. federal income taxes which could be obtained from deduction of such state and local taxes if paid in such year. In the event that the Excise Tax is subsequently determined by the Accountants to be less than the amount taken into account hereunder at the time the Gross-up Payment is made, the Executive shall repay to the Company, at the time that the amount of such reduction in Excise Tax is finally determined, the portion of the prior Gross-up Payment attributable to such reduction (plus the portion of the Gross-up Payment attributable to the Excise Tax and U.S. federal, state and local income tax imposed on the portion of the Gross-up Payment being repaid by the Executive if such repayment results in a reduction in Excise Tax or a U.S. federal, state and local income tax deduction), plus interest on the amount of such repayment at the rate provided in Section 1274(b)(2)(B) of the Code. Notwithstanding the foregoing, in the event any portion of the Gross-up Payment to be refunded to the Company has been paid to any U.S. federal, state and local tax authority, repayment thereof (and related amounts) shall not be required until actual refund or credit of such portion has been made to the Executive, and interest payable to the Company shall not exceed the interest received or credited to the Executive by such tax authority for the period it held such portion. The Executive and the Company shall mutually agree upon the course of action to be pursued (and the method of allocating the expense thereof) if the Executive's claim for refund or credit is denied.</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6" w:lineRule="exact"/>
        <w:rPr>
          <w:rFonts w:ascii="Courier New" w:cs="Courier New" w:eastAsia="Courier New" w:hAnsi="Courier New"/>
          <w:sz w:val="14"/>
          <w:szCs w:val="14"/>
          <w:color w:val="auto"/>
        </w:rPr>
      </w:pPr>
    </w:p>
    <w:p>
      <w:pPr>
        <w:ind w:left="1380" w:right="2779"/>
        <w:spacing w:after="0" w:line="29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Excise Tax is later determined by the Accountant or the Internal Revenue Service to exceed the amount taken into account hereunder at the time the Gross-up Payment is made (including by reason of any payment the existence or amount of which cannot be determined at the time of the Gross-up Payment), the Company shall make an additional Gross-up Payment in respect of such excess (plus any interest or penalties payable with respect to such excess) at the time that the amount of such excess is finally determined.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939"/>
          </w:cols>
          <w:pgMar w:left="520" w:top="269" w:right="1440" w:bottom="1440" w:gutter="0" w:footer="0" w:header="0"/>
        </w:sectPr>
      </w:pPr>
    </w:p>
    <w:bookmarkStart w:id="344" w:name="page345"/>
    <w:bookmarkEnd w:id="344"/>
    <w:p>
      <w:pPr>
        <w:spacing w:after="0"/>
        <w:rPr>
          <w:sz w:val="20"/>
          <w:szCs w:val="20"/>
          <w:color w:val="auto"/>
        </w:rPr>
      </w:pPr>
      <w:r>
        <w:rPr>
          <w:rFonts w:ascii="Courier New" w:cs="Courier New" w:eastAsia="Courier New" w:hAnsi="Courier New"/>
          <w:sz w:val="16"/>
          <w:szCs w:val="16"/>
          <w:color w:val="auto"/>
        </w:rPr>
        <w:t>11</w:t>
      </w:r>
    </w:p>
    <w:p>
      <w:pPr>
        <w:spacing w:after="0" w:line="177" w:lineRule="exact"/>
        <w:rPr>
          <w:sz w:val="20"/>
          <w:szCs w:val="20"/>
          <w:color w:val="auto"/>
        </w:rPr>
      </w:pPr>
    </w:p>
    <w:p>
      <w:pPr>
        <w:ind w:left="1380" w:right="2779" w:hanging="827"/>
        <w:spacing w:after="0" w:line="242" w:lineRule="auto"/>
        <w:tabs>
          <w:tab w:leader="none" w:pos="1380"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Gross-up Payment or portion thereof provided for in subsection (iii) above shall be paid not later than the thirtieth (30th) day following an event occurring which subjects the Executive to the Excise Tax; provided, however, that if the amount of such Gross-up Payment or portion thereof cannot be finally determined on or before such day, the Company shall pay to the Executive on such day an estimate, as determined in good faith by the Accountant, of the minimum amount of such payments and shall pay the remainder of such payments (together with interest at the rate provided in Section 1274(b)(2)(B) of the Code), subject to further payments pursuant to subsection (iii) hereof, as soon as the amount thereof can reasonably be determined, but in no event later than the ninetieth day after the occurrence of the event subjecting the Executive to the Excise Tax. In the event that the amount of the estimated payments exceeds the amount subsequently determined to have been due, such excess shall constitute a loan by the Company to the Executive, payable on the fifth day after demand by the Company (together with interest at the rate provided in Section 1274(b)(2)(B) of the Code).</w:t>
      </w:r>
    </w:p>
    <w:p>
      <w:pPr>
        <w:spacing w:after="0" w:line="97" w:lineRule="exact"/>
        <w:rPr>
          <w:rFonts w:ascii="Courier New" w:cs="Courier New" w:eastAsia="Courier New" w:hAnsi="Courier New"/>
          <w:sz w:val="16"/>
          <w:szCs w:val="16"/>
          <w:color w:val="auto"/>
        </w:rPr>
      </w:pPr>
    </w:p>
    <w:p>
      <w:pPr>
        <w:ind w:left="1380" w:right="2779" w:hanging="827"/>
        <w:spacing w:after="0" w:line="281" w:lineRule="auto"/>
        <w:tabs>
          <w:tab w:leader="none" w:pos="1380"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controversy with the Internal Revenue Service (or other taxing authority) with regard to the Excise Tax, the Executive shall permit the Company to control issues related to the Excise Tax (at its expense), provided that such issues do not potentially materially adversely affect the Executive, but the Executive shall control any other issues. In the event the issues are interrelated, the Executive and the Company shall in good faith cooperate so as not to jeopardize resolution of either issue, but if the parties cannot agree the Executive shall make the final determination with regard to the issues. In the event of any conference with any taxing authority as to the Excise Tax or associated income taxes, the Executive shall permit the representative of the Company to accompany the Executive, and the Executive and the Executive's representative shall cooperate with the Company and its representative.</w:t>
      </w:r>
    </w:p>
    <w:p>
      <w:pPr>
        <w:spacing w:after="0" w:line="255" w:lineRule="exact"/>
        <w:rPr>
          <w:rFonts w:ascii="Courier New" w:cs="Courier New" w:eastAsia="Courier New" w:hAnsi="Courier New"/>
          <w:sz w:val="14"/>
          <w:szCs w:val="14"/>
          <w:color w:val="auto"/>
        </w:rPr>
      </w:pPr>
    </w:p>
    <w:p>
      <w:pPr>
        <w:ind w:left="1380" w:right="3439" w:hanging="827"/>
        <w:spacing w:after="0" w:line="342" w:lineRule="auto"/>
        <w:tabs>
          <w:tab w:leader="none" w:pos="1380"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responsible for all charges of the Accountant.</w:t>
      </w:r>
    </w:p>
    <w:p>
      <w:pPr>
        <w:spacing w:after="0" w:line="20" w:lineRule="exact"/>
        <w:rPr>
          <w:rFonts w:ascii="Courier New" w:cs="Courier New" w:eastAsia="Courier New" w:hAnsi="Courier New"/>
          <w:sz w:val="16"/>
          <w:szCs w:val="16"/>
          <w:color w:val="auto"/>
        </w:rPr>
      </w:pPr>
    </w:p>
    <w:p>
      <w:pPr>
        <w:ind w:left="1380" w:right="2779" w:hanging="827"/>
        <w:spacing w:after="0" w:line="272" w:lineRule="auto"/>
        <w:tabs>
          <w:tab w:leader="none" w:pos="1380" w:val="left"/>
        </w:tabs>
        <w:numPr>
          <w:ilvl w:val="0"/>
          <w:numId w:val="3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the Executive shall promptly deliver to each other copies of any written communications, and summaries of any verbal communications, with any taxing authority regarding the Excise Tax covered by this Section 7(b).</w:t>
      </w:r>
    </w:p>
    <w:p>
      <w:pPr>
        <w:spacing w:after="0" w:line="73" w:lineRule="exact"/>
        <w:rPr>
          <w:sz w:val="20"/>
          <w:szCs w:val="20"/>
          <w:color w:val="auto"/>
        </w:rPr>
      </w:pPr>
    </w:p>
    <w:p>
      <w:pPr>
        <w:ind w:left="-280" w:right="3339" w:firstLine="833"/>
        <w:spacing w:after="0" w:line="342" w:lineRule="auto"/>
        <w:tabs>
          <w:tab w:leader="none" w:pos="929" w:val="left"/>
        </w:tabs>
        <w:numPr>
          <w:ilvl w:val="0"/>
          <w:numId w:val="3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CONTROL. For purposes of this Agreement, "Change in Control" means the occurrence of any of the following events:</w:t>
      </w:r>
    </w:p>
    <w:p>
      <w:pPr>
        <w:spacing w:after="0" w:line="20" w:lineRule="exact"/>
        <w:rPr>
          <w:sz w:val="20"/>
          <w:szCs w:val="20"/>
          <w:color w:val="auto"/>
        </w:rPr>
      </w:pPr>
    </w:p>
    <w:p>
      <w:pPr>
        <w:ind w:left="1380" w:right="2779" w:hanging="827"/>
        <w:spacing w:after="0" w:line="254" w:lineRule="auto"/>
        <w:tabs>
          <w:tab w:leader="none" w:pos="1380" w:val="left"/>
        </w:tabs>
        <w:numPr>
          <w:ilvl w:val="0"/>
          <w:numId w:val="3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is or becomes the Beneficial Owner, directly or indirectly, of securities of the Company (not including in the securities beneficially owned by such person any securities acquired directly from the Company or its Affiliates) representing twenty-five percent (25%) or more of the combined voting power of the Company's then outstanding voting securities;</w:t>
      </w:r>
    </w:p>
    <w:p>
      <w:pPr>
        <w:spacing w:after="0" w:line="88" w:lineRule="exact"/>
        <w:rPr>
          <w:rFonts w:ascii="Courier New" w:cs="Courier New" w:eastAsia="Courier New" w:hAnsi="Courier New"/>
          <w:sz w:val="16"/>
          <w:szCs w:val="16"/>
          <w:color w:val="auto"/>
        </w:rPr>
      </w:pPr>
    </w:p>
    <w:p>
      <w:pPr>
        <w:ind w:left="1380" w:right="2779" w:hanging="827"/>
        <w:spacing w:after="0" w:line="322" w:lineRule="auto"/>
        <w:tabs>
          <w:tab w:leader="none" w:pos="1380" w:val="left"/>
        </w:tabs>
        <w:numPr>
          <w:ilvl w:val="0"/>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individuals cease for any reason to constitute a majority of the number of directors then serving: individuals who, on the Employment Date, constitute the Board and any new director (other than a director whose initial</w:t>
      </w:r>
    </w:p>
    <w:p>
      <w:pPr>
        <w:spacing w:after="0" w:line="200" w:lineRule="exact"/>
        <w:rPr>
          <w:sz w:val="20"/>
          <w:szCs w:val="20"/>
          <w:color w:val="auto"/>
        </w:rPr>
      </w:pPr>
    </w:p>
    <w:p>
      <w:pPr>
        <w:spacing w:after="0" w:line="201"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939"/>
          </w:cols>
          <w:pgMar w:left="520" w:top="269" w:right="1440" w:bottom="1440" w:gutter="0" w:footer="0" w:header="0"/>
        </w:sectPr>
      </w:pPr>
    </w:p>
    <w:bookmarkStart w:id="345" w:name="page346"/>
    <w:bookmarkEnd w:id="345"/>
    <w:p>
      <w:pPr>
        <w:ind w:left="280"/>
        <w:spacing w:after="0"/>
        <w:rPr>
          <w:sz w:val="20"/>
          <w:szCs w:val="20"/>
          <w:color w:val="auto"/>
        </w:rPr>
      </w:pPr>
      <w:r>
        <w:rPr>
          <w:rFonts w:ascii="Courier New" w:cs="Courier New" w:eastAsia="Courier New" w:hAnsi="Courier New"/>
          <w:sz w:val="16"/>
          <w:szCs w:val="16"/>
          <w:color w:val="auto"/>
        </w:rPr>
        <w:t>12</w:t>
      </w:r>
    </w:p>
    <w:p>
      <w:pPr>
        <w:spacing w:after="0" w:line="177" w:lineRule="exact"/>
        <w:rPr>
          <w:sz w:val="20"/>
          <w:szCs w:val="20"/>
          <w:color w:val="auto"/>
        </w:rPr>
      </w:pPr>
    </w:p>
    <w:p>
      <w:pPr>
        <w:ind w:left="1660" w:right="2779"/>
        <w:spacing w:after="0" w:line="248" w:lineRule="auto"/>
        <w:rPr>
          <w:sz w:val="20"/>
          <w:szCs w:val="20"/>
          <w:color w:val="auto"/>
        </w:rPr>
      </w:pPr>
      <w:r>
        <w:rPr>
          <w:rFonts w:ascii="Courier New" w:cs="Courier New" w:eastAsia="Courier New" w:hAnsi="Courier New"/>
          <w:sz w:val="16"/>
          <w:szCs w:val="16"/>
          <w:color w:val="auto"/>
        </w:rPr>
        <w:t>assumption of office is in connection with an actual or threatened election contest, including but not limited to a consent solicitation, relating to the election of directors of the Company) whose appointment or election by the Board or nomination for election by the Company's stockholders was approved or recommended by a vote of the at least two-thirds (2/3rds) of the directors then still in office who either were directors on the Employment Date or whose appointment, election or nomination for election was previously so approved or recommended;</w:t>
      </w:r>
    </w:p>
    <w:p>
      <w:pPr>
        <w:spacing w:after="0" w:line="95" w:lineRule="exact"/>
        <w:rPr>
          <w:sz w:val="20"/>
          <w:szCs w:val="20"/>
          <w:color w:val="auto"/>
        </w:rPr>
      </w:pPr>
    </w:p>
    <w:p>
      <w:pPr>
        <w:ind w:left="1660" w:right="2779" w:hanging="827"/>
        <w:spacing w:after="0" w:line="274" w:lineRule="auto"/>
        <w:tabs>
          <w:tab w:leader="none" w:pos="166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a consummated merger or consolidation of the Company or any direct or indirect subsidiary of the Company with any other corporation, other than (A) a merger or consolidation which would result in the voting securities of the Company outstanding immediately prior thereto continuing to represent (either by remaining outstanding or by being converted into voting securities of the surviving or parent entity) more than fifty percent (50%) of the combined voting power of the voting securities of the Company or such surviving or parent equity outstanding immediately after such merger or consolidation or</w:t>
      </w:r>
    </w:p>
    <w:p>
      <w:pPr>
        <w:spacing w:after="0" w:line="6" w:lineRule="exact"/>
        <w:rPr>
          <w:rFonts w:ascii="Courier New" w:cs="Courier New" w:eastAsia="Courier New" w:hAnsi="Courier New"/>
          <w:sz w:val="14"/>
          <w:szCs w:val="14"/>
          <w:color w:val="auto"/>
        </w:rPr>
      </w:pPr>
    </w:p>
    <w:p>
      <w:pPr>
        <w:ind w:left="1660" w:right="2879" w:firstLine="10"/>
        <w:spacing w:after="0" w:line="289" w:lineRule="auto"/>
        <w:tabs>
          <w:tab w:leader="none" w:pos="2032" w:val="left"/>
        </w:tabs>
        <w:numPr>
          <w:ilvl w:val="1"/>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or consolidation effected to implement a recapitalization of the Company (or similar transaction) in which no Person, directly or indirectly, acquired twenty-five percent (25%) or more of the combined voting power of the Company's then outstanding securities (not including in the securities beneficially owned by such person any securities acquired directly from the Company or its Affiliates); or</w:t>
      </w:r>
    </w:p>
    <w:p>
      <w:pPr>
        <w:spacing w:after="0" w:line="66" w:lineRule="exact"/>
        <w:rPr>
          <w:rFonts w:ascii="Courier New" w:cs="Courier New" w:eastAsia="Courier New" w:hAnsi="Courier New"/>
          <w:sz w:val="14"/>
          <w:szCs w:val="14"/>
          <w:color w:val="auto"/>
        </w:rPr>
      </w:pPr>
    </w:p>
    <w:p>
      <w:pPr>
        <w:ind w:left="1660" w:right="2779" w:hanging="827"/>
        <w:spacing w:after="0" w:line="247" w:lineRule="auto"/>
        <w:tabs>
          <w:tab w:leader="none" w:pos="1660" w:val="left"/>
        </w:tabs>
        <w:numPr>
          <w:ilvl w:val="0"/>
          <w:numId w:val="3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 holders of the Company approve a plan of complete liquidation of the Company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w:t>
      </w:r>
    </w:p>
    <w:p>
      <w:pPr>
        <w:spacing w:after="0" w:line="95" w:lineRule="exact"/>
        <w:rPr>
          <w:sz w:val="20"/>
          <w:szCs w:val="20"/>
          <w:color w:val="auto"/>
        </w:rPr>
      </w:pPr>
    </w:p>
    <w:p>
      <w:pPr>
        <w:ind w:right="2959" w:firstLine="837"/>
        <w:spacing w:after="0" w:line="342" w:lineRule="auto"/>
        <w:rPr>
          <w:sz w:val="20"/>
          <w:szCs w:val="20"/>
          <w:color w:val="auto"/>
        </w:rPr>
      </w:pPr>
      <w:r>
        <w:rPr>
          <w:rFonts w:ascii="Courier New" w:cs="Courier New" w:eastAsia="Courier New" w:hAnsi="Courier New"/>
          <w:sz w:val="16"/>
          <w:szCs w:val="16"/>
          <w:color w:val="auto"/>
        </w:rPr>
        <w:t>For purposes of this Section 7(c), the following terms shall have the following meanings:</w:t>
      </w:r>
    </w:p>
    <w:p>
      <w:pPr>
        <w:spacing w:after="0" w:line="20" w:lineRule="exact"/>
        <w:rPr>
          <w:sz w:val="20"/>
          <w:szCs w:val="20"/>
          <w:color w:val="auto"/>
        </w:rPr>
      </w:pPr>
    </w:p>
    <w:p>
      <w:pPr>
        <w:ind w:left="1660" w:right="2879" w:firstLine="10"/>
        <w:spacing w:after="0" w:line="272" w:lineRule="auto"/>
        <w:tabs>
          <w:tab w:leader="none" w:pos="2032"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an affiliate of the Company, as defined in Rule 12b-2 promulgated under Section 12 of the Securities Exchange Act of 1934, as amended from time to time (the "Exchange Act");</w:t>
      </w:r>
    </w:p>
    <w:p>
      <w:pPr>
        <w:spacing w:after="0" w:line="72" w:lineRule="exact"/>
        <w:rPr>
          <w:rFonts w:ascii="Courier New" w:cs="Courier New" w:eastAsia="Courier New" w:hAnsi="Courier New"/>
          <w:sz w:val="16"/>
          <w:szCs w:val="16"/>
          <w:color w:val="auto"/>
        </w:rPr>
      </w:pPr>
    </w:p>
    <w:p>
      <w:pPr>
        <w:ind w:left="1660" w:right="3059" w:firstLine="10"/>
        <w:spacing w:after="0" w:line="342" w:lineRule="auto"/>
        <w:tabs>
          <w:tab w:leader="none" w:pos="2125"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 shall have the meaning set forth in Rule 13d-3 under the Exchange Act;</w:t>
      </w:r>
    </w:p>
    <w:p>
      <w:pPr>
        <w:spacing w:after="0" w:line="20" w:lineRule="exact"/>
        <w:rPr>
          <w:rFonts w:ascii="Courier New" w:cs="Courier New" w:eastAsia="Courier New" w:hAnsi="Courier New"/>
          <w:sz w:val="16"/>
          <w:szCs w:val="16"/>
          <w:color w:val="auto"/>
        </w:rPr>
      </w:pPr>
    </w:p>
    <w:p>
      <w:pPr>
        <w:ind w:left="1660" w:right="2779" w:firstLine="10"/>
        <w:spacing w:after="0" w:line="250" w:lineRule="auto"/>
        <w:tabs>
          <w:tab w:leader="none" w:pos="2218" w:val="left"/>
        </w:tabs>
        <w:numPr>
          <w:ilvl w:val="0"/>
          <w:numId w:val="3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underwriter temporarily holding securities pursuant to an offering of such securities or (4) a corporation owned, directly or indirectly, by the stockholders of</w:t>
      </w:r>
    </w:p>
    <w:p>
      <w:pPr>
        <w:spacing w:after="0" w:line="200" w:lineRule="exact"/>
        <w:rPr>
          <w:sz w:val="20"/>
          <w:szCs w:val="20"/>
          <w:color w:val="auto"/>
        </w:rPr>
      </w:pPr>
    </w:p>
    <w:p>
      <w:pPr>
        <w:spacing w:after="0" w:line="24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68" w:right="1440" w:bottom="1440" w:gutter="0" w:footer="0" w:header="0"/>
        </w:sectPr>
      </w:pPr>
    </w:p>
    <w:bookmarkStart w:id="346" w:name="page347"/>
    <w:bookmarkEnd w:id="346"/>
    <w:p>
      <w:pPr>
        <w:ind w:left="280"/>
        <w:spacing w:after="0"/>
        <w:rPr>
          <w:sz w:val="20"/>
          <w:szCs w:val="20"/>
          <w:color w:val="auto"/>
        </w:rPr>
      </w:pPr>
      <w:r>
        <w:rPr>
          <w:rFonts w:ascii="Courier New" w:cs="Courier New" w:eastAsia="Courier New" w:hAnsi="Courier New"/>
          <w:sz w:val="16"/>
          <w:szCs w:val="16"/>
          <w:color w:val="auto"/>
        </w:rPr>
        <w:t>13</w:t>
      </w:r>
    </w:p>
    <w:p>
      <w:pPr>
        <w:spacing w:after="0" w:line="177" w:lineRule="exact"/>
        <w:rPr>
          <w:sz w:val="20"/>
          <w:szCs w:val="20"/>
          <w:color w:val="auto"/>
        </w:rPr>
      </w:pPr>
    </w:p>
    <w:p>
      <w:pPr>
        <w:ind w:left="1660" w:right="3159"/>
        <w:spacing w:after="0" w:line="406" w:lineRule="auto"/>
        <w:rPr>
          <w:sz w:val="20"/>
          <w:szCs w:val="20"/>
          <w:color w:val="auto"/>
        </w:rPr>
      </w:pPr>
      <w:r>
        <w:rPr>
          <w:rFonts w:ascii="Courier New" w:cs="Courier New" w:eastAsia="Courier New" w:hAnsi="Courier New"/>
          <w:sz w:val="14"/>
          <w:szCs w:val="14"/>
          <w:color w:val="auto"/>
        </w:rPr>
        <w:t>the Company in substantially the same proportions as their ownership of shares of Common Stock of the Company.</w:t>
      </w:r>
    </w:p>
    <w:p>
      <w:pPr>
        <w:ind w:left="840"/>
        <w:spacing w:after="0"/>
        <w:rPr>
          <w:sz w:val="20"/>
          <w:szCs w:val="20"/>
          <w:color w:val="auto"/>
        </w:rPr>
      </w:pPr>
      <w:r>
        <w:rPr>
          <w:rFonts w:ascii="Courier New" w:cs="Courier New" w:eastAsia="Courier New" w:hAnsi="Courier New"/>
          <w:sz w:val="16"/>
          <w:szCs w:val="16"/>
          <w:color w:val="auto"/>
        </w:rPr>
        <w:t>8. COVENANTS</w:t>
      </w:r>
    </w:p>
    <w:p>
      <w:pPr>
        <w:spacing w:after="0" w:line="177" w:lineRule="exact"/>
        <w:rPr>
          <w:sz w:val="20"/>
          <w:szCs w:val="20"/>
          <w:color w:val="auto"/>
        </w:rPr>
      </w:pPr>
    </w:p>
    <w:p>
      <w:pPr>
        <w:ind w:right="2779" w:firstLine="833"/>
        <w:spacing w:after="0" w:line="309" w:lineRule="auto"/>
        <w:tabs>
          <w:tab w:leader="none" w:pos="1209"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The terms of this Agreement constitute Confidential Information, which Executive shall not disclose to anyone other than Executive's spouse, attorneys, advisors, or as required by law. Disclosure of these terms is a material breach of this Agreement and could subject Executive to disciplinary action, including without limitation, termination of employment for Cause.</w:t>
      </w:r>
    </w:p>
    <w:p>
      <w:pPr>
        <w:spacing w:after="0" w:line="52" w:lineRule="exact"/>
        <w:rPr>
          <w:rFonts w:ascii="Courier New" w:cs="Courier New" w:eastAsia="Courier New" w:hAnsi="Courier New"/>
          <w:sz w:val="14"/>
          <w:szCs w:val="14"/>
          <w:color w:val="auto"/>
        </w:rPr>
      </w:pPr>
    </w:p>
    <w:p>
      <w:pPr>
        <w:ind w:right="2779" w:firstLine="833"/>
        <w:spacing w:after="0" w:line="282" w:lineRule="auto"/>
        <w:tabs>
          <w:tab w:leader="none" w:pos="1209"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PROPERTY. All written materials, records, data, and other documents prepared or possessed by Executive during Executive's employment with the Company are the Company's property. All information, ideas, concepts, improvements, discoveries, and inventions that are conceived, made, developed, or acquired by Executive individually or in conjunction with others during Executive's employment (whether during business hours and whether on the Company's premises or otherwise) which relate to the Company's business, products, or services are the Company's sole and exclusive property. All memoranda, notes, records, files, correspondence, drawings, manuals, models, specifications, computer programs, maps, and all other documents, data, or materials of any type embodying such information, ideas, concepts, improvements, discoveries, and inventions are the Company's property. At the termination of Executive's employment with the Company for any reason, Executive shall return all of the Company's documents, data, or other Company property to the Company.</w:t>
      </w:r>
    </w:p>
    <w:p>
      <w:pPr>
        <w:spacing w:after="0" w:line="260" w:lineRule="exact"/>
        <w:rPr>
          <w:rFonts w:ascii="Courier New" w:cs="Courier New" w:eastAsia="Courier New" w:hAnsi="Courier New"/>
          <w:sz w:val="14"/>
          <w:szCs w:val="14"/>
          <w:color w:val="auto"/>
        </w:rPr>
      </w:pPr>
    </w:p>
    <w:p>
      <w:pPr>
        <w:ind w:right="2879" w:firstLine="833"/>
        <w:spacing w:after="0" w:line="263" w:lineRule="auto"/>
        <w:tabs>
          <w:tab w:leader="none" w:pos="1209" w:val="left"/>
        </w:tabs>
        <w:numPr>
          <w:ilvl w:val="0"/>
          <w:numId w:val="3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NON-DISCLOSURE. Executive acknowledges that the business of the Company is highly competitive and that the Company has agreed to provide and immediately will provide Executive with access to "Confidential Information" relating to the business of the Company and its affiliates.</w:t>
      </w:r>
    </w:p>
    <w:p>
      <w:pPr>
        <w:spacing w:after="0" w:line="80" w:lineRule="exact"/>
        <w:rPr>
          <w:sz w:val="20"/>
          <w:szCs w:val="20"/>
          <w:color w:val="auto"/>
        </w:rPr>
      </w:pPr>
    </w:p>
    <w:p>
      <w:pPr>
        <w:ind w:right="2779" w:firstLine="837"/>
        <w:spacing w:after="0" w:line="278" w:lineRule="auto"/>
        <w:rPr>
          <w:sz w:val="20"/>
          <w:szCs w:val="20"/>
          <w:color w:val="auto"/>
        </w:rPr>
      </w:pPr>
      <w:r>
        <w:rPr>
          <w:rFonts w:ascii="Courier New" w:cs="Courier New" w:eastAsia="Courier New" w:hAnsi="Courier New"/>
          <w:sz w:val="14"/>
          <w:szCs w:val="14"/>
          <w:color w:val="auto"/>
        </w:rPr>
        <w:t>For purposes of this Agreement, "Confidential Information" means and includes the Company's confidential and/or proprietary information and/or trade secrets that have been developed or used and/or will be developed and that cannot be obtained readily by third parties from outside sources. Confidential Information includes, by way of example and without limitation, the following information regarding customers, employees, contractors, and the industry not generally known to the public; strategies, methods, books, records, and documents; technical information concerning products, equipment, services, and processes; procurement procedures and pricing techniques; the names of and other information concerning customers, investors, and business affiliates (such as contact name, service provided, pricing for that customer, type and amount of services used, credit and financial data, and/or other information relating to the Company's relationship with that customer); pricing strategies and price curves; positions, plans, and strategies for expansion or acquisitions; budgets; customer lists; research; weather data; financial and sales data; trading methodologies and terms; evaluations, opinions, and interpretations of information and data; marketing and merchandising techniques; prospective customers' names and marks; grids and maps; electronic databases; models; specifications; computer programs; internal business records; contracts benefiting or obligating the Company; bids or proposals submitted to any third party; technologies and methods; training methods and training processes; organizational structure; personnel information, including</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69" w:right="1440" w:bottom="1440" w:gutter="0" w:footer="0" w:header="0"/>
        </w:sectPr>
      </w:pPr>
    </w:p>
    <w:bookmarkStart w:id="347" w:name="page348"/>
    <w:bookmarkEnd w:id="347"/>
    <w:p>
      <w:pPr>
        <w:ind w:left="280"/>
        <w:spacing w:after="0"/>
        <w:rPr>
          <w:sz w:val="20"/>
          <w:szCs w:val="20"/>
          <w:color w:val="auto"/>
        </w:rPr>
      </w:pPr>
      <w:r>
        <w:rPr>
          <w:rFonts w:ascii="Courier New" w:cs="Courier New" w:eastAsia="Courier New" w:hAnsi="Courier New"/>
          <w:sz w:val="16"/>
          <w:szCs w:val="16"/>
          <w:color w:val="auto"/>
        </w:rPr>
        <w:t>14</w:t>
      </w:r>
    </w:p>
    <w:p>
      <w:pPr>
        <w:spacing w:after="0" w:line="177" w:lineRule="exact"/>
        <w:rPr>
          <w:sz w:val="20"/>
          <w:szCs w:val="20"/>
          <w:color w:val="auto"/>
        </w:rPr>
      </w:pPr>
    </w:p>
    <w:p>
      <w:pPr>
        <w:ind w:right="2779"/>
        <w:spacing w:after="0" w:line="285" w:lineRule="auto"/>
        <w:rPr>
          <w:sz w:val="20"/>
          <w:szCs w:val="20"/>
          <w:color w:val="auto"/>
        </w:rPr>
      </w:pPr>
      <w:r>
        <w:rPr>
          <w:rFonts w:ascii="Courier New" w:cs="Courier New" w:eastAsia="Courier New" w:hAnsi="Courier New"/>
          <w:sz w:val="14"/>
          <w:szCs w:val="14"/>
          <w:color w:val="auto"/>
        </w:rPr>
        <w:t>salaries of personnel; payment amounts or rates paid to consultants or other service providers; and other such confidential or proprietary information. Information need not qualify as a trade secret to be protected as Confidential Information under this Agreement, and the authorized and controlled disclosure of Confidential Information to authorized parties by Company in the pursuit of its business will not cause the information to lose its protected status under this Agreement. Executive acknowledges that this Confidential Information constitutes a valuable, special, and unique asset used by the Company or its affiliates in their businesses to obtain a competitive advantage over their competitors. Executive further acknowledges that protection of such Confidential Information against unauthorized disclosure and use is of critical importance to the Company and its affiliates in maintaining their competitive position.</w:t>
      </w:r>
    </w:p>
    <w:p>
      <w:pPr>
        <w:spacing w:after="0" w:line="254" w:lineRule="exact"/>
        <w:rPr>
          <w:sz w:val="20"/>
          <w:szCs w:val="20"/>
          <w:color w:val="auto"/>
        </w:rPr>
      </w:pPr>
    </w:p>
    <w:p>
      <w:pPr>
        <w:ind w:right="2779" w:firstLine="837"/>
        <w:spacing w:after="0" w:line="272" w:lineRule="auto"/>
        <w:rPr>
          <w:sz w:val="20"/>
          <w:szCs w:val="20"/>
          <w:color w:val="auto"/>
        </w:rPr>
      </w:pPr>
      <w:r>
        <w:rPr>
          <w:rFonts w:ascii="Courier New" w:cs="Courier New" w:eastAsia="Courier New" w:hAnsi="Courier New"/>
          <w:sz w:val="16"/>
          <w:szCs w:val="16"/>
          <w:color w:val="auto"/>
        </w:rPr>
        <w:t>Executive also will have access to, or knowledge of, Confidential Information of third parties, such as actual and potential customers, suppliers, partners, joint venturers, investors, financing sources, and the like, of the Company and its affiliates.</w:t>
      </w:r>
    </w:p>
    <w:p>
      <w:pPr>
        <w:spacing w:after="0" w:line="73" w:lineRule="exact"/>
        <w:rPr>
          <w:sz w:val="20"/>
          <w:szCs w:val="20"/>
          <w:color w:val="auto"/>
        </w:rPr>
      </w:pPr>
    </w:p>
    <w:p>
      <w:pPr>
        <w:ind w:right="2879" w:firstLine="837"/>
        <w:spacing w:after="0" w:line="248" w:lineRule="auto"/>
        <w:rPr>
          <w:sz w:val="20"/>
          <w:szCs w:val="20"/>
          <w:color w:val="auto"/>
        </w:rPr>
      </w:pPr>
      <w:r>
        <w:rPr>
          <w:rFonts w:ascii="Courier New" w:cs="Courier New" w:eastAsia="Courier New" w:hAnsi="Courier New"/>
          <w:sz w:val="16"/>
          <w:szCs w:val="16"/>
          <w:color w:val="auto"/>
        </w:rPr>
        <w:t>The Company also agrees to provide Executive with one or more of the following: access to Confidential Information; specialized training regarding the Company's methodologies and business strategies, and/or support in the development of goodwill such as introductions, information and reimbursement of customer development expenses consistent with Company policy. The foregoing is not contingent on continued employment, but is contingent upon Executive's use of the Confidential Information access, specialized training, and goodwill support provided by Company for the exclusive benefit of the Company and upon Executive's full compliance with the restrictions on Executive's conduct provided for in this Agreement.</w:t>
      </w:r>
    </w:p>
    <w:p>
      <w:pPr>
        <w:spacing w:after="0" w:line="95" w:lineRule="exact"/>
        <w:rPr>
          <w:sz w:val="20"/>
          <w:szCs w:val="20"/>
          <w:color w:val="auto"/>
        </w:rPr>
      </w:pPr>
    </w:p>
    <w:p>
      <w:pPr>
        <w:ind w:right="2779" w:firstLine="837"/>
        <w:spacing w:after="0" w:line="251" w:lineRule="auto"/>
        <w:rPr>
          <w:sz w:val="20"/>
          <w:szCs w:val="20"/>
          <w:color w:val="auto"/>
        </w:rPr>
      </w:pPr>
      <w:r>
        <w:rPr>
          <w:rFonts w:ascii="Courier New" w:cs="Courier New" w:eastAsia="Courier New" w:hAnsi="Courier New"/>
          <w:sz w:val="16"/>
          <w:szCs w:val="16"/>
          <w:color w:val="auto"/>
        </w:rPr>
        <w:t>In addition to the requirements set forth in Section 5(c)(i), Executive agrees that Executive will not after Executive's employment with the Company, make any unauthorized disclosure of any then Confidential Information or specialized training of the Company or its affiliates, or make any use thereof, except in the carrying out of his employment responsibilities hereunder. Executive also agrees to preserve and protect the confidentiality of third party Confidential Information to the same extent, and on the same basis, as the Company's Confidential Information.</w:t>
      </w:r>
    </w:p>
    <w:p>
      <w:pPr>
        <w:spacing w:after="0" w:line="94" w:lineRule="exact"/>
        <w:rPr>
          <w:sz w:val="20"/>
          <w:szCs w:val="20"/>
          <w:color w:val="auto"/>
        </w:rPr>
      </w:pPr>
    </w:p>
    <w:p>
      <w:pPr>
        <w:ind w:right="2779" w:firstLine="833"/>
        <w:spacing w:after="0" w:line="282" w:lineRule="auto"/>
        <w:tabs>
          <w:tab w:leader="none" w:pos="1209"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UNFAIR COMPETITION RESTRICTIONS. Upon Executive's Employment Date, the Company agrees to and shall provide Executive with immediate access to Confidential Information. Ancillary to the rights provided to Executive following employment termination, the Company's provision of Confidential Information, specialized training, and/or goodwill support to Executive, and Executive's agreements, regarding the use of same, and in order to protect the value of the above-referenced stock options, training, goodwill support and/or the Confidential Information described above, the Company and Executive agree to the following provisions against unfair competition. Executive agrees that for a period of two (2) years following the termination of employment for any reason ("Restricted Term"), Executive will not, directly or indirectly, for Executive or for others, anywhere in the United States (including all parishes in Louisiana) (the "Restricted Area") do the following, unless expressly authorized to do so in writing by the Chief Executive Officer of the Company:</w:t>
      </w:r>
    </w:p>
    <w:p>
      <w:pPr>
        <w:spacing w:after="0" w:line="261" w:lineRule="exact"/>
        <w:rPr>
          <w:sz w:val="20"/>
          <w:szCs w:val="20"/>
          <w:color w:val="auto"/>
        </w:rPr>
      </w:pPr>
    </w:p>
    <w:p>
      <w:pPr>
        <w:ind w:left="1660" w:right="2959"/>
        <w:spacing w:after="0" w:line="289" w:lineRule="auto"/>
        <w:rPr>
          <w:sz w:val="20"/>
          <w:szCs w:val="20"/>
          <w:color w:val="auto"/>
        </w:rPr>
      </w:pPr>
      <w:r>
        <w:rPr>
          <w:rFonts w:ascii="Courier New" w:cs="Courier New" w:eastAsia="Courier New" w:hAnsi="Courier New"/>
          <w:sz w:val="16"/>
          <w:szCs w:val="16"/>
          <w:color w:val="auto"/>
        </w:rPr>
        <w:t>Engage in, or assist any person, entity, or business engaged in, the selling or providing of products or services that would displace the</w:t>
      </w:r>
    </w:p>
    <w:p>
      <w:pPr>
        <w:spacing w:after="0" w:line="200" w:lineRule="exact"/>
        <w:rPr>
          <w:sz w:val="20"/>
          <w:szCs w:val="20"/>
          <w:color w:val="auto"/>
        </w:rPr>
      </w:pPr>
    </w:p>
    <w:p>
      <w:pPr>
        <w:spacing w:after="0" w:line="21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269" w:right="1440" w:bottom="1440" w:gutter="0" w:footer="0" w:header="0"/>
        </w:sectPr>
      </w:pPr>
    </w:p>
    <w:bookmarkStart w:id="348" w:name="page349"/>
    <w:bookmarkEnd w:id="348"/>
    <w:p>
      <w:pPr>
        <w:ind w:left="280"/>
        <w:spacing w:after="0"/>
        <w:rPr>
          <w:sz w:val="20"/>
          <w:szCs w:val="20"/>
          <w:color w:val="auto"/>
        </w:rPr>
      </w:pPr>
      <w:r>
        <w:rPr>
          <w:rFonts w:ascii="Courier New" w:cs="Courier New" w:eastAsia="Courier New" w:hAnsi="Courier New"/>
          <w:sz w:val="16"/>
          <w:szCs w:val="16"/>
          <w:color w:val="auto"/>
        </w:rPr>
        <w:t>15</w:t>
      </w:r>
    </w:p>
    <w:p>
      <w:pPr>
        <w:spacing w:after="0" w:line="177" w:lineRule="exact"/>
        <w:rPr>
          <w:sz w:val="20"/>
          <w:szCs w:val="20"/>
          <w:color w:val="auto"/>
        </w:rPr>
      </w:pPr>
    </w:p>
    <w:p>
      <w:pPr>
        <w:ind w:left="1660" w:right="2779"/>
        <w:spacing w:after="0" w:line="288" w:lineRule="auto"/>
        <w:rPr>
          <w:sz w:val="20"/>
          <w:szCs w:val="20"/>
          <w:color w:val="auto"/>
        </w:rPr>
      </w:pPr>
      <w:r>
        <w:rPr>
          <w:rFonts w:ascii="Courier New" w:cs="Courier New" w:eastAsia="Courier New" w:hAnsi="Courier New"/>
          <w:sz w:val="14"/>
          <w:szCs w:val="14"/>
          <w:color w:val="auto"/>
        </w:rPr>
        <w:t>products or services that (i) the Company is currently in the business of providing and was in the business of providing, or was planning to be in the business of providing, at the time Executive was employed with the Company, and (ii) that Executive had involvement in or received Confidential Information about in the course of employment; the foregoing is expressly understood to include, without limitation, the business of the collection, transfer, recycling and resource recovery, or disposal of solid waste, including the operation of waste-to-energy facilities.</w:t>
      </w:r>
    </w:p>
    <w:p>
      <w:pPr>
        <w:spacing w:after="0" w:line="255" w:lineRule="exact"/>
        <w:rPr>
          <w:sz w:val="20"/>
          <w:szCs w:val="20"/>
          <w:color w:val="auto"/>
        </w:rPr>
      </w:pPr>
    </w:p>
    <w:p>
      <w:pPr>
        <w:ind w:right="2879" w:firstLine="837"/>
        <w:spacing w:after="0" w:line="251" w:lineRule="auto"/>
        <w:rPr>
          <w:sz w:val="20"/>
          <w:szCs w:val="20"/>
          <w:color w:val="auto"/>
        </w:rPr>
      </w:pPr>
      <w:r>
        <w:rPr>
          <w:rFonts w:ascii="Courier New" w:cs="Courier New" w:eastAsia="Courier New" w:hAnsi="Courier New"/>
          <w:sz w:val="16"/>
          <w:szCs w:val="16"/>
          <w:color w:val="auto"/>
        </w:rPr>
        <w:t>It is further agreed that during the Restricted Term, Executive cannot engage in any of the enumerated prohibited activities in the Restricted Area by means of telephone, telecommunications, satellite communications, correspondence, or other contact from outside the Restricted Area. Executive further understands that the foregoing restrictions may limit his ability to engage in certain businesses during the Restricted Term, but acknowledges that these restrictions are necessary to protect the Confidential Information the Company has provided to Executive.</w:t>
      </w:r>
    </w:p>
    <w:p>
      <w:pPr>
        <w:spacing w:after="0" w:line="94" w:lineRule="exact"/>
        <w:rPr>
          <w:sz w:val="20"/>
          <w:szCs w:val="20"/>
          <w:color w:val="auto"/>
        </w:rPr>
      </w:pPr>
    </w:p>
    <w:p>
      <w:pPr>
        <w:ind w:right="2779" w:firstLine="837"/>
        <w:spacing w:after="0" w:line="285" w:lineRule="auto"/>
        <w:rPr>
          <w:sz w:val="20"/>
          <w:szCs w:val="20"/>
          <w:color w:val="auto"/>
        </w:rPr>
      </w:pPr>
      <w:r>
        <w:rPr>
          <w:rFonts w:ascii="Courier New" w:cs="Courier New" w:eastAsia="Courier New" w:hAnsi="Courier New"/>
          <w:sz w:val="14"/>
          <w:szCs w:val="14"/>
          <w:color w:val="auto"/>
        </w:rPr>
        <w:t>A failure to comply with the foregoing restrictions will create a presumption that Executive is engaging in unfair competition. Executive agrees that this Section defining unfair competition with the Company does not prevent Executive from using and offering the skills that Executive possessed prior to receiving access to Confidential Information, confidential training, and knowledge from the Company. This Agreement creates an advance approval process, and nothing herein is intended, or will be construed as, a general restriction against the pursuit of lawful employment in violation of any controlling state or federal laws. Executive shall be permitted to engage in activities that would otherwise be prohibited by this covenant if such activities are determined in the sole discretion of the Chief Executive Officer of the Company to be no material threat to the legitimate business interests of the Company.</w:t>
      </w:r>
    </w:p>
    <w:p>
      <w:pPr>
        <w:spacing w:after="0" w:line="254" w:lineRule="exact"/>
        <w:rPr>
          <w:sz w:val="20"/>
          <w:szCs w:val="20"/>
          <w:color w:val="auto"/>
        </w:rPr>
      </w:pPr>
    </w:p>
    <w:p>
      <w:pPr>
        <w:ind w:right="2779" w:firstLine="833"/>
        <w:spacing w:after="0" w:line="254" w:lineRule="auto"/>
        <w:tabs>
          <w:tab w:leader="none" w:pos="1209" w:val="left"/>
        </w:tabs>
        <w:numPr>
          <w:ilvl w:val="0"/>
          <w:numId w:val="3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NON-SOLICITATION OF CUSTOMERS. For a period of two (2) years following the termination of employment for any reason, Executive will not call on, service, or solicit competing business from customers of the Company or its affiliates whom Executive, within the previous twelve (12) months, (i) had or made contact with, or (ii) had access to information and files about, or induce or encourage any such customer or other source of ongoing business to stop doing business with Company.</w:t>
      </w:r>
    </w:p>
    <w:p>
      <w:pPr>
        <w:spacing w:after="0" w:line="88" w:lineRule="exact"/>
        <w:rPr>
          <w:rFonts w:ascii="Courier New" w:cs="Courier New" w:eastAsia="Courier New" w:hAnsi="Courier New"/>
          <w:sz w:val="16"/>
          <w:szCs w:val="16"/>
          <w:color w:val="auto"/>
        </w:rPr>
      </w:pPr>
    </w:p>
    <w:p>
      <w:pPr>
        <w:ind w:right="2879" w:firstLine="833"/>
        <w:spacing w:after="0" w:line="296" w:lineRule="auto"/>
        <w:tabs>
          <w:tab w:leader="none" w:pos="1209"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NON-SOLICITATION OF EMPLOYEES. During Executive's employment, and for a period of two (2) years following the termination of employment for any reason, Executive will not, either directly or indirectly, call on, solicit, encourage, or induce any other employee or officer of the Company or its affiliates whom Executive had contact with, knowledge of, or association within the course of employment with the Company to terminate his or her employment, and will not assist any other person or entity in such a solicitation.</w:t>
      </w:r>
    </w:p>
    <w:p>
      <w:pPr>
        <w:spacing w:after="0" w:line="61" w:lineRule="exact"/>
        <w:rPr>
          <w:rFonts w:ascii="Courier New" w:cs="Courier New" w:eastAsia="Courier New" w:hAnsi="Courier New"/>
          <w:sz w:val="14"/>
          <w:szCs w:val="14"/>
          <w:color w:val="auto"/>
        </w:rPr>
      </w:pPr>
    </w:p>
    <w:p>
      <w:pPr>
        <w:ind w:right="3059" w:firstLine="833"/>
        <w:spacing w:after="0" w:line="309" w:lineRule="auto"/>
        <w:tabs>
          <w:tab w:leader="none" w:pos="1209"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NON-DISPARAGEMENT. Executive covenants and agrees that Executive shall not engage in any pattern of conduct that involves the making or publishing of written or oral statements or remarks (including, without limitation, the repetition or distribution of derogatory rumors, allegations, negative reports or comments) which are disparaging, deleterious or</w:t>
      </w:r>
    </w:p>
    <w:p>
      <w:pPr>
        <w:spacing w:after="0" w:line="200" w:lineRule="exact"/>
        <w:rPr>
          <w:sz w:val="20"/>
          <w:szCs w:val="20"/>
          <w:color w:val="auto"/>
        </w:rPr>
      </w:pPr>
    </w:p>
    <w:p>
      <w:pPr>
        <w:spacing w:after="0" w:line="21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269" w:right="1440" w:bottom="1440" w:gutter="0" w:footer="0" w:header="0"/>
        </w:sectPr>
      </w:pPr>
    </w:p>
    <w:bookmarkStart w:id="349" w:name="page350"/>
    <w:bookmarkEnd w:id="349"/>
    <w:p>
      <w:pPr>
        <w:ind w:left="285"/>
        <w:spacing w:after="0"/>
        <w:rPr>
          <w:sz w:val="20"/>
          <w:szCs w:val="20"/>
          <w:color w:val="auto"/>
        </w:rPr>
      </w:pPr>
      <w:r>
        <w:rPr>
          <w:rFonts w:ascii="Courier New" w:cs="Courier New" w:eastAsia="Courier New" w:hAnsi="Courier New"/>
          <w:sz w:val="16"/>
          <w:szCs w:val="16"/>
          <w:color w:val="auto"/>
        </w:rPr>
        <w:t>16</w:t>
      </w:r>
    </w:p>
    <w:p>
      <w:pPr>
        <w:spacing w:after="0" w:line="177" w:lineRule="exact"/>
        <w:rPr>
          <w:sz w:val="20"/>
          <w:szCs w:val="20"/>
          <w:color w:val="auto"/>
        </w:rPr>
      </w:pPr>
    </w:p>
    <w:p>
      <w:pPr>
        <w:ind w:left="5" w:right="3439"/>
        <w:spacing w:after="0" w:line="406" w:lineRule="auto"/>
        <w:rPr>
          <w:sz w:val="20"/>
          <w:szCs w:val="20"/>
          <w:color w:val="auto"/>
        </w:rPr>
      </w:pPr>
      <w:r>
        <w:rPr>
          <w:rFonts w:ascii="Courier New" w:cs="Courier New" w:eastAsia="Courier New" w:hAnsi="Courier New"/>
          <w:sz w:val="14"/>
          <w:szCs w:val="14"/>
          <w:color w:val="auto"/>
        </w:rPr>
        <w:t>damaging to the integrity, reputation or good will of the Company, its management, or of management of corporations affiliated with the Company.</w:t>
      </w:r>
    </w:p>
    <w:p>
      <w:pPr>
        <w:ind w:left="845"/>
        <w:spacing w:after="0"/>
        <w:rPr>
          <w:sz w:val="20"/>
          <w:szCs w:val="20"/>
          <w:color w:val="auto"/>
        </w:rPr>
      </w:pPr>
      <w:r>
        <w:rPr>
          <w:rFonts w:ascii="Courier New" w:cs="Courier New" w:eastAsia="Courier New" w:hAnsi="Courier New"/>
          <w:sz w:val="16"/>
          <w:szCs w:val="16"/>
          <w:color w:val="auto"/>
        </w:rPr>
        <w:t>9. ENFORCEMENT OF COVENANTS.</w:t>
      </w:r>
    </w:p>
    <w:p>
      <w:pPr>
        <w:spacing w:after="0" w:line="177" w:lineRule="exact"/>
        <w:rPr>
          <w:sz w:val="20"/>
          <w:szCs w:val="20"/>
          <w:color w:val="auto"/>
        </w:rPr>
      </w:pPr>
    </w:p>
    <w:p>
      <w:pPr>
        <w:ind w:left="5" w:right="2779" w:firstLine="833"/>
        <w:spacing w:after="0" w:line="258" w:lineRule="auto"/>
        <w:tabs>
          <w:tab w:leader="none" w:pos="1214" w:val="left"/>
        </w:tabs>
        <w:numPr>
          <w:ilvl w:val="1"/>
          <w:numId w:val="3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AND FORFEITURE OF COMPENSATION. Executive agrees that any breach by Executive of any of the covenants set forth in Section 8 hereof during Executive's employment by the Company, shall be grounds for immediate dismissal of Executive for Cause pursuant to Section 5(c)(i), which shall be in addition to and not exclusive of any and all other rights and remedies the Company may have against Executive.</w:t>
      </w:r>
    </w:p>
    <w:p>
      <w:pPr>
        <w:spacing w:after="0" w:line="83" w:lineRule="exact"/>
        <w:rPr>
          <w:rFonts w:ascii="Courier New" w:cs="Courier New" w:eastAsia="Courier New" w:hAnsi="Courier New"/>
          <w:sz w:val="16"/>
          <w:szCs w:val="16"/>
          <w:color w:val="auto"/>
        </w:rPr>
      </w:pPr>
    </w:p>
    <w:p>
      <w:pPr>
        <w:ind w:left="5" w:right="2879" w:firstLine="833"/>
        <w:spacing w:after="0" w:line="276" w:lineRule="auto"/>
        <w:tabs>
          <w:tab w:leader="none" w:pos="1214" w:val="left"/>
        </w:tabs>
        <w:numPr>
          <w:ilvl w:val="1"/>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INJUNCTION. Executive acknowledges that a breach of the covenants set forth in Section 8 hereof will cause irreparable damage to the Company with respect to which the Company's remedy at law for damages will be inadequate. Therefore, in the event of breach or anticipatory breach of the covenants set forth in this section by Executive, Executive and the Company agree that the Company shall be entitled to seek the following particular forms of relief, in addition to remedies otherwise available to it at law or equity:</w:t>
      </w:r>
    </w:p>
    <w:p>
      <w:pPr>
        <w:spacing w:after="0" w:line="3" w:lineRule="exact"/>
        <w:rPr>
          <w:rFonts w:ascii="Courier New" w:cs="Courier New" w:eastAsia="Courier New" w:hAnsi="Courier New"/>
          <w:sz w:val="14"/>
          <w:szCs w:val="14"/>
          <w:color w:val="auto"/>
        </w:rPr>
      </w:pPr>
    </w:p>
    <w:p>
      <w:pPr>
        <w:ind w:left="5" w:right="2959" w:hanging="5"/>
        <w:spacing w:after="0" w:line="270" w:lineRule="auto"/>
        <w:tabs>
          <w:tab w:leader="none" w:pos="377"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injunctions, both preliminary and permanent, enjoining or restraining such breach or anticipatory breach and Executive hereby consents to the issuance thereof forthwith and without bond by any court of competent jurisdiction; and</w:t>
      </w:r>
    </w:p>
    <w:p>
      <w:pPr>
        <w:spacing w:after="0" w:line="1" w:lineRule="exact"/>
        <w:rPr>
          <w:rFonts w:ascii="Courier New" w:cs="Courier New" w:eastAsia="Courier New" w:hAnsi="Courier New"/>
          <w:sz w:val="14"/>
          <w:szCs w:val="14"/>
          <w:color w:val="auto"/>
        </w:rPr>
      </w:pPr>
    </w:p>
    <w:p>
      <w:pPr>
        <w:ind w:left="5" w:right="2879" w:hanging="5"/>
        <w:spacing w:after="0" w:line="271" w:lineRule="auto"/>
        <w:tabs>
          <w:tab w:leader="none" w:pos="377" w:val="left"/>
        </w:tabs>
        <w:numPr>
          <w:ilvl w:val="0"/>
          <w:numId w:val="3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recovery of all reasonable sums as determined by a court of competent jurisdiction expended and costs, including reasonable attorney's fees, incurred by the Company to enforce the covenants set forth in this section.</w:t>
      </w:r>
    </w:p>
    <w:p>
      <w:pPr>
        <w:spacing w:after="0" w:line="73" w:lineRule="exact"/>
        <w:rPr>
          <w:rFonts w:ascii="Courier New" w:cs="Courier New" w:eastAsia="Courier New" w:hAnsi="Courier New"/>
          <w:sz w:val="16"/>
          <w:szCs w:val="16"/>
          <w:color w:val="auto"/>
        </w:rPr>
      </w:pPr>
    </w:p>
    <w:p>
      <w:pPr>
        <w:ind w:left="5" w:right="2779" w:firstLine="833"/>
        <w:spacing w:after="0" w:line="279" w:lineRule="auto"/>
        <w:tabs>
          <w:tab w:leader="none" w:pos="1214" w:val="left"/>
        </w:tabs>
        <w:numPr>
          <w:ilvl w:val="1"/>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SEPARABILITY OF COVENANTS. The covenants contained in Section 8 hereof constitute a series of separate but ancillary covenants, one for each applicable State in the United States and the District of Columbia, and one for each applicable foreign country. If in any judicial proceeding, a court shall hold that any of the covenants set forth in Section 8 exceed the time, geographic, or occupational limitations permitted by applicable laws, Executive and the Company agree that such provisions shall and are hereby reformed to the maximum time, geographic, or occupational limitations permitted by such laws. Further, in the event a court shall hold unenforceable any of the separate covenants deemed included herein, then such unenforceable covenant or covenants shall be deemed eliminated from the provisions of this Agreement for the purpose of such proceeding to the extent necessary to permit the remaining separate covenants to be enforced in such proceeding. Executive and the Company further agree that the covenants in Section 8 shall each be construed as a separate agreement independent of any other provisions of this Agreement, and the existence of any claim or cause of action by Executive against the Company whether predicated on this Agreement or otherwise, shall not constitute a defense to the enforcement by the Company of any of the covenants of Section 8.</w:t>
      </w:r>
    </w:p>
    <w:p>
      <w:pPr>
        <w:spacing w:after="0" w:line="265" w:lineRule="exact"/>
        <w:rPr>
          <w:sz w:val="20"/>
          <w:szCs w:val="20"/>
          <w:color w:val="auto"/>
        </w:rPr>
      </w:pPr>
    </w:p>
    <w:p>
      <w:pPr>
        <w:ind w:left="845"/>
        <w:spacing w:after="0"/>
        <w:rPr>
          <w:sz w:val="20"/>
          <w:szCs w:val="20"/>
          <w:color w:val="auto"/>
        </w:rPr>
      </w:pPr>
      <w:r>
        <w:rPr>
          <w:rFonts w:ascii="Courier New" w:cs="Courier New" w:eastAsia="Courier New" w:hAnsi="Courier New"/>
          <w:sz w:val="16"/>
          <w:szCs w:val="16"/>
          <w:color w:val="auto"/>
        </w:rPr>
        <w:t>10. INDEMNIFICATION.</w:t>
      </w:r>
    </w:p>
    <w:p>
      <w:pPr>
        <w:spacing w:after="0" w:line="177" w:lineRule="exact"/>
        <w:rPr>
          <w:sz w:val="20"/>
          <w:szCs w:val="20"/>
          <w:color w:val="auto"/>
        </w:rPr>
      </w:pPr>
    </w:p>
    <w:p>
      <w:pPr>
        <w:ind w:left="5" w:right="2779" w:firstLine="837"/>
        <w:spacing w:after="0" w:line="251" w:lineRule="auto"/>
        <w:rPr>
          <w:sz w:val="20"/>
          <w:szCs w:val="20"/>
          <w:color w:val="auto"/>
        </w:rPr>
      </w:pPr>
      <w:r>
        <w:rPr>
          <w:rFonts w:ascii="Courier New" w:cs="Courier New" w:eastAsia="Courier New" w:hAnsi="Courier New"/>
          <w:sz w:val="16"/>
          <w:szCs w:val="16"/>
          <w:color w:val="auto"/>
        </w:rPr>
        <w:t>The Company shall indemnify and hold harmless Executive to the fullest extent permitted by Delaware law for any action or inaction of Executive while serving as an officer and director of the Company or, at the Company's request, as an officer or director of any other entity or as a fiduciary of any benefit plan. This provision includes the obligation and undertaking of the Executive to reimburse the Company for any fees advanced by the Company on behalf of the Executive should it later be determined that Executive was not entitled to have such fees</w:t>
      </w:r>
    </w:p>
    <w:p>
      <w:pPr>
        <w:spacing w:after="0" w:line="200" w:lineRule="exact"/>
        <w:rPr>
          <w:sz w:val="20"/>
          <w:szCs w:val="20"/>
          <w:color w:val="auto"/>
        </w:rPr>
      </w:pPr>
    </w:p>
    <w:p>
      <w:pPr>
        <w:spacing w:after="0" w:line="251"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4"/>
          </w:cols>
          <w:pgMar w:left="235" w:top="269" w:right="1440" w:bottom="1440" w:gutter="0" w:footer="0" w:header="0"/>
        </w:sectPr>
      </w:pPr>
    </w:p>
    <w:bookmarkStart w:id="350" w:name="page351"/>
    <w:bookmarkEnd w:id="350"/>
    <w:p>
      <w:pPr>
        <w:ind w:left="280"/>
        <w:spacing w:after="0"/>
        <w:rPr>
          <w:sz w:val="20"/>
          <w:szCs w:val="20"/>
          <w:color w:val="auto"/>
        </w:rPr>
      </w:pPr>
      <w:r>
        <w:rPr>
          <w:rFonts w:ascii="Courier New" w:cs="Courier New" w:eastAsia="Courier New" w:hAnsi="Courier New"/>
          <w:sz w:val="16"/>
          <w:szCs w:val="16"/>
          <w:color w:val="auto"/>
        </w:rPr>
        <w:t>17</w:t>
      </w:r>
    </w:p>
    <w:p>
      <w:pPr>
        <w:spacing w:after="0" w:line="177" w:lineRule="exact"/>
        <w:rPr>
          <w:sz w:val="20"/>
          <w:szCs w:val="20"/>
          <w:color w:val="auto"/>
        </w:rPr>
      </w:pPr>
    </w:p>
    <w:p>
      <w:pPr>
        <w:ind w:right="2779"/>
        <w:spacing w:after="0" w:line="322" w:lineRule="auto"/>
        <w:rPr>
          <w:sz w:val="20"/>
          <w:szCs w:val="20"/>
          <w:color w:val="auto"/>
        </w:rPr>
      </w:pPr>
      <w:r>
        <w:rPr>
          <w:rFonts w:ascii="Courier New" w:cs="Courier New" w:eastAsia="Courier New" w:hAnsi="Courier New"/>
          <w:sz w:val="14"/>
          <w:szCs w:val="14"/>
          <w:color w:val="auto"/>
        </w:rPr>
        <w:t>advanced by the Company under Delaware law. The Company shall cover the Executive under directors and officers liability insurance both during and, while potential liability exists, after the Employment Period in the same amount and to the same extent as the Company covers its other officers and directors.</w:t>
      </w:r>
    </w:p>
    <w:p>
      <w:pPr>
        <w:spacing w:after="0" w:line="4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11. DISPUTES AND PAYMENT OF ATTORNEY'S FEES.</w:t>
      </w:r>
    </w:p>
    <w:p>
      <w:pPr>
        <w:spacing w:after="0" w:line="177" w:lineRule="exact"/>
        <w:rPr>
          <w:sz w:val="20"/>
          <w:szCs w:val="20"/>
          <w:color w:val="auto"/>
        </w:rPr>
      </w:pPr>
    </w:p>
    <w:p>
      <w:pPr>
        <w:ind w:right="2779" w:firstLine="837"/>
        <w:spacing w:after="0" w:line="243" w:lineRule="auto"/>
        <w:rPr>
          <w:sz w:val="20"/>
          <w:szCs w:val="20"/>
          <w:color w:val="auto"/>
        </w:rPr>
      </w:pPr>
      <w:r>
        <w:rPr>
          <w:rFonts w:ascii="Courier New" w:cs="Courier New" w:eastAsia="Courier New" w:hAnsi="Courier New"/>
          <w:sz w:val="16"/>
          <w:szCs w:val="16"/>
          <w:color w:val="auto"/>
        </w:rPr>
        <w:t>If at any time during the term of this Agreement or afterwards there should arise any dispute as to the validity, interpretation or application of any term or condition of this Agreement, the Company agrees, upon written demand by Executive (and Executive shall be entitled upon application to any court of competent jurisdiction, to the entry of a mandatory injunction, without the necessity of posting any bond with respect thereto, compelling the Company) to promptly provide sums sufficient to pay on a current basis (either directly or by reimbursing Executive) Executive's costs and reasonable attorney's fees (including expenses of investigation and disbursements for the fees and expenses of experts, etc.) incurred by Executive in connection with any such dispute or any litigation, provided that Executive shall repay any such amounts paid or advanced if Executive is not the prevailing party with respect to at least one material claim or issue in such dispute or litigation. The provisions of this Section 11, without implication as to any other section hereof, shall survive the expiration or termination of this Agreement and of Executive's employment hereunder.</w:t>
      </w:r>
    </w:p>
    <w:p>
      <w:pPr>
        <w:spacing w:after="0" w:line="10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12. WITHHOLDING OF TAXES.</w:t>
      </w:r>
    </w:p>
    <w:p>
      <w:pPr>
        <w:spacing w:after="0" w:line="177" w:lineRule="exact"/>
        <w:rPr>
          <w:sz w:val="20"/>
          <w:szCs w:val="20"/>
          <w:color w:val="auto"/>
        </w:rPr>
      </w:pPr>
    </w:p>
    <w:p>
      <w:pPr>
        <w:ind w:right="3159" w:firstLine="837"/>
        <w:spacing w:after="0" w:line="425" w:lineRule="auto"/>
        <w:rPr>
          <w:sz w:val="20"/>
          <w:szCs w:val="20"/>
          <w:color w:val="auto"/>
        </w:rPr>
      </w:pPr>
      <w:r>
        <w:rPr>
          <w:rFonts w:ascii="Courier New" w:cs="Courier New" w:eastAsia="Courier New" w:hAnsi="Courier New"/>
          <w:sz w:val="14"/>
          <w:szCs w:val="14"/>
          <w:color w:val="auto"/>
        </w:rPr>
        <w:t>The Company may withhold from any compensation and benefits payable under this Agreement all applicable federal, state, local, or other taxes.</w:t>
      </w:r>
    </w:p>
    <w:p>
      <w:pPr>
        <w:spacing w:after="0" w:line="15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13. SOURCE OF PAYMENTS.</w:t>
      </w:r>
    </w:p>
    <w:p>
      <w:pPr>
        <w:spacing w:after="0" w:line="177" w:lineRule="exact"/>
        <w:rPr>
          <w:sz w:val="20"/>
          <w:szCs w:val="20"/>
          <w:color w:val="auto"/>
        </w:rPr>
      </w:pPr>
    </w:p>
    <w:p>
      <w:pPr>
        <w:ind w:right="2779" w:firstLine="837"/>
        <w:spacing w:after="0" w:line="250" w:lineRule="auto"/>
        <w:rPr>
          <w:sz w:val="20"/>
          <w:szCs w:val="20"/>
          <w:color w:val="auto"/>
        </w:rPr>
      </w:pPr>
      <w:r>
        <w:rPr>
          <w:rFonts w:ascii="Courier New" w:cs="Courier New" w:eastAsia="Courier New" w:hAnsi="Courier New"/>
          <w:sz w:val="16"/>
          <w:szCs w:val="16"/>
          <w:color w:val="auto"/>
        </w:rPr>
        <w:t>All payments provided under this Agreement, other than payments made pursuant to a plan which provides otherwise, shall be paid from the general funds of the Company, and no special or separate fund shall be established, and no other segregation of assets made, to assure payment. Executive shall have no right, title or interest whatever in or to any investments which the Company may make to aid the Company in meeting its obligations hereunder. To the extent that any person acquires a right to receive payments from the Company hereunder, such right shall be no greater than the right of an unsecured creditor of the Company.</w:t>
      </w:r>
    </w:p>
    <w:p>
      <w:pPr>
        <w:spacing w:after="0" w:line="9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14. ASSIGNMENT.</w:t>
      </w:r>
    </w:p>
    <w:p>
      <w:pPr>
        <w:spacing w:after="0" w:line="177" w:lineRule="exact"/>
        <w:rPr>
          <w:sz w:val="20"/>
          <w:szCs w:val="20"/>
          <w:color w:val="auto"/>
        </w:rPr>
      </w:pPr>
    </w:p>
    <w:p>
      <w:pPr>
        <w:ind w:right="2879" w:firstLine="837"/>
        <w:spacing w:after="0" w:line="287" w:lineRule="auto"/>
        <w:rPr>
          <w:sz w:val="20"/>
          <w:szCs w:val="20"/>
          <w:color w:val="auto"/>
        </w:rPr>
      </w:pPr>
      <w:r>
        <w:rPr>
          <w:rFonts w:ascii="Courier New" w:cs="Courier New" w:eastAsia="Courier New" w:hAnsi="Courier New"/>
          <w:sz w:val="14"/>
          <w:szCs w:val="14"/>
          <w:color w:val="auto"/>
        </w:rPr>
        <w:t>Except as otherwise provided in this Agreement, this Agreement shall inure to the benefit of and be binding upon the parties hereto and their respective heirs, representatives, successors and assigns. This Agreement shall not be assignable by Executive (but any payments due hereunder which would be payable at a time after Executive's death shall be paid to Executive's designated beneficiary or, if none, his estate) and shall be assignable by the Company only to any financially solvent corporation or other entity resulting from the reorganization, merger or consolidation of the Company with any other corporation or entity or any corporation or entity to or with which the Company's business or substantially all of its business or assets may be sold,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268" w:right="1440" w:bottom="1440" w:gutter="0" w:footer="0" w:header="0"/>
        </w:sectPr>
      </w:pPr>
    </w:p>
    <w:bookmarkStart w:id="351" w:name="page352"/>
    <w:bookmarkEnd w:id="351"/>
    <w:p>
      <w:pPr>
        <w:ind w:left="280"/>
        <w:spacing w:after="0"/>
        <w:rPr>
          <w:sz w:val="20"/>
          <w:szCs w:val="20"/>
          <w:color w:val="auto"/>
        </w:rPr>
      </w:pPr>
      <w:r>
        <w:rPr>
          <w:rFonts w:ascii="Courier New" w:cs="Courier New" w:eastAsia="Courier New" w:hAnsi="Courier New"/>
          <w:sz w:val="16"/>
          <w:szCs w:val="16"/>
          <w:color w:val="auto"/>
        </w:rPr>
        <w:t>18</w:t>
      </w:r>
    </w:p>
    <w:p>
      <w:pPr>
        <w:spacing w:after="0" w:line="177" w:lineRule="exact"/>
        <w:rPr>
          <w:sz w:val="20"/>
          <w:szCs w:val="20"/>
          <w:color w:val="auto"/>
        </w:rPr>
      </w:pPr>
    </w:p>
    <w:p>
      <w:pPr>
        <w:ind w:right="2779"/>
        <w:spacing w:after="0" w:line="258" w:lineRule="auto"/>
        <w:rPr>
          <w:sz w:val="20"/>
          <w:szCs w:val="20"/>
          <w:color w:val="auto"/>
        </w:rPr>
      </w:pPr>
      <w:r>
        <w:rPr>
          <w:rFonts w:ascii="Courier New" w:cs="Courier New" w:eastAsia="Courier New" w:hAnsi="Courier New"/>
          <w:sz w:val="16"/>
          <w:szCs w:val="16"/>
          <w:color w:val="auto"/>
        </w:rPr>
        <w:t>exchanged or transferred, and it must be so assigned by the Company to, and accepted as binding upon it by, such other corporation or entity in connection with any such reorganization, merger, consolidation, sale, exchange or transfer in a writing delivered to Executive in a form reasonably acceptable to Executive (the provisions of this sentence also being applicable to any successive such transaction).</w:t>
      </w:r>
    </w:p>
    <w:p>
      <w:pPr>
        <w:spacing w:after="0" w:line="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15. ENTIRE AGREEMENT; AMENDMENT.</w:t>
      </w:r>
    </w:p>
    <w:p>
      <w:pPr>
        <w:spacing w:after="0" w:line="177" w:lineRule="exact"/>
        <w:rPr>
          <w:sz w:val="20"/>
          <w:szCs w:val="20"/>
          <w:color w:val="auto"/>
        </w:rPr>
      </w:pPr>
    </w:p>
    <w:p>
      <w:pPr>
        <w:ind w:right="2779" w:firstLine="837"/>
        <w:spacing w:after="0" w:line="263" w:lineRule="auto"/>
        <w:rPr>
          <w:sz w:val="20"/>
          <w:szCs w:val="20"/>
          <w:color w:val="auto"/>
        </w:rPr>
      </w:pPr>
      <w:r>
        <w:rPr>
          <w:rFonts w:ascii="Courier New" w:cs="Courier New" w:eastAsia="Courier New" w:hAnsi="Courier New"/>
          <w:sz w:val="16"/>
          <w:szCs w:val="16"/>
          <w:color w:val="auto"/>
        </w:rPr>
        <w:t>This Agreement shall supersede any and all existing oral or written agreements, representations, or warranties between Executive and the Company or any of its subsidiaries or affiliated entities relating to the terms of Executive's employment by the Company. It may not be amended except by a written agreement signed by both parties.</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16. GOVERNING LAW.</w:t>
      </w:r>
    </w:p>
    <w:p>
      <w:pPr>
        <w:spacing w:after="0" w:line="177" w:lineRule="exact"/>
        <w:rPr>
          <w:sz w:val="20"/>
          <w:szCs w:val="20"/>
          <w:color w:val="auto"/>
        </w:rPr>
      </w:pPr>
    </w:p>
    <w:p>
      <w:pPr>
        <w:ind w:right="2779" w:firstLine="837"/>
        <w:spacing w:after="0" w:line="289"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Texas applicable to agreements made and to be performed in that State, without regard to its conflict of laws provisions.</w:t>
      </w:r>
    </w:p>
    <w:p>
      <w:pPr>
        <w:spacing w:after="0" w:line="6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17. REQUIREMENT OF TIMELY PAYMENTS.</w:t>
      </w:r>
    </w:p>
    <w:p>
      <w:pPr>
        <w:spacing w:after="0" w:line="177" w:lineRule="exact"/>
        <w:rPr>
          <w:sz w:val="20"/>
          <w:szCs w:val="20"/>
          <w:color w:val="auto"/>
        </w:rPr>
      </w:pPr>
    </w:p>
    <w:p>
      <w:pPr>
        <w:ind w:right="2779" w:firstLine="837"/>
        <w:spacing w:after="0" w:line="288" w:lineRule="auto"/>
        <w:rPr>
          <w:sz w:val="20"/>
          <w:szCs w:val="20"/>
          <w:color w:val="auto"/>
        </w:rPr>
      </w:pPr>
      <w:r>
        <w:rPr>
          <w:rFonts w:ascii="Courier New" w:cs="Courier New" w:eastAsia="Courier New" w:hAnsi="Courier New"/>
          <w:sz w:val="14"/>
          <w:szCs w:val="14"/>
          <w:color w:val="auto"/>
        </w:rPr>
        <w:t>If any amounts which are required, or determined to be paid or payable, or reimbursed or reimbursable, to Executive under this Agreement (or any other plan, agreement, policy or arrangement with the Company) are not so paid promptly at the times provided herein or therein, such amounts shall accrue interest, compounded daily, at an 8% annual percentage rate, from the date such amounts were required or determined to have been paid or payable,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55"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18. NOTICES.</w:t>
      </w:r>
    </w:p>
    <w:p>
      <w:pPr>
        <w:spacing w:after="0" w:line="177" w:lineRule="exact"/>
        <w:rPr>
          <w:sz w:val="20"/>
          <w:szCs w:val="20"/>
          <w:color w:val="auto"/>
        </w:rPr>
      </w:pPr>
    </w:p>
    <w:p>
      <w:pPr>
        <w:ind w:right="2779" w:firstLine="837"/>
        <w:spacing w:after="0" w:line="258" w:lineRule="auto"/>
        <w:rPr>
          <w:sz w:val="20"/>
          <w:szCs w:val="20"/>
          <w:color w:val="auto"/>
        </w:rPr>
      </w:pPr>
      <w:r>
        <w:rPr>
          <w:rFonts w:ascii="Courier New" w:cs="Courier New" w:eastAsia="Courier New" w:hAnsi="Courier New"/>
          <w:sz w:val="16"/>
          <w:szCs w:val="16"/>
          <w:color w:val="auto"/>
        </w:rPr>
        <w:t>Any notice, consent, request or other communication made or given in connection with this Agreement shall be in writing and shall be deemed to have been duly given when delivered or mailed by registered or certified mail, return receipt requested, or by facsimile or by hand delivery, to those listed below at their following respective addresses or at such other address as each may specify by notice to the others:</w:t>
      </w:r>
    </w:p>
    <w:p>
      <w:pPr>
        <w:spacing w:after="0" w:line="83" w:lineRule="exact"/>
        <w:rPr>
          <w:sz w:val="20"/>
          <w:szCs w:val="20"/>
          <w:color w:val="auto"/>
        </w:rPr>
      </w:pPr>
    </w:p>
    <w:p>
      <w:pPr>
        <w:ind w:left="1400"/>
        <w:spacing w:after="0"/>
        <w:tabs>
          <w:tab w:leader="none" w:pos="3140" w:val="left"/>
        </w:tabs>
        <w:rPr>
          <w:sz w:val="20"/>
          <w:szCs w:val="20"/>
          <w:color w:val="auto"/>
        </w:rPr>
      </w:pPr>
      <w:r>
        <w:rPr>
          <w:rFonts w:ascii="Courier New" w:cs="Courier New" w:eastAsia="Courier New" w:hAnsi="Courier New"/>
          <w:sz w:val="16"/>
          <w:szCs w:val="16"/>
          <w:color w:val="auto"/>
        </w:rPr>
        <w:t>To the Company:</w:t>
      </w:r>
      <w:r>
        <w:rPr>
          <w:sz w:val="20"/>
          <w:szCs w:val="20"/>
          <w:color w:val="auto"/>
        </w:rPr>
        <w:tab/>
      </w:r>
      <w:r>
        <w:rPr>
          <w:rFonts w:ascii="Courier New" w:cs="Courier New" w:eastAsia="Courier New" w:hAnsi="Courier New"/>
          <w:sz w:val="14"/>
          <w:szCs w:val="14"/>
          <w:color w:val="auto"/>
        </w:rPr>
        <w:t>Waste Management , Inc.</w:t>
      </w:r>
    </w:p>
    <w:p>
      <w:pPr>
        <w:spacing w:after="0" w:line="2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1001 Fannin, Suite 4000</w:t>
      </w:r>
    </w:p>
    <w:p>
      <w:pPr>
        <w:ind w:left="3160"/>
        <w:spacing w:after="0" w:line="236" w:lineRule="auto"/>
        <w:rPr>
          <w:sz w:val="20"/>
          <w:szCs w:val="20"/>
          <w:color w:val="auto"/>
        </w:rPr>
      </w:pPr>
      <w:r>
        <w:rPr>
          <w:rFonts w:ascii="Courier New" w:cs="Courier New" w:eastAsia="Courier New" w:hAnsi="Courier New"/>
          <w:sz w:val="16"/>
          <w:szCs w:val="16"/>
          <w:color w:val="auto"/>
        </w:rPr>
        <w:t>Houston, Texas 77002</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Attention: Corporate Secretary</w:t>
      </w:r>
    </w:p>
    <w:p>
      <w:pPr>
        <w:spacing w:after="0" w:line="149" w:lineRule="exact"/>
        <w:rPr>
          <w:sz w:val="20"/>
          <w:szCs w:val="20"/>
          <w:color w:val="auto"/>
        </w:rPr>
      </w:pPr>
    </w:p>
    <w:p>
      <w:pPr>
        <w:ind w:left="1400"/>
        <w:spacing w:after="0"/>
        <w:tabs>
          <w:tab w:leader="none" w:pos="3140" w:val="left"/>
        </w:tabs>
        <w:rPr>
          <w:sz w:val="20"/>
          <w:szCs w:val="20"/>
          <w:color w:val="auto"/>
        </w:rPr>
      </w:pPr>
      <w:r>
        <w:rPr>
          <w:rFonts w:ascii="Courier New" w:cs="Courier New" w:eastAsia="Courier New" w:hAnsi="Courier New"/>
          <w:sz w:val="16"/>
          <w:szCs w:val="16"/>
          <w:color w:val="auto"/>
        </w:rPr>
        <w:t>To Executive:</w:t>
      </w:r>
      <w:r>
        <w:rPr>
          <w:sz w:val="20"/>
          <w:szCs w:val="20"/>
          <w:color w:val="auto"/>
        </w:rPr>
        <w:tab/>
      </w:r>
      <w:r>
        <w:rPr>
          <w:rFonts w:ascii="Courier New" w:cs="Courier New" w:eastAsia="Courier New" w:hAnsi="Courier New"/>
          <w:sz w:val="14"/>
          <w:szCs w:val="14"/>
          <w:color w:val="auto"/>
        </w:rPr>
        <w:t>At the address for Executive set forth below.</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19. MISCELLANEOUS.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268" w:right="1440" w:bottom="1440" w:gutter="0" w:footer="0" w:header="0"/>
        </w:sectPr>
      </w:pPr>
    </w:p>
    <w:bookmarkStart w:id="352" w:name="page353"/>
    <w:bookmarkEnd w:id="352"/>
    <w:p>
      <w:pPr>
        <w:ind w:left="280"/>
        <w:spacing w:after="0"/>
        <w:rPr>
          <w:sz w:val="20"/>
          <w:szCs w:val="20"/>
          <w:color w:val="auto"/>
        </w:rPr>
      </w:pPr>
      <w:r>
        <w:rPr>
          <w:rFonts w:ascii="Courier New" w:cs="Courier New" w:eastAsia="Courier New" w:hAnsi="Courier New"/>
          <w:sz w:val="16"/>
          <w:szCs w:val="16"/>
          <w:color w:val="auto"/>
        </w:rPr>
        <w:t>19</w:t>
      </w:r>
    </w:p>
    <w:p>
      <w:pPr>
        <w:spacing w:after="0" w:line="177" w:lineRule="exact"/>
        <w:rPr>
          <w:sz w:val="20"/>
          <w:szCs w:val="20"/>
          <w:color w:val="auto"/>
        </w:rPr>
      </w:pPr>
    </w:p>
    <w:p>
      <w:pPr>
        <w:ind w:right="2959" w:firstLine="833"/>
        <w:spacing w:after="0" w:line="272" w:lineRule="auto"/>
        <w:tabs>
          <w:tab w:leader="none" w:pos="1209"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WAIVER. The failure of a party to insist upon strict adherence to any term of this Agreement on any occasion shall not be considered a waiver thereof or deprive that party of the right thereafter to insist upon strict adherence to that term or any other term of this Agreement.</w:t>
      </w:r>
    </w:p>
    <w:p>
      <w:pPr>
        <w:spacing w:after="0" w:line="72" w:lineRule="exact"/>
        <w:rPr>
          <w:rFonts w:ascii="Courier New" w:cs="Courier New" w:eastAsia="Courier New" w:hAnsi="Courier New"/>
          <w:sz w:val="16"/>
          <w:szCs w:val="16"/>
          <w:color w:val="auto"/>
        </w:rPr>
      </w:pPr>
    </w:p>
    <w:p>
      <w:pPr>
        <w:ind w:right="2779" w:firstLine="833"/>
        <w:spacing w:after="0" w:line="263" w:lineRule="auto"/>
        <w:tabs>
          <w:tab w:leader="none" w:pos="1209"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Subject to Section 9 hereof, if any term or provision of this Agreement is declared illegal or unenforceable by any court of competent jurisdiction and cannot be modified to be enforceable, such term or provision shall immediately become null and void, leaving the remainder of this Agreement in full force and effect.</w:t>
      </w:r>
    </w:p>
    <w:p>
      <w:pPr>
        <w:spacing w:after="0" w:line="80" w:lineRule="exact"/>
        <w:rPr>
          <w:rFonts w:ascii="Courier New" w:cs="Courier New" w:eastAsia="Courier New" w:hAnsi="Courier New"/>
          <w:sz w:val="16"/>
          <w:szCs w:val="16"/>
          <w:color w:val="auto"/>
        </w:rPr>
      </w:pPr>
    </w:p>
    <w:p>
      <w:pPr>
        <w:ind w:right="3339" w:firstLine="833"/>
        <w:spacing w:after="0" w:line="289" w:lineRule="auto"/>
        <w:tabs>
          <w:tab w:leader="none" w:pos="1209"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HEADINGS. Section headings are used herein for convenience of reference only and shall not affect the meaning of any provision of this Agreement.</w:t>
      </w:r>
    </w:p>
    <w:p>
      <w:pPr>
        <w:spacing w:after="0" w:line="60" w:lineRule="exact"/>
        <w:rPr>
          <w:rFonts w:ascii="Courier New" w:cs="Courier New" w:eastAsia="Courier New" w:hAnsi="Courier New"/>
          <w:sz w:val="16"/>
          <w:szCs w:val="16"/>
          <w:color w:val="auto"/>
        </w:rPr>
      </w:pPr>
    </w:p>
    <w:p>
      <w:pPr>
        <w:ind w:right="2779" w:firstLine="833"/>
        <w:spacing w:after="0" w:line="342" w:lineRule="auto"/>
        <w:tabs>
          <w:tab w:leader="none" w:pos="1209"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Whenever the context so requires, the use of the singular shall be deemed to include the plural and vice versa.</w:t>
      </w:r>
    </w:p>
    <w:p>
      <w:pPr>
        <w:spacing w:after="0" w:line="20" w:lineRule="exact"/>
        <w:rPr>
          <w:rFonts w:ascii="Courier New" w:cs="Courier New" w:eastAsia="Courier New" w:hAnsi="Courier New"/>
          <w:sz w:val="16"/>
          <w:szCs w:val="16"/>
          <w:color w:val="auto"/>
        </w:rPr>
      </w:pPr>
    </w:p>
    <w:p>
      <w:pPr>
        <w:ind w:right="2959" w:firstLine="833"/>
        <w:spacing w:after="0" w:line="289" w:lineRule="auto"/>
        <w:tabs>
          <w:tab w:leader="none" w:pos="1209" w:val="left"/>
        </w:tabs>
        <w:numPr>
          <w:ilvl w:val="0"/>
          <w:numId w:val="3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Agreement may be executed in any number of counterparts, each of which so executed shall be deemed to be an original, and such counterparts will together constitute but one Agreement.</w:t>
      </w:r>
    </w:p>
    <w:p>
      <w:pPr>
        <w:spacing w:after="0" w:line="61" w:lineRule="exact"/>
        <w:rPr>
          <w:sz w:val="20"/>
          <w:szCs w:val="20"/>
          <w:color w:val="auto"/>
        </w:rPr>
      </w:pPr>
    </w:p>
    <w:p>
      <w:pPr>
        <w:ind w:right="2879" w:firstLine="837"/>
        <w:spacing w:after="0" w:line="342" w:lineRule="auto"/>
        <w:rPr>
          <w:sz w:val="20"/>
          <w:szCs w:val="20"/>
          <w:color w:val="auto"/>
        </w:rPr>
      </w:pPr>
      <w:r>
        <w:rPr>
          <w:rFonts w:ascii="Courier New" w:cs="Courier New" w:eastAsia="Courier New" w:hAnsi="Courier New"/>
          <w:sz w:val="16"/>
          <w:szCs w:val="16"/>
          <w:color w:val="auto"/>
        </w:rPr>
        <w:t>IN WITNESS WHEREOF, this Agreement is EXECUTED and EFFECTIVE as of the day set forth above.</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RICHARD FELAGO</w:t>
      </w:r>
    </w:p>
    <w:p>
      <w:pPr>
        <w:spacing w:after="0" w:line="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("Executive")</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/s/ RICHARD FELAGO</w:t>
      </w:r>
    </w:p>
    <w:p>
      <w:pPr>
        <w:spacing w:after="0" w:line="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Richard Felago</w:t>
      </w:r>
    </w:p>
    <w:p>
      <w:pPr>
        <w:spacing w:after="0" w:line="327"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--------------------------------(Address)</w:t>
      </w:r>
    </w:p>
    <w:p>
      <w:pPr>
        <w:spacing w:after="0" w:line="199"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268" w:right="1440" w:bottom="1440" w:gutter="0" w:footer="0" w:header="0"/>
        </w:sectPr>
      </w:pPr>
    </w:p>
    <w:bookmarkStart w:id="353" w:name="page354"/>
    <w:bookmarkEnd w:id="353"/>
    <w:p>
      <w:pPr>
        <w:spacing w:after="0"/>
        <w:rPr>
          <w:sz w:val="20"/>
          <w:szCs w:val="20"/>
          <w:color w:val="auto"/>
        </w:rPr>
      </w:pPr>
      <w:r>
        <w:rPr>
          <w:rFonts w:ascii="Courier New" w:cs="Courier New" w:eastAsia="Courier New" w:hAnsi="Courier New"/>
          <w:sz w:val="16"/>
          <w:szCs w:val="16"/>
          <w:color w:val="auto"/>
        </w:rPr>
        <w:t>20</w:t>
      </w:r>
    </w:p>
    <w:p>
      <w:pPr>
        <w:spacing w:after="0" w:line="35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WASTE MANAGEMENT, INC.</w:t>
      </w:r>
    </w:p>
    <w:p>
      <w:pPr>
        <w:spacing w:after="0" w:line="2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(The "Company")</w:t>
      </w:r>
    </w:p>
    <w:p>
      <w:pPr>
        <w:spacing w:after="0" w:line="200" w:lineRule="exact"/>
        <w:rPr>
          <w:sz w:val="20"/>
          <w:szCs w:val="20"/>
          <w:color w:val="auto"/>
        </w:rPr>
      </w:pPr>
    </w:p>
    <w:p>
      <w:pPr>
        <w:spacing w:after="0" w:line="30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By: /s/ A. MAURICE MYERS</w:t>
      </w:r>
    </w:p>
    <w:p>
      <w:pPr>
        <w:spacing w:after="0" w:line="26"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 Maurice Myers</w:t>
      </w:r>
    </w:p>
    <w:p>
      <w:pPr>
        <w:ind w:left="362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939"/>
          </w:cols>
          <w:pgMar w:left="520" w:top="269" w:right="1440" w:bottom="1440" w:gutter="0" w:footer="0" w:header="0"/>
        </w:sectPr>
      </w:pPr>
    </w:p>
    <w:bookmarkStart w:id="354" w:name="page355"/>
    <w:bookmarkEnd w:id="354"/>
    <w:p>
      <w:pPr>
        <w:ind w:left="280"/>
        <w:spacing w:after="0"/>
        <w:rPr>
          <w:sz w:val="20"/>
          <w:szCs w:val="20"/>
          <w:color w:val="auto"/>
        </w:rPr>
      </w:pPr>
      <w:r>
        <w:rPr>
          <w:rFonts w:ascii="Courier New" w:cs="Courier New" w:eastAsia="Courier New" w:hAnsi="Courier New"/>
          <w:sz w:val="16"/>
          <w:szCs w:val="16"/>
          <w:color w:val="auto"/>
        </w:rPr>
        <w:t>1</w:t>
      </w:r>
    </w:p>
    <w:p>
      <w:pPr>
        <w:spacing w:after="0" w:line="177" w:lineRule="exact"/>
        <w:rPr>
          <w:sz w:val="20"/>
          <w:szCs w:val="20"/>
          <w:color w:val="auto"/>
        </w:rPr>
      </w:pPr>
    </w:p>
    <w:p>
      <w:pPr>
        <w:jc w:val="right"/>
        <w:ind w:right="2779"/>
        <w:spacing w:after="0"/>
        <w:rPr>
          <w:sz w:val="20"/>
          <w:szCs w:val="20"/>
          <w:color w:val="auto"/>
        </w:rPr>
      </w:pPr>
      <w:r>
        <w:rPr>
          <w:rFonts w:ascii="Courier New" w:cs="Courier New" w:eastAsia="Courier New" w:hAnsi="Courier New"/>
          <w:sz w:val="16"/>
          <w:szCs w:val="16"/>
          <w:color w:val="auto"/>
        </w:rPr>
        <w:t>EXHIBIT 12</w:t>
      </w:r>
    </w:p>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WASTE MANAGEMENT, INC.</w:t>
      </w:r>
    </w:p>
    <w:p>
      <w:pPr>
        <w:spacing w:after="0" w:line="177"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COMPUTATION OF RATIO OF EARNINGS TO FIXED CHARGES</w:t>
      </w:r>
    </w:p>
    <w:p>
      <w:pPr>
        <w:spacing w:after="0" w:line="23"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 MILLIONS, EXCEPT RATIOS)</w:t>
      </w:r>
    </w:p>
    <w:p>
      <w:pPr>
        <w:ind w:left="3160"/>
        <w:spacing w:after="0"/>
        <w:rPr>
          <w:sz w:val="20"/>
          <w:szCs w:val="20"/>
          <w:color w:val="auto"/>
        </w:rPr>
      </w:pPr>
      <w:r>
        <w:rPr>
          <w:rFonts w:ascii="Courier New" w:cs="Courier New" w:eastAsia="Courier New" w:hAnsi="Courier New"/>
          <w:sz w:val="16"/>
          <w:szCs w:val="16"/>
          <w:color w:val="auto"/>
        </w:rPr>
        <w:t>(UNAUDITED)</w:t>
      </w:r>
    </w:p>
    <w:p>
      <w:pPr>
        <w:spacing w:after="0" w:line="149" w:lineRule="exact"/>
        <w:rPr>
          <w:sz w:val="20"/>
          <w:szCs w:val="20"/>
          <w:color w:val="auto"/>
        </w:rPr>
      </w:pPr>
    </w:p>
    <w:p>
      <w:pPr>
        <w:ind w:left="40"/>
        <w:spacing w:after="0"/>
        <w:rPr>
          <w:sz w:val="20"/>
          <w:szCs w:val="20"/>
          <w:color w:val="auto"/>
        </w:rPr>
      </w:pPr>
      <w:r>
        <w:rPr>
          <w:rFonts w:ascii="Courier New" w:cs="Courier New" w:eastAsia="Courier New" w:hAnsi="Courier New"/>
          <w:sz w:val="16"/>
          <w:szCs w:val="16"/>
          <w:color w:val="auto"/>
        </w:rPr>
        <w:t>SIX MONTHS ENDED JUNE 30, ------------ 2001 2000 ---- ---</w:t>
      </w:r>
    </w:p>
    <w:p>
      <w:pPr>
        <w:spacing w:after="0" w:line="26" w:lineRule="exact"/>
        <w:rPr>
          <w:sz w:val="20"/>
          <w:szCs w:val="20"/>
          <w:color w:val="auto"/>
        </w:rPr>
      </w:pPr>
    </w:p>
    <w:p>
      <w:pPr>
        <w:ind w:left="140" w:right="4979" w:firstLine="271"/>
        <w:spacing w:after="0" w:line="270" w:lineRule="auto"/>
        <w:tabs>
          <w:tab w:leader="none" w:pos="605"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taxes, extraordinary item, cumulative effect of change in accounting principle 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520" w:type="dxa"/>
            <w:vAlign w:val="bottom"/>
            <w:gridSpan w:val="2"/>
            <w:vMerge w:val="restart"/>
          </w:tcPr>
          <w:p>
            <w:pPr>
              <w:jc w:val="right"/>
              <w:spacing w:after="0"/>
              <w:rPr>
                <w:sz w:val="20"/>
                <w:szCs w:val="20"/>
                <w:color w:val="auto"/>
              </w:rPr>
            </w:pPr>
            <w:r>
              <w:rPr>
                <w:rFonts w:ascii="Courier New" w:cs="Courier New" w:eastAsia="Courier New" w:hAnsi="Courier New"/>
                <w:sz w:val="6"/>
                <w:szCs w:val="6"/>
                <w:color w:val="auto"/>
                <w:w w:val="71"/>
              </w:rPr>
              <w:t>interests.................................................</w:t>
            </w:r>
          </w:p>
        </w:tc>
        <w:tc>
          <w:tcPr>
            <w:tcW w:w="3820" w:type="dxa"/>
            <w:vAlign w:val="bottom"/>
          </w:tcPr>
          <w:p>
            <w:pPr>
              <w:jc w:val="center"/>
              <w:ind w:right="1402"/>
              <w:spacing w:after="0"/>
              <w:rPr>
                <w:sz w:val="20"/>
                <w:szCs w:val="20"/>
                <w:color w:val="auto"/>
              </w:rPr>
            </w:pPr>
            <w:r>
              <w:rPr>
                <w:rFonts w:ascii="Courier New" w:cs="Courier New" w:eastAsia="Courier New" w:hAnsi="Courier New"/>
                <w:sz w:val="16"/>
                <w:szCs w:val="16"/>
                <w:color w:val="auto"/>
                <w:w w:val="96"/>
              </w:rPr>
              <w:t>minority</w:t>
            </w:r>
          </w:p>
        </w:tc>
        <w:tc>
          <w:tcPr>
            <w:tcW w:w="0" w:type="dxa"/>
            <w:vAlign w:val="bottom"/>
          </w:tcPr>
          <w:p>
            <w:pPr>
              <w:spacing w:after="0"/>
              <w:rPr>
                <w:sz w:val="1"/>
                <w:szCs w:val="1"/>
                <w:color w:val="auto"/>
              </w:rPr>
            </w:pPr>
          </w:p>
        </w:tc>
      </w:tr>
      <w:tr>
        <w:trPr>
          <w:trHeight w:val="69"/>
        </w:trPr>
        <w:tc>
          <w:tcPr>
            <w:tcW w:w="10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820" w:type="dxa"/>
            <w:vAlign w:val="bottom"/>
            <w:vMerge w:val="restart"/>
          </w:tcPr>
          <w:p>
            <w:pPr>
              <w:jc w:val="right"/>
              <w:ind w:right="22"/>
              <w:spacing w:after="0"/>
              <w:rPr>
                <w:sz w:val="20"/>
                <w:szCs w:val="20"/>
                <w:color w:val="auto"/>
              </w:rPr>
            </w:pPr>
            <w:r>
              <w:rPr>
                <w:rFonts w:ascii="Courier New" w:cs="Courier New" w:eastAsia="Courier New" w:hAnsi="Courier New"/>
                <w:sz w:val="16"/>
                <w:szCs w:val="16"/>
                <w:color w:val="auto"/>
                <w:w w:val="96"/>
              </w:rPr>
              <w:t>---- Fixed charges deducted from income:</w:t>
            </w:r>
          </w:p>
        </w:tc>
        <w:tc>
          <w:tcPr>
            <w:tcW w:w="0" w:type="dxa"/>
            <w:vAlign w:val="bottom"/>
          </w:tcPr>
          <w:p>
            <w:pPr>
              <w:spacing w:after="0"/>
              <w:rPr>
                <w:sz w:val="1"/>
                <w:szCs w:val="1"/>
                <w:color w:val="auto"/>
              </w:rPr>
            </w:pPr>
          </w:p>
        </w:tc>
      </w:tr>
      <w:tr>
        <w:trPr>
          <w:trHeight w:val="179"/>
        </w:trPr>
        <w:tc>
          <w:tcPr>
            <w:tcW w:w="10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$519 $237</w:t>
            </w:r>
          </w:p>
        </w:tc>
        <w:tc>
          <w:tcPr>
            <w:tcW w:w="500" w:type="dxa"/>
            <w:vAlign w:val="bottom"/>
          </w:tcPr>
          <w:p>
            <w:pPr>
              <w:jc w:val="right"/>
              <w:ind w:right="19"/>
              <w:spacing w:after="0" w:line="179" w:lineRule="exact"/>
              <w:rPr>
                <w:sz w:val="20"/>
                <w:szCs w:val="20"/>
                <w:color w:val="auto"/>
              </w:rPr>
            </w:pPr>
            <w:r>
              <w:rPr>
                <w:rFonts w:ascii="Courier New" w:cs="Courier New" w:eastAsia="Courier New" w:hAnsi="Courier New"/>
                <w:sz w:val="16"/>
                <w:szCs w:val="16"/>
                <w:color w:val="auto"/>
              </w:rPr>
              <w:t>----</w:t>
            </w:r>
          </w:p>
        </w:tc>
        <w:tc>
          <w:tcPr>
            <w:tcW w:w="3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520" w:type="dxa"/>
            <w:vAlign w:val="bottom"/>
            <w:gridSpan w:val="2"/>
            <w:vMerge w:val="restart"/>
          </w:tcPr>
          <w:p>
            <w:pPr>
              <w:jc w:val="right"/>
              <w:spacing w:after="0"/>
              <w:rPr>
                <w:sz w:val="20"/>
                <w:szCs w:val="20"/>
                <w:color w:val="auto"/>
              </w:rPr>
            </w:pPr>
            <w:r>
              <w:rPr>
                <w:rFonts w:ascii="Courier New" w:cs="Courier New" w:eastAsia="Courier New" w:hAnsi="Courier New"/>
                <w:sz w:val="7"/>
                <w:szCs w:val="7"/>
                <w:color w:val="auto"/>
                <w:w w:val="72"/>
              </w:rPr>
              <w:t>expense..........................................</w:t>
            </w:r>
          </w:p>
        </w:tc>
        <w:tc>
          <w:tcPr>
            <w:tcW w:w="3820" w:type="dxa"/>
            <w:vAlign w:val="bottom"/>
          </w:tcPr>
          <w:p>
            <w:pPr>
              <w:jc w:val="center"/>
              <w:ind w:right="1402"/>
              <w:spacing w:after="0" w:line="179" w:lineRule="exact"/>
              <w:rPr>
                <w:sz w:val="20"/>
                <w:szCs w:val="20"/>
                <w:color w:val="auto"/>
              </w:rPr>
            </w:pPr>
            <w:r>
              <w:rPr>
                <w:rFonts w:ascii="Courier New" w:cs="Courier New" w:eastAsia="Courier New" w:hAnsi="Courier New"/>
                <w:sz w:val="16"/>
                <w:szCs w:val="16"/>
                <w:color w:val="auto"/>
                <w:w w:val="96"/>
              </w:rPr>
              <w:t>Interest</w:t>
            </w: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301 411</w:t>
            </w:r>
          </w:p>
        </w:tc>
        <w:tc>
          <w:tcPr>
            <w:tcW w:w="0" w:type="dxa"/>
            <w:vAlign w:val="bottom"/>
          </w:tcPr>
          <w:p>
            <w:pPr>
              <w:spacing w:after="0"/>
              <w:rPr>
                <w:sz w:val="1"/>
                <w:szCs w:val="1"/>
                <w:color w:val="auto"/>
              </w:rPr>
            </w:pPr>
          </w:p>
        </w:tc>
      </w:tr>
      <w:tr>
        <w:trPr>
          <w:trHeight w:val="179"/>
        </w:trPr>
        <w:tc>
          <w:tcPr>
            <w:tcW w:w="152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5"/>
              </w:rPr>
              <w:t>rents................................</w:t>
            </w:r>
          </w:p>
        </w:tc>
        <w:tc>
          <w:tcPr>
            <w:tcW w:w="3820" w:type="dxa"/>
            <w:vAlign w:val="bottom"/>
          </w:tcPr>
          <w:p>
            <w:pPr>
              <w:jc w:val="center"/>
              <w:ind w:right="1402"/>
              <w:spacing w:after="0" w:line="179" w:lineRule="exact"/>
              <w:rPr>
                <w:sz w:val="20"/>
                <w:szCs w:val="20"/>
                <w:color w:val="auto"/>
              </w:rPr>
            </w:pPr>
            <w:r>
              <w:rPr>
                <w:rFonts w:ascii="Courier New" w:cs="Courier New" w:eastAsia="Courier New" w:hAnsi="Courier New"/>
                <w:sz w:val="16"/>
                <w:szCs w:val="16"/>
                <w:color w:val="auto"/>
                <w:w w:val="96"/>
              </w:rPr>
              <w:t>Implicit interest in</w:t>
            </w: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31 32 ---- ---- 332</w:t>
            </w:r>
          </w:p>
        </w:tc>
        <w:tc>
          <w:tcPr>
            <w:tcW w:w="0" w:type="dxa"/>
            <w:vAlign w:val="bottom"/>
          </w:tcPr>
          <w:p>
            <w:pPr>
              <w:spacing w:after="0"/>
              <w:rPr>
                <w:sz w:val="1"/>
                <w:szCs w:val="1"/>
                <w:color w:val="auto"/>
              </w:rPr>
            </w:pPr>
          </w:p>
        </w:tc>
      </w:tr>
      <w:tr>
        <w:trPr>
          <w:trHeight w:val="179"/>
        </w:trPr>
        <w:tc>
          <w:tcPr>
            <w:tcW w:w="10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443</w:t>
            </w:r>
          </w:p>
        </w:tc>
        <w:tc>
          <w:tcPr>
            <w:tcW w:w="5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3820" w:type="dxa"/>
            <w:vAlign w:val="bottom"/>
          </w:tcPr>
          <w:p>
            <w:pPr>
              <w:jc w:val="right"/>
              <w:ind w:right="622"/>
              <w:spacing w:after="0" w:line="179" w:lineRule="exact"/>
              <w:rPr>
                <w:sz w:val="20"/>
                <w:szCs w:val="20"/>
                <w:color w:val="auto"/>
              </w:rPr>
            </w:pPr>
            <w:r>
              <w:rPr>
                <w:rFonts w:ascii="Courier New" w:cs="Courier New" w:eastAsia="Courier New" w:hAnsi="Courier New"/>
                <w:sz w:val="16"/>
                <w:szCs w:val="16"/>
                <w:color w:val="auto"/>
                <w:w w:val="97"/>
              </w:rPr>
              <w:t>---- Earnings available for fixed</w:t>
            </w:r>
          </w:p>
        </w:tc>
        <w:tc>
          <w:tcPr>
            <w:tcW w:w="0" w:type="dxa"/>
            <w:vAlign w:val="bottom"/>
          </w:tcPr>
          <w:p>
            <w:pPr>
              <w:spacing w:after="0"/>
              <w:rPr>
                <w:sz w:val="1"/>
                <w:szCs w:val="1"/>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charges...................</w:t>
            </w:r>
          </w:p>
        </w:tc>
        <w:tc>
          <w:tcPr>
            <w:tcW w:w="38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$851 $680 ==== ==== Interest</w:t>
            </w:r>
          </w:p>
        </w:tc>
        <w:tc>
          <w:tcPr>
            <w:tcW w:w="0" w:type="dxa"/>
            <w:vAlign w:val="bottom"/>
          </w:tcPr>
          <w:p>
            <w:pPr>
              <w:spacing w:after="0"/>
              <w:rPr>
                <w:sz w:val="1"/>
                <w:szCs w:val="1"/>
                <w:color w:val="auto"/>
              </w:rPr>
            </w:pPr>
          </w:p>
        </w:tc>
      </w:tr>
      <w:tr>
        <w:trPr>
          <w:trHeight w:val="179"/>
        </w:trPr>
        <w:tc>
          <w:tcPr>
            <w:tcW w:w="152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0"/>
              </w:rPr>
              <w:t>expense............................................</w:t>
            </w:r>
          </w:p>
        </w:tc>
        <w:tc>
          <w:tcPr>
            <w:tcW w:w="38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$301</w:t>
            </w:r>
          </w:p>
        </w:tc>
        <w:tc>
          <w:tcPr>
            <w:tcW w:w="0" w:type="dxa"/>
            <w:vAlign w:val="bottom"/>
          </w:tcPr>
          <w:p>
            <w:pPr>
              <w:spacing w:after="0"/>
              <w:rPr>
                <w:sz w:val="1"/>
                <w:szCs w:val="1"/>
                <w:color w:val="auto"/>
              </w:rPr>
            </w:pPr>
          </w:p>
        </w:tc>
      </w:tr>
      <w:tr>
        <w:trPr>
          <w:trHeight w:val="179"/>
        </w:trPr>
        <w:tc>
          <w:tcPr>
            <w:tcW w:w="10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interest</w:t>
            </w:r>
          </w:p>
        </w:tc>
        <w:tc>
          <w:tcPr>
            <w:tcW w:w="500" w:type="dxa"/>
            <w:vAlign w:val="bottom"/>
          </w:tcPr>
          <w:p>
            <w:pPr>
              <w:jc w:val="right"/>
              <w:spacing w:after="0"/>
              <w:rPr>
                <w:sz w:val="20"/>
                <w:szCs w:val="20"/>
                <w:color w:val="auto"/>
              </w:rPr>
            </w:pPr>
            <w:r>
              <w:rPr>
                <w:rFonts w:ascii="Courier New" w:cs="Courier New" w:eastAsia="Courier New" w:hAnsi="Courier New"/>
                <w:sz w:val="2"/>
                <w:szCs w:val="2"/>
                <w:color w:val="auto"/>
                <w:w w:val="99"/>
              </w:rPr>
              <w:t>........................................</w:t>
            </w:r>
          </w:p>
        </w:tc>
        <w:tc>
          <w:tcPr>
            <w:tcW w:w="3820" w:type="dxa"/>
            <w:vAlign w:val="bottom"/>
          </w:tcPr>
          <w:p>
            <w:pPr>
              <w:jc w:val="center"/>
              <w:ind w:right="1402"/>
              <w:spacing w:after="0" w:line="179" w:lineRule="exact"/>
              <w:rPr>
                <w:sz w:val="20"/>
                <w:szCs w:val="20"/>
                <w:color w:val="auto"/>
              </w:rPr>
            </w:pPr>
            <w:r>
              <w:rPr>
                <w:rFonts w:ascii="Courier New" w:cs="Courier New" w:eastAsia="Courier New" w:hAnsi="Courier New"/>
                <w:sz w:val="16"/>
                <w:szCs w:val="16"/>
                <w:color w:val="auto"/>
                <w:w w:val="97"/>
              </w:rPr>
              <w:t>$411 Capitalized</w:t>
            </w: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9 9</w:t>
            </w:r>
          </w:p>
        </w:tc>
        <w:tc>
          <w:tcPr>
            <w:tcW w:w="0" w:type="dxa"/>
            <w:vAlign w:val="bottom"/>
          </w:tcPr>
          <w:p>
            <w:pPr>
              <w:spacing w:after="0"/>
              <w:rPr>
                <w:sz w:val="1"/>
                <w:szCs w:val="1"/>
                <w:color w:val="auto"/>
              </w:rPr>
            </w:pPr>
          </w:p>
        </w:tc>
      </w:tr>
      <w:tr>
        <w:trPr>
          <w:trHeight w:val="179"/>
        </w:trPr>
        <w:tc>
          <w:tcPr>
            <w:tcW w:w="1520" w:type="dxa"/>
            <w:vAlign w:val="bottom"/>
            <w:gridSpan w:val="2"/>
            <w:vMerge w:val="restart"/>
          </w:tcPr>
          <w:p>
            <w:pPr>
              <w:jc w:val="right"/>
              <w:spacing w:after="0"/>
              <w:rPr>
                <w:sz w:val="20"/>
                <w:szCs w:val="20"/>
                <w:color w:val="auto"/>
              </w:rPr>
            </w:pPr>
            <w:r>
              <w:rPr>
                <w:rFonts w:ascii="Courier New" w:cs="Courier New" w:eastAsia="Courier New" w:hAnsi="Courier New"/>
                <w:sz w:val="9"/>
                <w:szCs w:val="9"/>
                <w:color w:val="auto"/>
                <w:w w:val="71"/>
              </w:rPr>
              <w:t>rents..................................</w:t>
            </w:r>
          </w:p>
        </w:tc>
        <w:tc>
          <w:tcPr>
            <w:tcW w:w="3820" w:type="dxa"/>
            <w:vAlign w:val="bottom"/>
          </w:tcPr>
          <w:p>
            <w:pPr>
              <w:jc w:val="center"/>
              <w:ind w:right="1402"/>
              <w:spacing w:after="0" w:line="179" w:lineRule="exact"/>
              <w:rPr>
                <w:sz w:val="20"/>
                <w:szCs w:val="20"/>
                <w:color w:val="auto"/>
              </w:rPr>
            </w:pPr>
            <w:r>
              <w:rPr>
                <w:rFonts w:ascii="Courier New" w:cs="Courier New" w:eastAsia="Courier New" w:hAnsi="Courier New"/>
                <w:sz w:val="16"/>
                <w:szCs w:val="16"/>
                <w:color w:val="auto"/>
                <w:w w:val="96"/>
              </w:rPr>
              <w:t>Implicit interest in</w:t>
            </w:r>
          </w:p>
        </w:tc>
        <w:tc>
          <w:tcPr>
            <w:tcW w:w="0" w:type="dxa"/>
            <w:vAlign w:val="bottom"/>
          </w:tcPr>
          <w:p>
            <w:pPr>
              <w:spacing w:after="0"/>
              <w:rPr>
                <w:sz w:val="1"/>
                <w:szCs w:val="1"/>
                <w:color w:val="auto"/>
              </w:rPr>
            </w:pPr>
          </w:p>
        </w:tc>
      </w:tr>
      <w:tr>
        <w:trPr>
          <w:trHeight w:val="179"/>
        </w:trPr>
        <w:tc>
          <w:tcPr>
            <w:tcW w:w="10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8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31 32 ---- ----</w:t>
            </w:r>
          </w:p>
        </w:tc>
        <w:tc>
          <w:tcPr>
            <w:tcW w:w="0" w:type="dxa"/>
            <w:vAlign w:val="bottom"/>
          </w:tcPr>
          <w:p>
            <w:pPr>
              <w:spacing w:after="0"/>
              <w:rPr>
                <w:sz w:val="1"/>
                <w:szCs w:val="1"/>
                <w:color w:val="auto"/>
              </w:rPr>
            </w:pPr>
          </w:p>
        </w:tc>
      </w:tr>
      <w:tr>
        <w:trPr>
          <w:trHeight w:val="179"/>
        </w:trPr>
        <w:tc>
          <w:tcPr>
            <w:tcW w:w="5340" w:type="dxa"/>
            <w:vAlign w:val="bottom"/>
            <w:gridSpan w:val="3"/>
          </w:tcPr>
          <w:p>
            <w:pPr>
              <w:jc w:val="center"/>
              <w:spacing w:after="0" w:line="179" w:lineRule="exact"/>
              <w:rPr>
                <w:sz w:val="20"/>
                <w:szCs w:val="20"/>
                <w:color w:val="auto"/>
              </w:rPr>
            </w:pPr>
            <w:r>
              <w:rPr>
                <w:rFonts w:ascii="Courier New" w:cs="Courier New" w:eastAsia="Courier New" w:hAnsi="Courier New"/>
                <w:sz w:val="16"/>
                <w:szCs w:val="16"/>
                <w:color w:val="auto"/>
                <w:w w:val="96"/>
              </w:rPr>
              <w:t>Total fixed charges....................................</w:t>
            </w:r>
          </w:p>
        </w:tc>
        <w:tc>
          <w:tcPr>
            <w:tcW w:w="0" w:type="dxa"/>
            <w:vAlign w:val="bottom"/>
          </w:tcPr>
          <w:p>
            <w:pPr>
              <w:spacing w:after="0"/>
              <w:rPr>
                <w:sz w:val="1"/>
                <w:szCs w:val="1"/>
                <w:color w:val="auto"/>
              </w:rPr>
            </w:pPr>
          </w:p>
        </w:tc>
      </w:tr>
      <w:tr>
        <w:trPr>
          <w:trHeight w:val="179"/>
        </w:trPr>
        <w:tc>
          <w:tcPr>
            <w:tcW w:w="1020" w:type="dxa"/>
            <w:vAlign w:val="bottom"/>
          </w:tcPr>
          <w:p>
            <w:pPr>
              <w:jc w:val="right"/>
              <w:ind w:right="42"/>
              <w:spacing w:after="0" w:line="179" w:lineRule="exact"/>
              <w:rPr>
                <w:sz w:val="20"/>
                <w:szCs w:val="20"/>
                <w:color w:val="auto"/>
              </w:rPr>
            </w:pPr>
            <w:r>
              <w:rPr>
                <w:rFonts w:ascii="Courier New" w:cs="Courier New" w:eastAsia="Courier New" w:hAnsi="Courier New"/>
                <w:sz w:val="16"/>
                <w:szCs w:val="16"/>
                <w:color w:val="auto"/>
              </w:rPr>
              <w:t>$341</w:t>
            </w:r>
          </w:p>
        </w:tc>
        <w:tc>
          <w:tcPr>
            <w:tcW w:w="4320" w:type="dxa"/>
            <w:vAlign w:val="bottom"/>
            <w:gridSpan w:val="2"/>
          </w:tcPr>
          <w:p>
            <w:pPr>
              <w:jc w:val="right"/>
              <w:ind w:right="422"/>
              <w:spacing w:after="0" w:line="179" w:lineRule="exact"/>
              <w:rPr>
                <w:sz w:val="20"/>
                <w:szCs w:val="20"/>
                <w:color w:val="auto"/>
              </w:rPr>
            </w:pPr>
            <w:r>
              <w:rPr>
                <w:rFonts w:ascii="Courier New" w:cs="Courier New" w:eastAsia="Courier New" w:hAnsi="Courier New"/>
                <w:sz w:val="16"/>
                <w:szCs w:val="16"/>
                <w:color w:val="auto"/>
                <w:w w:val="96"/>
              </w:rPr>
              <w:t>$452 ==== ==== Ratio of earnings to fixed</w:t>
            </w:r>
          </w:p>
        </w:tc>
        <w:tc>
          <w:tcPr>
            <w:tcW w:w="0" w:type="dxa"/>
            <w:vAlign w:val="bottom"/>
          </w:tcPr>
          <w:p>
            <w:pPr>
              <w:spacing w:after="0"/>
              <w:rPr>
                <w:sz w:val="1"/>
                <w:szCs w:val="1"/>
                <w:color w:val="auto"/>
              </w:rPr>
            </w:pPr>
          </w:p>
        </w:tc>
      </w:tr>
      <w:tr>
        <w:trPr>
          <w:trHeight w:val="261"/>
        </w:trPr>
        <w:tc>
          <w:tcPr>
            <w:tcW w:w="15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charges.....................</w:t>
            </w:r>
          </w:p>
        </w:tc>
        <w:tc>
          <w:tcPr>
            <w:tcW w:w="382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2.5 1.5 ==== ====</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C058DF5"/>
    <w:multiLevelType w:val="hybridMultilevel"/>
    <w:lvl w:ilvl="0">
      <w:lvlJc w:val="left"/>
      <w:lvlText w:val="-"/>
      <w:numFmt w:val="bullet"/>
      <w:start w:val="1"/>
    </w:lvl>
  </w:abstractNum>
  <w:abstractNum w:abstractNumId="1">
    <w:nsid w:val="CBE5BE9"/>
    <w:multiLevelType w:val="hybridMultilevel"/>
    <w:lvl w:ilvl="0">
      <w:lvlJc w:val="left"/>
      <w:lvlText w:val="[%1]"/>
      <w:numFmt w:val="upperLetter"/>
      <w:start w:val="24"/>
    </w:lvl>
  </w:abstractNum>
  <w:abstractNum w:abstractNumId="2">
    <w:nsid w:val="3102BBE2"/>
    <w:multiLevelType w:val="hybridMultilevel"/>
    <w:lvl w:ilvl="0">
      <w:lvlJc w:val="left"/>
      <w:lvlText w:val="["/>
      <w:numFmt w:val="bullet"/>
      <w:start w:val="1"/>
    </w:lvl>
  </w:abstractNum>
  <w:abstractNum w:abstractNumId="3">
    <w:nsid w:val="26A02C5E"/>
    <w:multiLevelType w:val="hybridMultilevel"/>
    <w:lvl w:ilvl="0">
      <w:lvlJc w:val="left"/>
      <w:lvlText w:val="-"/>
      <w:numFmt w:val="bullet"/>
      <w:start w:val="1"/>
    </w:lvl>
  </w:abstractNum>
  <w:abstractNum w:abstractNumId="4">
    <w:nsid w:val="541C8153"/>
    <w:multiLevelType w:val="hybridMultilevel"/>
    <w:lvl w:ilvl="0">
      <w:lvlJc w:val="left"/>
      <w:lvlText w:val="----"/>
      <w:numFmt w:val="bullet"/>
      <w:start w:val="1"/>
    </w:lvl>
  </w:abstractNum>
  <w:abstractNum w:abstractNumId="5">
    <w:nsid w:val="67906F60"/>
    <w:multiLevelType w:val="hybridMultilevel"/>
    <w:lvl w:ilvl="0">
      <w:lvlJc w:val="left"/>
      <w:lvlText w:val="$"/>
      <w:numFmt w:val="bullet"/>
      <w:start w:val="1"/>
    </w:lvl>
  </w:abstractNum>
  <w:abstractNum w:abstractNumId="6">
    <w:nsid w:val="10DB9DAA"/>
    <w:multiLevelType w:val="hybridMultilevel"/>
    <w:lvl w:ilvl="0">
      <w:lvlJc w:val="left"/>
      <w:lvlText w:val="$"/>
      <w:numFmt w:val="bullet"/>
      <w:start w:val="1"/>
    </w:lvl>
  </w:abstractNum>
  <w:abstractNum w:abstractNumId="7">
    <w:nsid w:val="697D2D2"/>
    <w:multiLevelType w:val="hybridMultilevel"/>
    <w:lvl w:ilvl="0">
      <w:lvlJc w:val="left"/>
      <w:lvlText w:val="$"/>
      <w:numFmt w:val="bullet"/>
      <w:start w:val="1"/>
    </w:lvl>
  </w:abstractNum>
  <w:abstractNum w:abstractNumId="8">
    <w:nsid w:val="6D68AB2"/>
    <w:multiLevelType w:val="hybridMultilevel"/>
    <w:lvl w:ilvl="0">
      <w:lvlJc w:val="left"/>
      <w:lvlText w:val="(%1)"/>
      <w:numFmt w:val="decimal"/>
      <w:start w:val="564"/>
    </w:lvl>
  </w:abstractNum>
  <w:abstractNum w:abstractNumId="9">
    <w:nsid w:val="3A966CD0"/>
    <w:multiLevelType w:val="hybridMultilevel"/>
    <w:lvl w:ilvl="0">
      <w:lvlJc w:val="left"/>
      <w:lvlText w:val="-"/>
      <w:numFmt w:val="bullet"/>
      <w:start w:val="1"/>
    </w:lvl>
  </w:abstractNum>
  <w:abstractNum w:abstractNumId="10">
    <w:nsid w:val="63F37E85"/>
    <w:multiLevelType w:val="hybridMultilevel"/>
    <w:lvl w:ilvl="0">
      <w:lvlJc w:val="left"/>
      <w:lvlText w:val="$"/>
      <w:numFmt w:val="bullet"/>
      <w:start w:val="1"/>
    </w:lvl>
    <w:lvl w:ilvl="1">
      <w:lvlJc w:val="left"/>
      <w:lvlText w:val="====="/>
      <w:numFmt w:val="bullet"/>
      <w:start w:val="1"/>
    </w:lvl>
  </w:abstractNum>
  <w:abstractNum w:abstractNumId="11">
    <w:nsid w:val="5895F5FA"/>
    <w:multiLevelType w:val="hybridMultilevel"/>
    <w:lvl w:ilvl="0">
      <w:lvlJc w:val="left"/>
      <w:lvlText w:val="%1."/>
      <w:numFmt w:val="decimal"/>
      <w:start w:val="1"/>
    </w:lvl>
  </w:abstractNum>
  <w:abstractNum w:abstractNumId="12">
    <w:nsid w:val="38A5D054"/>
    <w:multiLevelType w:val="hybridMultilevel"/>
    <w:lvl w:ilvl="0">
      <w:lvlJc w:val="left"/>
      <w:lvlText w:val="%1."/>
      <w:numFmt w:val="decimal"/>
      <w:start w:val="4"/>
    </w:lvl>
    <w:lvl w:ilvl="1">
      <w:lvlJc w:val="left"/>
      <w:lvlText w:val="-----"/>
      <w:numFmt w:val="bullet"/>
      <w:start w:val="1"/>
    </w:lvl>
  </w:abstractNum>
  <w:abstractNum w:abstractNumId="13">
    <w:nsid w:val="F3F09D8"/>
    <w:multiLevelType w:val="hybridMultilevel"/>
    <w:lvl w:ilvl="0">
      <w:lvlJc w:val="left"/>
      <w:lvlText w:val="---"/>
      <w:numFmt w:val="bullet"/>
      <w:start w:val="1"/>
    </w:lvl>
  </w:abstractNum>
  <w:abstractNum w:abstractNumId="14">
    <w:nsid w:val="4B793735"/>
    <w:multiLevelType w:val="hybridMultilevel"/>
    <w:lvl w:ilvl="0">
      <w:lvlJc w:val="left"/>
      <w:lvlText w:val="$"/>
      <w:numFmt w:val="bullet"/>
      <w:start w:val="1"/>
    </w:lvl>
  </w:abstractNum>
  <w:abstractNum w:abstractNumId="15">
    <w:nsid w:val="4A10B4E8"/>
    <w:multiLevelType w:val="hybridMultilevel"/>
    <w:lvl w:ilvl="0">
      <w:lvlJc w:val="left"/>
      <w:lvlText w:val="-"/>
      <w:numFmt w:val="bullet"/>
      <w:start w:val="1"/>
    </w:lvl>
    <w:lvl w:ilvl="1">
      <w:lvlJc w:val="left"/>
      <w:lvlText w:val="===="/>
      <w:numFmt w:val="bullet"/>
      <w:start w:val="1"/>
    </w:lvl>
  </w:abstractNum>
  <w:abstractNum w:abstractNumId="16">
    <w:nsid w:val="43D3BCD4"/>
    <w:multiLevelType w:val="hybridMultilevel"/>
    <w:lvl w:ilvl="0">
      <w:lvlJc w:val="left"/>
      <w:lvlText w:val="(%1)"/>
      <w:numFmt w:val="decimal"/>
      <w:start w:val="130"/>
    </w:lvl>
  </w:abstractNum>
  <w:abstractNum w:abstractNumId="17">
    <w:nsid w:val="4C2A7166"/>
    <w:multiLevelType w:val="hybridMultilevel"/>
    <w:lvl w:ilvl="0">
      <w:lvlJc w:val="left"/>
      <w:lvlText w:val="(%1)"/>
      <w:numFmt w:val="lowerLetter"/>
      <w:start w:val="1"/>
    </w:lvl>
  </w:abstractNum>
  <w:abstractNum w:abstractNumId="18">
    <w:nsid w:val="2E534A82"/>
    <w:multiLevelType w:val="hybridMultilevel"/>
    <w:lvl w:ilvl="0">
      <w:lvlJc w:val="left"/>
      <w:lvlText w:val="%1"/>
      <w:numFmt w:val="decimal"/>
      <w:start w:val="1"/>
    </w:lvl>
    <w:lvl w:ilvl="1">
      <w:lvlJc w:val="left"/>
      <w:lvlText w:val="(%2)"/>
      <w:numFmt w:val="decimal"/>
      <w:start w:val="1"/>
    </w:lvl>
  </w:abstractNum>
  <w:abstractNum w:abstractNumId="19">
    <w:nsid w:val="26F2D364"/>
    <w:multiLevelType w:val="hybridMultilevel"/>
    <w:lvl w:ilvl="0">
      <w:lvlJc w:val="left"/>
      <w:lvlText w:val="(%1)"/>
      <w:numFmt w:val="decimal"/>
      <w:start w:val="1"/>
    </w:lvl>
    <w:lvl w:ilvl="1">
      <w:lvlJc w:val="left"/>
      <w:lvlText w:val="%2"/>
      <w:numFmt w:val="decimal"/>
      <w:start w:val="1"/>
    </w:lvl>
  </w:abstractNum>
  <w:abstractNum w:abstractNumId="20">
    <w:nsid w:val="71C1AF98"/>
    <w:multiLevelType w:val="hybridMultilevel"/>
    <w:lvl w:ilvl="0">
      <w:lvlJc w:val="left"/>
      <w:lvlText w:val="(%1)"/>
      <w:numFmt w:val="lowerLetter"/>
      <w:start w:val="1"/>
    </w:lvl>
  </w:abstractNum>
  <w:abstractNum w:abstractNumId="21">
    <w:nsid w:val="3D00B9D9"/>
    <w:multiLevelType w:val="hybridMultilevel"/>
    <w:lvl w:ilvl="0">
      <w:lvlJc w:val="left"/>
      <w:lvlText w:val="%1."/>
      <w:numFmt w:val="decimal"/>
      <w:start w:val="8"/>
    </w:lvl>
    <w:lvl w:ilvl="1">
      <w:lvlJc w:val="left"/>
      <w:lvlText w:val="==="/>
      <w:numFmt w:val="bullet"/>
      <w:start w:val="1"/>
    </w:lvl>
  </w:abstractNum>
  <w:abstractNum w:abstractNumId="22">
    <w:nsid w:val="15BCABA8"/>
    <w:multiLevelType w:val="hybridMultilevel"/>
    <w:lvl w:ilvl="0">
      <w:lvlJc w:val="left"/>
      <w:lvlText w:val="--"/>
      <w:numFmt w:val="bullet"/>
      <w:start w:val="1"/>
    </w:lvl>
    <w:lvl w:ilvl="1">
      <w:lvlJc w:val="left"/>
      <w:lvlText w:val="---"/>
      <w:numFmt w:val="bullet"/>
      <w:start w:val="1"/>
    </w:lvl>
  </w:abstractNum>
  <w:abstractNum w:abstractNumId="23">
    <w:nsid w:val="4E0B9A87"/>
    <w:multiLevelType w:val="hybridMultilevel"/>
    <w:lvl w:ilvl="0">
      <w:lvlJc w:val="left"/>
      <w:lvlText w:val="--"/>
      <w:numFmt w:val="bullet"/>
      <w:start w:val="1"/>
    </w:lvl>
    <w:lvl w:ilvl="1">
      <w:lvlJc w:val="left"/>
      <w:lvlText w:val="---"/>
      <w:numFmt w:val="bullet"/>
      <w:start w:val="1"/>
    </w:lvl>
  </w:abstractNum>
  <w:abstractNum w:abstractNumId="24">
    <w:nsid w:val="434BAE75"/>
    <w:multiLevelType w:val="hybridMultilevel"/>
    <w:lvl w:ilvl="0">
      <w:lvlJc w:val="left"/>
      <w:lvlText w:val="$"/>
      <w:numFmt w:val="bullet"/>
      <w:start w:val="1"/>
    </w:lvl>
  </w:abstractNum>
  <w:abstractNum w:abstractNumId="25">
    <w:nsid w:val="4F38F265"/>
    <w:multiLevelType w:val="hybridMultilevel"/>
    <w:lvl w:ilvl="0">
      <w:lvlJc w:val="left"/>
      <w:lvlText w:val="(%1)"/>
      <w:numFmt w:val="decimal"/>
      <w:start w:val="47"/>
    </w:lvl>
  </w:abstractNum>
  <w:abstractNum w:abstractNumId="26">
    <w:nsid w:val="4C502870"/>
    <w:multiLevelType w:val="hybridMultilevel"/>
    <w:lvl w:ilvl="0">
      <w:lvlJc w:val="left"/>
      <w:lvlText w:val="$"/>
      <w:numFmt w:val="bullet"/>
      <w:start w:val="1"/>
    </w:lvl>
    <w:lvl w:ilvl="1">
      <w:lvlJc w:val="left"/>
      <w:lvlText w:val="===="/>
      <w:numFmt w:val="bullet"/>
      <w:start w:val="1"/>
    </w:lvl>
  </w:abstractNum>
  <w:abstractNum w:abstractNumId="27">
    <w:nsid w:val="1DE8725A"/>
    <w:multiLevelType w:val="hybridMultilevel"/>
    <w:lvl w:ilvl="0">
      <w:lvlJc w:val="left"/>
      <w:lvlText w:val="(%1)"/>
      <w:numFmt w:val="decimal"/>
      <w:start w:val="59"/>
    </w:lvl>
  </w:abstractNum>
  <w:abstractNum w:abstractNumId="28">
    <w:nsid w:val="6A37288A"/>
    <w:multiLevelType w:val="hybridMultilevel"/>
    <w:lvl w:ilvl="0">
      <w:lvlJc w:val="left"/>
      <w:lvlText w:val="----"/>
      <w:numFmt w:val="bullet"/>
      <w:start w:val="1"/>
    </w:lvl>
  </w:abstractNum>
  <w:abstractNum w:abstractNumId="29">
    <w:nsid w:val="8F8B73F"/>
    <w:multiLevelType w:val="hybridMultilevel"/>
    <w:lvl w:ilvl="0">
      <w:lvlJc w:val="left"/>
      <w:lvlText w:val="(%1)"/>
      <w:numFmt w:val="decimal"/>
      <w:start w:val="1"/>
    </w:lvl>
  </w:abstractNum>
  <w:abstractNum w:abstractNumId="30">
    <w:nsid w:val="CA6B462"/>
    <w:multiLevelType w:val="hybridMultilevel"/>
    <w:lvl w:ilvl="0">
      <w:lvlJc w:val="left"/>
      <w:lvlText w:val="----"/>
      <w:numFmt w:val="bullet"/>
      <w:start w:val="1"/>
    </w:lvl>
  </w:abstractNum>
  <w:abstractNum w:abstractNumId="31">
    <w:nsid w:val="763CB680"/>
    <w:multiLevelType w:val="hybridMultilevel"/>
    <w:lvl w:ilvl="0">
      <w:lvlJc w:val="left"/>
      <w:lvlText w:val="(%1)"/>
      <w:numFmt w:val="decimal"/>
      <w:start w:val="474"/>
    </w:lvl>
  </w:abstractNum>
  <w:abstractNum w:abstractNumId="32">
    <w:nsid w:val="15B71329"/>
    <w:multiLevelType w:val="hybridMultilevel"/>
    <w:lvl w:ilvl="0">
      <w:lvlJc w:val="left"/>
      <w:lvlText w:val="-"/>
      <w:numFmt w:val="bullet"/>
      <w:start w:val="1"/>
    </w:lvl>
  </w:abstractNum>
  <w:abstractNum w:abstractNumId="33">
    <w:nsid w:val="3DA97044"/>
    <w:multiLevelType w:val="hybridMultilevel"/>
    <w:lvl w:ilvl="0">
      <w:lvlJc w:val="left"/>
      <w:lvlText w:val="--"/>
      <w:numFmt w:val="bullet"/>
      <w:start w:val="1"/>
    </w:lvl>
  </w:abstractNum>
  <w:abstractNum w:abstractNumId="34">
    <w:nsid w:val="1CDCE2DE"/>
    <w:multiLevelType w:val="hybridMultilevel"/>
    <w:lvl w:ilvl="0">
      <w:lvlJc w:val="left"/>
      <w:lvlText w:val="(%1)"/>
      <w:numFmt w:val="decimal"/>
      <w:start w:val="564"/>
    </w:lvl>
  </w:abstractNum>
  <w:abstractNum w:abstractNumId="35">
    <w:nsid w:val="69D3947C"/>
    <w:multiLevelType w:val="hybridMultilevel"/>
    <w:lvl w:ilvl="0">
      <w:lvlJc w:val="left"/>
      <w:lvlText w:val="-"/>
      <w:numFmt w:val="bullet"/>
      <w:start w:val="1"/>
    </w:lvl>
  </w:abstractNum>
  <w:abstractNum w:abstractNumId="36">
    <w:nsid w:val="2539DFA5"/>
    <w:multiLevelType w:val="hybridMultilevel"/>
    <w:lvl w:ilvl="0">
      <w:lvlJc w:val="left"/>
      <w:lvlText w:val="-"/>
      <w:numFmt w:val="bullet"/>
      <w:start w:val="1"/>
    </w:lvl>
  </w:abstractNum>
  <w:abstractNum w:abstractNumId="37">
    <w:nsid w:val="2DB88089"/>
    <w:multiLevelType w:val="hybridMultilevel"/>
    <w:lvl w:ilvl="0">
      <w:lvlJc w:val="left"/>
      <w:lvlText w:val="-"/>
      <w:numFmt w:val="bullet"/>
      <w:start w:val="1"/>
    </w:lvl>
  </w:abstractNum>
  <w:abstractNum w:abstractNumId="38">
    <w:nsid w:val="706B674E"/>
    <w:multiLevelType w:val="hybridMultilevel"/>
    <w:lvl w:ilvl="0">
      <w:lvlJc w:val="left"/>
      <w:lvlText w:val="-"/>
      <w:numFmt w:val="bullet"/>
      <w:start w:val="1"/>
    </w:lvl>
  </w:abstractNum>
  <w:abstractNum w:abstractNumId="39">
    <w:nsid w:val="2C106A57"/>
    <w:multiLevelType w:val="hybridMultilevel"/>
    <w:lvl w:ilvl="0">
      <w:lvlJc w:val="left"/>
      <w:lvlText w:val="$"/>
      <w:numFmt w:val="bullet"/>
      <w:start w:val="1"/>
    </w:lvl>
  </w:abstractNum>
  <w:abstractNum w:abstractNumId="40">
    <w:nsid w:val="684EED59"/>
    <w:multiLevelType w:val="hybridMultilevel"/>
    <w:lvl w:ilvl="0">
      <w:lvlJc w:val="left"/>
      <w:lvlText w:val="---"/>
      <w:numFmt w:val="bullet"/>
      <w:start w:val="1"/>
    </w:lvl>
    <w:lvl w:ilvl="1">
      <w:lvlJc w:val="left"/>
      <w:lvlText w:val="(%2)"/>
      <w:numFmt w:val="decimal"/>
      <w:start w:val="449"/>
    </w:lvl>
    <w:lvl w:ilvl="2">
      <w:lvlJc w:val="left"/>
      <w:lvlText w:val="(%3)"/>
      <w:numFmt w:val="decimal"/>
      <w:start w:val="114"/>
    </w:lvl>
  </w:abstractNum>
  <w:abstractNum w:abstractNumId="41">
    <w:nsid w:val="545EE5D3"/>
    <w:multiLevelType w:val="hybridMultilevel"/>
    <w:lvl w:ilvl="0">
      <w:lvlJc w:val="left"/>
      <w:lvlText w:val="(%1)"/>
      <w:numFmt w:val="decimal"/>
      <w:start w:val="73"/>
    </w:lvl>
  </w:abstractNum>
  <w:abstractNum w:abstractNumId="42">
    <w:nsid w:val="4A66051"/>
    <w:multiLevelType w:val="hybridMultilevel"/>
    <w:lvl w:ilvl="0">
      <w:lvlJc w:val="left"/>
      <w:lvlText w:val="(%1)"/>
      <w:numFmt w:val="lowerLetter"/>
      <w:start w:val="1"/>
    </w:lvl>
  </w:abstractNum>
  <w:abstractNum w:abstractNumId="43">
    <w:nsid w:val="20F4BDAD"/>
    <w:multiLevelType w:val="hybridMultilevel"/>
    <w:lvl w:ilvl="0">
      <w:lvlJc w:val="left"/>
      <w:lvlText w:val="%1."/>
      <w:numFmt w:val="decimal"/>
      <w:start w:val="1"/>
    </w:lvl>
  </w:abstractNum>
  <w:abstractNum w:abstractNumId="44">
    <w:nsid w:val="639DEFAC"/>
    <w:multiLevelType w:val="hybridMultilevel"/>
    <w:lvl w:ilvl="0">
      <w:lvlJc w:val="left"/>
      <w:lvlText w:val="$"/>
      <w:numFmt w:val="bullet"/>
      <w:start w:val="1"/>
    </w:lvl>
  </w:abstractNum>
  <w:abstractNum w:abstractNumId="45">
    <w:nsid w:val="501F9786"/>
    <w:multiLevelType w:val="hybridMultilevel"/>
    <w:lvl w:ilvl="0">
      <w:lvlJc w:val="left"/>
      <w:lvlText w:val="$"/>
      <w:numFmt w:val="bullet"/>
      <w:start w:val="1"/>
    </w:lvl>
  </w:abstractNum>
  <w:abstractNum w:abstractNumId="46">
    <w:nsid w:val="6B057295"/>
    <w:multiLevelType w:val="hybridMultilevel"/>
    <w:lvl w:ilvl="0">
      <w:lvlJc w:val="left"/>
      <w:lvlText w:val="====="/>
      <w:numFmt w:val="bullet"/>
      <w:start w:val="1"/>
    </w:lvl>
  </w:abstractNum>
  <w:abstractNum w:abstractNumId="47">
    <w:nsid w:val="2771AC80"/>
    <w:multiLevelType w:val="hybridMultilevel"/>
    <w:lvl w:ilvl="0">
      <w:lvlJc w:val="left"/>
      <w:lvlText w:val="----"/>
      <w:numFmt w:val="bullet"/>
      <w:start w:val="1"/>
    </w:lvl>
  </w:abstractNum>
  <w:abstractNum w:abstractNumId="48">
    <w:nsid w:val="1C4A08EC"/>
    <w:multiLevelType w:val="hybridMultilevel"/>
    <w:lvl w:ilvl="0">
      <w:lvlJc w:val="left"/>
      <w:lvlText w:val="*"/>
      <w:numFmt w:val="bullet"/>
      <w:start w:val="1"/>
    </w:lvl>
    <w:lvl w:ilvl="1">
      <w:lvlJc w:val="left"/>
      <w:lvlText w:val="(%2)"/>
      <w:numFmt w:val="lowerLetter"/>
      <w:start w:val="2"/>
    </w:lvl>
  </w:abstractNum>
  <w:abstractNum w:abstractNumId="49">
    <w:nsid w:val="1958BD17"/>
    <w:multiLevelType w:val="hybridMultilevel"/>
    <w:lvl w:ilvl="0">
      <w:lvlJc w:val="left"/>
      <w:lvlText w:val="*"/>
      <w:numFmt w:val="bullet"/>
      <w:start w:val="1"/>
    </w:lvl>
  </w:abstractNum>
  <w:abstractNum w:abstractNumId="50">
    <w:nsid w:val="4E647FE4"/>
    <w:multiLevelType w:val="hybridMultilevel"/>
    <w:lvl w:ilvl="0">
      <w:lvlJc w:val="left"/>
      <w:lvlText w:val="(%1)"/>
      <w:numFmt w:val="lowerLetter"/>
      <w:start w:val="2"/>
    </w:lvl>
  </w:abstractNum>
  <w:abstractNum w:abstractNumId="51">
    <w:nsid w:val="E0BB885"/>
    <w:multiLevelType w:val="hybridMultilevel"/>
    <w:lvl w:ilvl="0">
      <w:lvlJc w:val="left"/>
      <w:lvlText w:val="(%1)"/>
      <w:numFmt w:val="lowerLetter"/>
      <w:start w:val="1"/>
    </w:lvl>
  </w:abstractNum>
  <w:abstractNum w:abstractNumId="52">
    <w:nsid w:val="565976F1"/>
    <w:multiLevelType w:val="hybridMultilevel"/>
    <w:lvl w:ilvl="0">
      <w:lvlJc w:val="left"/>
      <w:lvlText w:val="(%1)"/>
      <w:numFmt w:val="upperLetter"/>
      <w:start w:val="2"/>
    </w:lvl>
  </w:abstractNum>
  <w:abstractNum w:abstractNumId="53">
    <w:nsid w:val="64212B8C"/>
    <w:multiLevelType w:val="hybridMultilevel"/>
    <w:lvl w:ilvl="0">
      <w:lvlJc w:val="left"/>
      <w:lvlText w:val="(%1)"/>
      <w:numFmt w:val="decimal"/>
      <w:start w:val="90"/>
    </w:lvl>
  </w:abstractNum>
  <w:abstractNum w:abstractNumId="54">
    <w:nsid w:val="5C17530C"/>
    <w:multiLevelType w:val="hybridMultilevel"/>
    <w:lvl w:ilvl="0">
      <w:lvlJc w:val="left"/>
      <w:lvlText w:val="(%1)"/>
      <w:numFmt w:val="lowerLetter"/>
      <w:start w:val="1"/>
    </w:lvl>
  </w:abstractNum>
  <w:abstractNum w:abstractNumId="55">
    <w:nsid w:val="19A52566"/>
    <w:multiLevelType w:val="hybridMultilevel"/>
    <w:lvl w:ilvl="0">
      <w:lvlJc w:val="left"/>
      <w:lvlText w:val="(%1)"/>
      <w:numFmt w:val="lowerLetter"/>
      <w:start w:val="1"/>
    </w:lvl>
  </w:abstractNum>
  <w:abstractNum w:abstractNumId="56">
    <w:nsid w:val="335A1DF1"/>
    <w:multiLevelType w:val="hybridMultilevel"/>
    <w:lvl w:ilvl="0">
      <w:lvlJc w:val="left"/>
      <w:lvlText w:val="(%1)"/>
      <w:numFmt w:val="lowerLetter"/>
      <w:start w:val="11"/>
    </w:lvl>
  </w:abstractNum>
  <w:abstractNum w:abstractNumId="57">
    <w:nsid w:val="28677B7C"/>
    <w:multiLevelType w:val="hybridMultilevel"/>
    <w:lvl w:ilvl="0">
      <w:lvlJc w:val="left"/>
      <w:lvlText w:val="-----"/>
      <w:numFmt w:val="bullet"/>
      <w:start w:val="1"/>
    </w:lvl>
  </w:abstractNum>
  <w:abstractNum w:abstractNumId="58">
    <w:nsid w:val="378D97C0"/>
    <w:multiLevelType w:val="hybridMultilevel"/>
    <w:lvl w:ilvl="0">
      <w:lvlJc w:val="left"/>
      <w:lvlText w:val="%1"/>
      <w:numFmt w:val="upperLetter"/>
      <w:start w:val="28"/>
    </w:lvl>
  </w:abstractNum>
  <w:abstractNum w:abstractNumId="59">
    <w:nsid w:val="1D91467C"/>
    <w:multiLevelType w:val="hybridMultilevel"/>
    <w:lvl w:ilvl="0">
      <w:lvlJc w:val="left"/>
      <w:lvlText w:val="(%1)"/>
      <w:numFmt w:val="lowerLetter"/>
      <w:start w:val="1"/>
    </w:lvl>
  </w:abstractNum>
  <w:abstractNum w:abstractNumId="60">
    <w:nsid w:val="316032BB"/>
    <w:multiLevelType w:val="hybridMultilevel"/>
    <w:lvl w:ilvl="0">
      <w:lvlJc w:val="left"/>
      <w:lvlText w:val="(%1)"/>
      <w:numFmt w:val="lowerLetter"/>
      <w:start w:val="3"/>
    </w:lvl>
  </w:abstractNum>
  <w:abstractNum w:abstractNumId="61">
    <w:nsid w:val="44344C22"/>
    <w:multiLevelType w:val="hybridMultilevel"/>
    <w:lvl w:ilvl="0">
      <w:lvlJc w:val="left"/>
      <w:lvlText w:val="(%1)"/>
      <w:numFmt w:val="lowerLetter"/>
      <w:start w:val="1"/>
    </w:lvl>
  </w:abstractNum>
  <w:abstractNum w:abstractNumId="62">
    <w:nsid w:val="13CDFCFC"/>
    <w:multiLevelType w:val="hybridMultilevel"/>
    <w:lvl w:ilvl="0">
      <w:lvlJc w:val="left"/>
      <w:lvlText w:val="(%1)"/>
      <w:numFmt w:val="lowerLetter"/>
      <w:start w:val="1"/>
    </w:lvl>
  </w:abstractNum>
  <w:abstractNum w:abstractNumId="63">
    <w:nsid w:val="471745E4"/>
    <w:multiLevelType w:val="hybridMultilevel"/>
    <w:lvl w:ilvl="0">
      <w:lvlJc w:val="left"/>
      <w:lvlText w:val="(%1)"/>
      <w:numFmt w:val="lowerLetter"/>
      <w:start w:val="1"/>
    </w:lvl>
  </w:abstractNum>
  <w:abstractNum w:abstractNumId="64">
    <w:nsid w:val="1DDBC66"/>
    <w:multiLevelType w:val="hybridMultilevel"/>
    <w:lvl w:ilvl="0">
      <w:lvlJc w:val="left"/>
      <w:lvlText w:val="(%1)"/>
      <w:numFmt w:val="lowerLetter"/>
      <w:start w:val="1"/>
    </w:lvl>
  </w:abstractNum>
  <w:abstractNum w:abstractNumId="65">
    <w:nsid w:val="30AADFDA"/>
    <w:multiLevelType w:val="hybridMultilevel"/>
    <w:lvl w:ilvl="0">
      <w:lvlJc w:val="left"/>
      <w:lvlText w:val="(%1)"/>
      <w:numFmt w:val="lowerLetter"/>
      <w:start w:val="1"/>
    </w:lvl>
  </w:abstractNum>
  <w:abstractNum w:abstractNumId="66">
    <w:nsid w:val="30EADA61"/>
    <w:multiLevelType w:val="hybridMultilevel"/>
    <w:lvl w:ilvl="0">
      <w:lvlJc w:val="left"/>
      <w:lvlText w:val="(%1)"/>
      <w:numFmt w:val="lowerLetter"/>
      <w:start w:val="2"/>
    </w:lvl>
  </w:abstractNum>
  <w:abstractNum w:abstractNumId="67">
    <w:nsid w:val="27179C0B"/>
    <w:multiLevelType w:val="hybridMultilevel"/>
    <w:lvl w:ilvl="0">
      <w:lvlJc w:val="left"/>
      <w:lvlText w:val="(%1)"/>
      <w:numFmt w:val="lowerLetter"/>
      <w:start w:val="1"/>
    </w:lvl>
  </w:abstractNum>
  <w:abstractNum w:abstractNumId="68">
    <w:nsid w:val="5E636063"/>
    <w:multiLevelType w:val="hybridMultilevel"/>
    <w:lvl w:ilvl="0">
      <w:lvlJc w:val="left"/>
      <w:lvlText w:val="(%1)"/>
      <w:numFmt w:val="lowerLetter"/>
      <w:start w:val="3"/>
    </w:lvl>
  </w:abstractNum>
  <w:abstractNum w:abstractNumId="69">
    <w:nsid w:val="215641AF"/>
    <w:multiLevelType w:val="hybridMultilevel"/>
    <w:lvl w:ilvl="0">
      <w:lvlJc w:val="left"/>
      <w:lvlText w:val="(%1)"/>
      <w:numFmt w:val="lowerLetter"/>
      <w:start w:val="1"/>
    </w:lvl>
  </w:abstractNum>
  <w:abstractNum w:abstractNumId="70">
    <w:nsid w:val="53280662"/>
    <w:multiLevelType w:val="hybridMultilevel"/>
    <w:lvl w:ilvl="0">
      <w:lvlJc w:val="left"/>
      <w:lvlText w:val="(%1)"/>
      <w:numFmt w:val="upperLetter"/>
      <w:start w:val="3"/>
    </w:lvl>
    <w:lvl w:ilvl="1">
      <w:lvlJc w:val="left"/>
      <w:lvlText w:val="(%2)"/>
      <w:numFmt w:val="lowerLetter"/>
      <w:start w:val="3"/>
    </w:lvl>
  </w:abstractNum>
  <w:abstractNum w:abstractNumId="71">
    <w:nsid w:val="46B24DBC"/>
    <w:multiLevelType w:val="hybridMultilevel"/>
    <w:lvl w:ilvl="0">
      <w:lvlJc w:val="left"/>
      <w:lvlText w:val="(%1)"/>
      <w:numFmt w:val="lowerLetter"/>
      <w:start w:val="1"/>
    </w:lvl>
  </w:abstractNum>
  <w:abstractNum w:abstractNumId="72">
    <w:nsid w:val="75B52783"/>
    <w:multiLevelType w:val="hybridMultilevel"/>
    <w:lvl w:ilvl="0">
      <w:lvlJc w:val="left"/>
      <w:lvlText w:val="(%1)"/>
      <w:numFmt w:val="lowerLetter"/>
      <w:start w:val="1"/>
    </w:lvl>
  </w:abstractNum>
  <w:abstractNum w:abstractNumId="73">
    <w:nsid w:val="57CE66B4"/>
    <w:multiLevelType w:val="hybridMultilevel"/>
    <w:lvl w:ilvl="0">
      <w:lvlJc w:val="left"/>
      <w:lvlText w:val="(%1)"/>
      <w:numFmt w:val="lowerLetter"/>
      <w:start w:val="1"/>
    </w:lvl>
  </w:abstractNum>
  <w:abstractNum w:abstractNumId="74">
    <w:nsid w:val="67A70B69"/>
    <w:multiLevelType w:val="hybridMultilevel"/>
    <w:lvl w:ilvl="0">
      <w:lvlJc w:val="left"/>
      <w:lvlText w:val="(%1)"/>
      <w:numFmt w:val="lowerLetter"/>
      <w:start w:val="1"/>
    </w:lvl>
    <w:lvl w:ilvl="1">
      <w:lvlJc w:val="left"/>
      <w:lvlText w:val="(%2)"/>
      <w:numFmt w:val="lowerRoman"/>
      <w:start w:val="1"/>
    </w:lvl>
  </w:abstractNum>
  <w:abstractNum w:abstractNumId="75">
    <w:nsid w:val="5953172F"/>
    <w:multiLevelType w:val="hybridMultilevel"/>
    <w:lvl w:ilvl="0">
      <w:lvlJc w:val="left"/>
      <w:lvlText w:val="(%1)"/>
      <w:numFmt w:val="lowerLetter"/>
      <w:start w:val="2"/>
    </w:lvl>
  </w:abstractNum>
  <w:abstractNum w:abstractNumId="76">
    <w:nsid w:val="27EDFE3A"/>
    <w:multiLevelType w:val="hybridMultilevel"/>
    <w:lvl w:ilvl="0">
      <w:lvlJc w:val="left"/>
      <w:lvlText w:val="(%1)"/>
      <w:numFmt w:val="lowerLetter"/>
      <w:start w:val="1"/>
    </w:lvl>
    <w:lvl w:ilvl="1">
      <w:lvlJc w:val="left"/>
      <w:lvlText w:val="(%2)"/>
      <w:numFmt w:val="lowerRoman"/>
      <w:start w:val="1"/>
    </w:lvl>
  </w:abstractNum>
  <w:abstractNum w:abstractNumId="77">
    <w:nsid w:val="52AC7DFF"/>
    <w:multiLevelType w:val="hybridMultilevel"/>
    <w:lvl w:ilvl="0">
      <w:lvlJc w:val="left"/>
      <w:lvlText w:val="(%1)"/>
      <w:numFmt w:val="lowerLetter"/>
      <w:start w:val="23"/>
    </w:lvl>
    <w:lvl w:ilvl="1">
      <w:lvlJc w:val="left"/>
      <w:lvlText w:val="%2"/>
      <w:numFmt w:val="lowerRoman"/>
      <w:start w:val="1"/>
    </w:lvl>
  </w:abstractNum>
  <w:abstractNum w:abstractNumId="78">
    <w:nsid w:val="C4C3AF"/>
    <w:multiLevelType w:val="hybridMultilevel"/>
    <w:lvl w:ilvl="0">
      <w:lvlJc w:val="left"/>
      <w:lvlText w:val="(%1)"/>
      <w:numFmt w:val="lowerLetter"/>
      <w:start w:val="26"/>
    </w:lvl>
    <w:lvl w:ilvl="1">
      <w:lvlJc w:val="left"/>
      <w:lvlText w:val="(%2)"/>
      <w:numFmt w:val="lowerRoman"/>
      <w:start w:val="3"/>
    </w:lvl>
  </w:abstractNum>
  <w:abstractNum w:abstractNumId="79">
    <w:nsid w:val="44380727"/>
    <w:multiLevelType w:val="hybridMultilevel"/>
    <w:lvl w:ilvl="0">
      <w:lvlJc w:val="left"/>
      <w:lvlText w:val="(%1)"/>
      <w:numFmt w:val="lowerLetter"/>
      <w:start w:val="3"/>
    </w:lvl>
    <w:lvl w:ilvl="1">
      <w:lvlJc w:val="left"/>
      <w:lvlText w:val="(%2)"/>
      <w:numFmt w:val="lowerRoman"/>
      <w:start w:val="1"/>
    </w:lvl>
  </w:abstractNum>
  <w:abstractNum w:abstractNumId="80">
    <w:nsid w:val="6C053B16"/>
    <w:multiLevelType w:val="hybridMultilevel"/>
    <w:lvl w:ilvl="0">
      <w:lvlJc w:val="left"/>
      <w:lvlText w:val="(%1)"/>
      <w:numFmt w:val="upperLetter"/>
      <w:start w:val="3"/>
    </w:lvl>
  </w:abstractNum>
  <w:abstractNum w:abstractNumId="81">
    <w:nsid w:val="4F294393"/>
    <w:multiLevelType w:val="hybridMultilevel"/>
    <w:lvl w:ilvl="0">
      <w:lvlJc w:val="left"/>
      <w:lvlText w:val="(%1)"/>
      <w:numFmt w:val="lowerRoman"/>
      <w:start w:val="1"/>
    </w:lvl>
  </w:abstractNum>
  <w:abstractNum w:abstractNumId="82">
    <w:nsid w:val="5243BFAC"/>
    <w:multiLevelType w:val="hybridMultilevel"/>
    <w:lvl w:ilvl="0">
      <w:lvlJc w:val="left"/>
      <w:lvlText w:val="(%1)"/>
      <w:numFmt w:val="lowerRoman"/>
      <w:start w:val="3"/>
    </w:lvl>
  </w:abstractNum>
  <w:abstractNum w:abstractNumId="83">
    <w:nsid w:val="425EB207"/>
    <w:multiLevelType w:val="hybridMultilevel"/>
    <w:lvl w:ilvl="0">
      <w:lvlJc w:val="left"/>
      <w:lvlText w:val="(%1)"/>
      <w:numFmt w:val="lowerLetter"/>
      <w:start w:val="1"/>
    </w:lvl>
  </w:abstractNum>
  <w:abstractNum w:abstractNumId="84">
    <w:nsid w:val="334A6F1F"/>
    <w:multiLevelType w:val="hybridMultilevel"/>
    <w:lvl w:ilvl="0">
      <w:lvlJc w:val="left"/>
      <w:lvlText w:val="(%1)"/>
      <w:numFmt w:val="lowerLetter"/>
      <w:start w:val="1"/>
    </w:lvl>
  </w:abstractNum>
  <w:abstractNum w:abstractNumId="85">
    <w:nsid w:val="2E5B12B8"/>
    <w:multiLevelType w:val="hybridMultilevel"/>
    <w:lvl w:ilvl="0">
      <w:lvlJc w:val="left"/>
      <w:lvlText w:val="(%1)"/>
      <w:numFmt w:val="lowerLetter"/>
      <w:start w:val="2"/>
    </w:lvl>
  </w:abstractNum>
  <w:abstractNum w:abstractNumId="86">
    <w:nsid w:val="5C03D76D"/>
    <w:multiLevelType w:val="hybridMultilevel"/>
    <w:lvl w:ilvl="0">
      <w:lvlJc w:val="left"/>
      <w:lvlText w:val="(%1)"/>
      <w:numFmt w:val="lowerLetter"/>
      <w:start w:val="5"/>
    </w:lvl>
  </w:abstractNum>
  <w:abstractNum w:abstractNumId="87">
    <w:nsid w:val="66A48D11"/>
    <w:multiLevelType w:val="hybridMultilevel"/>
    <w:lvl w:ilvl="0">
      <w:lvlJc w:val="left"/>
      <w:lvlText w:val="(%1)"/>
      <w:numFmt w:val="lowerLetter"/>
      <w:start w:val="1"/>
    </w:lvl>
  </w:abstractNum>
  <w:abstractNum w:abstractNumId="88">
    <w:nsid w:val="56C28E34"/>
    <w:multiLevelType w:val="hybridMultilevel"/>
    <w:lvl w:ilvl="0">
      <w:lvlJc w:val="left"/>
      <w:lvlText w:val="(%1)"/>
      <w:numFmt w:val="lowerLetter"/>
      <w:start w:val="3"/>
    </w:lvl>
    <w:lvl w:ilvl="1">
      <w:lvlJc w:val="left"/>
      <w:lvlText w:val="(%2)"/>
      <w:numFmt w:val="lowerRoman"/>
      <w:start w:val="1"/>
    </w:lvl>
  </w:abstractNum>
  <w:abstractNum w:abstractNumId="89">
    <w:nsid w:val="13916F2D"/>
    <w:multiLevelType w:val="hybridMultilevel"/>
    <w:lvl w:ilvl="0">
      <w:lvlJc w:val="left"/>
      <w:lvlText w:val="(%1)"/>
      <w:numFmt w:val="lowerRoman"/>
      <w:start w:val="1"/>
    </w:lvl>
  </w:abstractNum>
  <w:abstractNum w:abstractNumId="90">
    <w:nsid w:val="435D38D"/>
    <w:multiLevelType w:val="hybridMultilevel"/>
    <w:lvl w:ilvl="0">
      <w:lvlJc w:val="left"/>
      <w:lvlText w:val="(%1)"/>
      <w:numFmt w:val="lowerRoman"/>
      <w:start w:val="3"/>
    </w:lvl>
  </w:abstractNum>
  <w:abstractNum w:abstractNumId="91">
    <w:nsid w:val="822C0EF"/>
    <w:multiLevelType w:val="hybridMultilevel"/>
    <w:lvl w:ilvl="0">
      <w:lvlJc w:val="left"/>
      <w:lvlText w:val="(%1)"/>
      <w:numFmt w:val="lowerRoman"/>
      <w:start w:val="10"/>
    </w:lvl>
  </w:abstractNum>
  <w:abstractNum w:abstractNumId="92">
    <w:nsid w:val="57C5BB4F"/>
    <w:multiLevelType w:val="hybridMultilevel"/>
    <w:lvl w:ilvl="0">
      <w:lvlJc w:val="left"/>
      <w:lvlText w:val="%1"/>
      <w:numFmt w:val="lowerLetter"/>
      <w:start w:val="1"/>
    </w:lvl>
    <w:lvl w:ilvl="1">
      <w:lvlJc w:val="left"/>
      <w:lvlText w:val="(%2)"/>
      <w:numFmt w:val="lowerLetter"/>
      <w:start w:val="1"/>
    </w:lvl>
  </w:abstractNum>
  <w:abstractNum w:abstractNumId="93">
    <w:nsid w:val="1803D089"/>
    <w:multiLevelType w:val="hybridMultilevel"/>
    <w:lvl w:ilvl="0">
      <w:lvlJc w:val="left"/>
      <w:lvlText w:val="(%1)"/>
      <w:numFmt w:val="lowerLetter"/>
      <w:start w:val="9"/>
    </w:lvl>
    <w:lvl w:ilvl="1">
      <w:lvlJc w:val="left"/>
      <w:lvlText w:val="%2"/>
      <w:numFmt w:val="lowerLetter"/>
      <w:start w:val="1"/>
    </w:lvl>
  </w:abstractNum>
  <w:abstractNum w:abstractNumId="94">
    <w:nsid w:val="4F3A06D4"/>
    <w:multiLevelType w:val="hybridMultilevel"/>
    <w:lvl w:ilvl="0">
      <w:lvlJc w:val="left"/>
      <w:lvlText w:val="(%1)"/>
      <w:numFmt w:val="lowerLetter"/>
      <w:start w:val="61"/>
    </w:lvl>
    <w:lvl w:ilvl="1">
      <w:lvlJc w:val="left"/>
      <w:lvlText w:val="(%2)"/>
      <w:numFmt w:val="lowerLetter"/>
      <w:start w:val="3"/>
    </w:lvl>
  </w:abstractNum>
  <w:abstractNum w:abstractNumId="95">
    <w:nsid w:val="59A377B6"/>
    <w:multiLevelType w:val="hybridMultilevel"/>
    <w:lvl w:ilvl="0">
      <w:lvlJc w:val="left"/>
      <w:lvlText w:val="(%1)"/>
      <w:numFmt w:val="lowerLetter"/>
      <w:start w:val="1"/>
    </w:lvl>
  </w:abstractNum>
  <w:abstractNum w:abstractNumId="96">
    <w:nsid w:val="48AEB063"/>
    <w:multiLevelType w:val="hybridMultilevel"/>
    <w:lvl w:ilvl="0">
      <w:lvlJc w:val="left"/>
      <w:lvlText w:val="(%1)"/>
      <w:numFmt w:val="lowerLetter"/>
      <w:start w:val="1"/>
    </w:lvl>
  </w:abstractNum>
  <w:abstractNum w:abstractNumId="97">
    <w:nsid w:val="24E135"/>
    <w:multiLevelType w:val="hybridMultilevel"/>
    <w:lvl w:ilvl="0">
      <w:lvlJc w:val="left"/>
      <w:lvlText w:val="(%1)"/>
      <w:numFmt w:val="lowerLetter"/>
      <w:start w:val="2"/>
    </w:lvl>
  </w:abstractNum>
  <w:abstractNum w:abstractNumId="98">
    <w:nsid w:val="BB13C1"/>
    <w:multiLevelType w:val="hybridMultilevel"/>
    <w:lvl w:ilvl="0">
      <w:lvlJc w:val="left"/>
      <w:lvlText w:val="(%1)"/>
      <w:numFmt w:val="lowerLetter"/>
      <w:start w:val="1"/>
    </w:lvl>
  </w:abstractNum>
  <w:abstractNum w:abstractNumId="99">
    <w:nsid w:val="271210C7"/>
    <w:multiLevelType w:val="hybridMultilevel"/>
    <w:lvl w:ilvl="0">
      <w:lvlJc w:val="left"/>
      <w:lvlText w:val="(%1)"/>
      <w:numFmt w:val="lowerLetter"/>
      <w:start w:val="4"/>
    </w:lvl>
  </w:abstractNum>
  <w:abstractNum w:abstractNumId="100">
    <w:nsid w:val="217B22E4"/>
    <w:multiLevelType w:val="hybridMultilevel"/>
    <w:lvl w:ilvl="0">
      <w:lvlJc w:val="left"/>
      <w:lvlText w:val="(%1)"/>
      <w:numFmt w:val="lowerRoman"/>
      <w:start w:val="4"/>
    </w:lvl>
  </w:abstractNum>
  <w:abstractNum w:abstractNumId="101">
    <w:nsid w:val="53E31A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2">
    <w:nsid w:val="6DC45E83"/>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3">
    <w:nsid w:val="17304A67"/>
    <w:multiLevelType w:val="hybridMultilevel"/>
    <w:lvl w:ilvl="0">
      <w:lvlJc w:val="left"/>
      <w:lvlText w:val="(%1)"/>
      <w:numFmt w:val="lowerLetter"/>
      <w:start w:val="1"/>
    </w:lvl>
    <w:lvl w:ilvl="1">
      <w:lvlJc w:val="left"/>
      <w:lvlText w:val="(%2)"/>
      <w:numFmt w:val="lowerLetter"/>
      <w:start w:val="35"/>
    </w:lvl>
  </w:abstractNum>
  <w:abstractNum w:abstractNumId="104">
    <w:nsid w:val="2BB180D8"/>
    <w:multiLevelType w:val="hybridMultilevel"/>
    <w:lvl w:ilvl="0">
      <w:lvlJc w:val="left"/>
      <w:lvlText w:val="(%1)"/>
      <w:numFmt w:val="lowerLetter"/>
      <w:start w:val="1"/>
    </w:lvl>
  </w:abstractNum>
  <w:abstractNum w:abstractNumId="105">
    <w:nsid w:val="556B69ED"/>
    <w:multiLevelType w:val="hybridMultilevel"/>
    <w:lvl w:ilvl="0">
      <w:lvlJc w:val="left"/>
      <w:lvlText w:val="(%1)"/>
      <w:numFmt w:val="lowerLetter"/>
      <w:start w:val="2"/>
    </w:lvl>
  </w:abstractNum>
  <w:abstractNum w:abstractNumId="106">
    <w:nsid w:val="70836196"/>
    <w:multiLevelType w:val="hybridMultilevel"/>
    <w:lvl w:ilvl="0">
      <w:lvlJc w:val="left"/>
      <w:lvlText w:val="(%1)"/>
      <w:numFmt w:val="lowerLetter"/>
      <w:start w:val="1"/>
    </w:lvl>
  </w:abstractNum>
  <w:abstractNum w:abstractNumId="107">
    <w:nsid w:val="539F7F12"/>
    <w:multiLevelType w:val="hybridMultilevel"/>
    <w:lvl w:ilvl="0">
      <w:lvlJc w:val="left"/>
      <w:lvlText w:val="(%1)"/>
      <w:numFmt w:val="lowerLetter"/>
      <w:start w:val="3"/>
    </w:lvl>
  </w:abstractNum>
  <w:abstractNum w:abstractNumId="108">
    <w:nsid w:val="2817E7EC"/>
    <w:multiLevelType w:val="hybridMultilevel"/>
    <w:lvl w:ilvl="0">
      <w:lvlJc w:val="left"/>
      <w:lvlText w:val="--"/>
      <w:numFmt w:val="bullet"/>
      <w:start w:val="1"/>
    </w:lvl>
  </w:abstractNum>
  <w:abstractNum w:abstractNumId="109">
    <w:nsid w:val="71482545"/>
    <w:multiLevelType w:val="hybridMultilevel"/>
    <w:lvl w:ilvl="0">
      <w:lvlJc w:val="left"/>
      <w:lvlText w:val="%1"/>
      <w:numFmt w:val="lowerLetter"/>
      <w:start w:val="1"/>
    </w:lvl>
    <w:lvl w:ilvl="1">
      <w:lvlJc w:val="left"/>
      <w:lvlText w:val="(%2)"/>
      <w:numFmt w:val="lowerLetter"/>
      <w:start w:val="1"/>
    </w:lvl>
  </w:abstractNum>
  <w:abstractNum w:abstractNumId="110">
    <w:nsid w:val="17D78639"/>
    <w:multiLevelType w:val="hybridMultilevel"/>
    <w:lvl w:ilvl="0">
      <w:lvlJc w:val="left"/>
      <w:lvlText w:val="(%1)"/>
      <w:numFmt w:val="lowerLetter"/>
      <w:start w:val="1"/>
    </w:lvl>
    <w:lvl w:ilvl="1">
      <w:lvlJc w:val="left"/>
      <w:lvlText w:val="(%2)"/>
      <w:numFmt w:val="lowerLetter"/>
      <w:start w:val="3"/>
    </w:lvl>
  </w:abstractNum>
  <w:abstractNum w:abstractNumId="111">
    <w:nsid w:val="141D2302"/>
    <w:multiLevelType w:val="hybridMultilevel"/>
    <w:lvl w:ilvl="0">
      <w:lvlJc w:val="left"/>
      <w:lvlText w:val="(%1)"/>
      <w:numFmt w:val="lowerLetter"/>
      <w:start w:val="6"/>
    </w:lvl>
  </w:abstractNum>
  <w:abstractNum w:abstractNumId="112">
    <w:nsid w:val="407168D8"/>
    <w:multiLevelType w:val="hybridMultilevel"/>
    <w:lvl w:ilvl="0">
      <w:lvlJc w:val="left"/>
      <w:lvlText w:val="(%1)"/>
      <w:numFmt w:val="lowerLetter"/>
      <w:start w:val="11"/>
    </w:lvl>
  </w:abstractNum>
  <w:abstractNum w:abstractNumId="113">
    <w:nsid w:val="6A1B45E5"/>
    <w:multiLevelType w:val="hybridMultilevel"/>
    <w:lvl w:ilvl="0">
      <w:lvlJc w:val="left"/>
      <w:lvlText w:val="(%1)"/>
      <w:numFmt w:val="lowerLetter"/>
      <w:start w:val="1"/>
    </w:lvl>
    <w:lvl w:ilvl="1">
      <w:lvlJc w:val="left"/>
      <w:lvlText w:val="(%2)"/>
      <w:numFmt w:val="lowerLetter"/>
      <w:start w:val="2"/>
    </w:lvl>
  </w:abstractNum>
  <w:abstractNum w:abstractNumId="114">
    <w:nsid w:val="567BD50A"/>
    <w:multiLevelType w:val="hybridMultilevel"/>
    <w:lvl w:ilvl="0">
      <w:lvlJc w:val="left"/>
      <w:lvlText w:val="%1"/>
      <w:numFmt w:val="lowerLetter"/>
      <w:start w:val="1"/>
    </w:lvl>
    <w:lvl w:ilvl="1">
      <w:lvlJc w:val="left"/>
      <w:lvlText w:val="(%2)"/>
      <w:numFmt w:val="lowerLetter"/>
      <w:start w:val="1"/>
    </w:lvl>
  </w:abstractNum>
  <w:abstractNum w:abstractNumId="115">
    <w:nsid w:val="73BBD7F8"/>
    <w:multiLevelType w:val="hybridMultilevel"/>
    <w:lvl w:ilvl="0">
      <w:lvlJc w:val="left"/>
      <w:lvlText w:val="(%1)"/>
      <w:numFmt w:val="lowerLetter"/>
      <w:start w:val="35"/>
    </w:lvl>
    <w:lvl w:ilvl="1">
      <w:lvlJc w:val="left"/>
      <w:lvlText w:val="%2"/>
      <w:numFmt w:val="lowerLetter"/>
      <w:start w:val="1"/>
    </w:lvl>
  </w:abstractNum>
  <w:abstractNum w:abstractNumId="116">
    <w:nsid w:val="1876589D"/>
    <w:multiLevelType w:val="hybridMultilevel"/>
    <w:lvl w:ilvl="0">
      <w:lvlJc w:val="left"/>
      <w:lvlText w:val="(%1)"/>
      <w:numFmt w:val="lowerLetter"/>
      <w:start w:val="2"/>
    </w:lvl>
  </w:abstractNum>
  <w:abstractNum w:abstractNumId="117">
    <w:nsid w:val="327FAC77"/>
    <w:multiLevelType w:val="hybridMultilevel"/>
    <w:lvl w:ilvl="0">
      <w:lvlJc w:val="left"/>
      <w:lvlText w:val="(%1)"/>
      <w:numFmt w:val="lowerLetter"/>
      <w:start w:val="6"/>
    </w:lvl>
  </w:abstractNum>
  <w:abstractNum w:abstractNumId="118">
    <w:nsid w:val="5A606509"/>
    <w:multiLevelType w:val="hybridMultilevel"/>
    <w:lvl w:ilvl="0">
      <w:lvlJc w:val="left"/>
      <w:lvlText w:val="(%1)"/>
      <w:numFmt w:val="lowerLetter"/>
      <w:start w:val="2"/>
    </w:lvl>
  </w:abstractNum>
  <w:abstractNum w:abstractNumId="119">
    <w:nsid w:val="6F38E6D1"/>
    <w:multiLevelType w:val="hybridMultilevel"/>
    <w:lvl w:ilvl="0">
      <w:lvlJc w:val="left"/>
      <w:lvlText w:val="(%1)"/>
      <w:numFmt w:val="lowerLetter"/>
      <w:start w:val="1"/>
    </w:lvl>
  </w:abstractNum>
  <w:abstractNum w:abstractNumId="120">
    <w:nsid w:val="46111BA5"/>
    <w:multiLevelType w:val="hybridMultilevel"/>
    <w:lvl w:ilvl="0">
      <w:lvlJc w:val="left"/>
      <w:lvlText w:val="(%1)"/>
      <w:numFmt w:val="lowerLetter"/>
      <w:start w:val="1"/>
    </w:lvl>
  </w:abstractNum>
  <w:abstractNum w:abstractNumId="121">
    <w:nsid w:val="5E963896"/>
    <w:multiLevelType w:val="hybridMultilevel"/>
    <w:lvl w:ilvl="0">
      <w:lvlJc w:val="left"/>
      <w:lvlText w:val="(%1)"/>
      <w:numFmt w:val="lowerLetter"/>
      <w:start w:val="3"/>
    </w:lvl>
  </w:abstractNum>
  <w:abstractNum w:abstractNumId="122">
    <w:nsid w:val="775BA7C1"/>
    <w:multiLevelType w:val="hybridMultilevel"/>
    <w:lvl w:ilvl="0">
      <w:lvlJc w:val="left"/>
      <w:lvlText w:val="(%1)"/>
      <w:numFmt w:val="lowerLetter"/>
      <w:start w:val="1"/>
    </w:lvl>
  </w:abstractNum>
  <w:abstractNum w:abstractNumId="123">
    <w:nsid w:val="1DD6D6F4"/>
    <w:multiLevelType w:val="hybridMultilevel"/>
    <w:lvl w:ilvl="0">
      <w:lvlJc w:val="left"/>
      <w:lvlText w:val="(%1)"/>
      <w:numFmt w:val="lowerLetter"/>
      <w:start w:val="4"/>
    </w:lvl>
  </w:abstractNum>
  <w:abstractNum w:abstractNumId="124">
    <w:nsid w:val="769A091F"/>
    <w:multiLevelType w:val="hybridMultilevel"/>
    <w:lvl w:ilvl="0">
      <w:lvlJc w:val="left"/>
      <w:lvlText w:val="(%1)"/>
      <w:numFmt w:val="lowerLetter"/>
      <w:start w:val="1"/>
    </w:lvl>
  </w:abstractNum>
  <w:abstractNum w:abstractNumId="125">
    <w:nsid w:val="4695AE95"/>
    <w:multiLevelType w:val="hybridMultilevel"/>
    <w:lvl w:ilvl="0">
      <w:lvlJc w:val="left"/>
      <w:lvlText w:val="(%1)"/>
      <w:numFmt w:val="lowerLetter"/>
      <w:start w:val="5"/>
    </w:lvl>
  </w:abstractNum>
  <w:abstractNum w:abstractNumId="126">
    <w:nsid w:val="777A4EAA"/>
    <w:multiLevelType w:val="hybridMultilevel"/>
    <w:lvl w:ilvl="0">
      <w:lvlJc w:val="left"/>
      <w:lvlText w:val="(%1)"/>
      <w:numFmt w:val="lowerLetter"/>
      <w:start w:val="1"/>
    </w:lvl>
  </w:abstractNum>
  <w:abstractNum w:abstractNumId="127">
    <w:nsid w:val="3F48B982"/>
    <w:multiLevelType w:val="hybridMultilevel"/>
    <w:lvl w:ilvl="0">
      <w:lvlJc w:val="left"/>
      <w:lvlText w:val="(%1)"/>
      <w:numFmt w:val="lowerLetter"/>
      <w:start w:val="2"/>
    </w:lvl>
  </w:abstractNum>
  <w:abstractNum w:abstractNumId="128">
    <w:nsid w:val="46BA8FCA"/>
    <w:multiLevelType w:val="hybridMultilevel"/>
    <w:lvl w:ilvl="0">
      <w:lvlJc w:val="left"/>
      <w:lvlText w:val="(%1)"/>
      <w:numFmt w:val="lowerLetter"/>
      <w:start w:val="1"/>
    </w:lvl>
  </w:abstractNum>
  <w:abstractNum w:abstractNumId="129">
    <w:nsid w:val="7835626C"/>
    <w:multiLevelType w:val="hybridMultilevel"/>
    <w:lvl w:ilvl="0">
      <w:lvlJc w:val="left"/>
      <w:lvlText w:val="-"/>
      <w:numFmt w:val="bullet"/>
      <w:start w:val="1"/>
    </w:lvl>
    <w:lvl w:ilvl="1">
      <w:lvlJc w:val="left"/>
      <w:lvlText w:val="-----"/>
      <w:numFmt w:val="bullet"/>
      <w:start w:val="1"/>
    </w:lvl>
  </w:abstractNum>
  <w:abstractNum w:abstractNumId="130">
    <w:nsid w:val="665ACA49"/>
    <w:multiLevelType w:val="hybridMultilevel"/>
    <w:lvl w:ilvl="0">
      <w:lvlJc w:val="left"/>
      <w:lvlText w:val="-----"/>
      <w:numFmt w:val="bullet"/>
      <w:start w:val="1"/>
    </w:lvl>
    <w:lvl w:ilvl="1">
      <w:lvlJc w:val="left"/>
      <w:lvlText w:val="-----"/>
      <w:numFmt w:val="bullet"/>
      <w:start w:val="1"/>
    </w:lvl>
  </w:abstractNum>
  <w:abstractNum w:abstractNumId="131">
    <w:nsid w:val="6835B2AE"/>
    <w:multiLevelType w:val="hybridMultilevel"/>
    <w:lvl w:ilvl="0">
      <w:lvlJc w:val="left"/>
      <w:lvlText w:val="--"/>
      <w:numFmt w:val="bullet"/>
      <w:start w:val="1"/>
    </w:lvl>
    <w:lvl w:ilvl="1">
      <w:lvlJc w:val="left"/>
      <w:lvlText w:val="-----"/>
      <w:numFmt w:val="bullet"/>
      <w:start w:val="1"/>
    </w:lvl>
  </w:abstractNum>
  <w:abstractNum w:abstractNumId="132">
    <w:nsid w:val="4C187C90"/>
    <w:multiLevelType w:val="hybridMultilevel"/>
    <w:lvl w:ilvl="0">
      <w:lvlJc w:val="left"/>
      <w:lvlText w:val="--"/>
      <w:numFmt w:val="bullet"/>
      <w:start w:val="1"/>
    </w:lvl>
    <w:lvl w:ilvl="1">
      <w:lvlJc w:val="left"/>
      <w:lvlText w:val="-----"/>
      <w:numFmt w:val="bullet"/>
      <w:start w:val="1"/>
    </w:lvl>
  </w:abstractNum>
  <w:abstractNum w:abstractNumId="133">
    <w:nsid w:val="541F28CD"/>
    <w:multiLevelType w:val="hybridMultilevel"/>
    <w:lvl w:ilvl="0">
      <w:lvlJc w:val="left"/>
      <w:lvlText w:val="(%1)"/>
      <w:numFmt w:val="lowerLetter"/>
      <w:start w:val="1"/>
    </w:lvl>
  </w:abstractNum>
  <w:abstractNum w:abstractNumId="134">
    <w:nsid w:val="7F65FD16"/>
    <w:multiLevelType w:val="hybridMultilevel"/>
    <w:lvl w:ilvl="0">
      <w:lvlJc w:val="left"/>
      <w:lvlText w:val="----"/>
      <w:numFmt w:val="bullet"/>
      <w:start w:val="1"/>
    </w:lvl>
  </w:abstractNum>
  <w:abstractNum w:abstractNumId="135">
    <w:nsid w:val="77C9FD68"/>
    <w:multiLevelType w:val="hybridMultilevel"/>
    <w:lvl w:ilvl="0">
      <w:lvlJc w:val="left"/>
      <w:lvlText w:val="----"/>
      <w:numFmt w:val="bullet"/>
      <w:start w:val="1"/>
    </w:lvl>
  </w:abstractNum>
  <w:abstractNum w:abstractNumId="136">
    <w:nsid w:val="298A92BA"/>
    <w:multiLevelType w:val="hybridMultilevel"/>
    <w:lvl w:ilvl="0">
      <w:lvlJc w:val="left"/>
      <w:lvlText w:val="--"/>
      <w:numFmt w:val="bullet"/>
      <w:start w:val="1"/>
    </w:lvl>
  </w:abstractNum>
  <w:abstractNum w:abstractNumId="137">
    <w:nsid w:val="6FE95EAC"/>
    <w:multiLevelType w:val="hybridMultilevel"/>
    <w:lvl w:ilvl="0">
      <w:lvlJc w:val="left"/>
      <w:lvlText w:val="----"/>
      <w:numFmt w:val="bullet"/>
      <w:start w:val="1"/>
    </w:lvl>
  </w:abstractNum>
  <w:abstractNum w:abstractNumId="138">
    <w:nsid w:val="4B697C7A"/>
    <w:multiLevelType w:val="hybridMultilevel"/>
    <w:lvl w:ilvl="0">
      <w:lvlJc w:val="left"/>
      <w:lvlText w:val="(%1)"/>
      <w:numFmt w:val="lowerLetter"/>
      <w:start w:val="1"/>
    </w:lvl>
  </w:abstractNum>
  <w:abstractNum w:abstractNumId="139">
    <w:nsid w:val="51A27AA6"/>
    <w:multiLevelType w:val="hybridMultilevel"/>
    <w:lvl w:ilvl="0">
      <w:lvlJc w:val="left"/>
      <w:lvlText w:val="-"/>
      <w:numFmt w:val="bullet"/>
      <w:start w:val="1"/>
    </w:lvl>
    <w:lvl w:ilvl="1">
      <w:lvlJc w:val="left"/>
      <w:lvlText w:val="-----"/>
      <w:numFmt w:val="bullet"/>
      <w:start w:val="1"/>
    </w:lvl>
  </w:abstractNum>
  <w:abstractNum w:abstractNumId="140">
    <w:nsid w:val="613183F2"/>
    <w:multiLevelType w:val="hybridMultilevel"/>
    <w:lvl w:ilvl="0">
      <w:lvlJc w:val="left"/>
      <w:lvlText w:val="-----"/>
      <w:numFmt w:val="bullet"/>
      <w:start w:val="1"/>
    </w:lvl>
    <w:lvl w:ilvl="1">
      <w:lvlJc w:val="left"/>
      <w:lvlText w:val="-----"/>
      <w:numFmt w:val="bullet"/>
      <w:start w:val="1"/>
    </w:lvl>
  </w:abstractNum>
  <w:abstractNum w:abstractNumId="141">
    <w:nsid w:val="634102B4"/>
    <w:multiLevelType w:val="hybridMultilevel"/>
    <w:lvl w:ilvl="0">
      <w:lvlJc w:val="left"/>
      <w:lvlText w:val="--"/>
      <w:numFmt w:val="bullet"/>
      <w:start w:val="1"/>
    </w:lvl>
    <w:lvl w:ilvl="1">
      <w:lvlJc w:val="left"/>
      <w:lvlText w:val="-----"/>
      <w:numFmt w:val="bullet"/>
      <w:start w:val="1"/>
    </w:lvl>
  </w:abstractNum>
  <w:abstractNum w:abstractNumId="142">
    <w:nsid w:val="65BF9DA8"/>
    <w:multiLevelType w:val="hybridMultilevel"/>
    <w:lvl w:ilvl="0">
      <w:lvlJc w:val="left"/>
      <w:lvlText w:val="--"/>
      <w:numFmt w:val="bullet"/>
      <w:start w:val="1"/>
    </w:lvl>
    <w:lvl w:ilvl="1">
      <w:lvlJc w:val="left"/>
      <w:lvlText w:val="-----"/>
      <w:numFmt w:val="bullet"/>
      <w:start w:val="1"/>
    </w:lvl>
  </w:abstractNum>
  <w:abstractNum w:abstractNumId="143">
    <w:nsid w:val="21A2ECCA"/>
    <w:multiLevelType w:val="hybridMultilevel"/>
    <w:lvl w:ilvl="0">
      <w:lvlJc w:val="left"/>
      <w:lvlText w:val="%1."/>
      <w:numFmt w:val="decimal"/>
      <w:start w:val="31"/>
    </w:lvl>
  </w:abstractNum>
  <w:abstractNum w:abstractNumId="144">
    <w:nsid w:val="4D5C4899"/>
    <w:multiLevelType w:val="hybridMultilevel"/>
    <w:lvl w:ilvl="0">
      <w:lvlJc w:val="left"/>
      <w:lvlText w:val="-"/>
      <w:numFmt w:val="bullet"/>
      <w:start w:val="1"/>
    </w:lvl>
    <w:lvl w:ilvl="1">
      <w:lvlJc w:val="left"/>
      <w:lvlText w:val="%2."/>
      <w:numFmt w:val="decimal"/>
      <w:start w:val="33"/>
    </w:lvl>
  </w:abstractNum>
  <w:abstractNum w:abstractNumId="145">
    <w:nsid w:val="3C3B72B2"/>
    <w:multiLevelType w:val="hybridMultilevel"/>
    <w:lvl w:ilvl="0">
      <w:lvlJc w:val="left"/>
      <w:lvlText w:val="%1."/>
      <w:numFmt w:val="decimal"/>
      <w:start w:val="34"/>
    </w:lvl>
  </w:abstractNum>
  <w:abstractNum w:abstractNumId="146">
    <w:nsid w:val="155EC4C2"/>
    <w:multiLevelType w:val="hybridMultilevel"/>
    <w:lvl w:ilvl="0">
      <w:lvlJc w:val="left"/>
      <w:lvlText w:val="%1."/>
      <w:numFmt w:val="decimal"/>
      <w:start w:val="37"/>
    </w:lvl>
  </w:abstractNum>
  <w:abstractNum w:abstractNumId="147">
    <w:nsid w:val="65D2A137"/>
    <w:multiLevelType w:val="hybridMultilevel"/>
    <w:lvl w:ilvl="0">
      <w:lvlJc w:val="left"/>
      <w:lvlText w:val="-"/>
      <w:numFmt w:val="bullet"/>
      <w:start w:val="1"/>
    </w:lvl>
  </w:abstractNum>
  <w:abstractNum w:abstractNumId="148">
    <w:nsid w:val="6EBB1F2A"/>
    <w:multiLevelType w:val="hybridMultilevel"/>
    <w:lvl w:ilvl="0">
      <w:lvlJc w:val="left"/>
      <w:lvlText w:val="-"/>
      <w:numFmt w:val="bullet"/>
      <w:start w:val="1"/>
    </w:lvl>
  </w:abstractNum>
  <w:abstractNum w:abstractNumId="149">
    <w:nsid w:val="6FBF29CB"/>
    <w:multiLevelType w:val="hybridMultilevel"/>
    <w:lvl w:ilvl="0">
      <w:lvlJc w:val="left"/>
      <w:lvlText w:val="-"/>
      <w:numFmt w:val="bullet"/>
      <w:start w:val="1"/>
    </w:lvl>
  </w:abstractNum>
  <w:abstractNum w:abstractNumId="150">
    <w:nsid w:val="550B8808"/>
    <w:multiLevelType w:val="hybridMultilevel"/>
    <w:lvl w:ilvl="0">
      <w:lvlJc w:val="left"/>
      <w:lvlText w:val="-"/>
      <w:numFmt w:val="bullet"/>
      <w:start w:val="1"/>
    </w:lvl>
  </w:abstractNum>
  <w:abstractNum w:abstractNumId="151">
    <w:nsid w:val="34CC3ACF"/>
    <w:multiLevelType w:val="hybridMultilevel"/>
    <w:lvl w:ilvl="0">
      <w:lvlJc w:val="left"/>
      <w:lvlText w:val="*"/>
      <w:numFmt w:val="bullet"/>
      <w:start w:val="1"/>
    </w:lvl>
  </w:abstractNum>
  <w:abstractNum w:abstractNumId="152">
    <w:nsid w:val="4E556261"/>
    <w:multiLevelType w:val="hybridMultilevel"/>
    <w:lvl w:ilvl="0">
      <w:lvlJc w:val="left"/>
      <w:lvlText w:val="%1"/>
      <w:numFmt w:val="lowerLetter"/>
      <w:start w:val="1"/>
    </w:lvl>
    <w:lvl w:ilvl="1">
      <w:lvlJc w:val="left"/>
      <w:lvlText w:val="%2."/>
      <w:numFmt w:val="decimal"/>
      <w:start w:val="1"/>
    </w:lvl>
  </w:abstractNum>
  <w:abstractNum w:abstractNumId="153">
    <w:nsid w:val="4C672FC9"/>
    <w:multiLevelType w:val="hybridMultilevel"/>
    <w:lvl w:ilvl="0">
      <w:lvlJc w:val="left"/>
      <w:lvlText w:val="(%1)"/>
      <w:numFmt w:val="lowerLetter"/>
      <w:start w:val="1"/>
    </w:lvl>
    <w:lvl w:ilvl="1">
      <w:lvlJc w:val="left"/>
      <w:lvlText w:val="%2."/>
      <w:numFmt w:val="decimal"/>
      <w:start w:val="4"/>
    </w:lvl>
  </w:abstractNum>
  <w:abstractNum w:abstractNumId="154">
    <w:nsid w:val="52A311C3"/>
    <w:multiLevelType w:val="hybridMultilevel"/>
    <w:lvl w:ilvl="0">
      <w:lvlJc w:val="left"/>
      <w:lvlText w:val="%1."/>
      <w:numFmt w:val="decimal"/>
      <w:start w:val="6"/>
    </w:lvl>
  </w:abstractNum>
  <w:abstractNum w:abstractNumId="155">
    <w:nsid w:val="44EF6B80"/>
    <w:multiLevelType w:val="hybridMultilevel"/>
    <w:lvl w:ilvl="0">
      <w:lvlJc w:val="left"/>
      <w:lvlText w:val="%1"/>
      <w:numFmt w:val="lowerLetter"/>
      <w:start w:val="1"/>
    </w:lvl>
    <w:lvl w:ilvl="1">
      <w:lvlJc w:val="left"/>
      <w:lvlText w:val="%2."/>
      <w:numFmt w:val="decimal"/>
      <w:start w:val="7"/>
    </w:lvl>
  </w:abstractNum>
  <w:abstractNum w:abstractNumId="156">
    <w:nsid w:val="12FCDE5E"/>
    <w:multiLevelType w:val="hybridMultilevel"/>
    <w:lvl w:ilvl="0">
      <w:lvlJc w:val="left"/>
      <w:lvlText w:val="(%1)"/>
      <w:numFmt w:val="lowerLetter"/>
      <w:start w:val="1"/>
    </w:lvl>
    <w:lvl w:ilvl="1">
      <w:lvlJc w:val="left"/>
      <w:lvlText w:val="%2."/>
      <w:numFmt w:val="decimal"/>
      <w:start w:val="13"/>
    </w:lvl>
  </w:abstractNum>
  <w:abstractNum w:abstractNumId="157">
    <w:nsid w:val="4A1D606E"/>
    <w:multiLevelType w:val="hybridMultilevel"/>
    <w:lvl w:ilvl="0">
      <w:lvlJc w:val="left"/>
      <w:lvlText w:val="%1."/>
      <w:numFmt w:val="decimal"/>
      <w:start w:val="15"/>
    </w:lvl>
  </w:abstractNum>
  <w:abstractNum w:abstractNumId="158">
    <w:nsid w:val="4382503"/>
    <w:multiLevelType w:val="hybridMultilevel"/>
    <w:lvl w:ilvl="0">
      <w:lvlJc w:val="left"/>
      <w:lvlText w:val="(%1)"/>
      <w:numFmt w:val="lowerLetter"/>
      <w:start w:val="2"/>
    </w:lvl>
  </w:abstractNum>
  <w:abstractNum w:abstractNumId="159">
    <w:nsid w:val="59B76E28"/>
    <w:multiLevelType w:val="hybridMultilevel"/>
    <w:lvl w:ilvl="0">
      <w:lvlJc w:val="left"/>
      <w:lvlText w:val="(%1)"/>
      <w:numFmt w:val="lowerLetter"/>
      <w:start w:val="1"/>
    </w:lvl>
  </w:abstractNum>
  <w:abstractNum w:abstractNumId="160">
    <w:nsid w:val="4252C2DA"/>
    <w:multiLevelType w:val="hybridMultilevel"/>
    <w:lvl w:ilvl="0">
      <w:lvlJc w:val="left"/>
      <w:lvlText w:val="(%1)"/>
      <w:numFmt w:val="upperLetter"/>
      <w:start w:val="2"/>
    </w:lvl>
  </w:abstractNum>
  <w:abstractNum w:abstractNumId="161">
    <w:nsid w:val="6A92EF4C"/>
    <w:multiLevelType w:val="hybridMultilevel"/>
    <w:lvl w:ilvl="0">
      <w:lvlJc w:val="left"/>
      <w:lvlText w:val="(%1)"/>
      <w:numFmt w:val="lowerLetter"/>
      <w:start w:val="8"/>
    </w:lvl>
  </w:abstractNum>
  <w:abstractNum w:abstractNumId="162">
    <w:nsid w:val="41ED20D7"/>
    <w:multiLevelType w:val="hybridMultilevel"/>
    <w:lvl w:ilvl="0">
      <w:lvlJc w:val="left"/>
      <w:lvlText w:val="(%1)"/>
      <w:numFmt w:val="lowerLetter"/>
      <w:start w:val="1"/>
    </w:lvl>
  </w:abstractNum>
  <w:abstractNum w:abstractNumId="163">
    <w:nsid w:val="E6B3F6A"/>
    <w:multiLevelType w:val="hybridMultilevel"/>
    <w:lvl w:ilvl="0">
      <w:lvlJc w:val="left"/>
      <w:lvlText w:val="(%1)"/>
      <w:numFmt w:val="lowerLetter"/>
      <w:start w:val="1"/>
    </w:lvl>
  </w:abstractNum>
  <w:abstractNum w:abstractNumId="164">
    <w:nsid w:val="3EB21819"/>
    <w:multiLevelType w:val="hybridMultilevel"/>
    <w:lvl w:ilvl="0">
      <w:lvlJc w:val="left"/>
      <w:lvlText w:val="(%1)"/>
      <w:numFmt w:val="lowerLetter"/>
      <w:start w:val="10"/>
    </w:lvl>
  </w:abstractNum>
  <w:abstractNum w:abstractNumId="165">
    <w:nsid w:val="41531DED"/>
    <w:multiLevelType w:val="hybridMultilevel"/>
    <w:lvl w:ilvl="0">
      <w:lvlJc w:val="left"/>
      <w:lvlText w:val="--"/>
      <w:numFmt w:val="bullet"/>
      <w:start w:val="1"/>
    </w:lvl>
    <w:lvl w:ilvl="1">
      <w:lvlJc w:val="left"/>
      <w:lvlText w:val="-----"/>
      <w:numFmt w:val="bullet"/>
      <w:start w:val="1"/>
    </w:lvl>
  </w:abstractNum>
  <w:abstractNum w:abstractNumId="166">
    <w:nsid w:val="6353CD2"/>
    <w:multiLevelType w:val="hybridMultilevel"/>
    <w:lvl w:ilvl="0">
      <w:lvlJc w:val="left"/>
      <w:lvlText w:val="5"/>
      <w:numFmt w:val="bullet"/>
      <w:start w:val="1"/>
    </w:lvl>
  </w:abstractNum>
  <w:abstractNum w:abstractNumId="167">
    <w:nsid w:val="683CAAD3"/>
    <w:multiLevelType w:val="hybridMultilevel"/>
    <w:lvl w:ilvl="0">
      <w:lvlJc w:val="left"/>
      <w:lvlText w:val="%1"/>
      <w:numFmt w:val="upperLetter"/>
      <w:start w:val="28"/>
    </w:lvl>
  </w:abstractNum>
  <w:abstractNum w:abstractNumId="168">
    <w:nsid w:val="313C7C99"/>
    <w:multiLevelType w:val="hybridMultilevel"/>
    <w:lvl w:ilvl="0">
      <w:lvlJc w:val="left"/>
      <w:lvlText w:val="(%1)"/>
      <w:numFmt w:val="lowerLetter"/>
      <w:start w:val="1"/>
    </w:lvl>
  </w:abstractNum>
  <w:abstractNum w:abstractNumId="169">
    <w:nsid w:val="519EB94C"/>
    <w:multiLevelType w:val="hybridMultilevel"/>
    <w:lvl w:ilvl="0">
      <w:lvlJc w:val="left"/>
      <w:lvlText w:val="(%1)"/>
      <w:numFmt w:val="lowerLetter"/>
      <w:start w:val="1"/>
    </w:lvl>
  </w:abstractNum>
  <w:abstractNum w:abstractNumId="170">
    <w:nsid w:val="39DF2579"/>
    <w:multiLevelType w:val="hybridMultilevel"/>
    <w:lvl w:ilvl="0">
      <w:lvlJc w:val="left"/>
      <w:lvlText w:val="(%1)"/>
      <w:numFmt w:val="lowerLetter"/>
      <w:start w:val="2"/>
    </w:lvl>
  </w:abstractNum>
  <w:abstractNum w:abstractNumId="171">
    <w:nsid w:val="126E008B"/>
    <w:multiLevelType w:val="hybridMultilevel"/>
    <w:lvl w:ilvl="0">
      <w:lvlJc w:val="left"/>
      <w:lvlText w:val="(%1)"/>
      <w:numFmt w:val="lowerLetter"/>
      <w:start w:val="1"/>
    </w:lvl>
  </w:abstractNum>
  <w:abstractNum w:abstractNumId="172">
    <w:nsid w:val="34DFBC00"/>
    <w:multiLevelType w:val="hybridMultilevel"/>
    <w:lvl w:ilvl="0">
      <w:lvlJc w:val="left"/>
      <w:lvlText w:val="(%1)"/>
      <w:numFmt w:val="lowerLetter"/>
      <w:start w:val="3"/>
    </w:lvl>
  </w:abstractNum>
  <w:abstractNum w:abstractNumId="173">
    <w:nsid w:val="1F9EC322"/>
    <w:multiLevelType w:val="hybridMultilevel"/>
    <w:lvl w:ilvl="0">
      <w:lvlJc w:val="left"/>
      <w:lvlText w:val="(%1)"/>
      <w:numFmt w:val="lowerLetter"/>
      <w:start w:val="1"/>
    </w:lvl>
  </w:abstractNum>
  <w:abstractNum w:abstractNumId="174">
    <w:nsid w:val="3410ED56"/>
    <w:multiLevelType w:val="hybridMultilevel"/>
    <w:lvl w:ilvl="0">
      <w:lvlJc w:val="left"/>
      <w:lvlText w:val="(%1)"/>
      <w:numFmt w:val="lowerLetter"/>
      <w:start w:val="1"/>
    </w:lvl>
  </w:abstractNum>
  <w:abstractNum w:abstractNumId="175">
    <w:nsid w:val="23C049A"/>
    <w:multiLevelType w:val="hybridMultilevel"/>
    <w:lvl w:ilvl="0">
      <w:lvlJc w:val="left"/>
      <w:lvlText w:val="%1"/>
      <w:numFmt w:val="lowerLetter"/>
      <w:start w:val="1"/>
    </w:lvl>
    <w:lvl w:ilvl="1">
      <w:lvlJc w:val="left"/>
      <w:lvlText w:val="(%2)"/>
      <w:numFmt w:val="lowerLetter"/>
      <w:start w:val="1"/>
    </w:lvl>
  </w:abstractNum>
  <w:abstractNum w:abstractNumId="176">
    <w:nsid w:val="5BDA35D4"/>
    <w:multiLevelType w:val="hybridMultilevel"/>
    <w:lvl w:ilvl="0">
      <w:lvlJc w:val="left"/>
      <w:lvlText w:val="(%1)"/>
      <w:numFmt w:val="lowerLetter"/>
      <w:start w:val="9"/>
    </w:lvl>
    <w:lvl w:ilvl="1">
      <w:lvlJc w:val="left"/>
      <w:lvlText w:val="%2"/>
      <w:numFmt w:val="lowerLetter"/>
      <w:start w:val="1"/>
    </w:lvl>
  </w:abstractNum>
  <w:abstractNum w:abstractNumId="177">
    <w:nsid w:val="496FB218"/>
    <w:multiLevelType w:val="hybridMultilevel"/>
    <w:lvl w:ilvl="0">
      <w:lvlJc w:val="left"/>
      <w:lvlText w:val="(%1)"/>
      <w:numFmt w:val="lowerLetter"/>
      <w:start w:val="1"/>
    </w:lvl>
  </w:abstractNum>
  <w:abstractNum w:abstractNumId="178">
    <w:nsid w:val="680EA5D1"/>
    <w:multiLevelType w:val="hybridMultilevel"/>
    <w:lvl w:ilvl="0">
      <w:lvlJc w:val="left"/>
      <w:lvlText w:val="(%1)"/>
      <w:numFmt w:val="lowerLetter"/>
      <w:start w:val="2"/>
    </w:lvl>
  </w:abstractNum>
  <w:abstractNum w:abstractNumId="179">
    <w:nsid w:val="4A9554FE"/>
    <w:multiLevelType w:val="hybridMultilevel"/>
    <w:lvl w:ilvl="0">
      <w:lvlJc w:val="left"/>
      <w:lvlText w:val="(%1)"/>
      <w:numFmt w:val="lowerLetter"/>
      <w:start w:val="1"/>
    </w:lvl>
  </w:abstractNum>
  <w:abstractNum w:abstractNumId="180">
    <w:nsid w:val="392EDBE4"/>
    <w:multiLevelType w:val="hybridMultilevel"/>
    <w:lvl w:ilvl="0">
      <w:lvlJc w:val="left"/>
      <w:lvlText w:val="%1"/>
      <w:numFmt w:val="upperLetter"/>
      <w:start w:val="1"/>
    </w:lvl>
    <w:lvl w:ilvl="1">
      <w:lvlJc w:val="left"/>
      <w:lvlText w:val="(%2)"/>
      <w:numFmt w:val="lowerLetter"/>
      <w:start w:val="1"/>
    </w:lvl>
  </w:abstractNum>
  <w:abstractNum w:abstractNumId="181">
    <w:nsid w:val="3D1A2DD9"/>
    <w:multiLevelType w:val="hybridMultilevel"/>
    <w:lvl w:ilvl="0">
      <w:lvlJc w:val="left"/>
      <w:lvlText w:val="(%1)"/>
      <w:numFmt w:val="upperLetter"/>
      <w:start w:val="2"/>
    </w:lvl>
    <w:lvl w:ilvl="1">
      <w:lvlJc w:val="left"/>
      <w:lvlText w:val="(%2)"/>
      <w:numFmt w:val="lowerLetter"/>
      <w:start w:val="3"/>
    </w:lvl>
  </w:abstractNum>
  <w:abstractNum w:abstractNumId="182">
    <w:nsid w:val="7F618FCD"/>
    <w:multiLevelType w:val="hybridMultilevel"/>
    <w:lvl w:ilvl="0">
      <w:lvlJc w:val="left"/>
      <w:lvlText w:val="(%1)"/>
      <w:numFmt w:val="lowerLetter"/>
      <w:start w:val="4"/>
    </w:lvl>
  </w:abstractNum>
  <w:abstractNum w:abstractNumId="183">
    <w:nsid w:val="7843E45"/>
    <w:multiLevelType w:val="hybridMultilevel"/>
    <w:lvl w:ilvl="0">
      <w:lvlJc w:val="left"/>
      <w:lvlText w:val="(%1)"/>
      <w:numFmt w:val="lowerLetter"/>
      <w:start w:val="1"/>
    </w:lvl>
  </w:abstractNum>
  <w:abstractNum w:abstractNumId="184">
    <w:nsid w:val="9815DA3"/>
    <w:multiLevelType w:val="hybridMultilevel"/>
    <w:lvl w:ilvl="0">
      <w:lvlJc w:val="left"/>
      <w:lvlText w:val="(%1)"/>
      <w:numFmt w:val="lowerLetter"/>
      <w:start w:val="2"/>
    </w:lvl>
  </w:abstractNum>
  <w:abstractNum w:abstractNumId="185">
    <w:nsid w:val="5204A191"/>
    <w:multiLevelType w:val="hybridMultilevel"/>
    <w:lvl w:ilvl="0">
      <w:lvlJc w:val="left"/>
      <w:lvlText w:val="(%1)"/>
      <w:numFmt w:val="lowerLetter"/>
      <w:start w:val="1"/>
    </w:lvl>
  </w:abstractNum>
  <w:abstractNum w:abstractNumId="186">
    <w:nsid w:val="4C73A9C6"/>
    <w:multiLevelType w:val="hybridMultilevel"/>
    <w:lvl w:ilvl="0">
      <w:lvlJc w:val="left"/>
      <w:lvlText w:val="(%1)"/>
      <w:numFmt w:val="lowerLetter"/>
      <w:start w:val="1"/>
    </w:lvl>
  </w:abstractNum>
  <w:abstractNum w:abstractNumId="187">
    <w:nsid w:val="1C7E3C01"/>
    <w:multiLevelType w:val="hybridMultilevel"/>
    <w:lvl w:ilvl="0">
      <w:lvlJc w:val="left"/>
      <w:lvlText w:val="(%1)"/>
      <w:numFmt w:val="lowerLetter"/>
      <w:start w:val="1"/>
    </w:lvl>
    <w:lvl w:ilvl="1">
      <w:lvlJc w:val="left"/>
      <w:lvlText w:val="(%2)"/>
      <w:numFmt w:val="lowerRoman"/>
      <w:start w:val="1"/>
    </w:lvl>
  </w:abstractNum>
  <w:abstractNum w:abstractNumId="188">
    <w:nsid w:val="1C2201FF"/>
    <w:multiLevelType w:val="hybridMultilevel"/>
    <w:lvl w:ilvl="0">
      <w:lvlJc w:val="left"/>
      <w:lvlText w:val="(%1)"/>
      <w:numFmt w:val="lowerLetter"/>
      <w:start w:val="2"/>
    </w:lvl>
  </w:abstractNum>
  <w:abstractNum w:abstractNumId="189">
    <w:nsid w:val="50ABCEC9"/>
    <w:multiLevelType w:val="hybridMultilevel"/>
    <w:lvl w:ilvl="0">
      <w:lvlJc w:val="left"/>
      <w:lvlText w:val="(%1)"/>
      <w:numFmt w:val="lowerLetter"/>
      <w:start w:val="1"/>
    </w:lvl>
    <w:lvl w:ilvl="1">
      <w:lvlJc w:val="left"/>
      <w:lvlText w:val="(%2)"/>
      <w:numFmt w:val="lowerRoman"/>
      <w:start w:val="1"/>
    </w:lvl>
  </w:abstractNum>
  <w:abstractNum w:abstractNumId="190">
    <w:nsid w:val="7635AA2A"/>
    <w:multiLevelType w:val="hybridMultilevel"/>
    <w:lvl w:ilvl="0">
      <w:lvlJc w:val="left"/>
      <w:lvlText w:val="(%1)"/>
      <w:numFmt w:val="lowerLetter"/>
      <w:start w:val="23"/>
    </w:lvl>
    <w:lvl w:ilvl="1">
      <w:lvlJc w:val="left"/>
      <w:lvlText w:val="%2"/>
      <w:numFmt w:val="lowerRoman"/>
      <w:start w:val="1"/>
    </w:lvl>
  </w:abstractNum>
  <w:abstractNum w:abstractNumId="191">
    <w:nsid w:val="5E74C4D9"/>
    <w:multiLevelType w:val="hybridMultilevel"/>
    <w:lvl w:ilvl="0">
      <w:lvlJc w:val="left"/>
      <w:lvlText w:val="(%1)"/>
      <w:numFmt w:val="lowerLetter"/>
      <w:start w:val="26"/>
    </w:lvl>
    <w:lvl w:ilvl="1">
      <w:lvlJc w:val="left"/>
      <w:lvlText w:val="(%2)"/>
      <w:numFmt w:val="lowerRoman"/>
      <w:start w:val="3"/>
    </w:lvl>
  </w:abstractNum>
  <w:abstractNum w:abstractNumId="192">
    <w:nsid w:val="3B3EBE15"/>
    <w:multiLevelType w:val="hybridMultilevel"/>
    <w:lvl w:ilvl="0">
      <w:lvlJc w:val="left"/>
      <w:lvlText w:val="(%1)"/>
      <w:numFmt w:val="lowerRoman"/>
      <w:start w:val="5"/>
    </w:lvl>
  </w:abstractNum>
  <w:abstractNum w:abstractNumId="193">
    <w:nsid w:val="3822CB01"/>
    <w:multiLevelType w:val="hybridMultilevel"/>
    <w:lvl w:ilvl="0">
      <w:lvlJc w:val="left"/>
      <w:lvlText w:val="(%1)"/>
      <w:numFmt w:val="lowerLetter"/>
      <w:start w:val="3"/>
    </w:lvl>
    <w:lvl w:ilvl="1">
      <w:lvlJc w:val="left"/>
      <w:lvlText w:val="(%2)"/>
      <w:numFmt w:val="lowerRoman"/>
      <w:start w:val="1"/>
    </w:lvl>
  </w:abstractNum>
  <w:abstractNum w:abstractNumId="194">
    <w:nsid w:val="6CE00443"/>
    <w:multiLevelType w:val="hybridMultilevel"/>
    <w:lvl w:ilvl="0">
      <w:lvlJc w:val="left"/>
      <w:lvlText w:val="(%1)"/>
      <w:numFmt w:val="upperLetter"/>
      <w:start w:val="3"/>
    </w:lvl>
  </w:abstractNum>
  <w:abstractNum w:abstractNumId="195">
    <w:nsid w:val="79F0D62F"/>
    <w:multiLevelType w:val="hybridMultilevel"/>
    <w:lvl w:ilvl="0">
      <w:lvlJc w:val="left"/>
      <w:lvlText w:val="(%1)"/>
      <w:numFmt w:val="lowerRoman"/>
      <w:start w:val="1"/>
    </w:lvl>
  </w:abstractNum>
  <w:abstractNum w:abstractNumId="196">
    <w:nsid w:val="7975E8EE"/>
    <w:multiLevelType w:val="hybridMultilevel"/>
    <w:lvl w:ilvl="0">
      <w:lvlJc w:val="left"/>
      <w:lvlText w:val="(%1)"/>
      <w:numFmt w:val="lowerRoman"/>
      <w:start w:val="2"/>
    </w:lvl>
  </w:abstractNum>
  <w:abstractNum w:abstractNumId="197">
    <w:nsid w:val="73154115"/>
    <w:multiLevelType w:val="hybridMultilevel"/>
    <w:lvl w:ilvl="0">
      <w:lvlJc w:val="left"/>
      <w:lvlText w:val="(%1)"/>
      <w:numFmt w:val="lowerLetter"/>
      <w:start w:val="1"/>
    </w:lvl>
  </w:abstractNum>
  <w:abstractNum w:abstractNumId="198">
    <w:nsid w:val="622D8102"/>
    <w:multiLevelType w:val="hybridMultilevel"/>
    <w:lvl w:ilvl="0">
      <w:lvlJc w:val="left"/>
      <w:lvlText w:val="%1."/>
      <w:numFmt w:val="decimal"/>
      <w:start w:val="365"/>
    </w:lvl>
    <w:lvl w:ilvl="1">
      <w:lvlJc w:val="left"/>
      <w:lvlText w:val="(%2)"/>
      <w:numFmt w:val="lowerLetter"/>
      <w:start w:val="2"/>
    </w:lvl>
  </w:abstractNum>
  <w:abstractNum w:abstractNumId="199">
    <w:nsid w:val="2AB26587"/>
    <w:multiLevelType w:val="hybridMultilevel"/>
    <w:lvl w:ilvl="0">
      <w:lvlJc w:val="left"/>
      <w:lvlText w:val="(%1)"/>
      <w:numFmt w:val="lowerLetter"/>
      <w:start w:val="4"/>
    </w:lvl>
  </w:abstractNum>
  <w:abstractNum w:abstractNumId="200">
    <w:nsid w:val="44B3FA61"/>
    <w:multiLevelType w:val="hybridMultilevel"/>
    <w:lvl w:ilvl="0">
      <w:lvlJc w:val="left"/>
      <w:lvlText w:val="(%1)"/>
      <w:numFmt w:val="lowerLetter"/>
      <w:start w:val="1"/>
    </w:lvl>
  </w:abstractNum>
  <w:abstractNum w:abstractNumId="201">
    <w:nsid w:val="1C0CA67C"/>
    <w:multiLevelType w:val="hybridMultilevel"/>
    <w:lvl w:ilvl="0">
      <w:lvlJc w:val="left"/>
      <w:lvlText w:val="(%1)"/>
      <w:numFmt w:val="lowerLetter"/>
      <w:start w:val="3"/>
    </w:lvl>
    <w:lvl w:ilvl="1">
      <w:lvlJc w:val="left"/>
      <w:lvlText w:val="(%2)"/>
      <w:numFmt w:val="lowerRoman"/>
      <w:start w:val="1"/>
    </w:lvl>
  </w:abstractNum>
  <w:abstractNum w:abstractNumId="202">
    <w:nsid w:val="3D206613"/>
    <w:multiLevelType w:val="hybridMultilevel"/>
    <w:lvl w:ilvl="0">
      <w:lvlJc w:val="left"/>
      <w:lvlText w:val="(%1)"/>
      <w:numFmt w:val="lowerRoman"/>
      <w:start w:val="1"/>
    </w:lvl>
  </w:abstractNum>
  <w:abstractNum w:abstractNumId="203">
    <w:nsid w:val="7993B662"/>
    <w:multiLevelType w:val="hybridMultilevel"/>
    <w:lvl w:ilvl="0">
      <w:lvlJc w:val="left"/>
      <w:lvlText w:val="(%1)"/>
      <w:numFmt w:val="lowerLetter"/>
      <w:start w:val="1"/>
    </w:lvl>
  </w:abstractNum>
  <w:abstractNum w:abstractNumId="204">
    <w:nsid w:val="3BAB699E"/>
    <w:multiLevelType w:val="hybridMultilevel"/>
    <w:lvl w:ilvl="0">
      <w:lvlJc w:val="left"/>
      <w:lvlText w:val="%1"/>
      <w:numFmt w:val="lowerLetter"/>
      <w:start w:val="1"/>
    </w:lvl>
    <w:lvl w:ilvl="1">
      <w:lvlJc w:val="left"/>
      <w:lvlText w:val="(%2)"/>
      <w:numFmt w:val="lowerLetter"/>
      <w:start w:val="2"/>
    </w:lvl>
  </w:abstractNum>
  <w:abstractNum w:abstractNumId="205">
    <w:nsid w:val="71315369"/>
    <w:multiLevelType w:val="hybridMultilevel"/>
    <w:lvl w:ilvl="0">
      <w:lvlJc w:val="left"/>
      <w:lvlText w:val="(%1)"/>
      <w:numFmt w:val="lowerLetter"/>
      <w:start w:val="9"/>
    </w:lvl>
    <w:lvl w:ilvl="1">
      <w:lvlJc w:val="left"/>
      <w:lvlText w:val="%2"/>
      <w:numFmt w:val="lowerLetter"/>
      <w:start w:val="1"/>
    </w:lvl>
  </w:abstractNum>
  <w:abstractNum w:abstractNumId="206">
    <w:nsid w:val="7BCFBAFC"/>
    <w:multiLevelType w:val="hybridMultilevel"/>
    <w:lvl w:ilvl="0">
      <w:lvlJc w:val="left"/>
      <w:lvlText w:val="(%1)"/>
      <w:numFmt w:val="lowerLetter"/>
      <w:start w:val="61"/>
    </w:lvl>
    <w:lvl w:ilvl="1">
      <w:lvlJc w:val="left"/>
      <w:lvlText w:val="(%2)"/>
      <w:numFmt w:val="lowerLetter"/>
      <w:start w:val="3"/>
    </w:lvl>
  </w:abstractNum>
  <w:abstractNum w:abstractNumId="207">
    <w:nsid w:val="17859F72"/>
    <w:multiLevelType w:val="hybridMultilevel"/>
    <w:lvl w:ilvl="0">
      <w:lvlJc w:val="left"/>
      <w:lvlText w:val="(%1)"/>
      <w:numFmt w:val="lowerLetter"/>
      <w:start w:val="1"/>
    </w:lvl>
  </w:abstractNum>
  <w:abstractNum w:abstractNumId="208">
    <w:nsid w:val="3AA10581"/>
    <w:multiLevelType w:val="hybridMultilevel"/>
    <w:lvl w:ilvl="0">
      <w:lvlJc w:val="left"/>
      <w:lvlText w:val="(%1)"/>
      <w:numFmt w:val="lowerLetter"/>
      <w:start w:val="2"/>
    </w:lvl>
  </w:abstractNum>
  <w:abstractNum w:abstractNumId="209">
    <w:nsid w:val="63DE60CD"/>
    <w:multiLevelType w:val="hybridMultilevel"/>
    <w:lvl w:ilvl="0">
      <w:lvlJc w:val="left"/>
      <w:lvlText w:val="(%1)"/>
      <w:numFmt w:val="lowerLetter"/>
      <w:start w:val="1"/>
    </w:lvl>
  </w:abstractNum>
  <w:abstractNum w:abstractNumId="210">
    <w:nsid w:val="621AF471"/>
    <w:multiLevelType w:val="hybridMultilevel"/>
    <w:lvl w:ilvl="0">
      <w:lvlJc w:val="left"/>
      <w:lvlText w:val="(%1)"/>
      <w:numFmt w:val="lowerLetter"/>
      <w:start w:val="1"/>
    </w:lvl>
  </w:abstractNum>
  <w:abstractNum w:abstractNumId="211">
    <w:nsid w:val="73CFE165"/>
    <w:multiLevelType w:val="hybridMultilevel"/>
    <w:lvl w:ilvl="0">
      <w:lvlJc w:val="left"/>
      <w:lvlText w:val="(%1)"/>
      <w:numFmt w:val="lowerLetter"/>
      <w:start w:val="4"/>
    </w:lvl>
  </w:abstractNum>
  <w:abstractNum w:abstractNumId="212">
    <w:nsid w:val="20F88EA6"/>
    <w:multiLevelType w:val="hybridMultilevel"/>
    <w:lvl w:ilvl="0">
      <w:lvlJc w:val="left"/>
      <w:lvlText w:val="(%1)"/>
      <w:numFmt w:val="lowerRoman"/>
      <w:start w:val="4"/>
    </w:lvl>
  </w:abstractNum>
  <w:abstractNum w:abstractNumId="213">
    <w:nsid w:val="617C843E"/>
    <w:multiLevelType w:val="hybridMultilevel"/>
    <w:lvl w:ilvl="0">
      <w:lvlJc w:val="left"/>
      <w:lvlText w:val="(%1)"/>
      <w:numFmt w:val="lowerLetter"/>
      <w:start w:val="1"/>
    </w:lvl>
  </w:abstractNum>
  <w:abstractNum w:abstractNumId="214">
    <w:nsid w:val="7B541F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5">
    <w:nsid w:val="2A79EC4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16">
    <w:nsid w:val="338125CF"/>
    <w:multiLevelType w:val="hybridMultilevel"/>
    <w:lvl w:ilvl="0">
      <w:lvlJc w:val="left"/>
      <w:lvlText w:val="(%1)"/>
      <w:numFmt w:val="lowerLetter"/>
      <w:start w:val="1"/>
    </w:lvl>
    <w:lvl w:ilvl="1">
      <w:lvlJc w:val="left"/>
      <w:lvlText w:val="(%2)"/>
      <w:numFmt w:val="lowerLetter"/>
      <w:start w:val="35"/>
    </w:lvl>
  </w:abstractNum>
  <w:abstractNum w:abstractNumId="217">
    <w:nsid w:val="47C7C971"/>
    <w:multiLevelType w:val="hybridMultilevel"/>
    <w:lvl w:ilvl="0">
      <w:lvlJc w:val="left"/>
      <w:lvlText w:val="(%1)"/>
      <w:numFmt w:val="lowerLetter"/>
      <w:start w:val="4"/>
    </w:lvl>
  </w:abstractNum>
  <w:abstractNum w:abstractNumId="218">
    <w:nsid w:val="46F8284B"/>
    <w:multiLevelType w:val="hybridMultilevel"/>
    <w:lvl w:ilvl="0">
      <w:lvlJc w:val="left"/>
      <w:lvlText w:val="(%1)"/>
      <w:numFmt w:val="upperLetter"/>
      <w:start w:val="3"/>
    </w:lvl>
  </w:abstractNum>
  <w:abstractNum w:abstractNumId="219">
    <w:nsid w:val="4FA327CE"/>
    <w:multiLevelType w:val="hybridMultilevel"/>
    <w:lvl w:ilvl="0">
      <w:lvlJc w:val="left"/>
      <w:lvlText w:val="(%1)"/>
      <w:numFmt w:val="lowerLetter"/>
      <w:start w:val="1"/>
    </w:lvl>
  </w:abstractNum>
  <w:abstractNum w:abstractNumId="220">
    <w:nsid w:val="1873983A"/>
    <w:multiLevelType w:val="hybridMultilevel"/>
    <w:lvl w:ilvl="0">
      <w:lvlJc w:val="left"/>
      <w:lvlText w:val="(%1)"/>
      <w:numFmt w:val="lowerLetter"/>
      <w:start w:val="1"/>
    </w:lvl>
  </w:abstractNum>
  <w:abstractNum w:abstractNumId="221">
    <w:nsid w:val="3D2DD275"/>
    <w:multiLevelType w:val="hybridMultilevel"/>
    <w:lvl w:ilvl="0">
      <w:lvlJc w:val="left"/>
      <w:lvlText w:val="--"/>
      <w:numFmt w:val="bullet"/>
      <w:start w:val="1"/>
    </w:lvl>
  </w:abstractNum>
  <w:abstractNum w:abstractNumId="222">
    <w:nsid w:val="2E17ECA7"/>
    <w:multiLevelType w:val="hybridMultilevel"/>
    <w:lvl w:ilvl="0">
      <w:lvlJc w:val="left"/>
      <w:lvlText w:val="%1"/>
      <w:numFmt w:val="lowerLetter"/>
      <w:start w:val="1"/>
    </w:lvl>
    <w:lvl w:ilvl="1">
      <w:lvlJc w:val="left"/>
      <w:lvlText w:val="(%2)"/>
      <w:numFmt w:val="lowerLetter"/>
      <w:start w:val="1"/>
    </w:lvl>
  </w:abstractNum>
  <w:abstractNum w:abstractNumId="223">
    <w:nsid w:val="53B2564F"/>
    <w:multiLevelType w:val="hybridMultilevel"/>
    <w:lvl w:ilvl="0">
      <w:lvlJc w:val="left"/>
      <w:lvlText w:val="(%1)"/>
      <w:numFmt w:val="lowerLetter"/>
      <w:start w:val="1"/>
    </w:lvl>
    <w:lvl w:ilvl="1">
      <w:lvlJc w:val="left"/>
      <w:lvlText w:val="(%2)"/>
      <w:numFmt w:val="lowerLetter"/>
      <w:start w:val="3"/>
    </w:lvl>
  </w:abstractNum>
  <w:abstractNum w:abstractNumId="224">
    <w:nsid w:val="75509D76"/>
    <w:multiLevelType w:val="hybridMultilevel"/>
    <w:lvl w:ilvl="0">
      <w:lvlJc w:val="left"/>
      <w:lvlText w:val="(%1)"/>
      <w:numFmt w:val="lowerLetter"/>
      <w:start w:val="7"/>
    </w:lvl>
  </w:abstractNum>
  <w:abstractNum w:abstractNumId="225">
    <w:nsid w:val="1AF7F0EA"/>
    <w:multiLevelType w:val="hybridMultilevel"/>
    <w:lvl w:ilvl="0">
      <w:lvlJc w:val="left"/>
      <w:lvlText w:val="(%1)"/>
      <w:numFmt w:val="lowerLetter"/>
      <w:start w:val="12"/>
    </w:lvl>
  </w:abstractNum>
  <w:abstractNum w:abstractNumId="226">
    <w:nsid w:val="4DA32C7E"/>
    <w:multiLevelType w:val="hybridMultilevel"/>
    <w:lvl w:ilvl="0">
      <w:lvlJc w:val="left"/>
      <w:lvlText w:val="(%1)"/>
      <w:numFmt w:val="lowerLetter"/>
      <w:start w:val="1"/>
    </w:lvl>
  </w:abstractNum>
  <w:abstractNum w:abstractNumId="227">
    <w:nsid w:val="6EC68664"/>
    <w:multiLevelType w:val="hybridMultilevel"/>
    <w:lvl w:ilvl="0">
      <w:lvlJc w:val="left"/>
      <w:lvlText w:val="(%1)"/>
      <w:numFmt w:val="lowerLetter"/>
      <w:start w:val="2"/>
    </w:lvl>
  </w:abstractNum>
  <w:abstractNum w:abstractNumId="228">
    <w:nsid w:val="E0D31FF"/>
    <w:multiLevelType w:val="hybridMultilevel"/>
    <w:lvl w:ilvl="0">
      <w:lvlJc w:val="left"/>
      <w:lvlText w:val="(%1)"/>
      <w:numFmt w:val="lowerLetter"/>
      <w:start w:val="1"/>
    </w:lvl>
  </w:abstractNum>
  <w:abstractNum w:abstractNumId="229">
    <w:nsid w:val="2FD0AD81"/>
    <w:multiLevelType w:val="hybridMultilevel"/>
    <w:lvl w:ilvl="0">
      <w:lvlJc w:val="left"/>
      <w:lvlText w:val="(%1)"/>
      <w:numFmt w:val="lowerLetter"/>
      <w:start w:val="2"/>
    </w:lvl>
  </w:abstractNum>
  <w:abstractNum w:abstractNumId="230">
    <w:nsid w:val="1978EBEB"/>
    <w:multiLevelType w:val="hybridMultilevel"/>
    <w:lvl w:ilvl="0">
      <w:lvlJc w:val="left"/>
      <w:lvlText w:val="(%1)"/>
      <w:numFmt w:val="lowerLetter"/>
      <w:start w:val="4"/>
    </w:lvl>
  </w:abstractNum>
  <w:abstractNum w:abstractNumId="231">
    <w:nsid w:val="52C12C61"/>
    <w:multiLevelType w:val="hybridMultilevel"/>
    <w:lvl w:ilvl="0">
      <w:lvlJc w:val="left"/>
      <w:lvlText w:val="(%1)"/>
      <w:numFmt w:val="lowerLetter"/>
      <w:start w:val="2"/>
    </w:lvl>
  </w:abstractNum>
  <w:abstractNum w:abstractNumId="232">
    <w:nsid w:val="4BDD53FD"/>
    <w:multiLevelType w:val="hybridMultilevel"/>
    <w:lvl w:ilvl="0">
      <w:lvlJc w:val="left"/>
      <w:lvlText w:val="(%1)"/>
      <w:numFmt w:val="lowerLetter"/>
      <w:start w:val="1"/>
    </w:lvl>
  </w:abstractNum>
  <w:abstractNum w:abstractNumId="233">
    <w:nsid w:val="569951FE"/>
    <w:multiLevelType w:val="hybridMultilevel"/>
    <w:lvl w:ilvl="0">
      <w:lvlJc w:val="left"/>
      <w:lvlText w:val="(%1)"/>
      <w:numFmt w:val="lowerLetter"/>
      <w:start w:val="1"/>
    </w:lvl>
  </w:abstractNum>
  <w:abstractNum w:abstractNumId="234">
    <w:nsid w:val="4C54E2C3"/>
    <w:multiLevelType w:val="hybridMultilevel"/>
    <w:lvl w:ilvl="0">
      <w:lvlJc w:val="left"/>
      <w:lvlText w:val="(%1)"/>
      <w:numFmt w:val="lowerLetter"/>
      <w:start w:val="3"/>
    </w:lvl>
  </w:abstractNum>
  <w:abstractNum w:abstractNumId="235">
    <w:nsid w:val="788BD9B"/>
    <w:multiLevelType w:val="hybridMultilevel"/>
    <w:lvl w:ilvl="0">
      <w:lvlJc w:val="left"/>
      <w:lvlText w:val="(%1)"/>
      <w:numFmt w:val="lowerLetter"/>
      <w:start w:val="1"/>
    </w:lvl>
  </w:abstractNum>
  <w:abstractNum w:abstractNumId="236">
    <w:nsid w:val="47CAA567"/>
    <w:multiLevelType w:val="hybridMultilevel"/>
    <w:lvl w:ilvl="0">
      <w:lvlJc w:val="left"/>
      <w:lvlText w:val="(%1)"/>
      <w:numFmt w:val="lowerLetter"/>
      <w:start w:val="2"/>
    </w:lvl>
  </w:abstractNum>
  <w:abstractNum w:abstractNumId="237">
    <w:nsid w:val="48249DBF"/>
    <w:multiLevelType w:val="hybridMultilevel"/>
    <w:lvl w:ilvl="0">
      <w:lvlJc w:val="left"/>
      <w:lvlText w:val="(%1)"/>
      <w:numFmt w:val="lowerLetter"/>
      <w:start w:val="1"/>
    </w:lvl>
  </w:abstractNum>
  <w:abstractNum w:abstractNumId="238">
    <w:nsid w:val="1F0E5D0D"/>
    <w:multiLevelType w:val="hybridMultilevel"/>
    <w:lvl w:ilvl="0">
      <w:lvlJc w:val="left"/>
      <w:lvlText w:val="(%1)"/>
      <w:numFmt w:val="lowerLetter"/>
      <w:start w:val="5"/>
    </w:lvl>
  </w:abstractNum>
  <w:abstractNum w:abstractNumId="239">
    <w:nsid w:val="26BAAE9"/>
    <w:multiLevelType w:val="hybridMultilevel"/>
    <w:lvl w:ilvl="0">
      <w:lvlJc w:val="left"/>
      <w:lvlText w:val="(%1)"/>
      <w:numFmt w:val="lowerLetter"/>
      <w:start w:val="1"/>
    </w:lvl>
  </w:abstractNum>
  <w:abstractNum w:abstractNumId="240">
    <w:nsid w:val="2C02FE8C"/>
    <w:multiLevelType w:val="hybridMultilevel"/>
    <w:lvl w:ilvl="0">
      <w:lvlJc w:val="left"/>
      <w:lvlText w:val="(%1)"/>
      <w:numFmt w:val="lowerLetter"/>
      <w:start w:val="1"/>
    </w:lvl>
  </w:abstractNum>
  <w:abstractNum w:abstractNumId="241">
    <w:nsid w:val="129517E"/>
    <w:multiLevelType w:val="hybridMultilevel"/>
    <w:lvl w:ilvl="0">
      <w:lvlJc w:val="left"/>
      <w:lvlText w:val="-"/>
      <w:numFmt w:val="bullet"/>
      <w:start w:val="1"/>
    </w:lvl>
    <w:lvl w:ilvl="1">
      <w:lvlJc w:val="left"/>
      <w:lvlText w:val="-----"/>
      <w:numFmt w:val="bullet"/>
      <w:start w:val="1"/>
    </w:lvl>
  </w:abstractNum>
  <w:abstractNum w:abstractNumId="242">
    <w:nsid w:val="763B8C4E"/>
    <w:multiLevelType w:val="hybridMultilevel"/>
    <w:lvl w:ilvl="0">
      <w:lvlJc w:val="left"/>
      <w:lvlText w:val="--"/>
      <w:numFmt w:val="bullet"/>
      <w:start w:val="1"/>
    </w:lvl>
    <w:lvl w:ilvl="1">
      <w:lvlJc w:val="left"/>
      <w:lvlText w:val="-----"/>
      <w:numFmt w:val="bullet"/>
      <w:start w:val="1"/>
    </w:lvl>
  </w:abstractNum>
  <w:abstractNum w:abstractNumId="243">
    <w:nsid w:val="4CFB8D32"/>
    <w:multiLevelType w:val="hybridMultilevel"/>
    <w:lvl w:ilvl="0">
      <w:lvlJc w:val="left"/>
      <w:lvlText w:val="--"/>
      <w:numFmt w:val="bullet"/>
      <w:start w:val="1"/>
    </w:lvl>
    <w:lvl w:ilvl="1">
      <w:lvlJc w:val="left"/>
      <w:lvlText w:val="-----"/>
      <w:numFmt w:val="bullet"/>
      <w:start w:val="1"/>
    </w:lvl>
  </w:abstractNum>
  <w:abstractNum w:abstractNumId="244">
    <w:nsid w:val="62A5D5BD"/>
    <w:multiLevelType w:val="hybridMultilevel"/>
    <w:lvl w:ilvl="0">
      <w:lvlJc w:val="left"/>
      <w:lvlText w:val="(%1)"/>
      <w:numFmt w:val="lowerLetter"/>
      <w:start w:val="1"/>
    </w:lvl>
  </w:abstractNum>
  <w:abstractNum w:abstractNumId="245">
    <w:nsid w:val="718FABF9"/>
    <w:multiLevelType w:val="hybridMultilevel"/>
    <w:lvl w:ilvl="0">
      <w:lvlJc w:val="left"/>
      <w:lvlText w:val="----"/>
      <w:numFmt w:val="bullet"/>
      <w:start w:val="1"/>
    </w:lvl>
  </w:abstractNum>
  <w:abstractNum w:abstractNumId="246">
    <w:nsid w:val="7775797C"/>
    <w:multiLevelType w:val="hybridMultilevel"/>
    <w:lvl w:ilvl="0">
      <w:lvlJc w:val="left"/>
      <w:lvlText w:val="----"/>
      <w:numFmt w:val="bullet"/>
      <w:start w:val="1"/>
    </w:lvl>
  </w:abstractNum>
  <w:abstractNum w:abstractNumId="247">
    <w:nsid w:val="1626FB8C"/>
    <w:multiLevelType w:val="hybridMultilevel"/>
    <w:lvl w:ilvl="0">
      <w:lvlJc w:val="left"/>
      <w:lvlText w:val="--"/>
      <w:numFmt w:val="bullet"/>
      <w:start w:val="1"/>
    </w:lvl>
  </w:abstractNum>
  <w:abstractNum w:abstractNumId="248">
    <w:nsid w:val="3957756A"/>
    <w:multiLevelType w:val="hybridMultilevel"/>
    <w:lvl w:ilvl="0">
      <w:lvlJc w:val="left"/>
      <w:lvlText w:val="--"/>
      <w:numFmt w:val="bullet"/>
      <w:start w:val="1"/>
    </w:lvl>
  </w:abstractNum>
  <w:abstractNum w:abstractNumId="249">
    <w:nsid w:val="3E6DA1C7"/>
    <w:multiLevelType w:val="hybridMultilevel"/>
    <w:lvl w:ilvl="0">
      <w:lvlJc w:val="left"/>
      <w:lvlText w:val="(%1)"/>
      <w:numFmt w:val="lowerLetter"/>
      <w:start w:val="1"/>
    </w:lvl>
  </w:abstractNum>
  <w:abstractNum w:abstractNumId="250">
    <w:nsid w:val="65CA235B"/>
    <w:multiLevelType w:val="hybridMultilevel"/>
    <w:lvl w:ilvl="0">
      <w:lvlJc w:val="left"/>
      <w:lvlText w:val="-"/>
      <w:numFmt w:val="bullet"/>
      <w:start w:val="1"/>
    </w:lvl>
  </w:abstractNum>
  <w:abstractNum w:abstractNumId="251">
    <w:nsid w:val="51CB0DA4"/>
    <w:multiLevelType w:val="hybridMultilevel"/>
    <w:lvl w:ilvl="0">
      <w:lvlJc w:val="left"/>
      <w:lvlText w:val="-----"/>
      <w:numFmt w:val="bullet"/>
      <w:start w:val="1"/>
    </w:lvl>
  </w:abstractNum>
  <w:abstractNum w:abstractNumId="252">
    <w:nsid w:val="7B9B743C"/>
    <w:multiLevelType w:val="hybridMultilevel"/>
    <w:lvl w:ilvl="0">
      <w:lvlJc w:val="left"/>
      <w:lvlText w:val="----"/>
      <w:numFmt w:val="bullet"/>
      <w:start w:val="1"/>
    </w:lvl>
  </w:abstractNum>
  <w:abstractNum w:abstractNumId="253">
    <w:nsid w:val="13E21002"/>
    <w:multiLevelType w:val="hybridMultilevel"/>
    <w:lvl w:ilvl="0">
      <w:lvlJc w:val="left"/>
      <w:lvlText w:val="---"/>
      <w:numFmt w:val="bullet"/>
      <w:start w:val="1"/>
    </w:lvl>
  </w:abstractNum>
  <w:abstractNum w:abstractNumId="254">
    <w:nsid w:val="257D63F4"/>
    <w:multiLevelType w:val="hybridMultilevel"/>
    <w:lvl w:ilvl="0">
      <w:lvlJc w:val="left"/>
      <w:lvlText w:val="%1:"/>
      <w:numFmt w:val="lowerLetter"/>
      <w:start w:val="29"/>
    </w:lvl>
  </w:abstractNum>
  <w:abstractNum w:abstractNumId="255">
    <w:nsid w:val="70EC11B2"/>
    <w:multiLevelType w:val="hybridMultilevel"/>
    <w:lvl w:ilvl="0">
      <w:lvlJc w:val="left"/>
      <w:lvlText w:val="%1."/>
      <w:numFmt w:val="decimal"/>
      <w:start w:val="32"/>
    </w:lvl>
  </w:abstractNum>
  <w:abstractNum w:abstractNumId="256">
    <w:nsid w:val="2EDA00ED"/>
    <w:multiLevelType w:val="hybridMultilevel"/>
    <w:lvl w:ilvl="0">
      <w:lvlJc w:val="left"/>
      <w:lvlText w:val="--"/>
      <w:numFmt w:val="bullet"/>
      <w:start w:val="1"/>
    </w:lvl>
  </w:abstractNum>
  <w:abstractNum w:abstractNumId="257">
    <w:nsid w:val="73209072"/>
    <w:multiLevelType w:val="hybridMultilevel"/>
    <w:lvl w:ilvl="0">
      <w:lvlJc w:val="left"/>
      <w:lvlText w:val="$"/>
      <w:numFmt w:val="bullet"/>
      <w:start w:val="1"/>
    </w:lvl>
    <w:lvl w:ilvl="1">
      <w:lvlJc w:val="left"/>
      <w:lvlText w:val="----"/>
      <w:numFmt w:val="bullet"/>
      <w:start w:val="1"/>
    </w:lvl>
  </w:abstractNum>
  <w:abstractNum w:abstractNumId="258">
    <w:nsid w:val="5FB29816"/>
    <w:multiLevelType w:val="hybridMultilevel"/>
    <w:lvl w:ilvl="0">
      <w:lvlJc w:val="left"/>
      <w:lvlText w:val="%1"/>
      <w:numFmt w:val="upperLetter"/>
      <w:start w:val="1"/>
    </w:lvl>
    <w:lvl w:ilvl="1">
      <w:lvlJc w:val="left"/>
      <w:lvlText w:val="%2."/>
      <w:numFmt w:val="decimal"/>
      <w:start w:val="34"/>
    </w:lvl>
  </w:abstractNum>
  <w:abstractNum w:abstractNumId="259">
    <w:nsid w:val="3CE732EC"/>
    <w:multiLevelType w:val="hybridMultilevel"/>
    <w:lvl w:ilvl="0">
      <w:lvlJc w:val="left"/>
      <w:lvlText w:val="(%1)"/>
      <w:numFmt w:val="upperLetter"/>
      <w:start w:val="3"/>
    </w:lvl>
    <w:lvl w:ilvl="1">
      <w:lvlJc w:val="left"/>
      <w:lvlText w:val="%2"/>
      <w:numFmt w:val="decimal"/>
      <w:start w:val="1"/>
    </w:lvl>
  </w:abstractNum>
  <w:abstractNum w:abstractNumId="260">
    <w:nsid w:val="22F13DF3"/>
    <w:multiLevelType w:val="hybridMultilevel"/>
    <w:lvl w:ilvl="0">
      <w:lvlJc w:val="left"/>
      <w:lvlText w:val="%1."/>
      <w:numFmt w:val="decimal"/>
      <w:start w:val="35"/>
    </w:lvl>
  </w:abstractNum>
  <w:abstractNum w:abstractNumId="261">
    <w:nsid w:val="792B8401"/>
    <w:multiLevelType w:val="hybridMultilevel"/>
    <w:lvl w:ilvl="0">
      <w:lvlJc w:val="left"/>
      <w:lvlText w:val="(%1)"/>
      <w:numFmt w:val="lowerLetter"/>
      <w:start w:val="1"/>
    </w:lvl>
  </w:abstractNum>
  <w:abstractNum w:abstractNumId="262">
    <w:nsid w:val="FA85F4D"/>
    <w:multiLevelType w:val="hybridMultilevel"/>
    <w:lvl w:ilvl="0">
      <w:lvlJc w:val="left"/>
      <w:lvlText w:val="-"/>
      <w:numFmt w:val="bullet"/>
      <w:start w:val="1"/>
    </w:lvl>
    <w:lvl w:ilvl="1">
      <w:lvlJc w:val="left"/>
      <w:lvlText w:val="-----"/>
      <w:numFmt w:val="bullet"/>
      <w:start w:val="1"/>
    </w:lvl>
  </w:abstractNum>
  <w:abstractNum w:abstractNumId="263">
    <w:nsid w:val="6ECE91F0"/>
    <w:multiLevelType w:val="hybridMultilevel"/>
    <w:lvl w:ilvl="0">
      <w:lvlJc w:val="left"/>
      <w:lvlText w:val="--"/>
      <w:numFmt w:val="bullet"/>
      <w:start w:val="1"/>
    </w:lvl>
    <w:lvl w:ilvl="1">
      <w:lvlJc w:val="left"/>
      <w:lvlText w:val="-----"/>
      <w:numFmt w:val="bullet"/>
      <w:start w:val="1"/>
    </w:lvl>
  </w:abstractNum>
  <w:abstractNum w:abstractNumId="264">
    <w:nsid w:val="4FC4D600"/>
    <w:multiLevelType w:val="hybridMultilevel"/>
    <w:lvl w:ilvl="0">
      <w:lvlJc w:val="left"/>
      <w:lvlText w:val="--"/>
      <w:numFmt w:val="bullet"/>
      <w:start w:val="1"/>
    </w:lvl>
    <w:lvl w:ilvl="1">
      <w:lvlJc w:val="left"/>
      <w:lvlText w:val="-----"/>
      <w:numFmt w:val="bullet"/>
      <w:start w:val="1"/>
    </w:lvl>
  </w:abstractNum>
  <w:abstractNum w:abstractNumId="265">
    <w:nsid w:val="5BFD4210"/>
    <w:multiLevelType w:val="hybridMultilevel"/>
    <w:lvl w:ilvl="0">
      <w:lvlJc w:val="left"/>
      <w:lvlText w:val="-----"/>
      <w:numFmt w:val="bullet"/>
      <w:start w:val="1"/>
    </w:lvl>
    <w:lvl w:ilvl="1">
      <w:lvlJc w:val="left"/>
      <w:lvlText w:val="-----"/>
      <w:numFmt w:val="bullet"/>
      <w:start w:val="1"/>
    </w:lvl>
  </w:abstractNum>
  <w:abstractNum w:abstractNumId="266">
    <w:nsid w:val="76574F8B"/>
    <w:multiLevelType w:val="hybridMultilevel"/>
    <w:lvl w:ilvl="0">
      <w:lvlJc w:val="left"/>
      <w:lvlText w:val="-"/>
      <w:numFmt w:val="bullet"/>
      <w:start w:val="1"/>
    </w:lvl>
  </w:abstractNum>
  <w:abstractNum w:abstractNumId="267">
    <w:nsid w:val="178F7B67"/>
    <w:multiLevelType w:val="hybridMultilevel"/>
    <w:lvl w:ilvl="0">
      <w:lvlJc w:val="left"/>
      <w:lvlText w:val="-"/>
      <w:numFmt w:val="bullet"/>
      <w:start w:val="1"/>
    </w:lvl>
  </w:abstractNum>
  <w:abstractNum w:abstractNumId="268">
    <w:nsid w:val="2421DFCF"/>
    <w:multiLevelType w:val="hybridMultilevel"/>
    <w:lvl w:ilvl="0">
      <w:lvlJc w:val="left"/>
      <w:lvlText w:val="-"/>
      <w:numFmt w:val="bullet"/>
      <w:start w:val="1"/>
    </w:lvl>
  </w:abstractNum>
  <w:abstractNum w:abstractNumId="269">
    <w:nsid w:val="1565AC99"/>
    <w:multiLevelType w:val="hybridMultilevel"/>
    <w:lvl w:ilvl="0">
      <w:lvlJc w:val="left"/>
      <w:lvlText w:val="-"/>
      <w:numFmt w:val="bullet"/>
      <w:start w:val="1"/>
    </w:lvl>
  </w:abstractNum>
  <w:abstractNum w:abstractNumId="270">
    <w:nsid w:val="19FB2650"/>
    <w:multiLevelType w:val="hybridMultilevel"/>
    <w:lvl w:ilvl="0">
      <w:lvlJc w:val="left"/>
      <w:lvlText w:val="*"/>
      <w:numFmt w:val="bullet"/>
      <w:start w:val="1"/>
    </w:lvl>
  </w:abstractNum>
  <w:abstractNum w:abstractNumId="271">
    <w:nsid w:val="5024DE5B"/>
    <w:multiLevelType w:val="hybridMultilevel"/>
    <w:lvl w:ilvl="0">
      <w:lvlJc w:val="left"/>
      <w:lvlText w:val="%1"/>
      <w:numFmt w:val="lowerLetter"/>
      <w:start w:val="1"/>
    </w:lvl>
    <w:lvl w:ilvl="1">
      <w:lvlJc w:val="left"/>
      <w:lvlText w:val="%2."/>
      <w:numFmt w:val="decimal"/>
      <w:start w:val="1"/>
    </w:lvl>
  </w:abstractNum>
  <w:abstractNum w:abstractNumId="272">
    <w:nsid w:val="168EFE17"/>
    <w:multiLevelType w:val="hybridMultilevel"/>
    <w:lvl w:ilvl="0">
      <w:lvlJc w:val="left"/>
      <w:lvlText w:val="(%1)"/>
      <w:numFmt w:val="lowerLetter"/>
      <w:start w:val="1"/>
    </w:lvl>
    <w:lvl w:ilvl="1">
      <w:lvlJc w:val="left"/>
      <w:lvlText w:val="%2."/>
      <w:numFmt w:val="decimal"/>
      <w:start w:val="4"/>
    </w:lvl>
  </w:abstractNum>
  <w:abstractNum w:abstractNumId="273">
    <w:nsid w:val="1036B29F"/>
    <w:multiLevelType w:val="hybridMultilevel"/>
    <w:lvl w:ilvl="0">
      <w:lvlJc w:val="left"/>
      <w:lvlText w:val="%1."/>
      <w:numFmt w:val="decimal"/>
      <w:start w:val="5"/>
    </w:lvl>
  </w:abstractNum>
  <w:abstractNum w:abstractNumId="274">
    <w:nsid w:val="1D206B8E"/>
    <w:multiLevelType w:val="hybridMultilevel"/>
    <w:lvl w:ilvl="0">
      <w:lvlJc w:val="left"/>
      <w:lvlText w:val="%1"/>
      <w:numFmt w:val="lowerLetter"/>
      <w:start w:val="1"/>
    </w:lvl>
    <w:lvl w:ilvl="1">
      <w:lvlJc w:val="left"/>
      <w:lvlText w:val="%2."/>
      <w:numFmt w:val="decimal"/>
      <w:start w:val="7"/>
    </w:lvl>
  </w:abstractNum>
  <w:abstractNum w:abstractNumId="275">
    <w:nsid w:val="7934D3D4"/>
    <w:multiLevelType w:val="hybridMultilevel"/>
    <w:lvl w:ilvl="0">
      <w:lvlJc w:val="left"/>
      <w:lvlText w:val="(%1)"/>
      <w:numFmt w:val="lowerLetter"/>
      <w:start w:val="1"/>
    </w:lvl>
    <w:lvl w:ilvl="1">
      <w:lvlJc w:val="left"/>
      <w:lvlText w:val="%2."/>
      <w:numFmt w:val="decimal"/>
      <w:start w:val="13"/>
    </w:lvl>
  </w:abstractNum>
  <w:abstractNum w:abstractNumId="276">
    <w:nsid w:val="1C65E98"/>
    <w:multiLevelType w:val="hybridMultilevel"/>
    <w:lvl w:ilvl="0">
      <w:lvlJc w:val="left"/>
      <w:lvlText w:val="%1."/>
      <w:numFmt w:val="decimal"/>
      <w:start w:val="15"/>
    </w:lvl>
  </w:abstractNum>
  <w:abstractNum w:abstractNumId="277">
    <w:nsid w:val="1495E50A"/>
    <w:multiLevelType w:val="hybridMultilevel"/>
    <w:lvl w:ilvl="0">
      <w:lvlJc w:val="left"/>
      <w:lvlText w:val="%1."/>
      <w:numFmt w:val="decimal"/>
      <w:start w:val="1"/>
    </w:lvl>
  </w:abstractNum>
  <w:abstractNum w:abstractNumId="278">
    <w:nsid w:val="F5BCF61"/>
    <w:multiLevelType w:val="hybridMultilevel"/>
    <w:lvl w:ilvl="0">
      <w:lvlJc w:val="left"/>
      <w:lvlText w:val="(%1)"/>
      <w:numFmt w:val="lowerLetter"/>
      <w:start w:val="1"/>
    </w:lvl>
  </w:abstractNum>
  <w:abstractNum w:abstractNumId="279">
    <w:nsid w:val="3B1DD403"/>
    <w:multiLevelType w:val="hybridMultilevel"/>
    <w:lvl w:ilvl="0">
      <w:lvlJc w:val="left"/>
      <w:lvlText w:val="%1."/>
      <w:numFmt w:val="decimal"/>
      <w:start w:val="4"/>
    </w:lvl>
  </w:abstractNum>
  <w:abstractNum w:abstractNumId="280">
    <w:nsid w:val="530386D1"/>
    <w:multiLevelType w:val="hybridMultilevel"/>
    <w:lvl w:ilvl="0">
      <w:lvlJc w:val="left"/>
      <w:lvlText w:val="(%1)"/>
      <w:numFmt w:val="lowerLetter"/>
      <w:start w:val="2"/>
    </w:lvl>
  </w:abstractNum>
  <w:abstractNum w:abstractNumId="281">
    <w:nsid w:val="7525F2BC"/>
    <w:multiLevelType w:val="hybridMultilevel"/>
    <w:lvl w:ilvl="0">
      <w:lvlJc w:val="left"/>
      <w:lvlText w:val="(%1)"/>
      <w:numFmt w:val="lowerLetter"/>
      <w:start w:val="5"/>
    </w:lvl>
  </w:abstractNum>
  <w:abstractNum w:abstractNumId="282">
    <w:nsid w:val="CE8E1A7"/>
    <w:multiLevelType w:val="hybridMultilevel"/>
    <w:lvl w:ilvl="0">
      <w:lvlJc w:val="left"/>
      <w:lvlText w:val="%1."/>
      <w:numFmt w:val="decimal"/>
      <w:start w:val="5"/>
    </w:lvl>
  </w:abstractNum>
  <w:abstractNum w:abstractNumId="283">
    <w:nsid w:val="4E9EFB0D"/>
    <w:multiLevelType w:val="hybridMultilevel"/>
    <w:lvl w:ilvl="0">
      <w:lvlJc w:val="left"/>
      <w:lvlText w:val="(%1)"/>
      <w:numFmt w:val="lowerLetter"/>
      <w:start w:val="1"/>
    </w:lvl>
  </w:abstractNum>
  <w:abstractNum w:abstractNumId="284">
    <w:nsid w:val="90802BE"/>
    <w:multiLevelType w:val="hybridMultilevel"/>
    <w:lvl w:ilvl="0">
      <w:lvlJc w:val="left"/>
      <w:lvlText w:val="%1."/>
      <w:numFmt w:val="decimal"/>
      <w:start w:val="7"/>
    </w:lvl>
  </w:abstractNum>
  <w:abstractNum w:abstractNumId="285">
    <w:nsid w:val="3266459B"/>
    <w:multiLevelType w:val="hybridMultilevel"/>
    <w:lvl w:ilvl="0">
      <w:lvlJc w:val="left"/>
      <w:lvlText w:val="%1."/>
      <w:numFmt w:val="decimal"/>
      <w:start w:val="8"/>
    </w:lvl>
  </w:abstractNum>
  <w:abstractNum w:abstractNumId="286">
    <w:nsid w:val="3F8B0CBF"/>
    <w:multiLevelType w:val="hybridMultilevel"/>
    <w:lvl w:ilvl="0">
      <w:lvlJc w:val="left"/>
      <w:lvlText w:val="%1."/>
      <w:numFmt w:val="decimal"/>
      <w:start w:val="15"/>
    </w:lvl>
  </w:abstractNum>
  <w:abstractNum w:abstractNumId="287">
    <w:nsid w:val="37E203AB"/>
    <w:multiLevelType w:val="hybridMultilevel"/>
    <w:lvl w:ilvl="0">
      <w:lvlJc w:val="left"/>
      <w:lvlText w:val="%1."/>
      <w:numFmt w:val="decimal"/>
      <w:start w:val="1"/>
    </w:lvl>
  </w:abstractNum>
  <w:abstractNum w:abstractNumId="288">
    <w:nsid w:val="2586D60E"/>
    <w:multiLevelType w:val="hybridMultilevel"/>
    <w:lvl w:ilvl="0">
      <w:lvlJc w:val="left"/>
      <w:lvlText w:val="%1."/>
      <w:numFmt w:val="decimal"/>
      <w:start w:val="2"/>
    </w:lvl>
  </w:abstractNum>
  <w:abstractNum w:abstractNumId="289">
    <w:nsid w:val="1F3DA4D5"/>
    <w:multiLevelType w:val="hybridMultilevel"/>
    <w:lvl w:ilvl="0">
      <w:lvlJc w:val="left"/>
      <w:lvlText w:val="%1."/>
      <w:numFmt w:val="decimal"/>
      <w:start w:val="3"/>
    </w:lvl>
  </w:abstractNum>
  <w:abstractNum w:abstractNumId="290">
    <w:nsid w:val="74C93698"/>
    <w:multiLevelType w:val="hybridMultilevel"/>
    <w:lvl w:ilvl="0">
      <w:lvlJc w:val="left"/>
      <w:lvlText w:val="(%1)"/>
      <w:numFmt w:val="upperLetter"/>
      <w:start w:val="1"/>
    </w:lvl>
  </w:abstractNum>
  <w:abstractNum w:abstractNumId="291">
    <w:nsid w:val="48781401"/>
    <w:multiLevelType w:val="hybridMultilevel"/>
    <w:lvl w:ilvl="0">
      <w:lvlJc w:val="left"/>
      <w:lvlText w:val="%1."/>
      <w:numFmt w:val="decimal"/>
      <w:start w:val="4"/>
    </w:lvl>
  </w:abstractNum>
  <w:abstractNum w:abstractNumId="292">
    <w:nsid w:val="186928D6"/>
    <w:multiLevelType w:val="hybridMultilevel"/>
    <w:lvl w:ilvl="0">
      <w:lvlJc w:val="left"/>
      <w:lvlText w:val="(%1)"/>
      <w:numFmt w:val="upperLetter"/>
      <w:start w:val="1"/>
    </w:lvl>
  </w:abstractNum>
  <w:abstractNum w:abstractNumId="293">
    <w:nsid w:val="47195E5"/>
    <w:multiLevelType w:val="hybridMultilevel"/>
    <w:lvl w:ilvl="0">
      <w:lvlJc w:val="left"/>
      <w:lvlText w:val="(%1)"/>
      <w:numFmt w:val="upperLetter"/>
      <w:start w:val="2"/>
    </w:lvl>
  </w:abstractNum>
  <w:abstractNum w:abstractNumId="294">
    <w:nsid w:val="3746A5F2"/>
    <w:multiLevelType w:val="hybridMultilevel"/>
    <w:lvl w:ilvl="0">
      <w:lvlJc w:val="left"/>
      <w:lvlText w:val="(%1)"/>
      <w:numFmt w:val="upperLetter"/>
      <w:start w:val="5"/>
    </w:lvl>
  </w:abstractNum>
  <w:abstractNum w:abstractNumId="295">
    <w:nsid w:val="682DFED6"/>
    <w:multiLevelType w:val="hybridMultilevel"/>
    <w:lvl w:ilvl="0">
      <w:lvlJc w:val="left"/>
      <w:lvlText w:val="(%1)"/>
      <w:numFmt w:val="upperLetter"/>
      <w:start w:val="6"/>
    </w:lvl>
  </w:abstractNum>
  <w:abstractNum w:abstractNumId="296">
    <w:nsid w:val="606ED7F6"/>
    <w:multiLevelType w:val="hybridMultilevel"/>
    <w:lvl w:ilvl="0">
      <w:lvlJc w:val="left"/>
      <w:lvlText w:val="%1."/>
      <w:numFmt w:val="decimal"/>
      <w:start w:val="5"/>
    </w:lvl>
  </w:abstractNum>
  <w:abstractNum w:abstractNumId="297">
    <w:nsid w:val="2D9DF57D"/>
    <w:multiLevelType w:val="hybridMultilevel"/>
    <w:lvl w:ilvl="0">
      <w:lvlJc w:val="left"/>
      <w:lvlText w:val="(%1)"/>
      <w:numFmt w:val="upperLetter"/>
      <w:start w:val="1"/>
    </w:lvl>
  </w:abstractNum>
  <w:abstractNum w:abstractNumId="298">
    <w:nsid w:val="7FBD7A3E"/>
    <w:multiLevelType w:val="hybridMultilevel"/>
    <w:lvl w:ilvl="0">
      <w:lvlJc w:val="left"/>
      <w:lvlText w:val="(%1)"/>
      <w:numFmt w:val="lowerRoman"/>
      <w:start w:val="1"/>
    </w:lvl>
  </w:abstractNum>
  <w:abstractNum w:abstractNumId="299">
    <w:nsid w:val="490B7C5"/>
    <w:multiLevelType w:val="hybridMultilevel"/>
    <w:lvl w:ilvl="0">
      <w:lvlJc w:val="left"/>
      <w:lvlText w:val="(%1)"/>
      <w:numFmt w:val="upperLetter"/>
      <w:start w:val="4"/>
    </w:lvl>
    <w:lvl w:ilvl="1">
      <w:lvlJc w:val="left"/>
      <w:lvlText w:val="(%2)"/>
      <w:numFmt w:val="lowerRoman"/>
      <w:start w:val="1"/>
    </w:lvl>
    <w:lvl w:ilvl="2">
      <w:lvlJc w:val="left"/>
      <w:lvlText w:val="(%3)"/>
      <w:numFmt w:val="upperLetter"/>
      <w:start w:val="3"/>
    </w:lvl>
  </w:abstractNum>
  <w:abstractNum w:abstractNumId="300">
    <w:nsid w:val="4303A216"/>
    <w:multiLevelType w:val="hybridMultilevel"/>
    <w:lvl w:ilvl="0">
      <w:lvlJc w:val="left"/>
      <w:lvlText w:val="%1"/>
      <w:numFmt w:val="upperLetter"/>
      <w:start w:val="1"/>
    </w:lvl>
    <w:lvl w:ilvl="1">
      <w:lvlJc w:val="left"/>
      <w:lvlText w:val="(%2)"/>
      <w:numFmt w:val="decimal"/>
      <w:start w:val="60"/>
    </w:lvl>
  </w:abstractNum>
  <w:abstractNum w:abstractNumId="301">
    <w:nsid w:val="19B8A08E"/>
    <w:multiLevelType w:val="hybridMultilevel"/>
    <w:lvl w:ilvl="0">
      <w:lvlJc w:val="left"/>
      <w:lvlText w:val="(%1)"/>
      <w:numFmt w:val="upperLetter"/>
      <w:start w:val="5"/>
    </w:lvl>
    <w:lvl w:ilvl="1">
      <w:lvlJc w:val="left"/>
      <w:lvlText w:val="%2"/>
      <w:numFmt w:val="decimal"/>
      <w:start w:val="1"/>
    </w:lvl>
  </w:abstractNum>
  <w:abstractNum w:abstractNumId="302">
    <w:nsid w:val="54B59621"/>
    <w:multiLevelType w:val="hybridMultilevel"/>
    <w:lvl w:ilvl="0">
      <w:lvlJc w:val="left"/>
      <w:lvlText w:val="%1."/>
      <w:numFmt w:val="decimal"/>
      <w:start w:val="6"/>
    </w:lvl>
  </w:abstractNum>
  <w:abstractNum w:abstractNumId="303">
    <w:nsid w:val="5992A02E"/>
    <w:multiLevelType w:val="hybridMultilevel"/>
    <w:lvl w:ilvl="0">
      <w:lvlJc w:val="left"/>
      <w:lvlText w:val="(%1)"/>
      <w:numFmt w:val="upperLetter"/>
      <w:start w:val="1"/>
    </w:lvl>
  </w:abstractNum>
  <w:abstractNum w:abstractNumId="304">
    <w:nsid w:val="29EF532D"/>
    <w:multiLevelType w:val="hybridMultilevel"/>
    <w:lvl w:ilvl="0">
      <w:lvlJc w:val="left"/>
      <w:lvlText w:val="%1"/>
      <w:numFmt w:val="lowerRoman"/>
      <w:start w:val="1"/>
    </w:lvl>
    <w:lvl w:ilvl="1">
      <w:lvlJc w:val="left"/>
      <w:lvlText w:val="(%2)"/>
      <w:numFmt w:val="lowerRoman"/>
      <w:start w:val="1"/>
    </w:lvl>
  </w:abstractNum>
  <w:abstractNum w:abstractNumId="305">
    <w:nsid w:val="71D601AF"/>
    <w:multiLevelType w:val="hybridMultilevel"/>
    <w:lvl w:ilvl="0">
      <w:lvlJc w:val="left"/>
      <w:lvlText w:val="(%1)"/>
      <w:numFmt w:val="lowerRoman"/>
      <w:start w:val="3"/>
    </w:lvl>
    <w:lvl w:ilvl="1">
      <w:lvlJc w:val="left"/>
      <w:lvlText w:val="%2"/>
      <w:numFmt w:val="lowerRoman"/>
      <w:start w:val="1"/>
    </w:lvl>
  </w:abstractNum>
  <w:abstractNum w:abstractNumId="306">
    <w:nsid w:val="52C77402"/>
    <w:multiLevelType w:val="hybridMultilevel"/>
    <w:lvl w:ilvl="0">
      <w:lvlJc w:val="left"/>
      <w:lvlText w:val="(%1)"/>
      <w:numFmt w:val="upperLetter"/>
      <w:start w:val="2"/>
    </w:lvl>
  </w:abstractNum>
  <w:abstractNum w:abstractNumId="307">
    <w:nsid w:val="2BB5B1C6"/>
    <w:multiLevelType w:val="hybridMultilevel"/>
    <w:lvl w:ilvl="0">
      <w:lvlJc w:val="left"/>
      <w:lvlText w:val="(%1)"/>
      <w:numFmt w:val="lowerRoman"/>
      <w:start w:val="1"/>
    </w:lvl>
  </w:abstractNum>
  <w:abstractNum w:abstractNumId="308">
    <w:nsid w:val="66BE6B9"/>
    <w:multiLevelType w:val="hybridMultilevel"/>
    <w:lvl w:ilvl="0">
      <w:lvlJc w:val="left"/>
      <w:lvlText w:val="(%1)"/>
      <w:numFmt w:val="upperLetter"/>
      <w:start w:val="3"/>
    </w:lvl>
  </w:abstractNum>
  <w:abstractNum w:abstractNumId="309">
    <w:nsid w:val="62234363"/>
    <w:multiLevelType w:val="hybridMultilevel"/>
    <w:lvl w:ilvl="0">
      <w:lvlJc w:val="left"/>
      <w:lvlText w:val="(%1)"/>
      <w:numFmt w:val="lowerRoman"/>
      <w:start w:val="1"/>
    </w:lvl>
  </w:abstractNum>
  <w:abstractNum w:abstractNumId="310">
    <w:nsid w:val="66D385C9"/>
    <w:multiLevelType w:val="hybridMultilevel"/>
    <w:lvl w:ilvl="0">
      <w:lvlJc w:val="left"/>
      <w:lvlText w:val="(%1)"/>
      <w:numFmt w:val="lowerRoman"/>
      <w:start w:val="3"/>
    </w:lvl>
  </w:abstractNum>
  <w:abstractNum w:abstractNumId="311">
    <w:nsid w:val="596F6D8A"/>
    <w:multiLevelType w:val="hybridMultilevel"/>
    <w:lvl w:ilvl="0">
      <w:lvlJc w:val="left"/>
      <w:lvlText w:val="(%1)"/>
      <w:numFmt w:val="upperLetter"/>
      <w:start w:val="4"/>
    </w:lvl>
  </w:abstractNum>
  <w:abstractNum w:abstractNumId="312">
    <w:nsid w:val="5749361F"/>
    <w:multiLevelType w:val="hybridMultilevel"/>
    <w:lvl w:ilvl="0">
      <w:lvlJc w:val="left"/>
      <w:lvlText w:val="(%1)"/>
      <w:numFmt w:val="lowerRoman"/>
      <w:start w:val="1"/>
    </w:lvl>
  </w:abstractNum>
  <w:abstractNum w:abstractNumId="313">
    <w:nsid w:val="73BC6770"/>
    <w:multiLevelType w:val="hybridMultilevel"/>
    <w:lvl w:ilvl="0">
      <w:lvlJc w:val="left"/>
      <w:lvlText w:val="(%1)"/>
      <w:numFmt w:val="upperLetter"/>
      <w:start w:val="5"/>
    </w:lvl>
  </w:abstractNum>
  <w:abstractNum w:abstractNumId="314">
    <w:nsid w:val="280E6897"/>
    <w:multiLevelType w:val="hybridMultilevel"/>
    <w:lvl w:ilvl="0">
      <w:lvlJc w:val="left"/>
      <w:lvlText w:val="(%1)"/>
      <w:numFmt w:val="lowerRoman"/>
      <w:start w:val="1"/>
    </w:lvl>
  </w:abstractNum>
  <w:abstractNum w:abstractNumId="315">
    <w:nsid w:val="605138DE"/>
    <w:multiLevelType w:val="hybridMultilevel"/>
    <w:lvl w:ilvl="0">
      <w:lvlJc w:val="left"/>
      <w:lvlText w:val="(%1)"/>
      <w:numFmt w:val="lowerRoman"/>
      <w:start w:val="4"/>
    </w:lvl>
  </w:abstractNum>
  <w:abstractNum w:abstractNumId="316">
    <w:nsid w:val="2622AD0C"/>
    <w:multiLevelType w:val="hybridMultilevel"/>
    <w:lvl w:ilvl="0">
      <w:lvlJc w:val="left"/>
      <w:lvlText w:val="(%1)"/>
      <w:numFmt w:val="upperLetter"/>
      <w:start w:val="6"/>
    </w:lvl>
  </w:abstractNum>
  <w:abstractNum w:abstractNumId="317">
    <w:nsid w:val="67997556"/>
    <w:multiLevelType w:val="hybridMultilevel"/>
    <w:lvl w:ilvl="0">
      <w:lvlJc w:val="left"/>
      <w:lvlText w:val="%1."/>
      <w:numFmt w:val="decimal"/>
      <w:start w:val="7"/>
    </w:lvl>
  </w:abstractNum>
  <w:abstractNum w:abstractNumId="318">
    <w:nsid w:val="18333C89"/>
    <w:multiLevelType w:val="hybridMultilevel"/>
    <w:lvl w:ilvl="0">
      <w:lvlJc w:val="left"/>
      <w:lvlText w:val="(%1)"/>
      <w:numFmt w:val="upperLetter"/>
      <w:start w:val="1"/>
    </w:lvl>
  </w:abstractNum>
  <w:abstractNum w:abstractNumId="319">
    <w:nsid w:val="4BA9831A"/>
    <w:multiLevelType w:val="hybridMultilevel"/>
    <w:lvl w:ilvl="0">
      <w:lvlJc w:val="left"/>
      <w:lvlText w:val="(%1)"/>
      <w:numFmt w:val="lowerRoman"/>
      <w:start w:val="1"/>
    </w:lvl>
    <w:lvl w:ilvl="1">
      <w:lvlJc w:val="left"/>
      <w:lvlText w:val="(%2)"/>
      <w:numFmt w:val="decimal"/>
      <w:start w:val="5"/>
    </w:lvl>
  </w:abstractNum>
  <w:abstractNum w:abstractNumId="320">
    <w:nsid w:val="6D71A2B"/>
    <w:multiLevelType w:val="hybridMultilevel"/>
    <w:lvl w:ilvl="0">
      <w:lvlJc w:val="left"/>
      <w:lvlText w:val="(%1)"/>
      <w:numFmt w:val="upperLetter"/>
      <w:start w:val="2"/>
    </w:lvl>
  </w:abstractNum>
  <w:abstractNum w:abstractNumId="321">
    <w:nsid w:val="CFC7321"/>
    <w:multiLevelType w:val="hybridMultilevel"/>
    <w:lvl w:ilvl="0">
      <w:lvlJc w:val="left"/>
      <w:lvlText w:val="(%1)"/>
      <w:numFmt w:val="lowerRoman"/>
      <w:start w:val="1"/>
    </w:lvl>
  </w:abstractNum>
  <w:abstractNum w:abstractNumId="322">
    <w:nsid w:val="1421971B"/>
    <w:multiLevelType w:val="hybridMultilevel"/>
    <w:lvl w:ilvl="0">
      <w:lvlJc w:val="left"/>
      <w:lvlText w:val="(%1)"/>
      <w:numFmt w:val="lowerRoman"/>
      <w:start w:val="3"/>
    </w:lvl>
  </w:abstractNum>
  <w:abstractNum w:abstractNumId="323">
    <w:nsid w:val="1F404301"/>
    <w:multiLevelType w:val="hybridMultilevel"/>
    <w:lvl w:ilvl="0">
      <w:lvlJc w:val="left"/>
      <w:lvlText w:val="%1"/>
      <w:numFmt w:val="decimal"/>
      <w:start w:val="1"/>
    </w:lvl>
    <w:lvl w:ilvl="1">
      <w:lvlJc w:val="left"/>
      <w:lvlText w:val="(%2)"/>
      <w:numFmt w:val="lowerRoman"/>
      <w:start w:val="1"/>
    </w:lvl>
  </w:abstractNum>
  <w:abstractNum w:abstractNumId="324">
    <w:nsid w:val="116E0907"/>
    <w:multiLevelType w:val="hybridMultilevel"/>
    <w:lvl w:ilvl="0">
      <w:lvlJc w:val="left"/>
      <w:lvlText w:val="%1."/>
      <w:numFmt w:val="decimal"/>
      <w:start w:val="8"/>
    </w:lvl>
    <w:lvl w:ilvl="1">
      <w:lvlJc w:val="left"/>
      <w:lvlText w:val="%2"/>
      <w:numFmt w:val="lowerRoman"/>
      <w:start w:val="1"/>
    </w:lvl>
  </w:abstractNum>
  <w:abstractNum w:abstractNumId="325">
    <w:nsid w:val="4B683D0D"/>
    <w:multiLevelType w:val="hybridMultilevel"/>
    <w:lvl w:ilvl="0">
      <w:lvlJc w:val="left"/>
      <w:lvlText w:val="(%1)"/>
      <w:numFmt w:val="upperLetter"/>
      <w:start w:val="1"/>
    </w:lvl>
  </w:abstractNum>
  <w:abstractNum w:abstractNumId="326">
    <w:nsid w:val="76E41D8"/>
    <w:multiLevelType w:val="hybridMultilevel"/>
    <w:lvl w:ilvl="0">
      <w:lvlJc w:val="left"/>
      <w:lvlText w:val="(%1)"/>
      <w:numFmt w:val="upperLetter"/>
      <w:start w:val="2"/>
    </w:lvl>
  </w:abstractNum>
  <w:abstractNum w:abstractNumId="327">
    <w:nsid w:val="71DCE0FD"/>
    <w:multiLevelType w:val="hybridMultilevel"/>
    <w:lvl w:ilvl="0">
      <w:lvlJc w:val="left"/>
      <w:lvlText w:val="(%1)"/>
      <w:numFmt w:val="upperLetter"/>
      <w:start w:val="4"/>
    </w:lvl>
  </w:abstractNum>
  <w:abstractNum w:abstractNumId="328">
    <w:nsid w:val="7906328B"/>
    <w:multiLevelType w:val="hybridMultilevel"/>
    <w:lvl w:ilvl="0">
      <w:lvlJc w:val="left"/>
      <w:lvlText w:val="(%1)"/>
      <w:numFmt w:val="upperLetter"/>
      <w:start w:val="5"/>
    </w:lvl>
  </w:abstractNum>
  <w:abstractNum w:abstractNumId="329">
    <w:nsid w:val="72BBC16"/>
    <w:multiLevelType w:val="hybridMultilevel"/>
    <w:lvl w:ilvl="0">
      <w:lvlJc w:val="left"/>
      <w:lvlText w:val="(%1)"/>
      <w:numFmt w:val="upperLetter"/>
      <w:start w:val="7"/>
    </w:lvl>
  </w:abstractNum>
  <w:abstractNum w:abstractNumId="330">
    <w:nsid w:val="766D98C2"/>
    <w:multiLevelType w:val="hybridMultilevel"/>
    <w:lvl w:ilvl="0">
      <w:lvlJc w:val="left"/>
      <w:lvlText w:val="%1."/>
      <w:numFmt w:val="decimal"/>
      <w:start w:val="9"/>
    </w:lvl>
  </w:abstractNum>
  <w:abstractNum w:abstractNumId="331">
    <w:nsid w:val="3C09D4A1"/>
    <w:multiLevelType w:val="hybridMultilevel"/>
    <w:lvl w:ilvl="0">
      <w:lvlJc w:val="left"/>
      <w:lvlText w:val="(%1)"/>
      <w:numFmt w:val="upperLetter"/>
      <w:start w:val="1"/>
    </w:lvl>
  </w:abstractNum>
  <w:abstractNum w:abstractNumId="332">
    <w:nsid w:val="20E45CA4"/>
    <w:multiLevelType w:val="hybridMultilevel"/>
    <w:lvl w:ilvl="0">
      <w:lvlJc w:val="left"/>
      <w:lvlText w:val="(%1)"/>
      <w:numFmt w:val="upperLetter"/>
      <w:start w:val="3"/>
    </w:lvl>
  </w:abstractNum>
  <w:abstractNum w:abstractNumId="333">
    <w:nsid w:val="4B232EE3"/>
    <w:multiLevelType w:val="hybridMultilevel"/>
    <w:lvl w:ilvl="0">
      <w:lvlJc w:val="left"/>
      <w:lvlText w:val="%1."/>
      <w:numFmt w:val="decimal"/>
      <w:start w:val="10"/>
    </w:lvl>
  </w:abstractNum>
  <w:abstractNum w:abstractNumId="334">
    <w:nsid w:val="159C74CF"/>
    <w:multiLevelType w:val="hybridMultilevel"/>
    <w:lvl w:ilvl="0">
      <w:lvlJc w:val="left"/>
      <w:lvlText w:val="%1."/>
      <w:numFmt w:val="decimal"/>
      <w:start w:val="11"/>
    </w:lvl>
  </w:abstractNum>
  <w:abstractNum w:abstractNumId="335">
    <w:nsid w:val="4AD3AFD2"/>
    <w:multiLevelType w:val="hybridMultilevel"/>
    <w:lvl w:ilvl="0">
      <w:lvlJc w:val="left"/>
      <w:lvlText w:val="%1."/>
      <w:numFmt w:val="decimal"/>
      <w:start w:val="12"/>
    </w:lvl>
  </w:abstractNum>
  <w:abstractNum w:abstractNumId="336">
    <w:nsid w:val="3CF93092"/>
    <w:multiLevelType w:val="hybridMultilevel"/>
    <w:lvl w:ilvl="0">
      <w:lvlJc w:val="left"/>
      <w:lvlText w:val="%1."/>
      <w:numFmt w:val="decimal"/>
      <w:start w:val="13"/>
    </w:lvl>
  </w:abstractNum>
  <w:abstractNum w:abstractNumId="337">
    <w:nsid w:val="6863E8D2"/>
    <w:multiLevelType w:val="hybridMultilevel"/>
    <w:lvl w:ilvl="0">
      <w:lvlJc w:val="left"/>
      <w:lvlText w:val="%1."/>
      <w:numFmt w:val="decimal"/>
      <w:start w:val="14"/>
    </w:lvl>
  </w:abstractNum>
  <w:abstractNum w:abstractNumId="338">
    <w:nsid w:val="76896198"/>
    <w:multiLevelType w:val="hybridMultilevel"/>
    <w:lvl w:ilvl="0">
      <w:lvlJc w:val="left"/>
      <w:lvlText w:val="%1."/>
      <w:numFmt w:val="decimal"/>
      <w:start w:val="15"/>
    </w:lvl>
  </w:abstractNum>
  <w:abstractNum w:abstractNumId="339">
    <w:nsid w:val="4365174B"/>
    <w:multiLevelType w:val="hybridMultilevel"/>
    <w:lvl w:ilvl="0">
      <w:lvlJc w:val="left"/>
      <w:lvlText w:val="%1."/>
      <w:numFmt w:val="decimal"/>
      <w:start w:val="16"/>
    </w:lvl>
  </w:abstractNum>
  <w:abstractNum w:abstractNumId="340">
    <w:nsid w:val="4A872C35"/>
    <w:multiLevelType w:val="hybridMultilevel"/>
    <w:lvl w:ilvl="0">
      <w:lvlJc w:val="left"/>
      <w:lvlText w:val="%1."/>
      <w:numFmt w:val="decimal"/>
      <w:start w:val="17"/>
    </w:lvl>
  </w:abstractNum>
  <w:abstractNum w:abstractNumId="341">
    <w:nsid w:val="5D5CE761"/>
    <w:multiLevelType w:val="hybridMultilevel"/>
    <w:lvl w:ilvl="0">
      <w:lvlJc w:val="left"/>
      <w:lvlText w:val="%1."/>
      <w:numFmt w:val="decimal"/>
      <w:start w:val="18"/>
    </w:lvl>
  </w:abstractNum>
  <w:abstractNum w:abstractNumId="342">
    <w:nsid w:val="1CD484D5"/>
    <w:multiLevelType w:val="hybridMultilevel"/>
    <w:lvl w:ilvl="0">
      <w:lvlJc w:val="left"/>
      <w:lvlText w:val="%1."/>
      <w:numFmt w:val="decimal"/>
      <w:start w:val="19"/>
    </w:lvl>
  </w:abstractNum>
  <w:abstractNum w:abstractNumId="343">
    <w:nsid w:val="21D06255"/>
    <w:multiLevelType w:val="hybridMultilevel"/>
    <w:lvl w:ilvl="0">
      <w:lvlJc w:val="left"/>
      <w:lvlText w:val="(%1)"/>
      <w:numFmt w:val="upperLetter"/>
      <w:start w:val="1"/>
    </w:lvl>
  </w:abstractNum>
  <w:abstractNum w:abstractNumId="344">
    <w:nsid w:val="51194ED1"/>
    <w:multiLevelType w:val="hybridMultilevel"/>
    <w:lvl w:ilvl="0">
      <w:lvlJc w:val="left"/>
      <w:lvlText w:val="(%1)"/>
      <w:numFmt w:val="decimal"/>
      <w:start w:val="1"/>
    </w:lvl>
    <w:lvl w:ilvl="1">
      <w:lvlJc w:val="left"/>
      <w:lvlText w:val="%2."/>
      <w:numFmt w:val="decimal"/>
      <w:start w:val="3"/>
    </w:lvl>
  </w:abstractNum>
  <w:abstractNum w:abstractNumId="345">
    <w:nsid w:val="44E2ED6C"/>
    <w:multiLevelType w:val="hybridMultilevel"/>
    <w:lvl w:ilvl="0">
      <w:lvlJc w:val="left"/>
      <w:lvlText w:val="(%1)"/>
      <w:numFmt w:val="upperLetter"/>
      <w:start w:val="1"/>
    </w:lvl>
  </w:abstractNum>
  <w:abstractNum w:abstractNumId="346">
    <w:nsid w:val="2219B33"/>
    <w:multiLevelType w:val="hybridMultilevel"/>
    <w:lvl w:ilvl="0">
      <w:lvlJc w:val="left"/>
      <w:lvlText w:val="(%1)"/>
      <w:numFmt w:val="upperLetter"/>
      <w:start w:val="1"/>
    </w:lvl>
  </w:abstractNum>
  <w:abstractNum w:abstractNumId="347">
    <w:nsid w:val="773BFBDD"/>
    <w:multiLevelType w:val="hybridMultilevel"/>
    <w:lvl w:ilvl="0">
      <w:lvlJc w:val="left"/>
      <w:lvlText w:val="(%1)"/>
      <w:numFmt w:val="upperLetter"/>
      <w:start w:val="2"/>
    </w:lvl>
  </w:abstractNum>
  <w:abstractNum w:abstractNumId="348">
    <w:nsid w:val="2C7C62C2"/>
    <w:multiLevelType w:val="hybridMultilevel"/>
    <w:lvl w:ilvl="0">
      <w:lvlJc w:val="left"/>
      <w:lvlText w:val="(%1)"/>
      <w:numFmt w:val="upperLetter"/>
      <w:start w:val="5"/>
    </w:lvl>
  </w:abstractNum>
  <w:abstractNum w:abstractNumId="349">
    <w:nsid w:val="1A54D7BC"/>
    <w:multiLevelType w:val="hybridMultilevel"/>
    <w:lvl w:ilvl="0">
      <w:lvlJc w:val="left"/>
      <w:lvlText w:val="(%1)"/>
      <w:numFmt w:val="upperLetter"/>
      <w:start w:val="1"/>
    </w:lvl>
  </w:abstractNum>
  <w:abstractNum w:abstractNumId="350">
    <w:nsid w:val="42E57EF7"/>
    <w:multiLevelType w:val="hybridMultilevel"/>
    <w:lvl w:ilvl="0">
      <w:lvlJc w:val="left"/>
      <w:lvlText w:val="(%1)"/>
      <w:numFmt w:val="upperLetter"/>
      <w:start w:val="2"/>
    </w:lvl>
  </w:abstractNum>
  <w:abstractNum w:abstractNumId="351">
    <w:nsid w:val="33537CED"/>
    <w:multiLevelType w:val="hybridMultilevel"/>
    <w:lvl w:ilvl="0">
      <w:lvlJc w:val="left"/>
      <w:lvlText w:val="(%1)"/>
      <w:numFmt w:val="lowerRoman"/>
      <w:start w:val="1"/>
    </w:lvl>
  </w:abstractNum>
  <w:abstractNum w:abstractNumId="352">
    <w:nsid w:val="27514ADE"/>
    <w:multiLevelType w:val="hybridMultilevel"/>
    <w:lvl w:ilvl="0">
      <w:lvlJc w:val="left"/>
      <w:lvlText w:val="(%1)"/>
      <w:numFmt w:val="upperLetter"/>
      <w:start w:val="4"/>
    </w:lvl>
  </w:abstractNum>
  <w:abstractNum w:abstractNumId="353">
    <w:nsid w:val="57071613"/>
    <w:multiLevelType w:val="hybridMultilevel"/>
    <w:lvl w:ilvl="0">
      <w:lvlJc w:val="left"/>
      <w:lvlText w:val="(%1)"/>
      <w:numFmt w:val="lowerRoman"/>
      <w:start w:val="1"/>
    </w:lvl>
  </w:abstractNum>
  <w:abstractNum w:abstractNumId="354">
    <w:nsid w:val="5293BFEF"/>
    <w:multiLevelType w:val="hybridMultilevel"/>
    <w:lvl w:ilvl="0">
      <w:lvlJc w:val="left"/>
      <w:lvlText w:val="(%1)"/>
      <w:numFmt w:val="upperLetter"/>
      <w:start w:val="5"/>
    </w:lvl>
  </w:abstractNum>
  <w:abstractNum w:abstractNumId="355">
    <w:nsid w:val="38BF53E5"/>
    <w:multiLevelType w:val="hybridMultilevel"/>
    <w:lvl w:ilvl="0">
      <w:lvlJc w:val="left"/>
      <w:lvlText w:val="(%1)"/>
      <w:numFmt w:val="upperLetter"/>
      <w:start w:val="6"/>
    </w:lvl>
  </w:abstractNum>
  <w:abstractNum w:abstractNumId="356">
    <w:nsid w:val="226F5320"/>
    <w:multiLevelType w:val="hybridMultilevel"/>
    <w:lvl w:ilvl="0">
      <w:lvlJc w:val="left"/>
      <w:lvlText w:val="(%1)"/>
      <w:numFmt w:val="upperLetter"/>
      <w:start w:val="1"/>
    </w:lvl>
  </w:abstractNum>
  <w:abstractNum w:abstractNumId="357">
    <w:nsid w:val="5A0201C7"/>
    <w:multiLevelType w:val="hybridMultilevel"/>
    <w:lvl w:ilvl="0">
      <w:lvlJc w:val="left"/>
      <w:lvlText w:val="(%1)"/>
      <w:numFmt w:val="lowerRoman"/>
      <w:start w:val="1"/>
    </w:lvl>
  </w:abstractNum>
  <w:abstractNum w:abstractNumId="358">
    <w:nsid w:val="2A9C34E2"/>
    <w:multiLevelType w:val="hybridMultilevel"/>
    <w:lvl w:ilvl="0">
      <w:lvlJc w:val="left"/>
      <w:lvlText w:val="(%1)"/>
      <w:numFmt w:val="upperLetter"/>
      <w:start w:val="2"/>
    </w:lvl>
  </w:abstractNum>
  <w:abstractNum w:abstractNumId="359">
    <w:nsid w:val="1B7585AB"/>
    <w:multiLevelType w:val="hybridMultilevel"/>
    <w:lvl w:ilvl="0">
      <w:lvlJc w:val="left"/>
      <w:lvlText w:val="(%1)"/>
      <w:numFmt w:val="lowerRoman"/>
      <w:start w:val="1"/>
    </w:lvl>
  </w:abstractNum>
  <w:abstractNum w:abstractNumId="360">
    <w:nsid w:val="612DBDDD"/>
    <w:multiLevelType w:val="hybridMultilevel"/>
    <w:lvl w:ilvl="0">
      <w:lvlJc w:val="left"/>
      <w:lvlText w:val="(%1)"/>
      <w:numFmt w:val="lowerRoman"/>
      <w:start w:val="2"/>
    </w:lvl>
  </w:abstractNum>
  <w:abstractNum w:abstractNumId="361">
    <w:nsid w:val="2109CDA4"/>
    <w:multiLevelType w:val="hybridMultilevel"/>
    <w:lvl w:ilvl="0">
      <w:lvlJc w:val="left"/>
      <w:lvlText w:val="(%1)"/>
      <w:numFmt w:val="upperLetter"/>
      <w:start w:val="3"/>
    </w:lvl>
  </w:abstractNum>
  <w:abstractNum w:abstractNumId="362">
    <w:nsid w:val="577F5A4D"/>
    <w:multiLevelType w:val="hybridMultilevel"/>
    <w:lvl w:ilvl="0">
      <w:lvlJc w:val="left"/>
      <w:lvlText w:val="(%1)"/>
      <w:numFmt w:val="lowerRoman"/>
      <w:start w:val="1"/>
    </w:lvl>
  </w:abstractNum>
  <w:abstractNum w:abstractNumId="363">
    <w:nsid w:val="2121A81"/>
    <w:multiLevelType w:val="hybridMultilevel"/>
    <w:lvl w:ilvl="0">
      <w:lvlJc w:val="left"/>
      <w:lvlText w:val="(%1)"/>
      <w:numFmt w:val="upperLetter"/>
      <w:start w:val="4"/>
    </w:lvl>
  </w:abstractNum>
  <w:abstractNum w:abstractNumId="364">
    <w:nsid w:val="6C2CFC88"/>
    <w:multiLevelType w:val="hybridMultilevel"/>
    <w:lvl w:ilvl="0">
      <w:lvlJc w:val="left"/>
      <w:lvlText w:val="(%1)"/>
      <w:numFmt w:val="lowerRoman"/>
      <w:start w:val="1"/>
    </w:lvl>
    <w:lvl w:ilvl="1">
      <w:lvlJc w:val="left"/>
      <w:lvlText w:val="(%2)"/>
      <w:numFmt w:val="decimal"/>
      <w:start w:val="90"/>
    </w:lvl>
  </w:abstractNum>
  <w:abstractNum w:abstractNumId="365">
    <w:nsid w:val="6D1BCF1C"/>
    <w:multiLevelType w:val="hybridMultilevel"/>
    <w:lvl w:ilvl="0">
      <w:lvlJc w:val="left"/>
      <w:lvlText w:val="(%1)"/>
      <w:numFmt w:val="upperLetter"/>
      <w:start w:val="5"/>
    </w:lvl>
  </w:abstractNum>
  <w:abstractNum w:abstractNumId="366">
    <w:nsid w:val="4CE5CA53"/>
    <w:multiLevelType w:val="hybridMultilevel"/>
    <w:lvl w:ilvl="0">
      <w:lvlJc w:val="left"/>
      <w:lvlText w:val="(%1)"/>
      <w:numFmt w:val="lowerRoman"/>
      <w:start w:val="1"/>
    </w:lvl>
  </w:abstractNum>
  <w:abstractNum w:abstractNumId="367">
    <w:nsid w:val="29262D1A"/>
    <w:multiLevelType w:val="hybridMultilevel"/>
    <w:lvl w:ilvl="0">
      <w:lvlJc w:val="left"/>
      <w:lvlText w:val="(%1)"/>
      <w:numFmt w:val="lowerRoman"/>
      <w:start w:val="5"/>
    </w:lvl>
  </w:abstractNum>
  <w:abstractNum w:abstractNumId="368">
    <w:nsid w:val="557FB7EE"/>
    <w:multiLevelType w:val="hybridMultilevel"/>
    <w:lvl w:ilvl="0">
      <w:lvlJc w:val="left"/>
      <w:lvlText w:val="(%1)"/>
      <w:numFmt w:val="upperLetter"/>
      <w:start w:val="6"/>
    </w:lvl>
  </w:abstractNum>
  <w:abstractNum w:abstractNumId="369">
    <w:nsid w:val="436F2BEB"/>
    <w:multiLevelType w:val="hybridMultilevel"/>
    <w:lvl w:ilvl="0">
      <w:lvlJc w:val="left"/>
      <w:lvlText w:val="%1."/>
      <w:numFmt w:val="decimal"/>
      <w:start w:val="7"/>
    </w:lvl>
  </w:abstractNum>
  <w:abstractNum w:abstractNumId="370">
    <w:nsid w:val="6C8B4466"/>
    <w:multiLevelType w:val="hybridMultilevel"/>
    <w:lvl w:ilvl="0">
      <w:lvlJc w:val="left"/>
      <w:lvlText w:val="(%1)"/>
      <w:numFmt w:val="upperLetter"/>
      <w:start w:val="1"/>
    </w:lvl>
  </w:abstractNum>
  <w:abstractNum w:abstractNumId="371">
    <w:nsid w:val="2006E424"/>
    <w:multiLevelType w:val="hybridMultilevel"/>
    <w:lvl w:ilvl="0">
      <w:lvlJc w:val="left"/>
      <w:lvlText w:val="(%1)"/>
      <w:numFmt w:val="lowerRoman"/>
      <w:start w:val="1"/>
    </w:lvl>
  </w:abstractNum>
  <w:abstractNum w:abstractNumId="372">
    <w:nsid w:val="20CC134C"/>
    <w:multiLevelType w:val="hybridMultilevel"/>
    <w:lvl w:ilvl="0">
      <w:lvlJc w:val="left"/>
      <w:lvlText w:val="(%1)"/>
      <w:numFmt w:val="lowerRoman"/>
      <w:start w:val="2"/>
    </w:lvl>
  </w:abstractNum>
  <w:abstractNum w:abstractNumId="373">
    <w:nsid w:val="95FC93B"/>
    <w:multiLevelType w:val="hybridMultilevel"/>
    <w:lvl w:ilvl="0">
      <w:lvlJc w:val="left"/>
      <w:lvlText w:val="(%1)"/>
      <w:numFmt w:val="lowerRoman"/>
      <w:start w:val="1"/>
    </w:lvl>
  </w:abstractNum>
  <w:abstractNum w:abstractNumId="374">
    <w:nsid w:val="41D74679"/>
    <w:multiLevelType w:val="hybridMultilevel"/>
    <w:lvl w:ilvl="0">
      <w:lvlJc w:val="left"/>
      <w:lvlText w:val="(%1)"/>
      <w:numFmt w:val="lowerRoman"/>
      <w:start w:val="3"/>
    </w:lvl>
  </w:abstractNum>
  <w:abstractNum w:abstractNumId="375">
    <w:nsid w:val="71E5621E"/>
    <w:multiLevelType w:val="hybridMultilevel"/>
    <w:lvl w:ilvl="0">
      <w:lvlJc w:val="left"/>
      <w:lvlText w:val="(%1)"/>
      <w:numFmt w:val="lowerRoman"/>
      <w:start w:val="4"/>
    </w:lvl>
  </w:abstractNum>
  <w:abstractNum w:abstractNumId="376">
    <w:nsid w:val="4E42B6A8"/>
    <w:multiLevelType w:val="hybridMultilevel"/>
    <w:lvl w:ilvl="0">
      <w:lvlJc w:val="left"/>
      <w:lvlText w:val="(%1)"/>
      <w:numFmt w:val="upperLetter"/>
      <w:start w:val="3"/>
    </w:lvl>
  </w:abstractNum>
  <w:abstractNum w:abstractNumId="377">
    <w:nsid w:val="43F8E1AC"/>
    <w:multiLevelType w:val="hybridMultilevel"/>
    <w:lvl w:ilvl="0">
      <w:lvlJc w:val="left"/>
      <w:lvlText w:val="(%1)"/>
      <w:numFmt w:val="lowerRoman"/>
      <w:start w:val="1"/>
    </w:lvl>
  </w:abstractNum>
  <w:abstractNum w:abstractNumId="378">
    <w:nsid w:val="69215DFB"/>
    <w:multiLevelType w:val="hybridMultilevel"/>
    <w:lvl w:ilvl="0">
      <w:lvlJc w:val="left"/>
      <w:lvlText w:val="(%1)"/>
      <w:numFmt w:val="lowerRoman"/>
      <w:start w:val="3"/>
    </w:lvl>
    <w:lvl w:ilvl="1">
      <w:lvlJc w:val="left"/>
      <w:lvlText w:val="(%2)"/>
      <w:numFmt w:val="upperLetter"/>
      <w:start w:val="2"/>
    </w:lvl>
  </w:abstractNum>
  <w:abstractNum w:abstractNumId="379">
    <w:nsid w:val="7ABF196A"/>
    <w:multiLevelType w:val="hybridMultilevel"/>
    <w:lvl w:ilvl="0">
      <w:lvlJc w:val="left"/>
      <w:lvlText w:val="(%1)"/>
      <w:numFmt w:val="lowerRoman"/>
      <w:start w:val="1"/>
    </w:lvl>
  </w:abstractNum>
  <w:abstractNum w:abstractNumId="380">
    <w:nsid w:val="5E4DB968"/>
    <w:multiLevelType w:val="hybridMultilevel"/>
    <w:lvl w:ilvl="0">
      <w:lvlJc w:val="left"/>
      <w:lvlText w:val="(%1)"/>
      <w:numFmt w:val="upperLetter"/>
      <w:start w:val="1"/>
    </w:lvl>
  </w:abstractNum>
  <w:abstractNum w:abstractNumId="381">
    <w:nsid w:val="2C06DCF3"/>
    <w:multiLevelType w:val="hybridMultilevel"/>
    <w:lvl w:ilvl="0">
      <w:lvlJc w:val="left"/>
      <w:lvlText w:val="(%1)"/>
      <w:numFmt w:val="upperLetter"/>
      <w:start w:val="4"/>
    </w:lvl>
  </w:abstractNum>
  <w:abstractNum w:abstractNumId="382">
    <w:nsid w:val="2E129658"/>
    <w:multiLevelType w:val="hybridMultilevel"/>
    <w:lvl w:ilvl="0">
      <w:lvlJc w:val="left"/>
      <w:lvlText w:val="(%1)"/>
      <w:numFmt w:val="upperLetter"/>
      <w:start w:val="5"/>
    </w:lvl>
  </w:abstractNum>
  <w:abstractNum w:abstractNumId="383">
    <w:nsid w:val="59F0446"/>
    <w:multiLevelType w:val="hybridMultilevel"/>
    <w:lvl w:ilvl="0">
      <w:lvlJc w:val="left"/>
      <w:lvlText w:val="%1"/>
      <w:numFmt w:val="upperLetter"/>
      <w:start w:val="1"/>
    </w:lvl>
    <w:lvl w:ilvl="1">
      <w:lvlJc w:val="left"/>
      <w:lvlText w:val="(%2)"/>
      <w:numFmt w:val="upperLetter"/>
      <w:start w:val="1"/>
    </w:lvl>
  </w:abstractNum>
  <w:abstractNum w:abstractNumId="384">
    <w:nsid w:val="30DF306"/>
    <w:multiLevelType w:val="hybridMultilevel"/>
    <w:lvl w:ilvl="0">
      <w:lvlJc w:val="left"/>
      <w:lvlText w:val="(%1)"/>
      <w:numFmt w:val="upperLetter"/>
      <w:start w:val="1"/>
    </w:lvl>
    <w:lvl w:ilvl="1">
      <w:lvlJc w:val="left"/>
      <w:lvlText w:val="(%2)"/>
      <w:numFmt w:val="upperLetter"/>
      <w:start w:val="3"/>
    </w:lvl>
  </w:abstractNum>
  <w:abstractNum w:abstractNumId="385">
    <w:nsid w:val="A65647"/>
    <w:multiLevelType w:val="hybridMultilevel"/>
    <w:lvl w:ilvl="0">
      <w:lvlJc w:val="left"/>
      <w:lvlText w:val="(%1)"/>
      <w:numFmt w:val="upperLetter"/>
      <w:start w:val="1"/>
    </w:lvl>
  </w:abstractNum>
  <w:abstractNum w:abstractNumId="386">
    <w:nsid w:val="3E5E582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2019-12-20T04:02:37Z</dcterms:created>
  <dcterms:modified xsi:type="dcterms:W3CDTF">2019-12-20T04:02:37Z</dcterms:modified>
</cp:coreProperties>
</file>