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27,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-127635</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Waste Management, Inc. (the “Company”) issued a press release this morning, April 27, 2007, announcing its earnings for the quarter ended March 31, 2007. A copy of the press release is attached hereto as exhibit 99.1.</w:t>
      </w:r>
    </w:p>
    <w:p>
      <w:pPr>
        <w:spacing w:after="0" w:line="62"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Additionally, as previously announced, the Company is holding a conference call, open to the public, to discuss these results, from 9:00 a.m. to 10:00 a.m. Central time this morning. The call will be webcast live, and may be heard by accessing the Company’s website at www.wm.com. The call may also be listened to by calling (877) 710-6139 and entering the access code 3382502. A replay of the conference call will be available through 5:00 p.m. Central time on May 11, 2007. The replay of the call may be heard over the Internet, by accessing the Company’s website at www.wm.com, or by telephone by dialing 800-642-1687 and entering conference code 3382502.</w:t>
      </w:r>
    </w:p>
    <w:p>
      <w:pPr>
        <w:spacing w:after="0" w:line="8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On the conference call, management of the Company will discuss results of operations using free cash flow, a non-GAAP financial measure, and is expected to discuss full year projections of free cash flow and adjusted earnings per share. The Company has provided an explanation of its use of free cash flow, as well as reconciliations of free cash flow to net cash provided by operating activities, the most comparable GAAP measure, in the press release that is attached to this Form 8-K as exhibit 99.1 and the schedules thereto.</w:t>
      </w:r>
    </w:p>
    <w:p>
      <w:pPr>
        <w:spacing w:after="0" w:line="79"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non-GAAP measurement of full year adjusted earnings of $2.03 to $2.07 per diluted share projected by the Company excludes the first quarter 2007 impact of restructuring charges of $6 million after tax. GAAP net earnings per diluted share for the remaining three quarters of the year may include restructuring charges, asset impairment and unusual items charges, gains or losses from divestitures, the resolution of income tax items, and other items that are not currently determinable, but may be significant. The full year 2007 adjusted earnings per diluted share projected today excludes the impact of any such items that may occur. GAAP net earnings per diluted share projected for the full year would require inclusion of the projected impact of any expected items. Due to the uncertainty of the amount and timing of any such items, we do not believe we have the information available to provide full year GAAP net earnings per diluted share and the quantitative reconciliation to our current adjusted earning per diluted share projection.</w:t>
      </w:r>
    </w:p>
    <w:p>
      <w:pPr>
        <w:spacing w:after="0" w:line="70"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Certain statements contained herein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The Company is subject to risks that could affect its financial statements for 2007 and beyond and that could cause actual results to be materially different from those that may be set forth in forward-looking statements made by the Company. Investors are cautioned not to place undue reliance on any forward-looking statements, which speak only as of their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Exhibit 99.1:  Press Release dated April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ind w:left="6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April 27, 2007</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220" w:type="dxa"/>
            <w:vAlign w:val="bottom"/>
          </w:tcPr>
          <w:p>
            <w:pPr>
              <w:spacing w:after="0"/>
              <w:rPr>
                <w:sz w:val="14"/>
                <w:szCs w:val="1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dated April 27, 2007</w:t>
            </w:r>
          </w:p>
        </w:tc>
      </w:tr>
    </w:tbl>
    <w:p>
      <w:pPr>
        <w:sectPr>
          <w:pgSz w:w="11900" w:h="16838" w:orient="portrait"/>
          <w:cols w:equalWidth="0" w:num="1">
            <w:col w:w="11420"/>
          </w:cols>
          <w:pgMar w:left="240" w:top="419"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3013075</wp:posOffset>
            </wp:positionH>
            <wp:positionV relativeFrom="page">
              <wp:posOffset>620395</wp:posOffset>
            </wp:positionV>
            <wp:extent cx="154368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43685" cy="548640"/>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#07-07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First Quarter 2007 Earnings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Diluted Share Increase 24%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Raises Full-Year 2007 Earnings Guidance</w:t>
      </w:r>
    </w:p>
    <w:p>
      <w:pPr>
        <w:spacing w:after="0" w:line="11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HOUSTON — April 27, 2007 — </w:t>
      </w:r>
      <w:r>
        <w:rPr>
          <w:rFonts w:ascii="Arial" w:cs="Arial" w:eastAsia="Arial" w:hAnsi="Arial"/>
          <w:sz w:val="18"/>
          <w:szCs w:val="18"/>
          <w:color w:val="auto"/>
        </w:rPr>
        <w:t>Waste Management, Inc. (NYSE: WMI) today announced financial results for its first quarter ended March 31, 2007.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for the quarter was $222 million, or $0.42 per diluted share, compared with $186 million, or $0.34 per diluted share in the prior year period, a 24% increase in earnings per diluted share.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Income from operations as a percent of revenue improved by 160 basis points to 15.1% in the first quarter of 2007. Revenues for the quarter were</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$3.19 billion as compared with $3.23 billion in the year ago period as the Company continued to execute its strategy to divest underperforming operations and accounts. First quarter 2007 revenues were up $24 million on a year-over-year basis, excluding the divestiture of underperforming operations representing $65 million of revenues.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Company noted a $6 million after tax, or $0.01 per diluted share, restructuring charge in the current quarter’s results.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first quarter 2007 financial performance exceeded our expectations and demonstrated that our pricing and operational excellence programs continue to positively impact our results. We again accomplished our primary financial goals of earnings growth, margin expansion and strong free cash flow,” said David P. Steiner, Chief Executive Officer of Waste Management.</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“Internal revenue growth from yield in our commercial collection line of business was 5.3% in the quarter, the highest level we have achieved in the recent past. The internal revenue growth from yield in our commercial, industrial and residential lines of business was 4.8%. The execution of our strategy to review low margin accounts and either increase prices or cull those accounts from our business contributed to the lower volumes in our collection line of business. That strategy worked very well in the first quarter, as the volume loss in our collection line of business was about 5.2%, but the income from operations in our collection business grew nearly 16%.</w:t>
      </w:r>
    </w:p>
    <w:p>
      <w:pPr>
        <w:spacing w:after="0" w:line="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internal revenue growth from yield at our landfills and transfer stations improved in the first quarter of 2007, and we expect that to continue as we implement our disposal pricing excellence program throughout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276" w:lineRule="auto"/>
        <w:rPr>
          <w:sz w:val="20"/>
          <w:szCs w:val="20"/>
          <w:color w:val="auto"/>
        </w:rPr>
      </w:pPr>
      <w:r>
        <w:rPr>
          <w:rFonts w:ascii="Arial" w:cs="Arial" w:eastAsia="Arial" w:hAnsi="Arial"/>
          <w:sz w:val="17"/>
          <w:szCs w:val="17"/>
          <w:color w:val="auto"/>
        </w:rPr>
        <w:t>Steiner also noted, “We achieved additional positive results from improved operations during the first quarter of this year. We lowered our operating costs by $66 million during the first quarter of 2007, which is a 3.1% improvement in absolute dollars when compared with the prior year quarter. Operating expenses as a percent of revenue in the first quarter of 2007 stood at 63.8%, a 120 basis point improvement when compared to the first quarter of 2006. This marks the seventh consecutive quarter in which our year-over-year operating costs as a percent of revenue have improved. Our ongoing operational excellence initiatives in the areas of labor management, maintenance and safety were primary contributors to this improvement.</w:t>
      </w:r>
    </w:p>
    <w:p>
      <w:pPr>
        <w:spacing w:after="0" w:line="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provided by operating activities and free cash flow were both strong for the quarter. We returned $613 million to shareholders in the form of our $0.24 per share quarterly dividend and our share repurchase program. We also showed marked improvement in the recycling segment of our business due to higher recycling commodity prices and our operational improvements. Our recycling segment contributed over $0.01 per diluted share to the year-over-year improvement in net income during the first quarter of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First Quarter of 2007</w:t>
      </w:r>
    </w:p>
    <w:p>
      <w:pPr>
        <w:spacing w:after="0" w:line="121" w:lineRule="exact"/>
        <w:rPr>
          <w:sz w:val="20"/>
          <w:szCs w:val="20"/>
          <w:color w:val="auto"/>
        </w:rPr>
      </w:pPr>
    </w:p>
    <w:p>
      <w:pPr>
        <w:ind w:left="660" w:right="24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Income from operations was $481 million, or 15.1% of revenue, an increase of approximately 160 basis points compared with the prior year first quarter.</w:t>
      </w:r>
    </w:p>
    <w:p>
      <w:pPr>
        <w:spacing w:after="0" w:line="75"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on base business of 3.3%. Including the positive impact of higher recycling commodity prices, internal revenue growth from yield was 5.3%.</w:t>
      </w:r>
    </w:p>
    <w:p>
      <w:pPr>
        <w:spacing w:after="0" w:line="75"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 was a negative 4.8%. The volume component included a 5.2% reduction in collection volumes, but only a 1.3% reduction in landfill volumes.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Higher fuel surcharge revenue contributed 0.1% to internal revenue growth.</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Divestitures caused a 2.1% decline in revenues in the quarter, while acquisitions contributed 0.2% to higher revenues.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expenses were 63.8% of revenue, down from 65.0% of revenue in the same period in 2006.</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were 11.1% of revenue, down from 11.4% in the first quarter of 2006.</w:t>
      </w:r>
    </w:p>
    <w:p>
      <w:pPr>
        <w:spacing w:after="0" w:line="130" w:lineRule="exact"/>
        <w:rPr>
          <w:rFonts w:ascii="Arial" w:cs="Arial" w:eastAsia="Arial" w:hAnsi="Arial"/>
          <w:sz w:val="18"/>
          <w:szCs w:val="18"/>
          <w:b w:val="1"/>
          <w:bCs w:val="1"/>
          <w:color w:val="auto"/>
        </w:rPr>
      </w:pPr>
    </w:p>
    <w:p>
      <w:pPr>
        <w:ind w:left="660" w:right="20" w:hanging="436"/>
        <w:spacing w:after="0" w:line="308"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Net cash provided by operating activities of $538 million, down from $623 million in the first quarter of 2006 due to $101 million in year-over-year changes in working capital. Capital expenditures of $272 million, compared with $231 million in the first quarter of 2006.</w:t>
      </w:r>
    </w:p>
    <w:p>
      <w:pPr>
        <w:spacing w:after="0" w:line="51" w:lineRule="exact"/>
        <w:rPr>
          <w:rFonts w:ascii="Arial" w:cs="Arial" w:eastAsia="Arial" w:hAnsi="Arial"/>
          <w:sz w:val="17"/>
          <w:szCs w:val="17"/>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Free cash flow</w:t>
      </w:r>
      <w:r>
        <w:rPr>
          <w:rFonts w:ascii="Arial" w:cs="Arial" w:eastAsia="Arial" w:hAnsi="Arial"/>
          <w:sz w:val="15"/>
          <w:szCs w:val="15"/>
          <w:color w:val="auto"/>
        </w:rPr>
        <w:t>(a)</w:t>
      </w:r>
      <w:r>
        <w:rPr>
          <w:rFonts w:ascii="Arial" w:cs="Arial" w:eastAsia="Arial" w:hAnsi="Arial"/>
          <w:sz w:val="18"/>
          <w:szCs w:val="18"/>
          <w:color w:val="auto"/>
        </w:rPr>
        <w:t xml:space="preserve"> of $335 million, compared with $410 million in the first quarter of 2006.</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$613 million in cash returned to shareholders in the form of $487 million in common stock repurchases and $126 million in dividend payments.</w:t>
      </w:r>
    </w:p>
    <w:p>
      <w:pPr>
        <w:spacing w:after="0" w:line="142" w:lineRule="exact"/>
        <w:rPr>
          <w:rFonts w:ascii="Arial" w:cs="Arial" w:eastAsia="Arial" w:hAnsi="Arial"/>
          <w:sz w:val="17"/>
          <w:szCs w:val="17"/>
          <w:b w:val="1"/>
          <w:bCs w:val="1"/>
          <w:color w:val="auto"/>
        </w:rPr>
      </w:pPr>
    </w:p>
    <w:p>
      <w:pPr>
        <w:jc w:val="both"/>
        <w:ind w:left="660" w:right="12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effective tax rate in the quarter was 33.0%, which reflects an estimated phase-out of approximately 30% of our Section 45K tax credits due to higher actual and projected crude oil prices. Section 45K tax credits generated nearly an additional $0.02 per diluted share benefit to net income in the first quarter of 2007 compared with the first quarter of 2006.</w:t>
      </w:r>
    </w:p>
    <w:p>
      <w:pPr>
        <w:spacing w:after="0" w:line="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Steiner concluded, “We are off to a very good start for the year. Our solid results during the first quarter of this year reflect the success of the continuation of our pricing and operational excellence strategies. Our first quarter success gives us confidence that we will achieve our earnings expectations for the remaining three quarters of 2007. As a result, we now project our full-year 2007 earnings to be within the range of $2.03 to $2.07 per diluted share, as adjusted for certain items</w:t>
      </w:r>
      <w:r>
        <w:rPr>
          <w:rFonts w:ascii="Arial" w:cs="Arial" w:eastAsia="Arial" w:hAnsi="Arial"/>
          <w:sz w:val="14"/>
          <w:szCs w:val="14"/>
          <w:color w:val="auto"/>
        </w:rPr>
        <w:t>(a)</w:t>
      </w:r>
      <w:r>
        <w:rPr>
          <w:rFonts w:ascii="Arial" w:cs="Arial" w:eastAsia="Arial" w:hAnsi="Arial"/>
          <w:sz w:val="17"/>
          <w:szCs w:val="17"/>
          <w:color w:val="auto"/>
        </w:rPr>
        <w:t>. In the first quarter we had an expected change in working capital and higher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9" w:name="page10"/>
    <w:bookmarkEnd w:id="9"/>
    <w:p>
      <w:pPr>
        <w:ind w:right="80"/>
        <w:spacing w:after="0" w:line="277" w:lineRule="auto"/>
        <w:rPr>
          <w:sz w:val="20"/>
          <w:szCs w:val="20"/>
          <w:color w:val="auto"/>
        </w:rPr>
      </w:pPr>
      <w:r>
        <w:rPr>
          <w:rFonts w:ascii="Arial" w:cs="Arial" w:eastAsia="Arial" w:hAnsi="Arial"/>
          <w:sz w:val="18"/>
          <w:szCs w:val="18"/>
          <w:color w:val="auto"/>
        </w:rPr>
        <w:t>capital expenditures, but those are due primarily to timing issues and we do not expect them to affect our ability to generate between $1.30 to $1.40 billion of free cash flow for the full-year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ind w:left="660" w:hanging="436"/>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earnings release contains a discussion of free cash flow and projected earnings per diluted share, as adjusted for certain items, which are non-GAAP measures as defined in Regulation G of the Securities Exchange Act of 1934, as amended, and is not intended to replace the most comparable GAAP measure that is also presented in this press release. The Company reports its financial results in compliance with GAAP, but believes that also providing non-GAAP measures provides investors additional, meaningful comparisons of current results to prior periods’ results by excluding items that the Company does not believe reflect its fundamental business performance.</w:t>
      </w:r>
    </w:p>
    <w:p>
      <w:pPr>
        <w:spacing w:after="0" w:line="77" w:lineRule="exact"/>
        <w:rPr>
          <w:rFonts w:ascii="Arial" w:cs="Arial" w:eastAsia="Arial" w:hAnsi="Arial"/>
          <w:sz w:val="17"/>
          <w:szCs w:val="17"/>
          <w:color w:val="auto"/>
        </w:rPr>
      </w:pPr>
    </w:p>
    <w:p>
      <w:pPr>
        <w:ind w:left="660" w:right="80"/>
        <w:spacing w:after="0" w:line="254" w:lineRule="auto"/>
        <w:rPr>
          <w:rFonts w:ascii="Arial" w:cs="Arial" w:eastAsia="Arial" w:hAnsi="Arial"/>
          <w:sz w:val="17"/>
          <w:szCs w:val="17"/>
          <w:color w:val="auto"/>
        </w:rPr>
      </w:pPr>
      <w:r>
        <w:rPr>
          <w:rFonts w:ascii="Arial" w:cs="Arial" w:eastAsia="Arial" w:hAnsi="Arial"/>
          <w:sz w:val="18"/>
          <w:szCs w:val="18"/>
          <w:color w:val="auto"/>
        </w:rPr>
        <w:t>The full year adjusted earnings of $2.03 to $2.07 per diluted share projected by the Company excludes the first quarter 2007 impact of restructuring charges of $6 million after tax. GAAP net earnings per diluted share for the remaining three quarters of the year may include restructuring charges, asset impairment and unusual items charges, gains or losses from divestitures, the resolution of income tax items, and other items that are not currently determinable, but may be significant. The full year 2007 adjusted earnings of $2.03 to $2.07 per diluted share projected today excludes the impact of any such items that may occur. GAAP net earnings per diluted share projected for the full year would require inclusion of the projected impact of any expected items. Due to the uncertainty of the amount and timing of any such items, we do not believe we have the information available to provide full year GAAP net earnings per diluted share and the quantitative reconciliation to our current adjusted earning per diluted share projection.</w:t>
      </w:r>
    </w:p>
    <w:p>
      <w:pPr>
        <w:spacing w:after="0" w:line="9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Company defines free cash flow as:</w:t>
      </w:r>
    </w:p>
    <w:p>
      <w:pPr>
        <w:spacing w:after="0" w:line="117" w:lineRule="exact"/>
        <w:rPr>
          <w:rFonts w:ascii="Arial" w:cs="Arial" w:eastAsia="Arial" w:hAnsi="Arial"/>
          <w:sz w:val="17"/>
          <w:szCs w:val="17"/>
          <w:color w:val="auto"/>
        </w:rPr>
      </w:pPr>
    </w:p>
    <w:p>
      <w:pPr>
        <w:ind w:left="1120" w:hanging="437"/>
        <w:spacing w:after="0"/>
        <w:tabs>
          <w:tab w:leader="none" w:pos="112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left="700" w:right="180"/>
        <w:spacing w:after="0" w:line="25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not subject to comparison. The Company includes the non-GAAP financial measure of free cash flow in its disclosures because it uses that measure in the management of its business and because it believes that investors are interested in the cash produced by the Company from non-financing activities that is available for uses such as the Company’s acquisitions, its share repurchase program, its scheduled debt reduction and the payment of dividends.</w:t>
      </w:r>
    </w:p>
    <w:p>
      <w:pPr>
        <w:spacing w:after="0" w:line="80" w:lineRule="exact"/>
        <w:rPr>
          <w:sz w:val="20"/>
          <w:szCs w:val="20"/>
          <w:color w:val="auto"/>
        </w:rPr>
      </w:pPr>
    </w:p>
    <w:p>
      <w:pPr>
        <w:ind w:left="700" w:right="420"/>
        <w:spacing w:after="0" w:line="342" w:lineRule="auto"/>
        <w:rPr>
          <w:sz w:val="20"/>
          <w:szCs w:val="20"/>
          <w:color w:val="auto"/>
        </w:rPr>
      </w:pPr>
      <w:r>
        <w:rPr>
          <w:rFonts w:ascii="Arial" w:cs="Arial" w:eastAsia="Arial" w:hAnsi="Arial"/>
          <w:sz w:val="16"/>
          <w:szCs w:val="16"/>
          <w:color w:val="auto"/>
        </w:rPr>
        <w:t>Quantitative reconciliations of each of the non-GAAP measures presented herein to the most comparable GAAP measures are included in the accompanying schedules. Investors are urged to take into account GAAP measures as well as non-GAAP measures in evaluating the Company.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scheduled an investor and analyst conference call for later this morning to discuss the results of today’s earnings announcement.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information in this press release should be read in conjunction with the information on the conference call. The call will begin at 10:00 a.m. Eastern time,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9:00 a.m. Central time, and is open to the public. To listen to the conference call, which will be broadcast live over the Internet, go to the Waste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Website at </w:t>
      </w:r>
      <w:r>
        <w:rPr>
          <w:rFonts w:ascii="Arial" w:cs="Arial" w:eastAsia="Arial" w:hAnsi="Arial"/>
          <w:sz w:val="16"/>
          <w:szCs w:val="16"/>
          <w:u w:val="single" w:color="auto"/>
          <w:color w:val="auto"/>
        </w:rPr>
        <w:t>http://www.wm.com</w:t>
      </w:r>
      <w:r>
        <w:rPr>
          <w:rFonts w:ascii="Arial" w:cs="Arial" w:eastAsia="Arial" w:hAnsi="Arial"/>
          <w:sz w:val="16"/>
          <w:szCs w:val="16"/>
          <w:color w:val="auto"/>
        </w:rPr>
        <w:t>, and select “1Q2007 Earnings Report Webcast.” You may also listen to the analyst conference call by telephone by contacting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conference call operator 5 to 10 minutes prior to the scheduled start time and asking for the “Waste Management Conference Call — Call ID 3382502.”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US/Canada Dial-In Number: (877) 710-6139. Int’l/Local Dial-In Number: (706) 643-7398. For those unable to listen to the live call, a replay will be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 hours a day beginning at approximately 11:00 a.m. Central time on April 27 through 5:00 p.m. Central time on May 11. To hear a replay of the call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Internet, access the Waste Management Website at </w:t>
      </w:r>
      <w:r>
        <w:rPr>
          <w:rFonts w:ascii="Arial" w:cs="Arial" w:eastAsia="Arial" w:hAnsi="Arial"/>
          <w:sz w:val="16"/>
          <w:szCs w:val="16"/>
          <w:u w:val="single" w:color="auto"/>
          <w:color w:val="auto"/>
        </w:rPr>
        <w:t>http://www.wm.com</w:t>
      </w:r>
      <w:r>
        <w:rPr>
          <w:rFonts w:ascii="Arial" w:cs="Arial" w:eastAsia="Arial" w:hAnsi="Arial"/>
          <w:sz w:val="16"/>
          <w:szCs w:val="16"/>
          <w:color w:val="auto"/>
        </w:rPr>
        <w:t>. To hear a telephonic replay of the call, dial (800) 642-1687 or (706) 645-9291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enter reservation code 3382502.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6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2007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any forward-looking statements, which speak only as of their dates. The following are some of the risks that we face:</w:t>
      </w:r>
    </w:p>
    <w:p>
      <w:pPr>
        <w:spacing w:after="0" w:line="70" w:lineRule="exact"/>
        <w:rPr>
          <w:sz w:val="20"/>
          <w:szCs w:val="20"/>
          <w:color w:val="auto"/>
        </w:rPr>
      </w:pPr>
    </w:p>
    <w:p>
      <w:pPr>
        <w:ind w:left="660" w:right="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w:t>
      </w:r>
    </w:p>
    <w:p>
      <w:pPr>
        <w:spacing w:after="0" w:line="130" w:lineRule="exact"/>
        <w:rPr>
          <w:rFonts w:ascii="Arial" w:cs="Arial" w:eastAsia="Arial" w:hAnsi="Arial"/>
          <w:sz w:val="18"/>
          <w:szCs w:val="18"/>
          <w:b w:val="1"/>
          <w:bCs w:val="1"/>
          <w:color w:val="auto"/>
        </w:rPr>
      </w:pPr>
    </w:p>
    <w:p>
      <w:pPr>
        <w:jc w:val="both"/>
        <w:ind w:left="660" w:right="600" w:hanging="436"/>
        <w:spacing w:after="0" w:line="31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i w:val="1"/>
          <w:iCs w:val="1"/>
          <w:color w:val="auto"/>
        </w:rPr>
        <w:t>we may not be able to successfully execute or continue our operational or other margin improvement plans and programs, including pricing increases; passing on increased costs to our customers; reducing costs due to our operational improvement programs; and divesting under-performing assets and purchasing accretive businesses, any of which could negatively affect our revenues and margins;</w:t>
      </w:r>
    </w:p>
    <w:p>
      <w:pPr>
        <w:spacing w:after="0" w:line="52" w:lineRule="exact"/>
        <w:rPr>
          <w:rFonts w:ascii="Arial" w:cs="Arial" w:eastAsia="Arial" w:hAnsi="Arial"/>
          <w:sz w:val="16"/>
          <w:szCs w:val="16"/>
          <w:b w:val="1"/>
          <w:bCs w:val="1"/>
          <w:color w:val="auto"/>
        </w:rPr>
      </w:pPr>
    </w:p>
    <w:p>
      <w:pPr>
        <w:ind w:left="6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extremely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660" w:right="4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inflation and resulting higher interest rates as well as other general and local economic conditions may negatively affect the volumes of waste generated, our financing costs and other expenses;</w:t>
      </w:r>
    </w:p>
    <w:p>
      <w:pPr>
        <w:spacing w:after="0" w:line="75"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including regulations to limit greenhouse gas emissions,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or cross-border waste or certain categories of waste can increase our expenses and reduce our revenues;</w:t>
      </w:r>
    </w:p>
    <w:p>
      <w:pPr>
        <w:spacing w:after="0" w:line="75" w:lineRule="exact"/>
        <w:rPr>
          <w:rFonts w:ascii="Arial" w:cs="Arial" w:eastAsia="Arial" w:hAnsi="Arial"/>
          <w:sz w:val="18"/>
          <w:szCs w:val="18"/>
          <w:b w:val="1"/>
          <w:bCs w:val="1"/>
          <w:color w:val="auto"/>
        </w:rPr>
      </w:pPr>
    </w:p>
    <w:p>
      <w:pPr>
        <w:ind w:left="660" w:right="42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including our tax expense if Section 45K credits are phased out due to continued high crude oil prices, or restrict our ability to operate;</w:t>
      </w:r>
    </w:p>
    <w:p>
      <w:pPr>
        <w:spacing w:after="0" w:line="75"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to obtain financial assurance or the inadequacy of our insurance coverages could negatively impact our liquidity and increase our liabilities;</w:t>
      </w:r>
    </w:p>
    <w:p>
      <w:pPr>
        <w:spacing w:after="0" w:line="75" w:lineRule="exact"/>
        <w:rPr>
          <w:rFonts w:ascii="Arial" w:cs="Arial" w:eastAsia="Arial" w:hAnsi="Arial"/>
          <w:sz w:val="18"/>
          <w:szCs w:val="18"/>
          <w:b w:val="1"/>
          <w:bCs w:val="1"/>
          <w:color w:val="auto"/>
        </w:rPr>
      </w:pPr>
    </w:p>
    <w:p>
      <w:pPr>
        <w:ind w:left="660" w:right="6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fluctuating commodity prices may have negative effects on our operating revenues and expenses;</w:t>
      </w:r>
    </w:p>
    <w:p>
      <w:pPr>
        <w:spacing w:after="0" w:line="130"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trends requiring recycling, waste reduction at the source and prohibiting the disposal of certain types of wastes could have negative effects on volumes of waste going to landfills and waste-to-energy facilities;</w:t>
      </w:r>
    </w:p>
    <w:p>
      <w:pPr>
        <w:spacing w:after="0" w:line="75" w:lineRule="exact"/>
        <w:rPr>
          <w:rFonts w:ascii="Arial" w:cs="Arial" w:eastAsia="Arial" w:hAnsi="Arial"/>
          <w:sz w:val="18"/>
          <w:szCs w:val="18"/>
          <w:b w:val="1"/>
          <w:bCs w:val="1"/>
          <w:color w:val="auto"/>
        </w:rPr>
      </w:pPr>
    </w:p>
    <w:p>
      <w:pPr>
        <w:ind w:left="660" w:right="6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been chosen to be represented by unions,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i w:val="1"/>
          <w:iCs w:val="1"/>
          <w:color w:val="auto"/>
        </w:rPr>
        <w:t>could lead to union-initiated work stoppages, including strikes, which could adversely affect our results of operations and cash flows;</w:t>
      </w:r>
    </w:p>
    <w:p>
      <w:pPr>
        <w:spacing w:after="0" w:line="131" w:lineRule="exact"/>
        <w:rPr>
          <w:sz w:val="20"/>
          <w:szCs w:val="20"/>
          <w:color w:val="auto"/>
        </w:rPr>
      </w:pPr>
    </w:p>
    <w:p>
      <w:pPr>
        <w:ind w:left="440" w:right="160" w:hanging="436"/>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440" w:hanging="436"/>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may decrease our efficiencies and increase our costs to operate;</w:t>
      </w:r>
    </w:p>
    <w:p>
      <w:pPr>
        <w:spacing w:after="0" w:line="75" w:lineRule="exact"/>
        <w:rPr>
          <w:rFonts w:ascii="Arial" w:cs="Arial" w:eastAsia="Arial" w:hAnsi="Arial"/>
          <w:sz w:val="18"/>
          <w:szCs w:val="18"/>
          <w:b w:val="1"/>
          <w:bCs w:val="1"/>
          <w:color w:val="auto"/>
        </w:rPr>
      </w:pPr>
    </w:p>
    <w:p>
      <w:pPr>
        <w:ind w:left="440" w:right="180" w:hanging="436"/>
        <w:spacing w:after="0" w:line="277"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75" w:lineRule="exact"/>
        <w:rPr>
          <w:rFonts w:ascii="Arial" w:cs="Arial" w:eastAsia="Arial" w:hAnsi="Arial"/>
          <w:sz w:val="18"/>
          <w:szCs w:val="18"/>
          <w:b w:val="1"/>
          <w:bCs w:val="1"/>
          <w:color w:val="auto"/>
        </w:rPr>
      </w:pPr>
    </w:p>
    <w:p>
      <w:pPr>
        <w:ind w:left="440" w:right="400" w:hanging="436"/>
        <w:spacing w:after="0" w:line="342" w:lineRule="auto"/>
        <w:tabs>
          <w:tab w:leader="none" w:pos="44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we may reduce or eliminate our dividend or share repurchase program or we may need to raise additional capital if cash flows are less than we expect or capital expenditures are more than we expect, and we may not be able to obtain any needed capital on acceptable terms.</w:t>
      </w:r>
    </w:p>
    <w:p>
      <w:pPr>
        <w:spacing w:after="0" w:line="16" w:lineRule="exact"/>
        <w:rPr>
          <w:sz w:val="20"/>
          <w:szCs w:val="20"/>
          <w:color w:val="auto"/>
        </w:rPr>
      </w:pPr>
    </w:p>
    <w:p>
      <w:pPr>
        <w:ind w:left="20" w:right="600"/>
        <w:spacing w:after="0" w:line="342" w:lineRule="auto"/>
        <w:rPr>
          <w:sz w:val="20"/>
          <w:szCs w:val="20"/>
          <w:color w:val="auto"/>
        </w:rPr>
      </w:pPr>
      <w:r>
        <w:rPr>
          <w:rFonts w:ascii="Arial" w:cs="Arial" w:eastAsia="Arial" w:hAnsi="Arial"/>
          <w:sz w:val="16"/>
          <w:szCs w:val="16"/>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2006.</w:t>
      </w:r>
    </w:p>
    <w:p>
      <w:pPr>
        <w:spacing w:after="0" w:line="23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407035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104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439"/>
        </w:trPr>
        <w:tc>
          <w:tcPr>
            <w:tcW w:w="88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353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439"/>
        </w:trPr>
        <w:tc>
          <w:tcPr>
            <w:tcW w:w="88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0.42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8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529.4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w w:val="93"/>
              </w:rPr>
              <w:t>Cash dividends declared per common share (1</w:t>
            </w:r>
            <w:r>
              <w:rPr>
                <w:rFonts w:ascii="Arial" w:cs="Arial" w:eastAsia="Arial" w:hAnsi="Arial"/>
                <w:sz w:val="15"/>
                <w:szCs w:val="15"/>
                <w:color w:val="auto"/>
                <w:w w:val="93"/>
              </w:rPr>
              <w:t>st</w:t>
            </w:r>
            <w:r>
              <w:rPr>
                <w:rFonts w:ascii="Arial" w:cs="Arial" w:eastAsia="Arial" w:hAnsi="Arial"/>
                <w:sz w:val="18"/>
                <w:szCs w:val="18"/>
                <w:color w:val="auto"/>
                <w:w w:val="93"/>
              </w:rPr>
              <w:t xml:space="preserve"> quarter 2006 dividend of $0.22 per share declared in December 2005,</w:t>
            </w: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paid in March 2006)</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ind w:left="560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520.9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534.1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0"/>
        </w:trPr>
        <w:tc>
          <w:tcPr>
            <w:tcW w:w="8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2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0.42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jc w:val="right"/>
              <w:ind w:right="251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4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14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1,772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11,063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5,296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14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20,043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20,600</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140" w:type="dxa"/>
            <w:vAlign w:val="bottom"/>
            <w:gridSpan w:val="2"/>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2,218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13,981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14,103</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5,780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20,043</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980" w:type="dxa"/>
            <w:vAlign w:val="bottom"/>
            <w:vMerge w:val="restart"/>
          </w:tcPr>
          <w:p>
            <w:pPr>
              <w:jc w:val="right"/>
              <w:ind w:right="315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short-term investments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 and warrants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2007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Quarters Ended</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Pr>
          <w:p>
            <w:pPr>
              <w:spacing w:after="0"/>
              <w:rPr>
                <w:sz w:val="10"/>
                <w:szCs w:val="10"/>
                <w:color w:val="auto"/>
              </w:rPr>
            </w:pPr>
          </w:p>
        </w:tc>
        <w:tc>
          <w:tcPr>
            <w:tcW w:w="12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6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116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Collection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2,121</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2,176</w:t>
            </w:r>
          </w:p>
        </w:tc>
        <w:tc>
          <w:tcPr>
            <w:tcW w:w="340" w:type="dxa"/>
            <w:vAlign w:val="bottom"/>
          </w:tcPr>
          <w:p>
            <w:pPr>
              <w:spacing w:after="0"/>
              <w:rPr>
                <w:sz w:val="24"/>
                <w:szCs w:val="2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2,159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Landfill</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Transfer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Wheelabrator</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Recycling and other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292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600"/>
              <w:spacing w:after="0"/>
              <w:rPr>
                <w:sz w:val="20"/>
                <w:szCs w:val="20"/>
                <w:color w:val="auto"/>
              </w:rPr>
            </w:pPr>
            <w:r>
              <w:rPr>
                <w:rFonts w:ascii="Arial" w:cs="Arial" w:eastAsia="Arial" w:hAnsi="Arial"/>
                <w:sz w:val="18"/>
                <w:szCs w:val="18"/>
                <w:color w:val="auto"/>
              </w:rPr>
              <w:t>Operating revenues</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Internal growth</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Less: Yield changes due to recycling commodities, electricity (IPP), fuel surcharge and</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mandated fees</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tcPr>
          <w:p>
            <w:pPr>
              <w:ind w:left="600"/>
              <w:spacing w:after="0"/>
              <w:rPr>
                <w:sz w:val="20"/>
                <w:szCs w:val="20"/>
                <w:color w:val="auto"/>
              </w:rPr>
            </w:pPr>
            <w:r>
              <w:rPr>
                <w:rFonts w:ascii="Arial" w:cs="Arial" w:eastAsia="Arial" w:hAnsi="Arial"/>
                <w:sz w:val="18"/>
                <w:szCs w:val="18"/>
                <w:color w:val="auto"/>
              </w:rPr>
              <w:t>Adjusted internal growth</w:t>
            </w: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(b)</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Gross annualized revenue acquired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Cash paid for acquisitions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Recycling Segment Supplemental Data (c)</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210</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24"/>
                <w:szCs w:val="2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(d)(e)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538</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w w:val="98"/>
              </w:rPr>
              <w:t>Proceeds from divestitures of businesses (net of cash divested) and other sales of assets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335</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year information has been reclassified to conform to 2007 presentation.</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Quarters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12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 available for use (a)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517</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798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8,223</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8,317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5,780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6,222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14,003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14,691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7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12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66.2%</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66.7%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7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2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Amortization and SFAS No. 143 Expenses for Landfills Included in Operating Groups</w:t>
            </w: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91.4</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amortization expense (b)</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122.3</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72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quarters ended March 31, 2007, December 31, 2006, and March 31, 2006 include short-term investments available for use of $46 million, $184 million, and $534 million, respectively.</w:t>
      </w:r>
    </w:p>
    <w:p>
      <w:pPr>
        <w:spacing w:after="0" w:line="21"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quarter ended December 31, 2006, there was a reduction of $6.4 million in amortization expense primarily due to changes in final capping estimates resulting from our annual landfill review process.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Free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20"/>
                <w:szCs w:val="20"/>
                <w:color w:val="auto"/>
              </w:rPr>
            </w:pPr>
            <w:r>
              <w:rPr>
                <w:rFonts w:ascii="Arial" w:cs="Arial" w:eastAsia="Arial" w:hAnsi="Arial"/>
                <w:sz w:val="14"/>
                <w:szCs w:val="14"/>
                <w:b w:val="1"/>
                <w:bCs w:val="1"/>
                <w:i w:val="1"/>
                <w:iCs w:val="1"/>
                <w:color w:val="auto"/>
              </w:rPr>
              <w:t>Full Year 2007 Free Cash Flow Reconciliation Scenarios (a)</w:t>
            </w: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Scenario 1</w:t>
            </w:r>
          </w:p>
        </w:tc>
        <w:tc>
          <w:tcPr>
            <w:tcW w:w="3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Scenario 2</w:t>
            </w:r>
          </w:p>
        </w:tc>
      </w:tr>
      <w:tr>
        <w:trPr>
          <w:trHeight w:val="210"/>
        </w:trPr>
        <w:tc>
          <w:tcPr>
            <w:tcW w:w="9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(1,250)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(1,380)</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23"/>
        </w:trPr>
        <w:tc>
          <w:tcPr>
            <w:tcW w:w="928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1,400</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table above illustrates two scenarios that would result in Free cash flow meeting the ends of our projected Free cash flow range. The amounts used in the reconciliation are not necessarily indicative of our expectations for those line items.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2019-12-20T04:40:05Z</dcterms:created>
  <dcterms:modified xsi:type="dcterms:W3CDTF">2019-12-20T04:40:05Z</dcterms:modified>
</cp:coreProperties>
</file>