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spacing w:after="0"/>
        <w:rPr>
          <w:sz w:val="20"/>
          <w:szCs w:val="20"/>
          <w:color w:val="auto"/>
        </w:rPr>
      </w:pPr>
      <w:r>
        <w:rPr>
          <w:rFonts w:ascii="Arial" w:cs="Arial" w:eastAsia="Arial" w:hAnsi="Arial"/>
          <w:sz w:val="22"/>
          <w:szCs w:val="22"/>
          <w:color w:val="auto"/>
        </w:rPr>
        <w:t>[Waste Management, Inc. Letterhead]</w:t>
      </w:r>
    </w:p>
    <w:p>
      <w:pPr>
        <w:spacing w:after="0" w:line="200" w:lineRule="exact"/>
        <w:rPr>
          <w:sz w:val="24"/>
          <w:szCs w:val="24"/>
          <w:color w:val="auto"/>
        </w:rPr>
      </w:pPr>
    </w:p>
    <w:p>
      <w:pPr>
        <w:spacing w:after="0" w:line="236" w:lineRule="exact"/>
        <w:rPr>
          <w:sz w:val="24"/>
          <w:szCs w:val="24"/>
          <w:color w:val="auto"/>
        </w:rPr>
      </w:pPr>
    </w:p>
    <w:p>
      <w:pPr>
        <w:ind w:left="200"/>
        <w:spacing w:after="0"/>
        <w:rPr>
          <w:sz w:val="20"/>
          <w:szCs w:val="20"/>
          <w:color w:val="auto"/>
        </w:rPr>
      </w:pPr>
      <w:r>
        <w:rPr>
          <w:rFonts w:ascii="Arial" w:cs="Arial" w:eastAsia="Arial" w:hAnsi="Arial"/>
          <w:sz w:val="22"/>
          <w:szCs w:val="22"/>
          <w:color w:val="auto"/>
        </w:rPr>
        <w:t>March 29, 2022</w:t>
      </w:r>
    </w:p>
    <w:p>
      <w:pPr>
        <w:spacing w:after="0" w:line="200" w:lineRule="exact"/>
        <w:rPr>
          <w:sz w:val="24"/>
          <w:szCs w:val="24"/>
          <w:color w:val="auto"/>
        </w:rPr>
      </w:pPr>
    </w:p>
    <w:p>
      <w:pPr>
        <w:spacing w:after="0" w:line="236" w:lineRule="exact"/>
        <w:rPr>
          <w:sz w:val="24"/>
          <w:szCs w:val="24"/>
          <w:color w:val="auto"/>
        </w:rPr>
      </w:pPr>
    </w:p>
    <w:p>
      <w:pPr>
        <w:ind w:left="200"/>
        <w:spacing w:after="0"/>
        <w:rPr>
          <w:sz w:val="20"/>
          <w:szCs w:val="20"/>
          <w:color w:val="auto"/>
        </w:rPr>
      </w:pPr>
      <w:r>
        <w:rPr>
          <w:rFonts w:ascii="Arial" w:cs="Arial" w:eastAsia="Arial" w:hAnsi="Arial"/>
          <w:sz w:val="22"/>
          <w:szCs w:val="22"/>
          <w:b w:val="1"/>
          <w:bCs w:val="1"/>
          <w:i w:val="1"/>
          <w:iCs w:val="1"/>
          <w:u w:val="single" w:color="auto"/>
          <w:color w:val="auto"/>
        </w:rPr>
        <w:t>Via EDGAR</w:t>
      </w:r>
    </w:p>
    <w:p>
      <w:pPr>
        <w:spacing w:after="0" w:line="220" w:lineRule="exact"/>
        <w:rPr>
          <w:sz w:val="24"/>
          <w:szCs w:val="24"/>
          <w:color w:val="auto"/>
        </w:rPr>
      </w:pPr>
    </w:p>
    <w:p>
      <w:pPr>
        <w:ind w:left="200"/>
        <w:spacing w:after="0"/>
        <w:rPr>
          <w:sz w:val="20"/>
          <w:szCs w:val="20"/>
          <w:color w:val="auto"/>
        </w:rPr>
      </w:pPr>
      <w:r>
        <w:rPr>
          <w:rFonts w:ascii="Arial" w:cs="Arial" w:eastAsia="Arial" w:hAnsi="Arial"/>
          <w:sz w:val="22"/>
          <w:szCs w:val="22"/>
          <w:color w:val="auto"/>
        </w:rPr>
        <w:t>United States Securities and Exchange Commission</w:t>
      </w:r>
    </w:p>
    <w:p>
      <w:pPr>
        <w:spacing w:after="0" w:line="21" w:lineRule="exact"/>
        <w:rPr>
          <w:sz w:val="24"/>
          <w:szCs w:val="24"/>
          <w:color w:val="auto"/>
        </w:rPr>
      </w:pPr>
    </w:p>
    <w:p>
      <w:pPr>
        <w:ind w:left="200"/>
        <w:spacing w:after="0"/>
        <w:rPr>
          <w:sz w:val="20"/>
          <w:szCs w:val="20"/>
          <w:color w:val="auto"/>
        </w:rPr>
      </w:pPr>
      <w:r>
        <w:rPr>
          <w:rFonts w:ascii="Arial" w:cs="Arial" w:eastAsia="Arial" w:hAnsi="Arial"/>
          <w:sz w:val="22"/>
          <w:szCs w:val="22"/>
          <w:color w:val="auto"/>
        </w:rPr>
        <w:t>Division of Corporation Finance</w:t>
      </w:r>
    </w:p>
    <w:p>
      <w:pPr>
        <w:spacing w:after="0" w:line="4" w:lineRule="exact"/>
        <w:rPr>
          <w:sz w:val="24"/>
          <w:szCs w:val="24"/>
          <w:color w:val="auto"/>
        </w:rPr>
      </w:pPr>
    </w:p>
    <w:p>
      <w:pPr>
        <w:ind w:left="200"/>
        <w:spacing w:after="0"/>
        <w:rPr>
          <w:sz w:val="20"/>
          <w:szCs w:val="20"/>
          <w:color w:val="auto"/>
        </w:rPr>
      </w:pPr>
      <w:r>
        <w:rPr>
          <w:rFonts w:ascii="Arial" w:cs="Arial" w:eastAsia="Arial" w:hAnsi="Arial"/>
          <w:sz w:val="22"/>
          <w:szCs w:val="22"/>
          <w:color w:val="auto"/>
        </w:rPr>
        <w:t>Office of Energy &amp; Transportation</w:t>
      </w:r>
    </w:p>
    <w:p>
      <w:pPr>
        <w:spacing w:after="0" w:line="4" w:lineRule="exact"/>
        <w:rPr>
          <w:sz w:val="24"/>
          <w:szCs w:val="24"/>
          <w:color w:val="auto"/>
        </w:rPr>
      </w:pPr>
    </w:p>
    <w:p>
      <w:pPr>
        <w:ind w:left="200"/>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ind w:left="200"/>
        <w:spacing w:after="0"/>
        <w:rPr>
          <w:sz w:val="20"/>
          <w:szCs w:val="20"/>
          <w:color w:val="auto"/>
        </w:rPr>
      </w:pPr>
      <w:r>
        <w:rPr>
          <w:rFonts w:ascii="Arial" w:cs="Arial" w:eastAsia="Arial" w:hAnsi="Arial"/>
          <w:sz w:val="22"/>
          <w:szCs w:val="22"/>
          <w:color w:val="auto"/>
        </w:rPr>
        <w:t>Washington, D.C. 20549</w:t>
      </w:r>
    </w:p>
    <w:p>
      <w:pPr>
        <w:spacing w:after="0" w:line="4" w:lineRule="exact"/>
        <w:rPr>
          <w:sz w:val="24"/>
          <w:szCs w:val="24"/>
          <w:color w:val="auto"/>
        </w:rPr>
      </w:pPr>
    </w:p>
    <w:p>
      <w:pPr>
        <w:ind w:left="200"/>
        <w:spacing w:after="0"/>
        <w:rPr>
          <w:sz w:val="20"/>
          <w:szCs w:val="20"/>
          <w:color w:val="auto"/>
        </w:rPr>
      </w:pPr>
      <w:r>
        <w:rPr>
          <w:rFonts w:ascii="Arial" w:cs="Arial" w:eastAsia="Arial" w:hAnsi="Arial"/>
          <w:sz w:val="22"/>
          <w:szCs w:val="22"/>
          <w:color w:val="auto"/>
        </w:rPr>
        <w:t>Attention: Steve Lo and Raj Rajan</w:t>
      </w:r>
    </w:p>
    <w:p>
      <w:pPr>
        <w:spacing w:after="0" w:line="200" w:lineRule="exact"/>
        <w:rPr>
          <w:sz w:val="24"/>
          <w:szCs w:val="24"/>
          <w:color w:val="auto"/>
        </w:rPr>
      </w:pPr>
    </w:p>
    <w:p>
      <w:pPr>
        <w:spacing w:after="0" w:line="266" w:lineRule="exact"/>
        <w:rPr>
          <w:sz w:val="24"/>
          <w:szCs w:val="24"/>
          <w:color w:val="auto"/>
        </w:rPr>
      </w:pPr>
    </w:p>
    <w:p>
      <w:pPr>
        <w:ind w:left="200"/>
        <w:spacing w:after="0"/>
        <w:tabs>
          <w:tab w:leader="none" w:pos="8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b w:val="1"/>
          <w:bCs w:val="1"/>
          <w:color w:val="auto"/>
        </w:rPr>
        <w:t>Waste Management, Inc.</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22"/>
          <w:szCs w:val="22"/>
          <w:b w:val="1"/>
          <w:bCs w:val="1"/>
          <w:color w:val="auto"/>
        </w:rPr>
        <w:t>Form 10-K for the Fiscal Year Ended December 31, 2021</w:t>
      </w:r>
    </w:p>
    <w:p>
      <w:pPr>
        <w:spacing w:after="0" w:line="4" w:lineRule="exact"/>
        <w:rPr>
          <w:sz w:val="24"/>
          <w:szCs w:val="24"/>
          <w:color w:val="auto"/>
        </w:rPr>
      </w:pPr>
    </w:p>
    <w:p>
      <w:pPr>
        <w:ind w:left="860"/>
        <w:spacing w:after="0"/>
        <w:rPr>
          <w:sz w:val="20"/>
          <w:szCs w:val="20"/>
          <w:color w:val="auto"/>
        </w:rPr>
      </w:pPr>
      <w:r>
        <w:rPr>
          <w:rFonts w:ascii="Arial" w:cs="Arial" w:eastAsia="Arial" w:hAnsi="Arial"/>
          <w:sz w:val="22"/>
          <w:szCs w:val="22"/>
          <w:b w:val="1"/>
          <w:bCs w:val="1"/>
          <w:color w:val="auto"/>
        </w:rPr>
        <w:t>Filed February 15, 2022</w:t>
      </w:r>
    </w:p>
    <w:p>
      <w:pPr>
        <w:spacing w:after="0" w:line="4" w:lineRule="exact"/>
        <w:rPr>
          <w:sz w:val="24"/>
          <w:szCs w:val="24"/>
          <w:color w:val="auto"/>
        </w:rPr>
      </w:pPr>
    </w:p>
    <w:p>
      <w:pPr>
        <w:ind w:left="860"/>
        <w:spacing w:after="0"/>
        <w:rPr>
          <w:sz w:val="20"/>
          <w:szCs w:val="20"/>
          <w:color w:val="auto"/>
        </w:rPr>
      </w:pPr>
      <w:r>
        <w:rPr>
          <w:rFonts w:ascii="Arial" w:cs="Arial" w:eastAsia="Arial" w:hAnsi="Arial"/>
          <w:sz w:val="22"/>
          <w:szCs w:val="22"/>
          <w:b w:val="1"/>
          <w:bCs w:val="1"/>
          <w:color w:val="auto"/>
        </w:rPr>
        <w:t>File No. 001-12154</w:t>
      </w:r>
    </w:p>
    <w:p>
      <w:pPr>
        <w:spacing w:after="0" w:line="200" w:lineRule="exact"/>
        <w:rPr>
          <w:sz w:val="24"/>
          <w:szCs w:val="24"/>
          <w:color w:val="auto"/>
        </w:rPr>
      </w:pPr>
    </w:p>
    <w:p>
      <w:pPr>
        <w:spacing w:after="0" w:line="272" w:lineRule="exact"/>
        <w:rPr>
          <w:sz w:val="24"/>
          <w:szCs w:val="24"/>
          <w:color w:val="auto"/>
        </w:rPr>
      </w:pPr>
    </w:p>
    <w:p>
      <w:pPr>
        <w:ind w:left="200"/>
        <w:spacing w:after="0"/>
        <w:rPr>
          <w:sz w:val="20"/>
          <w:szCs w:val="20"/>
          <w:color w:val="auto"/>
        </w:rPr>
      </w:pPr>
      <w:r>
        <w:rPr>
          <w:rFonts w:ascii="Arial" w:cs="Arial" w:eastAsia="Arial" w:hAnsi="Arial"/>
          <w:sz w:val="22"/>
          <w:szCs w:val="22"/>
          <w:color w:val="auto"/>
        </w:rPr>
        <w:t>Dear Mr. Lo and Mr. Rajan:</w:t>
      </w:r>
    </w:p>
    <w:p>
      <w:pPr>
        <w:spacing w:after="0" w:line="220" w:lineRule="exact"/>
        <w:rPr>
          <w:sz w:val="24"/>
          <w:szCs w:val="24"/>
          <w:color w:val="auto"/>
        </w:rPr>
      </w:pPr>
    </w:p>
    <w:p>
      <w:pPr>
        <w:jc w:val="both"/>
        <w:ind w:left="200" w:right="219"/>
        <w:spacing w:after="0" w:line="247" w:lineRule="auto"/>
        <w:rPr>
          <w:sz w:val="20"/>
          <w:szCs w:val="20"/>
          <w:color w:val="auto"/>
        </w:rPr>
      </w:pPr>
      <w:r>
        <w:rPr>
          <w:rFonts w:ascii="Arial" w:cs="Arial" w:eastAsia="Arial" w:hAnsi="Arial"/>
          <w:sz w:val="22"/>
          <w:szCs w:val="22"/>
          <w:color w:val="auto"/>
        </w:rPr>
        <w:t>We are responding to a comment received from the staff of the Division of Corporation Finance of the Securities and Exchange Commission (the “Staff”) dated March 22, 2022, relating to the above-referenced filing (the “Form 10-K”) of Waste Management, Inc. (the “Company”). We propose to address the Staff’s comment in this response letter and will amend the filing of our Form 10-K for the year ended December 31, 2021 accordingly. For your convenience, our response is prefaced by the text of the comment.</w:t>
      </w:r>
    </w:p>
    <w:p>
      <w:pPr>
        <w:spacing w:after="0" w:line="193" w:lineRule="exact"/>
        <w:rPr>
          <w:sz w:val="24"/>
          <w:szCs w:val="24"/>
          <w:color w:val="auto"/>
        </w:rPr>
      </w:pPr>
    </w:p>
    <w:p>
      <w:pPr>
        <w:ind w:left="200" w:right="3839"/>
        <w:spacing w:after="0" w:line="366" w:lineRule="auto"/>
        <w:rPr>
          <w:sz w:val="20"/>
          <w:szCs w:val="20"/>
          <w:color w:val="auto"/>
        </w:rPr>
      </w:pPr>
      <w:r>
        <w:rPr>
          <w:rFonts w:ascii="Arial" w:cs="Arial" w:eastAsia="Arial" w:hAnsi="Arial"/>
          <w:sz w:val="22"/>
          <w:szCs w:val="22"/>
          <w:u w:val="single" w:color="auto"/>
          <w:color w:val="auto"/>
        </w:rPr>
        <w:t>Form 10-K for the Fiscal Year Ended December 31, 2021 Item 9A. Controls and Procedures</w:t>
      </w:r>
    </w:p>
    <w:p>
      <w:pPr>
        <w:spacing w:after="0" w:line="65" w:lineRule="exact"/>
        <w:rPr>
          <w:sz w:val="24"/>
          <w:szCs w:val="24"/>
          <w:color w:val="auto"/>
        </w:rPr>
      </w:pPr>
    </w:p>
    <w:p>
      <w:pPr>
        <w:ind w:left="200"/>
        <w:spacing w:after="0"/>
        <w:rPr>
          <w:sz w:val="20"/>
          <w:szCs w:val="20"/>
          <w:color w:val="auto"/>
        </w:rPr>
      </w:pPr>
      <w:r>
        <w:rPr>
          <w:rFonts w:ascii="Arial" w:cs="Arial" w:eastAsia="Arial" w:hAnsi="Arial"/>
          <w:sz w:val="22"/>
          <w:szCs w:val="22"/>
          <w:u w:val="single" w:color="auto"/>
          <w:color w:val="auto"/>
        </w:rPr>
        <w:t>Management’s Report on Internal Control Over Financial Reporting, page 127</w:t>
      </w:r>
    </w:p>
    <w:p>
      <w:pPr>
        <w:spacing w:after="0" w:line="233" w:lineRule="exact"/>
        <w:rPr>
          <w:sz w:val="24"/>
          <w:szCs w:val="24"/>
          <w:color w:val="auto"/>
        </w:rPr>
      </w:pPr>
    </w:p>
    <w:p>
      <w:pPr>
        <w:jc w:val="both"/>
        <w:ind w:left="860" w:right="239" w:hanging="327"/>
        <w:spacing w:after="0" w:line="298" w:lineRule="auto"/>
        <w:tabs>
          <w:tab w:leader="none" w:pos="8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Please amend your filing to include a revised management’s report on internal control over financial reporting with a statement as to whether or not your internal control over financial reporting is effective. Refer to Item308(a) of Regulation S-K.</w:t>
      </w:r>
    </w:p>
    <w:p>
      <w:pPr>
        <w:spacing w:after="0" w:line="200" w:lineRule="exact"/>
        <w:rPr>
          <w:sz w:val="24"/>
          <w:szCs w:val="24"/>
          <w:color w:val="auto"/>
        </w:rPr>
      </w:pPr>
    </w:p>
    <w:p>
      <w:pPr>
        <w:spacing w:after="0" w:line="217" w:lineRule="exact"/>
        <w:rPr>
          <w:sz w:val="24"/>
          <w:szCs w:val="24"/>
          <w:color w:val="auto"/>
        </w:rPr>
      </w:pPr>
    </w:p>
    <w:p>
      <w:pPr>
        <w:ind w:left="200"/>
        <w:spacing w:after="0"/>
        <w:rPr>
          <w:sz w:val="20"/>
          <w:szCs w:val="20"/>
          <w:color w:val="auto"/>
        </w:rPr>
      </w:pPr>
      <w:r>
        <w:rPr>
          <w:rFonts w:ascii="Arial" w:cs="Arial" w:eastAsia="Arial" w:hAnsi="Arial"/>
          <w:sz w:val="22"/>
          <w:szCs w:val="22"/>
          <w:b w:val="1"/>
          <w:bCs w:val="1"/>
          <w:color w:val="auto"/>
        </w:rPr>
        <w:t>Response:</w:t>
      </w:r>
    </w:p>
    <w:p>
      <w:pPr>
        <w:spacing w:after="0" w:line="112" w:lineRule="exact"/>
        <w:rPr>
          <w:sz w:val="24"/>
          <w:szCs w:val="24"/>
          <w:color w:val="auto"/>
        </w:rPr>
      </w:pPr>
    </w:p>
    <w:p>
      <w:pPr>
        <w:ind w:left="200" w:right="219"/>
        <w:spacing w:after="0" w:line="269" w:lineRule="auto"/>
        <w:rPr>
          <w:sz w:val="20"/>
          <w:szCs w:val="20"/>
          <w:color w:val="auto"/>
        </w:rPr>
      </w:pPr>
      <w:r>
        <w:rPr>
          <w:rFonts w:ascii="Arial" w:cs="Arial" w:eastAsia="Arial" w:hAnsi="Arial"/>
          <w:sz w:val="22"/>
          <w:szCs w:val="22"/>
          <w:b w:val="1"/>
          <w:bCs w:val="1"/>
          <w:u w:val="single" w:color="auto"/>
          <w:color w:val="auto"/>
        </w:rPr>
        <w:t xml:space="preserve">Amended Item 9A Controls and Procedures. </w:t>
      </w:r>
      <w:r>
        <w:rPr>
          <w:rFonts w:ascii="Arial" w:cs="Arial" w:eastAsia="Arial" w:hAnsi="Arial"/>
          <w:sz w:val="22"/>
          <w:szCs w:val="22"/>
          <w:b w:val="1"/>
          <w:bCs w:val="1"/>
          <w:i w:val="1"/>
          <w:iCs w:val="1"/>
          <w:u w:val="single" w:color="auto"/>
          <w:color w:val="auto"/>
        </w:rPr>
        <w:t>Management’s Report on Internal Control Over</w:t>
      </w:r>
      <w:r>
        <w:rPr>
          <w:rFonts w:ascii="Arial" w:cs="Arial" w:eastAsia="Arial" w:hAnsi="Arial"/>
          <w:sz w:val="22"/>
          <w:szCs w:val="22"/>
          <w:b w:val="1"/>
          <w:bCs w:val="1"/>
          <w:u w:val="single" w:color="auto"/>
          <w:color w:val="auto"/>
        </w:rPr>
        <w:t xml:space="preserve"> </w:t>
      </w:r>
      <w:r>
        <w:rPr>
          <w:rFonts w:ascii="Arial" w:cs="Arial" w:eastAsia="Arial" w:hAnsi="Arial"/>
          <w:sz w:val="22"/>
          <w:szCs w:val="22"/>
          <w:b w:val="1"/>
          <w:bCs w:val="1"/>
          <w:i w:val="1"/>
          <w:iCs w:val="1"/>
          <w:u w:val="single" w:color="auto"/>
          <w:color w:val="auto"/>
        </w:rPr>
        <w:t>Financial Reporting, page 127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317500</wp:posOffset>
            </wp:positionV>
            <wp:extent cx="545211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72" w:right="1440" w:bottom="1440" w:gutter="0" w:footer="0" w:header="0"/>
        </w:sectPr>
      </w:pPr>
    </w:p>
    <w:bookmarkStart w:id="1" w:name="page2"/>
    <w:bookmarkEnd w:id="1"/>
    <w:p>
      <w:pPr>
        <w:ind w:left="200"/>
        <w:spacing w:after="0"/>
        <w:rPr>
          <w:sz w:val="20"/>
          <w:szCs w:val="20"/>
          <w:color w:val="auto"/>
        </w:rPr>
      </w:pPr>
      <w:r>
        <w:rPr>
          <w:rFonts w:ascii="Arial" w:cs="Arial" w:eastAsia="Arial" w:hAnsi="Arial"/>
          <w:sz w:val="22"/>
          <w:szCs w:val="22"/>
          <w:color w:val="auto"/>
        </w:rPr>
        <w:t>Division of Corporation Finance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Office of Energy &amp; Transportation</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United States Securities and Exchange Commission</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March 29, 2022</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Page 2</w:t>
      </w:r>
    </w:p>
    <w:p>
      <w:pPr>
        <w:spacing w:after="0" w:line="236" w:lineRule="exact"/>
        <w:rPr>
          <w:sz w:val="20"/>
          <w:szCs w:val="20"/>
          <w:color w:val="auto"/>
        </w:rPr>
      </w:pPr>
    </w:p>
    <w:p>
      <w:pPr>
        <w:jc w:val="both"/>
        <w:ind w:left="200" w:right="219"/>
        <w:spacing w:after="0" w:line="256" w:lineRule="auto"/>
        <w:rPr>
          <w:sz w:val="20"/>
          <w:szCs w:val="20"/>
          <w:color w:val="auto"/>
        </w:rPr>
      </w:pPr>
      <w:r>
        <w:rPr>
          <w:rFonts w:ascii="Arial" w:cs="Arial" w:eastAsia="Arial" w:hAnsi="Arial"/>
          <w:sz w:val="22"/>
          <w:szCs w:val="22"/>
          <w:b w:val="1"/>
          <w:bCs w:val="1"/>
          <w:color w:val="auto"/>
        </w:rPr>
        <w:t xml:space="preserve">The Company will include the following statement in </w:t>
      </w:r>
      <w:r>
        <w:rPr>
          <w:rFonts w:ascii="Arial" w:cs="Arial" w:eastAsia="Arial" w:hAnsi="Arial"/>
          <w:sz w:val="22"/>
          <w:szCs w:val="22"/>
          <w:b w:val="1"/>
          <w:bCs w:val="1"/>
          <w:i w:val="1"/>
          <w:iCs w:val="1"/>
          <w:color w:val="auto"/>
        </w:rPr>
        <w:t>Management’s Report on Internal</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 xml:space="preserve">Control Over Financial Reporting </w:t>
      </w:r>
      <w:r>
        <w:rPr>
          <w:rFonts w:ascii="Arial" w:cs="Arial" w:eastAsia="Arial" w:hAnsi="Arial"/>
          <w:sz w:val="22"/>
          <w:szCs w:val="22"/>
          <w:b w:val="1"/>
          <w:bCs w:val="1"/>
          <w:color w:val="auto"/>
        </w:rPr>
        <w:t>within a Form 10-K/A for the year ended December 31,</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2021:</w:t>
      </w:r>
    </w:p>
    <w:p>
      <w:pPr>
        <w:spacing w:after="0" w:line="236" w:lineRule="exact"/>
        <w:rPr>
          <w:sz w:val="20"/>
          <w:szCs w:val="20"/>
          <w:color w:val="auto"/>
        </w:rPr>
      </w:pPr>
    </w:p>
    <w:p>
      <w:pPr>
        <w:jc w:val="both"/>
        <w:ind w:left="540" w:right="219"/>
        <w:spacing w:after="0" w:line="297" w:lineRule="auto"/>
        <w:rPr>
          <w:sz w:val="20"/>
          <w:szCs w:val="20"/>
          <w:color w:val="auto"/>
        </w:rPr>
      </w:pPr>
      <w:r>
        <w:rPr>
          <w:rFonts w:ascii="Arial" w:cs="Arial" w:eastAsia="Arial" w:hAnsi="Arial"/>
          <w:sz w:val="19"/>
          <w:szCs w:val="19"/>
          <w:i w:val="1"/>
          <w:iCs w:val="1"/>
          <w:color w:val="auto"/>
        </w:rPr>
        <w:t>“Management of the Company assessed the effectiveness of our internal control over financial reporting as of December 31, 2021 based on the 2013 framework in Internal Control— Integrated Framework issued by the Committee of Sponsoring Organizations of the Treadway Commission (the COSO criteria). Based on this assessment, management has concluded that our internal control over financial reporting was effective as of December 31, 2021.”</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The Company intends to file the amendment to the Form 10-K on March 29, 2022.</w:t>
      </w:r>
    </w:p>
    <w:p>
      <w:pPr>
        <w:spacing w:after="0" w:line="253" w:lineRule="exact"/>
        <w:rPr>
          <w:sz w:val="20"/>
          <w:szCs w:val="20"/>
          <w:color w:val="auto"/>
        </w:rPr>
      </w:pPr>
    </w:p>
    <w:p>
      <w:pPr>
        <w:jc w:val="center"/>
        <w:ind w:right="-300"/>
        <w:spacing w:after="0"/>
        <w:tabs>
          <w:tab w:leader="none" w:pos="240" w:val="left"/>
          <w:tab w:leader="none" w:pos="240" w:val="left"/>
          <w:tab w:leader="none" w:pos="260" w:val="left"/>
        </w:tabs>
        <w:rPr>
          <w:sz w:val="20"/>
          <w:szCs w:val="20"/>
          <w:color w:val="auto"/>
        </w:rPr>
      </w:pPr>
      <w:r>
        <w:rPr>
          <w:rFonts w:ascii="Arial" w:cs="Arial" w:eastAsia="Arial" w:hAnsi="Arial"/>
          <w:sz w:val="22"/>
          <w:szCs w:val="22"/>
          <w:color w:val="auto"/>
        </w:rPr>
        <w:t>*</w:t>
        <w:tab/>
        <w:t>*</w:t>
        <w:tab/>
        <w:t>*</w:t>
        <w:tab/>
        <w:t>*</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The Company acknowledges that:</w:t>
      </w:r>
    </w:p>
    <w:p>
      <w:pPr>
        <w:spacing w:after="0" w:line="220" w:lineRule="exact"/>
        <w:rPr>
          <w:sz w:val="20"/>
          <w:szCs w:val="20"/>
          <w:color w:val="auto"/>
        </w:rPr>
      </w:pPr>
    </w:p>
    <w:p>
      <w:pPr>
        <w:ind w:left="1500" w:right="239" w:hanging="319"/>
        <w:spacing w:after="0" w:line="263"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 is responsible for the adequacy and accuracy of the disclosure in the filing;</w:t>
      </w:r>
    </w:p>
    <w:p>
      <w:pPr>
        <w:spacing w:after="0" w:line="66" w:lineRule="exact"/>
        <w:rPr>
          <w:rFonts w:ascii="Arial" w:cs="Arial" w:eastAsia="Arial" w:hAnsi="Arial"/>
          <w:sz w:val="22"/>
          <w:szCs w:val="22"/>
          <w:color w:val="auto"/>
        </w:rPr>
      </w:pPr>
    </w:p>
    <w:p>
      <w:pPr>
        <w:ind w:left="1500" w:right="219" w:hanging="319"/>
        <w:spacing w:after="0" w:line="341" w:lineRule="auto"/>
        <w:tabs>
          <w:tab w:leader="none" w:pos="1500" w:val="left"/>
        </w:tabs>
        <w:numPr>
          <w:ilvl w:val="0"/>
          <w:numId w:val="2"/>
        </w:numPr>
        <w:rPr>
          <w:rFonts w:ascii="Arial" w:cs="Arial" w:eastAsia="Arial" w:hAnsi="Arial"/>
          <w:sz w:val="19"/>
          <w:szCs w:val="19"/>
          <w:color w:val="auto"/>
        </w:rPr>
      </w:pPr>
      <w:r>
        <w:rPr>
          <w:rFonts w:ascii="Arial" w:cs="Arial" w:eastAsia="Arial" w:hAnsi="Arial"/>
          <w:sz w:val="19"/>
          <w:szCs w:val="19"/>
          <w:color w:val="auto"/>
        </w:rPr>
        <w:t>Staff comments or changes to disclosure in response to Staff comments do not foreclose the Commission from taking any action with respect to the filing; and</w:t>
      </w:r>
    </w:p>
    <w:p>
      <w:pPr>
        <w:jc w:val="both"/>
        <w:ind w:left="1500" w:right="219" w:hanging="319"/>
        <w:spacing w:after="0" w:line="253"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 may not assert Staff comments as a defense in any proceeding initiated by the Commission or any person under the federal securities laws of the United States.</w:t>
      </w:r>
    </w:p>
    <w:p>
      <w:pPr>
        <w:spacing w:after="0" w:line="185" w:lineRule="exact"/>
        <w:rPr>
          <w:sz w:val="20"/>
          <w:szCs w:val="20"/>
          <w:color w:val="auto"/>
        </w:rPr>
      </w:pPr>
    </w:p>
    <w:p>
      <w:pPr>
        <w:ind w:left="200" w:right="239" w:firstLine="648"/>
        <w:spacing w:after="0" w:line="263" w:lineRule="auto"/>
        <w:rPr>
          <w:sz w:val="20"/>
          <w:szCs w:val="20"/>
          <w:color w:val="auto"/>
        </w:rPr>
      </w:pPr>
      <w:r>
        <w:rPr>
          <w:rFonts w:ascii="Arial" w:cs="Arial" w:eastAsia="Arial" w:hAnsi="Arial"/>
          <w:sz w:val="22"/>
          <w:szCs w:val="22"/>
          <w:color w:val="auto"/>
        </w:rPr>
        <w:t>If you have any questions regarding our response, please contact the undersigned at (713) 328-7438.</w:t>
      </w:r>
    </w:p>
    <w:p>
      <w:pPr>
        <w:spacing w:after="0" w:line="6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Sincerely,</w:t>
      </w:r>
    </w:p>
    <w:p>
      <w:pPr>
        <w:spacing w:after="0" w:line="220" w:lineRule="exact"/>
        <w:rPr>
          <w:sz w:val="20"/>
          <w:szCs w:val="20"/>
          <w:color w:val="auto"/>
        </w:rPr>
      </w:pPr>
    </w:p>
    <w:p>
      <w:pPr>
        <w:ind w:left="4100"/>
        <w:spacing w:after="0"/>
        <w:rPr>
          <w:sz w:val="20"/>
          <w:szCs w:val="20"/>
          <w:color w:val="auto"/>
        </w:rPr>
      </w:pPr>
      <w:r>
        <w:rPr>
          <w:rFonts w:ascii="Arial" w:cs="Arial" w:eastAsia="Arial" w:hAnsi="Arial"/>
          <w:sz w:val="22"/>
          <w:szCs w:val="22"/>
          <w:i w:val="1"/>
          <w:iCs w:val="1"/>
          <w:color w:val="auto"/>
        </w:rPr>
        <w:t>/s/ Leslie K. Nagy</w:t>
      </w:r>
    </w:p>
    <w:p>
      <w:pPr>
        <w:spacing w:after="0" w:line="112"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Mrs. Leslie K. Nagy</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i w:val="1"/>
          <w:iCs w:val="1"/>
          <w:color w:val="auto"/>
        </w:rPr>
        <w:t>Vice President &amp; Chief Accounting Officer</w:t>
      </w:r>
    </w:p>
    <w:p>
      <w:pPr>
        <w:spacing w:after="0" w:line="94" w:lineRule="exact"/>
        <w:rPr>
          <w:sz w:val="20"/>
          <w:szCs w:val="20"/>
          <w:color w:val="auto"/>
        </w:rPr>
      </w:pPr>
    </w:p>
    <w:p>
      <w:pPr>
        <w:ind w:left="860" w:hanging="651"/>
        <w:spacing w:after="0"/>
        <w:tabs>
          <w:tab w:leader="none" w:pos="860" w:val="left"/>
        </w:tabs>
        <w:numPr>
          <w:ilvl w:val="0"/>
          <w:numId w:val="3"/>
        </w:numPr>
        <w:rPr>
          <w:rFonts w:ascii="Arial" w:cs="Arial" w:eastAsia="Arial" w:hAnsi="Arial"/>
          <w:sz w:val="22"/>
          <w:szCs w:val="22"/>
          <w:color w:val="auto"/>
        </w:rPr>
      </w:pPr>
      <w:r>
        <w:rPr>
          <w:rFonts w:ascii="Arial" w:cs="Arial" w:eastAsia="Arial" w:hAnsi="Arial"/>
          <w:sz w:val="22"/>
          <w:szCs w:val="22"/>
          <w:i w:val="1"/>
          <w:iCs w:val="1"/>
          <w:color w:val="auto"/>
        </w:rPr>
        <w:t>Waste Management, Inc.:</w:t>
      </w:r>
    </w:p>
    <w:p>
      <w:pPr>
        <w:spacing w:after="0" w:line="21" w:lineRule="exact"/>
        <w:rPr>
          <w:rFonts w:ascii="Arial" w:cs="Arial" w:eastAsia="Arial" w:hAnsi="Arial"/>
          <w:sz w:val="22"/>
          <w:szCs w:val="22"/>
          <w:color w:val="auto"/>
        </w:rPr>
      </w:pPr>
    </w:p>
    <w:p>
      <w:pPr>
        <w:ind w:left="860" w:right="3339"/>
        <w:spacing w:after="0" w:line="281" w:lineRule="auto"/>
        <w:rPr>
          <w:rFonts w:ascii="Arial" w:cs="Arial" w:eastAsia="Arial" w:hAnsi="Arial"/>
          <w:sz w:val="22"/>
          <w:szCs w:val="22"/>
          <w:color w:val="auto"/>
        </w:rPr>
      </w:pPr>
      <w:r>
        <w:rPr>
          <w:rFonts w:ascii="Arial" w:cs="Arial" w:eastAsia="Arial" w:hAnsi="Arial"/>
          <w:sz w:val="19"/>
          <w:szCs w:val="19"/>
          <w:color w:val="auto"/>
        </w:rPr>
        <w:t>Mr. William B. Plummer, Chairman – Audit Committee Mr. Thomas H. Weidemeyer, Chairman of the Board</w:t>
      </w:r>
    </w:p>
    <w:p>
      <w:pPr>
        <w:spacing w:after="0" w:line="1" w:lineRule="exact"/>
        <w:rPr>
          <w:rFonts w:ascii="Arial" w:cs="Arial" w:eastAsia="Arial" w:hAnsi="Arial"/>
          <w:sz w:val="22"/>
          <w:szCs w:val="22"/>
          <w:color w:val="auto"/>
        </w:rPr>
      </w:pPr>
    </w:p>
    <w:p>
      <w:pPr>
        <w:ind w:left="860"/>
        <w:spacing w:after="0"/>
        <w:rPr>
          <w:rFonts w:ascii="Arial" w:cs="Arial" w:eastAsia="Arial" w:hAnsi="Arial"/>
          <w:sz w:val="22"/>
          <w:szCs w:val="22"/>
          <w:color w:val="auto"/>
        </w:rPr>
      </w:pPr>
      <w:r>
        <w:rPr>
          <w:rFonts w:ascii="Arial" w:cs="Arial" w:eastAsia="Arial" w:hAnsi="Arial"/>
          <w:sz w:val="22"/>
          <w:szCs w:val="22"/>
          <w:color w:val="auto"/>
        </w:rPr>
        <w:t>Mr. James C. Fish, Jr., President &amp; Chief Executive Officer</w:t>
      </w:r>
    </w:p>
    <w:p>
      <w:pPr>
        <w:spacing w:after="0" w:line="3" w:lineRule="exact"/>
        <w:rPr>
          <w:rFonts w:ascii="Arial" w:cs="Arial" w:eastAsia="Arial" w:hAnsi="Arial"/>
          <w:sz w:val="22"/>
          <w:szCs w:val="22"/>
          <w:color w:val="auto"/>
        </w:rPr>
      </w:pPr>
    </w:p>
    <w:p>
      <w:pPr>
        <w:ind w:left="860"/>
        <w:spacing w:after="0"/>
        <w:rPr>
          <w:rFonts w:ascii="Arial" w:cs="Arial" w:eastAsia="Arial" w:hAnsi="Arial"/>
          <w:sz w:val="22"/>
          <w:szCs w:val="22"/>
          <w:color w:val="auto"/>
        </w:rPr>
      </w:pPr>
      <w:r>
        <w:rPr>
          <w:rFonts w:ascii="Arial" w:cs="Arial" w:eastAsia="Arial" w:hAnsi="Arial"/>
          <w:sz w:val="22"/>
          <w:szCs w:val="22"/>
          <w:color w:val="auto"/>
        </w:rPr>
        <w:t>Ms. Devina A. Rankin, Executive Vice President &amp; Chief Financial Officer</w:t>
      </w:r>
    </w:p>
    <w:p>
      <w:pPr>
        <w:spacing w:after="0" w:line="3" w:lineRule="exact"/>
        <w:rPr>
          <w:rFonts w:ascii="Arial" w:cs="Arial" w:eastAsia="Arial" w:hAnsi="Arial"/>
          <w:sz w:val="22"/>
          <w:szCs w:val="22"/>
          <w:color w:val="auto"/>
        </w:rPr>
      </w:pPr>
    </w:p>
    <w:p>
      <w:pPr>
        <w:ind w:left="980" w:right="219" w:hanging="130"/>
        <w:spacing w:after="0" w:line="246" w:lineRule="auto"/>
        <w:rPr>
          <w:rFonts w:ascii="Arial" w:cs="Arial" w:eastAsia="Arial" w:hAnsi="Arial"/>
          <w:sz w:val="22"/>
          <w:szCs w:val="22"/>
          <w:color w:val="auto"/>
        </w:rPr>
      </w:pPr>
      <w:r>
        <w:rPr>
          <w:rFonts w:ascii="Arial" w:cs="Arial" w:eastAsia="Arial" w:hAnsi="Arial"/>
          <w:sz w:val="22"/>
          <w:szCs w:val="22"/>
          <w:color w:val="auto"/>
        </w:rPr>
        <w:t>Mr. Charles C. Boettcher, Executive Vice President, Corporate Development &amp;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332740</wp:posOffset>
            </wp:positionV>
            <wp:extent cx="545211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6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2022-05-02T23:17:54Z</dcterms:created>
  <dcterms:modified xsi:type="dcterms:W3CDTF">2022-05-02T23:17:54Z</dcterms:modified>
</cp:coreProperties>
</file>