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20" w:type="dxa"/>
            <w:vAlign w:val="bottom"/>
            <w:tcBorders>
              <w:top w:val="single" w:sz="8" w:color="auto"/>
              <w:bottom w:val="single" w:sz="8" w:color="auto"/>
              <w:right w:val="single" w:sz="8" w:color="auto"/>
            </w:tcBorders>
          </w:tcPr>
          <w:p>
            <w:pPr>
              <w:spacing w:after="0"/>
              <w:rPr>
                <w:sz w:val="3"/>
                <w:szCs w:val="3"/>
                <w:color w:val="auto"/>
              </w:rPr>
            </w:pPr>
          </w:p>
        </w:tc>
        <w:tc>
          <w:tcPr>
            <w:tcW w:w="2620" w:type="dxa"/>
            <w:vAlign w:val="bottom"/>
            <w:tcBorders>
              <w:top w:val="single" w:sz="8" w:color="auto"/>
              <w:bottom w:val="single" w:sz="8" w:color="auto"/>
              <w:right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4920" w:type="dxa"/>
            <w:vAlign w:val="bottom"/>
            <w:tcBorders>
              <w:right w:val="single" w:sz="8" w:color="auto"/>
            </w:tcBorders>
          </w:tcPr>
          <w:p>
            <w:pPr>
              <w:jc w:val="center"/>
              <w:ind w:right="45"/>
              <w:spacing w:after="0" w:line="106" w:lineRule="exact"/>
              <w:rPr>
                <w:sz w:val="20"/>
                <w:szCs w:val="20"/>
                <w:color w:val="auto"/>
              </w:rPr>
            </w:pPr>
            <w:r>
              <w:rPr>
                <w:rFonts w:ascii="Arial" w:cs="Arial" w:eastAsia="Arial" w:hAnsi="Arial"/>
                <w:sz w:val="12"/>
                <w:szCs w:val="12"/>
                <w:b w:val="1"/>
                <w:bCs w:val="1"/>
                <w:color w:val="auto"/>
              </w:rPr>
              <w:t>Title of Each Class of</w:t>
            </w:r>
          </w:p>
        </w:tc>
        <w:tc>
          <w:tcPr>
            <w:tcW w:w="2620" w:type="dxa"/>
            <w:vAlign w:val="bottom"/>
            <w:tcBorders>
              <w:right w:val="single" w:sz="8" w:color="auto"/>
            </w:tcBorders>
          </w:tcPr>
          <w:p>
            <w:pPr>
              <w:jc w:val="right"/>
              <w:ind w:right="979"/>
              <w:spacing w:after="0" w:line="106" w:lineRule="exact"/>
              <w:rPr>
                <w:sz w:val="20"/>
                <w:szCs w:val="20"/>
                <w:color w:val="auto"/>
              </w:rPr>
            </w:pPr>
            <w:r>
              <w:rPr>
                <w:rFonts w:ascii="Arial" w:cs="Arial" w:eastAsia="Arial" w:hAnsi="Arial"/>
                <w:sz w:val="12"/>
                <w:szCs w:val="12"/>
                <w:b w:val="1"/>
                <w:bCs w:val="1"/>
                <w:color w:val="auto"/>
              </w:rPr>
              <w:t>Offering</w:t>
            </w:r>
          </w:p>
        </w:tc>
        <w:tc>
          <w:tcPr>
            <w:tcW w:w="2360" w:type="dxa"/>
            <w:vAlign w:val="bottom"/>
          </w:tcPr>
          <w:p>
            <w:pPr>
              <w:jc w:val="right"/>
              <w:ind w:right="679"/>
              <w:spacing w:after="0" w:line="106" w:lineRule="exact"/>
              <w:rPr>
                <w:sz w:val="20"/>
                <w:szCs w:val="20"/>
                <w:color w:val="auto"/>
              </w:rPr>
            </w:pPr>
            <w:r>
              <w:rPr>
                <w:rFonts w:ascii="Arial" w:cs="Arial" w:eastAsia="Arial" w:hAnsi="Arial"/>
                <w:sz w:val="12"/>
                <w:szCs w:val="12"/>
                <w:b w:val="1"/>
                <w:bCs w:val="1"/>
                <w:color w:val="auto"/>
              </w:rPr>
              <w:t>Registration</w:t>
            </w:r>
          </w:p>
        </w:tc>
      </w:tr>
      <w:tr>
        <w:trPr>
          <w:trHeight w:val="171"/>
        </w:trPr>
        <w:tc>
          <w:tcPr>
            <w:tcW w:w="20" w:type="dxa"/>
            <w:vAlign w:val="bottom"/>
          </w:tcPr>
          <w:p>
            <w:pPr>
              <w:spacing w:after="0"/>
              <w:rPr>
                <w:sz w:val="14"/>
                <w:szCs w:val="14"/>
                <w:color w:val="auto"/>
              </w:rPr>
            </w:pPr>
          </w:p>
        </w:tc>
        <w:tc>
          <w:tcPr>
            <w:tcW w:w="4920" w:type="dxa"/>
            <w:vAlign w:val="bottom"/>
            <w:tcBorders>
              <w:bottom w:val="single" w:sz="8" w:color="auto"/>
              <w:right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1"/>
              </w:rPr>
              <w:t>Securities to be Offered</w:t>
            </w:r>
          </w:p>
        </w:tc>
        <w:tc>
          <w:tcPr>
            <w:tcW w:w="2620" w:type="dxa"/>
            <w:vAlign w:val="bottom"/>
            <w:tcBorders>
              <w:bottom w:val="single" w:sz="8" w:color="auto"/>
              <w:right w:val="single" w:sz="8" w:color="auto"/>
            </w:tcBorders>
          </w:tcPr>
          <w:p>
            <w:pPr>
              <w:jc w:val="right"/>
              <w:ind w:right="1079"/>
              <w:spacing w:after="0"/>
              <w:rPr>
                <w:sz w:val="20"/>
                <w:szCs w:val="20"/>
                <w:color w:val="auto"/>
              </w:rPr>
            </w:pPr>
            <w:r>
              <w:rPr>
                <w:rFonts w:ascii="Arial" w:cs="Arial" w:eastAsia="Arial" w:hAnsi="Arial"/>
                <w:sz w:val="14"/>
                <w:szCs w:val="14"/>
                <w:b w:val="1"/>
                <w:bCs w:val="1"/>
                <w:color w:val="auto"/>
              </w:rPr>
              <w:t>Price</w:t>
            </w:r>
          </w:p>
        </w:tc>
        <w:tc>
          <w:tcPr>
            <w:tcW w:w="23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Fee(1)</w:t>
            </w:r>
          </w:p>
        </w:tc>
      </w:tr>
      <w:tr>
        <w:trPr>
          <w:trHeight w:val="210"/>
        </w:trPr>
        <w:tc>
          <w:tcPr>
            <w:tcW w:w="20" w:type="dxa"/>
            <w:vAlign w:val="bottom"/>
            <w:tcBorders>
              <w:bottom w:val="single" w:sz="8" w:color="auto"/>
            </w:tcBorders>
          </w:tcPr>
          <w:p>
            <w:pPr>
              <w:spacing w:after="0"/>
              <w:rPr>
                <w:sz w:val="18"/>
                <w:szCs w:val="18"/>
                <w:color w:val="auto"/>
              </w:rPr>
            </w:pPr>
          </w:p>
        </w:tc>
        <w:tc>
          <w:tcPr>
            <w:tcW w:w="4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4.60% Senior Notes due 2021</w:t>
            </w:r>
          </w:p>
        </w:tc>
        <w:tc>
          <w:tcPr>
            <w:tcW w:w="2620" w:type="dxa"/>
            <w:vAlign w:val="bottom"/>
            <w:tcBorders>
              <w:bottom w:val="single" w:sz="8" w:color="auto"/>
              <w:right w:val="single" w:sz="8" w:color="auto"/>
            </w:tcBorders>
          </w:tcPr>
          <w:p>
            <w:pPr>
              <w:jc w:val="right"/>
              <w:ind w:right="779"/>
              <w:spacing w:after="0"/>
              <w:rPr>
                <w:sz w:val="20"/>
                <w:szCs w:val="20"/>
                <w:color w:val="auto"/>
              </w:rPr>
            </w:pPr>
            <w:r>
              <w:rPr>
                <w:rFonts w:ascii="Arial" w:cs="Arial" w:eastAsia="Arial" w:hAnsi="Arial"/>
                <w:sz w:val="18"/>
                <w:szCs w:val="18"/>
                <w:color w:val="auto"/>
              </w:rPr>
              <w:t>$400,000,000</w:t>
            </w:r>
          </w:p>
        </w:tc>
        <w:tc>
          <w:tcPr>
            <w:tcW w:w="236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rPr>
              <w:t>$46,440</w:t>
            </w:r>
          </w:p>
        </w:tc>
      </w:tr>
      <w:tr>
        <w:trPr>
          <w:trHeight w:val="210"/>
        </w:trPr>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 of 2021 Notes(2)</w:t>
            </w:r>
          </w:p>
        </w:tc>
        <w:tc>
          <w:tcPr>
            <w:tcW w:w="2620" w:type="dxa"/>
            <w:vAlign w:val="bottom"/>
            <w:tcBorders>
              <w:bottom w:val="single" w:sz="8" w:color="auto"/>
              <w:right w:val="single" w:sz="8" w:color="auto"/>
            </w:tcBorders>
          </w:tcPr>
          <w:p>
            <w:pPr>
              <w:jc w:val="right"/>
              <w:ind w:right="779"/>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620" w:type="dxa"/>
            <w:vAlign w:val="bottom"/>
            <w:tcBorders>
              <w:right w:val="single" w:sz="8" w:color="auto"/>
            </w:tcBorders>
          </w:tcPr>
          <w:p>
            <w:pPr>
              <w:jc w:val="right"/>
              <w:ind w:right="779"/>
              <w:spacing w:after="0"/>
              <w:rPr>
                <w:sz w:val="20"/>
                <w:szCs w:val="20"/>
                <w:color w:val="auto"/>
              </w:rPr>
            </w:pPr>
            <w:r>
              <w:rPr>
                <w:rFonts w:ascii="Arial" w:cs="Arial" w:eastAsia="Arial" w:hAnsi="Arial"/>
                <w:sz w:val="18"/>
                <w:szCs w:val="18"/>
                <w:color w:val="auto"/>
              </w:rPr>
              <w:t>$400,000,000</w:t>
            </w:r>
          </w:p>
        </w:tc>
        <w:tc>
          <w:tcPr>
            <w:tcW w:w="2360" w:type="dxa"/>
            <w:vAlign w:val="bottom"/>
          </w:tcPr>
          <w:p>
            <w:pPr>
              <w:jc w:val="right"/>
              <w:ind w:right="819"/>
              <w:spacing w:after="0"/>
              <w:rPr>
                <w:sz w:val="20"/>
                <w:szCs w:val="20"/>
                <w:color w:val="auto"/>
              </w:rPr>
            </w:pPr>
            <w:r>
              <w:rPr>
                <w:rFonts w:ascii="Arial" w:cs="Arial" w:eastAsia="Arial" w:hAnsi="Arial"/>
                <w:sz w:val="18"/>
                <w:szCs w:val="18"/>
                <w:color w:val="auto"/>
              </w:rPr>
              <w:t>$46,440</w:t>
            </w: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920" w:hanging="227"/>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in accordance with Rule 457(r) of the Securities Act of 1933, as amended.</w:t>
      </w:r>
    </w:p>
    <w:p>
      <w:pPr>
        <w:spacing w:after="0" w:line="86" w:lineRule="exact"/>
        <w:rPr>
          <w:rFonts w:ascii="Arial" w:cs="Arial" w:eastAsia="Arial" w:hAnsi="Arial"/>
          <w:sz w:val="16"/>
          <w:szCs w:val="16"/>
          <w:color w:val="auto"/>
        </w:rPr>
      </w:pPr>
    </w:p>
    <w:p>
      <w:pPr>
        <w:ind w:left="920" w:hanging="227"/>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457(n), no separate fee for the guarantee is payable.</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333-162059</w:t>
      </w:r>
    </w:p>
    <w:p>
      <w:pPr>
        <w:spacing w:after="0" w:line="3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324"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Arial" w:cs="Arial" w:eastAsia="Arial" w:hAnsi="Arial"/>
          <w:sz w:val="25"/>
          <w:szCs w:val="25"/>
          <w:b w:val="1"/>
          <w:bCs w:val="1"/>
          <w:color w:val="auto"/>
        </w:rPr>
        <w:t>4.60% Senior Notes due 2021</w:t>
      </w:r>
    </w:p>
    <w:p>
      <w:pPr>
        <w:spacing w:after="0" w:line="140" w:lineRule="exact"/>
        <w:rPr>
          <w:sz w:val="20"/>
          <w:szCs w:val="20"/>
          <w:color w:val="auto"/>
        </w:rPr>
      </w:pPr>
    </w:p>
    <w:p>
      <w:pPr>
        <w:jc w:val="both"/>
        <w:ind w:left="700" w:right="60" w:firstLine="397"/>
        <w:spacing w:after="0" w:line="342" w:lineRule="auto"/>
        <w:rPr>
          <w:sz w:val="20"/>
          <w:szCs w:val="20"/>
          <w:color w:val="auto"/>
        </w:rPr>
      </w:pPr>
      <w:r>
        <w:rPr>
          <w:rFonts w:ascii="Arial" w:cs="Arial" w:eastAsia="Arial" w:hAnsi="Arial"/>
          <w:sz w:val="16"/>
          <w:szCs w:val="16"/>
          <w:color w:val="auto"/>
        </w:rPr>
        <w:t>We are offering $400 million of our 4.60% senior notes due 2021. Interest on the notes will accrue from February 28, 2011 and will be payable on March 1 and September 1 of each year, beginning September 1, 2011. The notes will mature on March 1, 2021.</w:t>
      </w:r>
    </w:p>
    <w:p>
      <w:pPr>
        <w:spacing w:after="0" w:line="29"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S-11. If a change of control triggering event as described beginning on page S-14 occurs, we may be required to offer to purchase the notes from holders.</w:t>
      </w:r>
    </w:p>
    <w:p>
      <w:pPr>
        <w:spacing w:after="0" w:line="16" w:lineRule="exact"/>
        <w:rPr>
          <w:sz w:val="20"/>
          <w:szCs w:val="20"/>
          <w:color w:val="auto"/>
        </w:rPr>
      </w:pPr>
    </w:p>
    <w:p>
      <w:pPr>
        <w:ind w:left="700" w:right="50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8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Note</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Total</w:t>
            </w:r>
          </w:p>
        </w:tc>
      </w:tr>
      <w:tr>
        <w:trPr>
          <w:trHeight w:val="249"/>
        </w:trPr>
        <w:tc>
          <w:tcPr>
            <w:tcW w:w="6740" w:type="dxa"/>
            <w:vAlign w:val="bottom"/>
          </w:tcPr>
          <w:p>
            <w:pPr>
              <w:spacing w:after="0"/>
              <w:rPr>
                <w:sz w:val="20"/>
                <w:szCs w:val="20"/>
                <w:color w:val="auto"/>
              </w:rPr>
            </w:pPr>
            <w:r>
              <w:rPr>
                <w:rFonts w:ascii="Arial" w:cs="Arial" w:eastAsia="Arial" w:hAnsi="Arial"/>
                <w:sz w:val="18"/>
                <w:szCs w:val="18"/>
                <w:color w:val="auto"/>
              </w:rPr>
              <w:t>Public Offering Price(1)</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99.762%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4"/>
              <w:spacing w:after="0"/>
              <w:rPr>
                <w:sz w:val="20"/>
                <w:szCs w:val="20"/>
                <w:color w:val="auto"/>
              </w:rPr>
            </w:pPr>
            <w:r>
              <w:rPr>
                <w:rFonts w:ascii="Arial" w:cs="Arial" w:eastAsia="Arial" w:hAnsi="Arial"/>
                <w:sz w:val="18"/>
                <w:szCs w:val="18"/>
                <w:color w:val="auto"/>
                <w:w w:val="87"/>
              </w:rPr>
              <w:t>399,048,000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0.650%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2,600,000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Proceeds to Us (excluding expenses)</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99.112%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4"/>
              <w:spacing w:after="0"/>
              <w:rPr>
                <w:sz w:val="20"/>
                <w:szCs w:val="20"/>
                <w:color w:val="auto"/>
              </w:rPr>
            </w:pPr>
            <w:r>
              <w:rPr>
                <w:rFonts w:ascii="Arial" w:cs="Arial" w:eastAsia="Arial" w:hAnsi="Arial"/>
                <w:sz w:val="18"/>
                <w:szCs w:val="18"/>
                <w:color w:val="auto"/>
                <w:w w:val="87"/>
              </w:rPr>
              <w:t>396,448,000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Plus accrued interest from February 28, 2011 if delivery occurs after that 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underwriters expect to deliver the notes to investors on or about February 28, 2011 only in book-entry form through the facilities of The Depository Trust Company and its participants, including Clearstream Banking, société anonyme, and Euroclear Bank S.A./N.V., as operator of the Euroclear System.</w:t>
      </w:r>
    </w:p>
    <w:p>
      <w:pPr>
        <w:spacing w:after="0" w:line="141" w:lineRule="exact"/>
        <w:rPr>
          <w:sz w:val="20"/>
          <w:szCs w:val="20"/>
          <w:color w:val="auto"/>
        </w:rPr>
      </w:pPr>
    </w:p>
    <w:p>
      <w:pPr>
        <w:jc w:val="center"/>
        <w:ind w:right="-699"/>
        <w:spacing w:after="0"/>
        <w:rPr>
          <w:sz w:val="20"/>
          <w:szCs w:val="20"/>
          <w:color w:val="auto"/>
        </w:rPr>
      </w:pPr>
      <w:r>
        <w:rPr>
          <w:rFonts w:ascii="Arial" w:cs="Arial" w:eastAsia="Arial" w:hAnsi="Arial"/>
          <w:sz w:val="18"/>
          <w:szCs w:val="18"/>
          <w:i w:val="1"/>
          <w:iCs w:val="1"/>
          <w:color w:val="auto"/>
        </w:rPr>
        <w:t>Joint Book-Running and Joint Lead Managers</w:t>
      </w:r>
    </w:p>
    <w:p>
      <w:pPr>
        <w:spacing w:after="0" w:line="23" w:lineRule="exact"/>
        <w:rPr>
          <w:sz w:val="20"/>
          <w:szCs w:val="20"/>
          <w:color w:val="auto"/>
        </w:rPr>
      </w:pPr>
    </w:p>
    <w:p>
      <w:pPr>
        <w:ind w:left="700"/>
        <w:spacing w:after="0"/>
        <w:tabs>
          <w:tab w:leader="none" w:pos="9960" w:val="left"/>
        </w:tabs>
        <w:rPr>
          <w:sz w:val="20"/>
          <w:szCs w:val="20"/>
          <w:color w:val="auto"/>
        </w:rPr>
      </w:pPr>
      <w:r>
        <w:rPr>
          <w:rFonts w:ascii="Arial" w:cs="Arial" w:eastAsia="Arial" w:hAnsi="Arial"/>
          <w:sz w:val="32"/>
          <w:szCs w:val="32"/>
          <w:b w:val="1"/>
          <w:bCs w:val="1"/>
          <w:color w:val="auto"/>
        </w:rPr>
        <w:t>Deutsche Bank Securities</w:t>
      </w:r>
      <w:r>
        <w:rPr>
          <w:sz w:val="20"/>
          <w:szCs w:val="20"/>
          <w:color w:val="auto"/>
        </w:rPr>
        <w:tab/>
      </w:r>
      <w:r>
        <w:rPr>
          <w:rFonts w:ascii="Arial" w:cs="Arial" w:eastAsia="Arial" w:hAnsi="Arial"/>
          <w:sz w:val="30"/>
          <w:szCs w:val="30"/>
          <w:b w:val="1"/>
          <w:bCs w:val="1"/>
          <w:color w:val="auto"/>
        </w:rPr>
        <w:t>RBS</w:t>
      </w:r>
    </w:p>
    <w:p>
      <w:pPr>
        <w:spacing w:after="0" w:line="252" w:lineRule="exact"/>
        <w:rPr>
          <w:sz w:val="20"/>
          <w:szCs w:val="20"/>
          <w:color w:val="auto"/>
        </w:rPr>
      </w:pPr>
    </w:p>
    <w:p>
      <w:pPr>
        <w:jc w:val="center"/>
        <w:ind w:right="-699"/>
        <w:spacing w:after="0"/>
        <w:rPr>
          <w:sz w:val="20"/>
          <w:szCs w:val="20"/>
          <w:color w:val="auto"/>
        </w:rPr>
      </w:pPr>
      <w:r>
        <w:rPr>
          <w:rFonts w:ascii="Arial" w:cs="Arial" w:eastAsia="Arial" w:hAnsi="Arial"/>
          <w:sz w:val="18"/>
          <w:szCs w:val="18"/>
          <w:i w:val="1"/>
          <w:iCs w:val="1"/>
          <w:color w:val="auto"/>
        </w:rPr>
        <w:t>Co-Managers</w:t>
      </w:r>
    </w:p>
    <w:p>
      <w:pPr>
        <w:spacing w:after="0" w:line="45" w:lineRule="exact"/>
        <w:rPr>
          <w:sz w:val="20"/>
          <w:szCs w:val="20"/>
          <w:color w:val="auto"/>
        </w:rPr>
      </w:pPr>
    </w:p>
    <w:p>
      <w:pPr>
        <w:ind w:left="700"/>
        <w:spacing w:after="0"/>
        <w:tabs>
          <w:tab w:leader="none" w:pos="4860" w:val="left"/>
          <w:tab w:leader="none" w:pos="7960" w:val="left"/>
        </w:tabs>
        <w:rPr>
          <w:sz w:val="20"/>
          <w:szCs w:val="20"/>
          <w:color w:val="auto"/>
        </w:rPr>
      </w:pPr>
      <w:r>
        <w:rPr>
          <w:rFonts w:ascii="Arial" w:cs="Arial" w:eastAsia="Arial" w:hAnsi="Arial"/>
          <w:sz w:val="29"/>
          <w:szCs w:val="29"/>
          <w:b w:val="1"/>
          <w:bCs w:val="1"/>
          <w:color w:val="auto"/>
        </w:rPr>
        <w:t>Credit Agricole CIB</w:t>
      </w:r>
      <w:r>
        <w:rPr>
          <w:sz w:val="20"/>
          <w:szCs w:val="20"/>
          <w:color w:val="auto"/>
        </w:rPr>
        <w:tab/>
      </w: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5"/>
          <w:szCs w:val="25"/>
          <w:b w:val="1"/>
          <w:bCs w:val="1"/>
          <w:color w:val="auto"/>
        </w:rPr>
        <w:t>Lloyds Securities Inc.</w:t>
      </w:r>
    </w:p>
    <w:p>
      <w:pPr>
        <w:spacing w:after="0" w:line="36" w:lineRule="exact"/>
        <w:rPr>
          <w:sz w:val="20"/>
          <w:szCs w:val="20"/>
          <w:color w:val="auto"/>
        </w:rPr>
      </w:pPr>
    </w:p>
    <w:p>
      <w:pPr>
        <w:ind w:left="1880"/>
        <w:spacing w:after="0"/>
        <w:tabs>
          <w:tab w:leader="none" w:pos="6700" w:val="left"/>
        </w:tabs>
        <w:rPr>
          <w:sz w:val="20"/>
          <w:szCs w:val="20"/>
          <w:color w:val="auto"/>
        </w:rPr>
      </w:pPr>
      <w:r>
        <w:rPr>
          <w:rFonts w:ascii="Arial" w:cs="Arial" w:eastAsia="Arial" w:hAnsi="Arial"/>
          <w:sz w:val="29"/>
          <w:szCs w:val="29"/>
          <w:b w:val="1"/>
          <w:bCs w:val="1"/>
          <w:color w:val="auto"/>
        </w:rPr>
        <w:t>PNC Capital Markets LLC</w:t>
      </w:r>
      <w:r>
        <w:rPr>
          <w:sz w:val="20"/>
          <w:szCs w:val="20"/>
          <w:color w:val="auto"/>
        </w:rPr>
        <w:tab/>
      </w:r>
      <w:r>
        <w:rPr>
          <w:rFonts w:ascii="Arial" w:cs="Arial" w:eastAsia="Arial" w:hAnsi="Arial"/>
          <w:sz w:val="26"/>
          <w:szCs w:val="26"/>
          <w:b w:val="1"/>
          <w:bCs w:val="1"/>
          <w:color w:val="auto"/>
        </w:rPr>
        <w:t>US Bancorp</w:t>
      </w:r>
    </w:p>
    <w:p>
      <w:pPr>
        <w:sectPr>
          <w:pgSz w:w="11900" w:h="16838" w:orient="portrait"/>
          <w:cols w:equalWidth="0" w:num="1">
            <w:col w:w="10620"/>
          </w:cols>
          <w:pgMar w:left="240" w:top="122" w:right="1039" w:bottom="1440" w:gutter="0" w:footer="0" w:header="0"/>
        </w:sectPr>
      </w:pPr>
    </w:p>
    <w:p>
      <w:pPr>
        <w:spacing w:after="0" w:line="2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p>
      <w:pPr>
        <w:ind w:left="700" w:right="820" w:firstLine="397"/>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8"/>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7"/>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3"/>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Notes</w:t>
              </w:r>
            </w:hyperlink>
          </w:p>
        </w:tc>
        <w:tc>
          <w:tcPr>
            <w:tcW w:w="230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Arial" w:cs="Arial" w:eastAsia="Arial" w:hAnsi="Arial"/>
                <w:sz w:val="18"/>
                <w:szCs w:val="18"/>
                <w:color w:val="0000EE"/>
              </w:rPr>
              <w:t>Underwriting</w:t>
            </w: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S-21</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Legal Matters</w:t>
            </w:r>
          </w:p>
        </w:tc>
        <w:tc>
          <w:tcPr>
            <w:tcW w:w="2800" w:type="dxa"/>
            <w:vAlign w:val="bottom"/>
            <w:gridSpan w:val="5"/>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Arial" w:cs="Arial" w:eastAsia="Arial" w:hAnsi="Arial"/>
                <w:sz w:val="18"/>
                <w:szCs w:val="18"/>
                <w:color w:val="0000EE"/>
              </w:rPr>
              <w:t>Experts</w:t>
            </w: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Arial" w:cs="Arial" w:eastAsia="Arial" w:hAnsi="Arial"/>
                <w:sz w:val="18"/>
                <w:szCs w:val="18"/>
                <w:color w:val="0000EE"/>
                <w:w w:val="95"/>
              </w:rPr>
              <w:t>Incorporation of Certain Documents by Reference</w:t>
            </w: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S-24</w:t>
            </w:r>
          </w:p>
        </w:tc>
        <w:tc>
          <w:tcPr>
            <w:tcW w:w="800" w:type="dxa"/>
            <w:vAlign w:val="bottom"/>
          </w:tcPr>
          <w:p>
            <w:pPr>
              <w:spacing w:after="0"/>
              <w:rPr>
                <w:sz w:val="17"/>
                <w:szCs w:val="17"/>
                <w:color w:val="auto"/>
              </w:rPr>
            </w:pPr>
          </w:p>
        </w:tc>
      </w:tr>
      <w:tr>
        <w:trPr>
          <w:trHeight w:val="222"/>
        </w:trPr>
        <w:tc>
          <w:tcPr>
            <w:tcW w:w="70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Inc.</w:t>
      </w:r>
    </w:p>
    <w:p>
      <w:pPr>
        <w:spacing w:after="0" w:line="135" w:lineRule="exact"/>
        <w:rPr>
          <w:sz w:val="20"/>
          <w:szCs w:val="20"/>
          <w:color w:val="auto"/>
        </w:rPr>
      </w:pPr>
    </w:p>
    <w:p>
      <w:pPr>
        <w:ind w:left="920" w:right="140" w:firstLine="397"/>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340" w:firstLine="2"/>
        <w:spacing w:after="0" w:line="273" w:lineRule="auto"/>
        <w:tabs>
          <w:tab w:leader="none" w:pos="1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right="500" w:firstLine="397"/>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7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$400 million aggregate principal amount of 4.60% Senior Notes due 2021.</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Subsidiary Guarantee</w:t>
      </w:r>
      <w:r>
        <w:rPr>
          <w:sz w:val="20"/>
          <w:szCs w:val="20"/>
          <w:color w:val="auto"/>
        </w:rPr>
        <w:tab/>
      </w:r>
      <w:r>
        <w:rPr>
          <w:rFonts w:ascii="Arial" w:cs="Arial" w:eastAsia="Arial" w:hAnsi="Arial"/>
          <w:sz w:val="16"/>
          <w:szCs w:val="16"/>
          <w:color w:val="auto"/>
        </w:rPr>
        <w:t>WM Holdings will fully and unconditionally guarantee, on a senior unsecured basis,</w:t>
      </w:r>
    </w:p>
    <w:p>
      <w:pPr>
        <w:spacing w:after="0" w:line="23" w:lineRule="exact"/>
        <w:rPr>
          <w:sz w:val="20"/>
          <w:szCs w:val="20"/>
          <w:color w:val="auto"/>
        </w:rPr>
      </w:pPr>
    </w:p>
    <w:p>
      <w:pPr>
        <w:ind w:left="4600" w:right="200"/>
        <w:spacing w:after="0" w:line="323" w:lineRule="auto"/>
        <w:rPr>
          <w:sz w:val="20"/>
          <w:szCs w:val="20"/>
          <w:color w:val="auto"/>
        </w:rPr>
      </w:pPr>
      <w:r>
        <w:rPr>
          <w:rFonts w:ascii="Arial" w:cs="Arial" w:eastAsia="Arial" w:hAnsi="Arial"/>
          <w:sz w:val="16"/>
          <w:szCs w:val="16"/>
          <w:color w:val="auto"/>
        </w:rPr>
        <w:t>the full and prompt payment of the principal and any premium and interest on the notes, when and as they become due and payable, whether at maturity or otherwise.</w:t>
      </w:r>
    </w:p>
    <w:p>
      <w:pPr>
        <w:spacing w:after="0" w:line="3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March 1, 2021.</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5"/>
          <w:szCs w:val="15"/>
          <w:color w:val="auto"/>
        </w:rPr>
        <w:t>4.60% per year.</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March 1 and September 1 of each year, beginning September 1, 2011.</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 in minimum</w:t>
      </w:r>
    </w:p>
    <w:p>
      <w:pPr>
        <w:spacing w:after="0" w:line="23" w:lineRule="exact"/>
        <w:rPr>
          <w:sz w:val="20"/>
          <w:szCs w:val="20"/>
          <w:color w:val="auto"/>
        </w:rPr>
      </w:pPr>
    </w:p>
    <w:p>
      <w:pPr>
        <w:ind w:left="4600"/>
        <w:spacing w:after="0" w:line="268" w:lineRule="auto"/>
        <w:rPr>
          <w:sz w:val="20"/>
          <w:szCs w:val="20"/>
          <w:color w:val="auto"/>
        </w:rPr>
      </w:pPr>
      <w:r>
        <w:rPr>
          <w:rFonts w:ascii="Arial" w:cs="Arial" w:eastAsia="Arial" w:hAnsi="Arial"/>
          <w:sz w:val="17"/>
          <w:szCs w:val="17"/>
          <w:color w:val="auto"/>
        </w:rPr>
        <w:t>principal amounts of $2,000 or any integral multiple of $1,000 in excess thereof. If we elect to redeem and repay the notes before the date that is three months prior to the maturity date, we will pay an amount equal to the greater of 100% of the principal amount of the notes redeemed and repaid, or the sum of the present values of the remaining scheduled payments of principal and interest on the notes. If we elect to redeem and repay the notes on or after the date that is three months prior to the maturity date, we will pay an amount equal to 100% of the principal amount of the notes redeemed and repaid. We will pay accrued interest on the notes redeemed to the redemption date. See “Description of Notes — Optional Redemption” in this prospectus supplement.</w:t>
      </w:r>
    </w:p>
    <w:p>
      <w:pPr>
        <w:spacing w:after="0" w:line="7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6"/>
          <w:szCs w:val="16"/>
          <w:color w:val="auto"/>
        </w:rPr>
        <w:t>If a change of control triggering event occurs, holders of the notes may require us to</w:t>
      </w:r>
    </w:p>
    <w:p>
      <w:pPr>
        <w:spacing w:after="0" w:line="23" w:lineRule="exact"/>
        <w:rPr>
          <w:sz w:val="20"/>
          <w:szCs w:val="20"/>
          <w:color w:val="auto"/>
        </w:rPr>
      </w:pPr>
    </w:p>
    <w:p>
      <w:pPr>
        <w:ind w:left="4600" w:right="300"/>
        <w:spacing w:after="0" w:line="302" w:lineRule="auto"/>
        <w:rPr>
          <w:sz w:val="20"/>
          <w:szCs w:val="20"/>
          <w:color w:val="auto"/>
        </w:rPr>
      </w:pPr>
      <w:r>
        <w:rPr>
          <w:rFonts w:ascii="Arial" w:cs="Arial" w:eastAsia="Arial" w:hAnsi="Arial"/>
          <w:sz w:val="16"/>
          <w:szCs w:val="16"/>
          <w:color w:val="auto"/>
        </w:rPr>
        <w:t>purchase all or a portion of such holders’ notes at a price equal to 101% of the principal amount, plus accrued interest, if any, to the date of purchase. See “Description of Notes — Change of Control Offer” in this prospectus supplement.</w:t>
      </w:r>
    </w:p>
    <w:p>
      <w:pPr>
        <w:spacing w:after="0" w:line="4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Ranking</w:t>
      </w:r>
      <w:r>
        <w:rPr>
          <w:sz w:val="20"/>
          <w:szCs w:val="20"/>
          <w:color w:val="auto"/>
        </w:rPr>
        <w:tab/>
      </w:r>
      <w:r>
        <w:rPr>
          <w:rFonts w:ascii="Arial" w:cs="Arial" w:eastAsia="Arial" w:hAnsi="Arial"/>
          <w:sz w:val="17"/>
          <w:szCs w:val="17"/>
          <w:color w:val="auto"/>
        </w:rPr>
        <w:t>The notes and the guarantees will constitute the senior unsecured debt of Waste</w:t>
      </w:r>
    </w:p>
    <w:p>
      <w:pPr>
        <w:spacing w:after="0" w:line="35" w:lineRule="exact"/>
        <w:rPr>
          <w:sz w:val="20"/>
          <w:szCs w:val="20"/>
          <w:color w:val="auto"/>
        </w:rPr>
      </w:pPr>
    </w:p>
    <w:p>
      <w:pPr>
        <w:ind w:left="4600" w:right="180"/>
        <w:spacing w:after="0" w:line="255" w:lineRule="auto"/>
        <w:rPr>
          <w:sz w:val="20"/>
          <w:szCs w:val="20"/>
          <w:color w:val="auto"/>
        </w:rPr>
      </w:pPr>
      <w:r>
        <w:rPr>
          <w:rFonts w:ascii="Arial" w:cs="Arial" w:eastAsia="Arial" w:hAnsi="Arial"/>
          <w:sz w:val="18"/>
          <w:szCs w:val="18"/>
          <w:color w:val="auto"/>
        </w:rPr>
        <w:t>Management, Inc. and WM Holdings, respectively, and will rank equally with all of our and its other existing and future senior indebtedness from time to time outstanding.</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Covenants</w:t>
      </w:r>
      <w:r>
        <w:rPr>
          <w:sz w:val="20"/>
          <w:szCs w:val="20"/>
          <w:color w:val="auto"/>
        </w:rPr>
        <w:tab/>
      </w:r>
      <w:r>
        <w:rPr>
          <w:rFonts w:ascii="Arial" w:cs="Arial" w:eastAsia="Arial" w:hAnsi="Arial"/>
          <w:sz w:val="17"/>
          <w:szCs w:val="17"/>
          <w:color w:val="auto"/>
        </w:rPr>
        <w:t>We will issue the notes under an indenture containing covenants for your benefit.</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These covenants restrict our ability, with certain exceptions, to:</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create, incur or assume debt secured by liens;</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engage in sale and leaseback transactions; and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merge, consolidate or transfer all or substantially all of our assets.</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$395.8 million, after</w:t>
      </w:r>
    </w:p>
    <w:p>
      <w:pPr>
        <w:spacing w:after="0" w:line="23" w:lineRule="exact"/>
        <w:rPr>
          <w:sz w:val="20"/>
          <w:szCs w:val="20"/>
          <w:color w:val="auto"/>
        </w:rPr>
      </w:pPr>
    </w:p>
    <w:p>
      <w:pPr>
        <w:ind w:left="4600" w:right="120"/>
        <w:spacing w:after="0" w:line="268" w:lineRule="auto"/>
        <w:rPr>
          <w:sz w:val="20"/>
          <w:szCs w:val="20"/>
          <w:color w:val="auto"/>
        </w:rPr>
      </w:pPr>
      <w:r>
        <w:rPr>
          <w:rFonts w:ascii="Arial" w:cs="Arial" w:eastAsia="Arial" w:hAnsi="Arial"/>
          <w:sz w:val="17"/>
          <w:szCs w:val="17"/>
          <w:color w:val="auto"/>
        </w:rPr>
        <w:t>deducting the underwriting discount and estimated expenses of the offering that we will pay. We intend to use the net proceeds from the offering of the notes to repay the approximately $147 million principal amount of our outstanding 7.65% Senior Notes when they mature in March 2011, plus accrued and unpaid interest of approximately $5.6 million. All remaining proceeds will be used for general corporate purposes, including additions to working capital, capital expenditures and the funding of potential acquisitions and investments in businesses. See “Use of Proceeds” in this prospectus supplement.</w:t>
      </w:r>
    </w:p>
    <w:p>
      <w:pPr>
        <w:spacing w:after="0" w:line="7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create and issue additional notes ranking equally and ratably with the notes</w:t>
      </w:r>
    </w:p>
    <w:p>
      <w:pPr>
        <w:spacing w:after="0" w:line="23" w:lineRule="exact"/>
        <w:rPr>
          <w:sz w:val="20"/>
          <w:szCs w:val="20"/>
          <w:color w:val="auto"/>
        </w:rPr>
      </w:pPr>
    </w:p>
    <w:p>
      <w:pPr>
        <w:ind w:left="4600" w:right="40"/>
        <w:spacing w:after="0" w:line="292" w:lineRule="auto"/>
        <w:rPr>
          <w:sz w:val="20"/>
          <w:szCs w:val="20"/>
          <w:color w:val="auto"/>
        </w:rPr>
      </w:pPr>
      <w:r>
        <w:rPr>
          <w:rFonts w:ascii="Arial" w:cs="Arial" w:eastAsia="Arial" w:hAnsi="Arial"/>
          <w:sz w:val="16"/>
          <w:szCs w:val="16"/>
          <w:color w:val="auto"/>
        </w:rPr>
        <w:t>offered by this prospectus supplement in all respects, so that such additional notes will 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w:t>
      </w:r>
    </w:p>
    <w:p>
      <w:pPr>
        <w:spacing w:after="0" w:line="28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4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64"/>
        </w:trPr>
        <w:tc>
          <w:tcPr>
            <w:tcW w:w="66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4.1x</w:t>
            </w:r>
          </w:p>
        </w:tc>
        <w:tc>
          <w:tcPr>
            <w:tcW w:w="3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4.0x</w:t>
            </w:r>
          </w:p>
        </w:tc>
        <w:tc>
          <w:tcPr>
            <w:tcW w:w="2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4.5x</w:t>
            </w: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4.0x</w:t>
            </w: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8"/>
              </w:rPr>
              <w:t>3.</w:t>
            </w:r>
            <w:r>
              <w:rPr>
                <w:rFonts w:ascii="Arial" w:cs="Arial" w:eastAsia="Arial" w:hAnsi="Arial"/>
                <w:sz w:val="18"/>
                <w:szCs w:val="18"/>
                <w:u w:val="single" w:color="auto"/>
                <w:color w:val="auto"/>
                <w:w w:val="88"/>
              </w:rPr>
              <w:t>5x</w:t>
            </w:r>
          </w:p>
        </w:tc>
      </w:tr>
      <w:tr>
        <w:trPr>
          <w:trHeight w:val="20"/>
        </w:trPr>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20" w:right="120" w:firstLine="397"/>
        <w:spacing w:after="0" w:line="273"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For a calculation of our ratio of earnings to fixed charges, see Exhibit 12.1, “Computation of Ratio of Earnings to Fixed Charges,” to our Annual Report on Form 10-K for the year ended December 31, 2010.</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2010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We have substantial indebtedness. At December 31, 2010, our ratio of total debt to total capitalization was 57.5% and our total consolidated indebtedness was $8.91 billion. In addition, as of December 31, 2010, we had approximately $1.64 billion of letters of credit outstanding under our $2.0 billion revolving credit facility and letter of credit facilities. Our level of indebtedness and the covenants contained in the agreements governing our debt could have important consequences, including:</w:t>
      </w:r>
    </w:p>
    <w:p>
      <w:pPr>
        <w:spacing w:after="0" w:line="77" w:lineRule="exact"/>
        <w:rPr>
          <w:sz w:val="20"/>
          <w:szCs w:val="20"/>
          <w:color w:val="auto"/>
        </w:rPr>
      </w:pPr>
    </w:p>
    <w:p>
      <w:pPr>
        <w:ind w:left="1300" w:right="4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20" w:hanging="202"/>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$1.8 billion of our total debt as of December 31, 2010 is exposed to changes in market interest rates within the next twelve months.</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$2.0 billion revolving credit facility requires us to comply with specified ratios of Total Debt to EBITDA and EBIT to Consolidated Total Interest Expense (each as defined in our revolving credit facility), as of December 31, 2010 and after giving effect to the offering of the notes, we have the ability to incur substantial additional indebtedness while remaining in compliance with these ratios. Our incurrence of significant additional indebtedness would exacerbate the negative consequences mentioned above, and could adversely affect our ability to service and repay the notes.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secured debt.</w:t>
      </w:r>
    </w:p>
    <w:p>
      <w:pPr>
        <w:spacing w:after="0" w:line="131" w:lineRule="exact"/>
        <w:rPr>
          <w:sz w:val="20"/>
          <w:szCs w:val="20"/>
          <w:color w:val="auto"/>
        </w:rPr>
      </w:pPr>
    </w:p>
    <w:p>
      <w:pPr>
        <w:ind w:left="700" w:right="80" w:firstLine="397"/>
        <w:spacing w:after="0" w:line="284"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As of December 31, 2010, we had approximately $30 million of outstanding secured indebtedness. As of December 31, 2010, our operating subsidiaries had $3.36 billion of indebtedness and</w:t>
      </w:r>
    </w:p>
    <w:p>
      <w:pPr>
        <w:spacing w:after="0" w:line="3" w:lineRule="exact"/>
        <w:rPr>
          <w:sz w:val="20"/>
          <w:szCs w:val="20"/>
          <w:color w:val="auto"/>
        </w:rPr>
      </w:pPr>
    </w:p>
    <w:p>
      <w:pPr>
        <w:ind w:left="700" w:right="120"/>
        <w:spacing w:after="0" w:line="323" w:lineRule="auto"/>
        <w:rPr>
          <w:sz w:val="20"/>
          <w:szCs w:val="20"/>
          <w:color w:val="auto"/>
        </w:rPr>
      </w:pPr>
      <w:r>
        <w:rPr>
          <w:rFonts w:ascii="Arial" w:cs="Arial" w:eastAsia="Arial" w:hAnsi="Arial"/>
          <w:sz w:val="16"/>
          <w:szCs w:val="16"/>
          <w:color w:val="auto"/>
        </w:rPr>
        <w:t>WM Holdings had $597 million of indebtedness (excluding guarantees of $4.78 billion of our senior debt), in each case excluding intercompany loans. For a description of the ranking of the notes, see “Description of Notes — Ranking” in this prospectus supplement.</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8"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60"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77"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expect the net proceeds from the offering of the notes to be $395.8 million, after deducting the underwriting discount and estimated expenses of the offering that we will pay. We intend to use the net proceeds from the offering of the notes to repay the approximately $147 million principal amount of our outstanding 7.65% Senior Notes when they mature in March 2011, plus accrued and unpaid interest of approximately $5.6 million. All remaining proceeds will be used for general corporate purposes, including additions to working capital, capital expenditures and the funding of potential acquisitions and investments in businesses. Pending application of the offering proceeds as described, we may temporarily invest the proceeds in short-term investments.</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December 31, 2010 and as adjusted to give effect to the offering of the notes and the application of the estimated net proceeds as described under “Use of Proceeds” in this prospectus supplement.</w:t>
      </w:r>
    </w:p>
    <w:p>
      <w:pPr>
        <w:spacing w:after="0" w:line="87"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Revolving credit facility(a)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Letter of credit facilities(a)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Canadian credit facility, net of discount (weighted average interest rate of 2.2% at December 31, 2010)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Senior notes and debentures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Maturing through 2039, interest rates ranging from 4.75% to 7.75% (weighted average interest rate of</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6.5% at December 31, 2010)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4.60% Senior Notes due 2021 offered hereby (net of any unamortized discount)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Tax-exempt bonds maturing through 2039, fixed and variable interest rates ranging from 0.3% to 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interest rate of 3.1% at December 31, 2010)(c)</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Tax-exempt project bonds, principal payable in periodic installments, maturing through 2029, fixed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variable interest rates ranging from 0.3% to 5.4% (weighted average interest rate of 2.5% at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December 31, 2010)(d)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Common stock, $0.01 par value; 1,500,000,000 shares authorized; 630,282,461 shares issued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155,235,711 shares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(4,904)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and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15,498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hanging="291"/>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party to a $2.0 billion revolving credit facility that matures on June 22, 2013, that can be used for either cash borrowings or to support letters of credit. Letters of credit are also provided under facilities</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spacing w:after="0" w:line="305" w:lineRule="auto"/>
        <w:rPr>
          <w:sz w:val="20"/>
          <w:szCs w:val="20"/>
          <w:color w:val="auto"/>
        </w:rPr>
      </w:pPr>
      <w:r>
        <w:rPr>
          <w:rFonts w:ascii="Arial" w:cs="Arial" w:eastAsia="Arial" w:hAnsi="Arial"/>
          <w:sz w:val="16"/>
          <w:szCs w:val="16"/>
          <w:color w:val="auto"/>
        </w:rPr>
        <w:t>with maturities that extend from June 2013 to June 2015. As of December 31, 2010, we had approximately $1.64 billion of letters of credit outstanding under our revolving credit facility and letter of credit facilities and our available capacity under our revolving credit facility was $862 million. We had no available capacity under our letter of credit facilities as of December 31, 2010.</w:t>
      </w:r>
    </w:p>
    <w:p>
      <w:pPr>
        <w:spacing w:after="0" w:line="1" w:lineRule="exact"/>
        <w:rPr>
          <w:sz w:val="20"/>
          <w:szCs w:val="20"/>
          <w:color w:val="auto"/>
        </w:rPr>
      </w:pPr>
    </w:p>
    <w:p>
      <w:pPr>
        <w:ind w:left="1000" w:right="520" w:hanging="301"/>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hanging="291"/>
        <w:spacing w:after="0" w:line="286"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 w:lineRule="exact"/>
        <w:rPr>
          <w:rFonts w:ascii="Arial" w:cs="Arial" w:eastAsia="Arial" w:hAnsi="Arial"/>
          <w:sz w:val="17"/>
          <w:szCs w:val="17"/>
          <w:color w:val="auto"/>
        </w:rPr>
      </w:pPr>
    </w:p>
    <w:p>
      <w:pPr>
        <w:ind w:left="1000" w:right="20" w:hanging="301"/>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copy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 will:</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$400 million;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mature on March 1, 2021;</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117"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on the notes at the rate of 4.60% per annum;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from February 28, 2011 or the most recent interest payment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 payable in cash semi-annually in arrears on March 1 and September 1 of each year, beginning on September 1, 2011;</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 payable to holders of record on the February 15 and August 15 immediately preceding the related interest payment dates;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6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Before the date that is three months prior to the maturity date, 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60" w:hanging="20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 the applicable Treasury Yield plus 20 basis points;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On or after the date that is three months prior to the maturity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87"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7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three months prior to the maturity date. We are currently unaware of any circumstances under which we would redeem the notes.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60" w:firstLine="3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either of Deutsche Bank Securities Inc. and RBS Securities Inc. (and their respective successors), or, if both of such firms are unwilling or unable to select the applicable Comparable Treasury Issue, an independent investment banking institution of national standing appointed by the Trustee and reasonably acceptable to us.</w:t>
      </w:r>
    </w:p>
    <w:p>
      <w:pPr>
        <w:spacing w:after="0" w:line="71"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(a) the bid price for the Comparable Treasury 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3"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Deutsche Bank Securities Inc. and RBS Securities Inc. (and their respective successors), unless either of them ceases to be a primary U.S. government securities dealer in New York City (a “Primary Treasury Dealer”), in which case we will substitute therefor another Primary Treasury Dealer, and (ii) any two other Primary Treasury Dealers selected by us.</w:t>
      </w:r>
    </w:p>
    <w:p>
      <w:pPr>
        <w:spacing w:after="0" w:line="92"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for 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20" w:hanging="249"/>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100" w:firstLine="372"/>
        <w:spacing w:after="0" w:line="257" w:lineRule="auto"/>
        <w:tabs>
          <w:tab w:leader="none" w:pos="2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spacing w:after="0" w:line="308" w:lineRule="auto"/>
        <w:rPr>
          <w:sz w:val="20"/>
          <w:szCs w:val="20"/>
          <w:color w:val="auto"/>
        </w:rPr>
      </w:pPr>
      <w:r>
        <w:rPr>
          <w:rFonts w:ascii="Arial" w:cs="Arial" w:eastAsia="Arial" w:hAnsi="Arial"/>
          <w:sz w:val="17"/>
          <w:szCs w:val="17"/>
          <w:color w:val="auto"/>
        </w:rPr>
        <w:t>to the Trustee for cancellation, for principal of, premium, if any, and interest on, such notes to the date of such deposit (in the case of notes already due and payable) or to the date of stated maturity or redemption, as the case may be;</w:t>
      </w:r>
    </w:p>
    <w:p>
      <w:pPr>
        <w:spacing w:after="0" w:line="52" w:lineRule="exact"/>
        <w:rPr>
          <w:sz w:val="20"/>
          <w:szCs w:val="20"/>
          <w:color w:val="auto"/>
        </w:rPr>
      </w:pPr>
    </w:p>
    <w:p>
      <w:pPr>
        <w:ind w:left="1720" w:hanging="24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13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94"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85"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As of December 31, 2010, our operating subsidiaries had $3.36 billion of indebtedness and WM Holdings had $597 million of indebtedness (excluding guarantees of $4.78 billion of our senior debt), in each case excluding intercompany loans.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WM Holdings’ guarantees under the facilities can only be released with the written consent of each of the lenders that is a party thereto.</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60" w:firstLine="3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9" w:lineRule="auto"/>
        <w:rPr>
          <w:sz w:val="20"/>
          <w:szCs w:val="20"/>
          <w:color w:val="auto"/>
        </w:rPr>
      </w:pPr>
      <w:r>
        <w:rPr>
          <w:rFonts w:ascii="Arial" w:cs="Arial" w:eastAsia="Arial" w:hAnsi="Arial"/>
          <w:sz w:val="16"/>
          <w:szCs w:val="16"/>
          <w:color w:val="auto"/>
        </w:rPr>
        <w:t>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72"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directors</w:t>
      </w:r>
      <w:r>
        <w:rPr>
          <w:rFonts w:ascii="Arial" w:cs="Arial" w:eastAsia="Arial" w:hAnsi="Arial"/>
          <w:sz w:val="17"/>
          <w:szCs w:val="17"/>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31" w:lineRule="exact"/>
        <w:rPr>
          <w:sz w:val="20"/>
          <w:szCs w:val="20"/>
          <w:color w:val="auto"/>
        </w:rPr>
      </w:pPr>
    </w:p>
    <w:p>
      <w:pPr>
        <w:jc w:val="both"/>
        <w:ind w:left="1080" w:right="180" w:firstLine="3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31" w:lineRule="exact"/>
        <w:rPr>
          <w:sz w:val="20"/>
          <w:szCs w:val="20"/>
          <w:color w:val="auto"/>
        </w:rPr>
      </w:pPr>
    </w:p>
    <w:p>
      <w:pPr>
        <w:jc w:val="both"/>
        <w:ind w:left="1080" w:right="80" w:firstLine="3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event</w:t>
      </w:r>
      <w:r>
        <w:rPr>
          <w:rFonts w:ascii="Arial" w:cs="Arial" w:eastAsia="Arial" w:hAnsi="Arial"/>
          <w:sz w:val="16"/>
          <w:szCs w:val="16"/>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Ratings Services, a division of The McGraw-Hill Companies, Inc., and its successors.</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94"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340" w:firstLine="397"/>
        <w:spacing w:after="0" w:line="308" w:lineRule="auto"/>
        <w:rPr>
          <w:sz w:val="20"/>
          <w:szCs w:val="20"/>
          <w:color w:val="auto"/>
        </w:rPr>
      </w:pPr>
      <w:r>
        <w:rPr>
          <w:rFonts w:ascii="Arial" w:cs="Arial" w:eastAsia="Arial" w:hAnsi="Arial"/>
          <w:sz w:val="17"/>
          <w:szCs w:val="17"/>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right="4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20"/>
        <w:spacing w:after="0" w:line="308" w:lineRule="auto"/>
        <w:rPr>
          <w:sz w:val="20"/>
          <w:szCs w:val="20"/>
          <w:color w:val="auto"/>
        </w:rPr>
      </w:pPr>
      <w:r>
        <w:rPr>
          <w:rFonts w:ascii="Arial" w:cs="Arial" w:eastAsia="Arial" w:hAnsi="Arial"/>
          <w:sz w:val="17"/>
          <w:szCs w:val="17"/>
          <w:color w:val="auto"/>
        </w:rPr>
        <w:t>System, a “clearing corporation” within the meaning of the New York Uniform Commercial Code, and a “clearing agency” registered pursuant to the provisions of Section 17A of the Securities Exchange Act of 1934, as amended.</w:t>
      </w:r>
    </w:p>
    <w:p>
      <w:pPr>
        <w:spacing w:after="0" w:line="52" w:lineRule="exact"/>
        <w:rPr>
          <w:sz w:val="20"/>
          <w:szCs w:val="20"/>
          <w:color w:val="auto"/>
        </w:rPr>
      </w:pPr>
    </w:p>
    <w:p>
      <w:pPr>
        <w:ind w:left="1300" w:right="2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20" w:hanging="202"/>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record date. The omnibus proxy assigns Cede &amp; Co.’s consenting or voting rights to those direct DTC participants to whose accounts the notes are credited on the record date (identified in a listing attached to the omnibus proxy).</w:t>
      </w:r>
    </w:p>
    <w:p>
      <w:pPr>
        <w:spacing w:after="0" w:line="76"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Specifically, these terms and conditions govern transfers of securities and cash within Euroclear, withdrawal of securities and cash from Euroclear and receipts of payments with respect to securities in Euroclear.</w:t>
      </w:r>
    </w:p>
    <w:p>
      <w:pPr>
        <w:spacing w:after="0" w:line="76"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w:t>
      </w:r>
    </w:p>
    <w:p>
      <w:pPr>
        <w:ind w:left="700"/>
        <w:spacing w:after="0" w:line="254" w:lineRule="auto"/>
        <w:rPr>
          <w:sz w:val="20"/>
          <w:szCs w:val="20"/>
          <w:color w:val="auto"/>
        </w:rPr>
      </w:pPr>
      <w:r>
        <w:rPr>
          <w:rFonts w:ascii="Arial" w:cs="Arial" w:eastAsia="Arial" w:hAnsi="Arial"/>
          <w:sz w:val="18"/>
          <w:szCs w:val="18"/>
          <w:color w:val="auto"/>
        </w:rPr>
        <w:t>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5"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64" w:lineRule="auto"/>
        <w:rPr>
          <w:sz w:val="20"/>
          <w:szCs w:val="20"/>
          <w:color w:val="auto"/>
        </w:rPr>
      </w:pPr>
      <w:r>
        <w:rPr>
          <w:rFonts w:ascii="Arial" w:cs="Arial" w:eastAsia="Arial" w:hAnsi="Arial"/>
          <w:sz w:val="18"/>
          <w:szCs w:val="18"/>
          <w:color w:val="auto"/>
        </w:rPr>
        <w:t>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Deutsche Bank Securities Inc. and RBS Securities Inc. are acting as joint book-running managers of the offering and as representatives of the underwriters named below.</w:t>
      </w:r>
    </w:p>
    <w:p>
      <w:pPr>
        <w:spacing w:after="0" w:line="7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8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160,000,000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160,000,000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Credit Agricole Securities (USA)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400,000,000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other selling terms applicable to the notes.</w:t>
      </w:r>
    </w:p>
    <w:p>
      <w:pPr>
        <w:spacing w:after="0" w:line="9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94"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700" w:right="80" w:firstLine="390"/>
        <w:spacing w:after="0" w:line="264"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86" w:lineRule="exact"/>
        <w:rPr>
          <w:rFonts w:ascii="Arial" w:cs="Arial" w:eastAsia="Arial" w:hAnsi="Arial"/>
          <w:sz w:val="18"/>
          <w:szCs w:val="18"/>
          <w:color w:val="auto"/>
        </w:rPr>
      </w:pPr>
    </w:p>
    <w:p>
      <w:pPr>
        <w:ind w:left="1280" w:hanging="19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1" w:lineRule="exact"/>
        <w:rPr>
          <w:sz w:val="20"/>
          <w:szCs w:val="20"/>
          <w:color w:val="auto"/>
        </w:rPr>
      </w:pPr>
    </w:p>
    <w:p>
      <w:pPr>
        <w:ind w:left="700" w:right="40"/>
        <w:spacing w:after="0" w:line="271" w:lineRule="auto"/>
        <w:rPr>
          <w:sz w:val="20"/>
          <w:szCs w:val="20"/>
          <w:color w:val="auto"/>
        </w:rPr>
      </w:pPr>
      <w:r>
        <w:rPr>
          <w:rFonts w:ascii="Arial" w:cs="Arial" w:eastAsia="Arial" w:hAnsi="Arial"/>
          <w:sz w:val="17"/>
          <w:szCs w:val="17"/>
          <w:color w:val="auto"/>
        </w:rPr>
        <w:t>provided that no such offer of notes shall require us or any underwriter to publish a prospectus pursuant to Article 3 of the Prospectus Directive. 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8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2010, including the schedule appearing therein, and the effectiveness of Waste Management, Inc.’s internal control over financial reporting as of December 31, 2010,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1"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6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8260" w:type="dxa"/>
            <w:vAlign w:val="bottom"/>
            <w:gridSpan w:val="2"/>
          </w:tcPr>
          <w:p>
            <w:pPr>
              <w:spacing w:after="0"/>
              <w:rPr>
                <w:sz w:val="20"/>
                <w:szCs w:val="20"/>
                <w:color w:val="auto"/>
              </w:rPr>
            </w:pPr>
            <w:r>
              <w:rPr>
                <w:rFonts w:ascii="Arial" w:cs="Arial" w:eastAsia="Arial" w:hAnsi="Arial"/>
                <w:sz w:val="16"/>
                <w:szCs w:val="16"/>
                <w:color w:val="auto"/>
              </w:rPr>
              <w:t>SEC Filing (Our SEC File Number is 1-12154)</w:t>
            </w:r>
          </w:p>
        </w:tc>
        <w:tc>
          <w:tcPr>
            <w:tcW w:w="1660" w:type="dxa"/>
            <w:vAlign w:val="bottom"/>
          </w:tcPr>
          <w:p>
            <w:pPr>
              <w:jc w:val="right"/>
              <w:ind w:right="32"/>
              <w:spacing w:after="0"/>
              <w:rPr>
                <w:sz w:val="20"/>
                <w:szCs w:val="20"/>
                <w:color w:val="auto"/>
              </w:rPr>
            </w:pPr>
            <w:r>
              <w:rPr>
                <w:rFonts w:ascii="Arial" w:cs="Arial" w:eastAsia="Arial" w:hAnsi="Arial"/>
                <w:sz w:val="16"/>
                <w:szCs w:val="16"/>
                <w:color w:val="auto"/>
              </w:rPr>
              <w:t>Date Filed</w:t>
            </w:r>
          </w:p>
        </w:tc>
      </w:tr>
      <w:tr>
        <w:trPr>
          <w:trHeight w:val="23"/>
        </w:trPr>
        <w:tc>
          <w:tcPr>
            <w:tcW w:w="80" w:type="dxa"/>
            <w:vAlign w:val="bottom"/>
            <w:shd w:val="clear" w:color="auto" w:fill="000000"/>
          </w:tcPr>
          <w:p>
            <w:pPr>
              <w:spacing w:after="0"/>
              <w:rPr>
                <w:sz w:val="2"/>
                <w:szCs w:val="2"/>
                <w:color w:val="auto"/>
              </w:rPr>
            </w:pPr>
          </w:p>
        </w:tc>
        <w:tc>
          <w:tcPr>
            <w:tcW w:w="8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6"/>
        </w:trPr>
        <w:tc>
          <w:tcPr>
            <w:tcW w:w="82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2010</w:t>
            </w:r>
          </w:p>
        </w:tc>
        <w:tc>
          <w:tcPr>
            <w:tcW w:w="1660" w:type="dxa"/>
            <w:vAlign w:val="bottom"/>
          </w:tcPr>
          <w:p>
            <w:pPr>
              <w:jc w:val="right"/>
              <w:spacing w:after="0"/>
              <w:rPr>
                <w:sz w:val="20"/>
                <w:szCs w:val="20"/>
                <w:color w:val="auto"/>
              </w:rPr>
            </w:pPr>
            <w:r>
              <w:rPr>
                <w:rFonts w:ascii="Arial" w:cs="Arial" w:eastAsia="Arial" w:hAnsi="Arial"/>
                <w:sz w:val="18"/>
                <w:szCs w:val="18"/>
                <w:color w:val="auto"/>
              </w:rPr>
              <w:t>February 17, 2011</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Amendment No. 1 to Form 10-K for the year ended December 31, 2010</w:t>
            </w:r>
          </w:p>
        </w:tc>
        <w:tc>
          <w:tcPr>
            <w:tcW w:w="1660" w:type="dxa"/>
            <w:vAlign w:val="bottom"/>
          </w:tcPr>
          <w:p>
            <w:pPr>
              <w:jc w:val="right"/>
              <w:spacing w:after="0"/>
              <w:rPr>
                <w:sz w:val="20"/>
                <w:szCs w:val="20"/>
                <w:color w:val="auto"/>
              </w:rPr>
            </w:pPr>
            <w:r>
              <w:rPr>
                <w:rFonts w:ascii="Arial" w:cs="Arial" w:eastAsia="Arial" w:hAnsi="Arial"/>
                <w:sz w:val="18"/>
                <w:szCs w:val="18"/>
                <w:color w:val="auto"/>
              </w:rPr>
              <w:t>February 22, 2011</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w w:val="94"/>
              </w:rPr>
              <w:t>The portions of our proxy statement for our 2010 annual meeting of stockholders incorporated by reference in</w:t>
            </w:r>
          </w:p>
        </w:tc>
        <w:tc>
          <w:tcPr>
            <w:tcW w:w="166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18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2009</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29,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-591185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64"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8" w:name="page29"/>
    <w:bookmarkEnd w:id="28"/>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4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4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About this Prospectus</w:t>
              </w:r>
            </w:hyperlink>
          </w:p>
        </w:tc>
        <w:tc>
          <w:tcPr>
            <w:tcW w:w="520" w:type="dxa"/>
            <w:vAlign w:val="bottom"/>
            <w:tcBorders>
              <w:top w:val="single" w:sz="8" w:color="0000EE"/>
            </w:tcBorders>
            <w:gridSpan w:val="5"/>
          </w:tcPr>
          <w:p>
            <w:pPr>
              <w:spacing w:after="0"/>
              <w:rPr>
                <w:sz w:val="17"/>
                <w:szCs w:val="17"/>
                <w:color w:val="auto"/>
              </w:rPr>
            </w:pPr>
          </w:p>
        </w:tc>
        <w:tc>
          <w:tcPr>
            <w:tcW w:w="13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Incorporation by Reference</w:t>
              </w:r>
            </w:hyperlink>
          </w:p>
        </w:tc>
        <w:tc>
          <w:tcPr>
            <w:tcW w:w="144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Where You Can Find More Information</w:t>
              </w:r>
            </w:hyperlink>
          </w:p>
        </w:tc>
        <w:tc>
          <w:tcPr>
            <w:tcW w:w="56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The Company</w:t>
              </w:r>
            </w:hyperlink>
          </w:p>
        </w:tc>
        <w:tc>
          <w:tcPr>
            <w:tcW w:w="240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2520" w:type="dxa"/>
            <w:vAlign w:val="bottom"/>
            <w:gridSpan w:val="1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Ratio of Earnings to Fixed Charges</w:t>
              </w:r>
            </w:hyperlink>
          </w:p>
        </w:tc>
        <w:tc>
          <w:tcPr>
            <w:tcW w:w="88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Debt Securities</w:t>
              </w:r>
            </w:hyperlink>
          </w:p>
        </w:tc>
        <w:tc>
          <w:tcPr>
            <w:tcW w:w="124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Guarantees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Other Securities</w:t>
              </w:r>
            </w:hyperlink>
          </w:p>
        </w:tc>
        <w:tc>
          <w:tcPr>
            <w:tcW w:w="1180" w:type="dxa"/>
            <w:vAlign w:val="bottom"/>
            <w:gridSpan w:val="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Selling Securityholders</w:t>
              </w:r>
            </w:hyperlink>
          </w:p>
        </w:tc>
        <w:tc>
          <w:tcPr>
            <w:tcW w:w="1740" w:type="dxa"/>
            <w:vAlign w:val="bottom"/>
            <w:gridSpan w:val="9"/>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Legal Matters</w:t>
              </w:r>
            </w:hyperlink>
          </w:p>
        </w:tc>
        <w:tc>
          <w:tcPr>
            <w:tcW w:w="242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80"/>
        <w:spacing w:after="0"/>
        <w:rPr>
          <w:sz w:val="20"/>
          <w:szCs w:val="20"/>
          <w:color w:val="auto"/>
        </w:rPr>
      </w:pPr>
      <w:r>
        <w:rPr>
          <w:rFonts w:ascii="Arial" w:cs="Arial" w:eastAsia="Arial" w:hAnsi="Arial"/>
          <w:sz w:val="24"/>
          <w:szCs w:val="24"/>
          <w:b w:val="1"/>
          <w:bCs w:val="1"/>
          <w:color w:val="auto"/>
        </w:rPr>
        <w:t>4.60% Senior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156845</wp:posOffset>
            </wp:positionV>
            <wp:extent cx="1132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4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11322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63" w:lineRule="exact"/>
        <w:rPr>
          <w:sz w:val="20"/>
          <w:szCs w:val="20"/>
          <w:color w:val="auto"/>
        </w:rPr>
      </w:pPr>
    </w:p>
    <w:p>
      <w:pPr>
        <w:ind w:left="3980"/>
        <w:spacing w:after="0"/>
        <w:rPr>
          <w:sz w:val="20"/>
          <w:szCs w:val="20"/>
          <w:color w:val="auto"/>
        </w:rPr>
      </w:pPr>
      <w:r>
        <w:rPr>
          <w:rFonts w:ascii="Arial" w:cs="Arial" w:eastAsia="Arial" w:hAnsi="Arial"/>
          <w:sz w:val="16"/>
          <w:szCs w:val="16"/>
          <w:i w:val="1"/>
          <w:iCs w:val="1"/>
          <w:color w:val="auto"/>
        </w:rPr>
        <w:t>Joint Book-Running and Joint Lead Managers</w:t>
      </w:r>
    </w:p>
    <w:p>
      <w:pPr>
        <w:spacing w:after="0" w:line="41" w:lineRule="exact"/>
        <w:rPr>
          <w:sz w:val="20"/>
          <w:szCs w:val="20"/>
          <w:color w:val="auto"/>
        </w:rPr>
      </w:pPr>
    </w:p>
    <w:p>
      <w:pPr>
        <w:jc w:val="center"/>
        <w:ind w:right="-1100"/>
        <w:spacing w:after="0"/>
        <w:rPr>
          <w:sz w:val="20"/>
          <w:szCs w:val="20"/>
          <w:color w:val="auto"/>
        </w:rPr>
      </w:pPr>
      <w:r>
        <w:rPr>
          <w:rFonts w:ascii="Arial" w:cs="Arial" w:eastAsia="Arial" w:hAnsi="Arial"/>
          <w:sz w:val="28"/>
          <w:szCs w:val="28"/>
          <w:b w:val="1"/>
          <w:bCs w:val="1"/>
          <w:color w:val="auto"/>
        </w:rPr>
        <w:t>Deutsche Bank Securities</w:t>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RBS</w:t>
      </w:r>
    </w:p>
    <w:p>
      <w:pPr>
        <w:spacing w:after="0" w:line="325"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Co-Managers</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Agricole CIB</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Lloyds Securities Inc.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PNC Capital Markets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US Bancorp</w:t>
      </w:r>
    </w:p>
    <w:p>
      <w:pPr>
        <w:spacing w:after="0" w:line="39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163195</wp:posOffset>
            </wp:positionV>
            <wp:extent cx="630301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713"/>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lvl w:ilvl="1">
      <w:lvlJc w:val="left"/>
      <w:lvlText w:val="(%2)"/>
      <w:numFmt w:val="lowerLetter"/>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lvl w:ilvl="1">
      <w:lvlJc w:val="left"/>
      <w:lvlText w:val="•"/>
      <w:numFmt w:val="bullet"/>
      <w:start w:val="1"/>
    </w:lvl>
  </w:abstractNum>
  <w:abstractNum w:abstractNumId="35">
    <w:nsid w:val="2463B9EA"/>
    <w:multiLevelType w:val="hybridMultilevel"/>
    <w:lvl w:ilvl="0">
      <w:lvlJc w:val="left"/>
      <w:lvlText w:val="(%1)"/>
      <w:numFmt w:val="lowerLetter"/>
      <w:start w:val="1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2019-12-16T14:05:26Z</dcterms:created>
  <dcterms:modified xsi:type="dcterms:W3CDTF">2019-12-16T14:05:26Z</dcterms:modified>
</cp:coreProperties>
</file>