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525145</wp:posOffset>
            </wp:positionH>
            <wp:positionV relativeFrom="page">
              <wp:posOffset>431800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500380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84" w:lineRule="exact"/>
        <w:rPr>
          <w:sz w:val="24"/>
          <w:szCs w:val="24"/>
          <w:color w:val="auto"/>
        </w:rPr>
      </w:pPr>
    </w:p>
    <w:p>
      <w:pPr>
        <w:ind w:left="480" w:right="120" w:hanging="337"/>
        <w:spacing w:after="0" w:line="262" w:lineRule="auto"/>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91"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8" w:lineRule="exact"/>
        <w:rPr>
          <w:sz w:val="24"/>
          <w:szCs w:val="24"/>
          <w:color w:val="auto"/>
        </w:rPr>
      </w:pPr>
    </w:p>
    <w:p>
      <w:pPr>
        <w:ind w:left="480" w:right="100" w:hanging="337"/>
        <w:spacing w:after="0" w:line="262" w:lineRule="auto"/>
        <w:tabs>
          <w:tab w:leader="none" w:pos="4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91" w:lineRule="exact"/>
        <w:rPr>
          <w:sz w:val="24"/>
          <w:szCs w:val="24"/>
          <w:color w:val="auto"/>
        </w:rPr>
      </w:pPr>
    </w:p>
    <w:p>
      <w:pPr>
        <w:ind w:left="480"/>
        <w:spacing w:after="0"/>
        <w:tabs>
          <w:tab w:leader="none" w:pos="34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1-12154</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80" w:type="dxa"/>
            <w:vAlign w:val="bottom"/>
            <w:gridSpan w:val="3"/>
          </w:tcPr>
          <w:p>
            <w:pPr>
              <w:jc w:val="center"/>
              <w:ind w:left="135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0" w:type="dxa"/>
            <w:vAlign w:val="bottom"/>
          </w:tcPr>
          <w:p>
            <w:pPr>
              <w:jc w:val="center"/>
              <w:ind w:right="1777"/>
              <w:spacing w:after="0"/>
              <w:rPr>
                <w:sz w:val="20"/>
                <w:szCs w:val="20"/>
                <w:color w:val="auto"/>
              </w:rPr>
            </w:pPr>
            <w:r>
              <w:rPr>
                <w:rFonts w:ascii="Times New Roman" w:cs="Times New Roman" w:eastAsia="Times New Roman" w:hAnsi="Times New Roman"/>
                <w:sz w:val="18"/>
                <w:szCs w:val="18"/>
                <w:b w:val="1"/>
                <w:bCs w:val="1"/>
                <w:color w:val="auto"/>
                <w:w w:val="98"/>
              </w:rPr>
              <w:t>73-1309529</w:t>
            </w:r>
          </w:p>
        </w:tc>
      </w:tr>
      <w:tr>
        <w:trPr>
          <w:trHeight w:val="203"/>
        </w:trPr>
        <w:tc>
          <w:tcPr>
            <w:tcW w:w="20" w:type="dxa"/>
            <w:vAlign w:val="bottom"/>
          </w:tcPr>
          <w:p>
            <w:pPr>
              <w:spacing w:after="0"/>
              <w:rPr>
                <w:sz w:val="17"/>
                <w:szCs w:val="17"/>
                <w:color w:val="auto"/>
              </w:rPr>
            </w:pPr>
          </w:p>
        </w:tc>
        <w:tc>
          <w:tcPr>
            <w:tcW w:w="3680" w:type="dxa"/>
            <w:vAlign w:val="bottom"/>
            <w:gridSpan w:val="3"/>
          </w:tcPr>
          <w:p>
            <w:pPr>
              <w:jc w:val="center"/>
              <w:ind w:left="1356"/>
              <w:spacing w:after="0" w:line="202" w:lineRule="exact"/>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2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0" w:type="dxa"/>
            <w:vAlign w:val="bottom"/>
          </w:tcPr>
          <w:p>
            <w:pPr>
              <w:jc w:val="center"/>
              <w:ind w:right="1797"/>
              <w:spacing w:after="0" w:line="202" w:lineRule="exact"/>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20" w:type="dxa"/>
            <w:vAlign w:val="bottom"/>
          </w:tcPr>
          <w:p>
            <w:pPr>
              <w:spacing w:after="0"/>
              <w:rPr>
                <w:sz w:val="20"/>
                <w:szCs w:val="20"/>
                <w:color w:val="auto"/>
              </w:rPr>
            </w:pPr>
          </w:p>
        </w:tc>
        <w:tc>
          <w:tcPr>
            <w:tcW w:w="3680" w:type="dxa"/>
            <w:vAlign w:val="bottom"/>
            <w:gridSpan w:val="3"/>
          </w:tcPr>
          <w:p>
            <w:pPr>
              <w:jc w:val="center"/>
              <w:ind w:left="1356"/>
              <w:spacing w:after="0"/>
              <w:rPr>
                <w:sz w:val="20"/>
                <w:szCs w:val="20"/>
                <w:color w:val="auto"/>
              </w:rPr>
            </w:pPr>
            <w:r>
              <w:rPr>
                <w:rFonts w:ascii="Times New Roman" w:cs="Times New Roman" w:eastAsia="Times New Roman" w:hAnsi="Times New Roman"/>
                <w:sz w:val="18"/>
                <w:szCs w:val="18"/>
                <w:i w:val="1"/>
                <w:iCs w:val="1"/>
                <w:color w:val="auto"/>
              </w:rPr>
              <w:t>incorporation or organization)</w:t>
            </w:r>
          </w:p>
        </w:tc>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tcPr>
          <w:p>
            <w:pPr>
              <w:jc w:val="center"/>
              <w:ind w:right="1777"/>
              <w:spacing w:after="0"/>
              <w:rPr>
                <w:sz w:val="20"/>
                <w:szCs w:val="20"/>
                <w:color w:val="auto"/>
              </w:rPr>
            </w:pPr>
            <w:r>
              <w:rPr>
                <w:rFonts w:ascii="Times New Roman" w:cs="Times New Roman" w:eastAsia="Times New Roman" w:hAnsi="Times New Roman"/>
                <w:sz w:val="18"/>
                <w:szCs w:val="18"/>
                <w:i w:val="1"/>
                <w:iCs w:val="1"/>
                <w:color w:val="auto"/>
              </w:rPr>
              <w:t>Identification No.)</w:t>
            </w:r>
          </w:p>
        </w:tc>
      </w:tr>
      <w:tr>
        <w:trPr>
          <w:trHeight w:val="315"/>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800 Capitol Street</w:t>
            </w:r>
          </w:p>
        </w:tc>
        <w:tc>
          <w:tcPr>
            <w:tcW w:w="32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Suite 3000</w:t>
            </w:r>
          </w:p>
        </w:tc>
        <w:tc>
          <w:tcPr>
            <w:tcW w:w="320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Houston, Texas 77002</w:t>
            </w:r>
          </w:p>
        </w:tc>
        <w:tc>
          <w:tcPr>
            <w:tcW w:w="320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3200" w:type="dxa"/>
            <w:vAlign w:val="bottom"/>
          </w:tcPr>
          <w:p>
            <w:pPr>
              <w:spacing w:after="0"/>
              <w:rPr>
                <w:sz w:val="20"/>
                <w:szCs w:val="20"/>
                <w:color w:val="auto"/>
              </w:rPr>
            </w:pPr>
          </w:p>
        </w:tc>
      </w:tr>
      <w:tr>
        <w:trPr>
          <w:trHeight w:val="317"/>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tcPr>
          <w:p>
            <w:pPr>
              <w:jc w:val="center"/>
              <w:ind w:right="55"/>
              <w:spacing w:after="0"/>
              <w:rPr>
                <w:sz w:val="20"/>
                <w:szCs w:val="20"/>
                <w:color w:val="auto"/>
              </w:rPr>
            </w:pPr>
            <w:r>
              <w:rPr>
                <w:rFonts w:ascii="Times New Roman" w:cs="Times New Roman" w:eastAsia="Times New Roman" w:hAnsi="Times New Roman"/>
                <w:sz w:val="18"/>
                <w:szCs w:val="18"/>
                <w:b w:val="1"/>
                <w:bCs w:val="1"/>
                <w:color w:val="auto"/>
                <w:w w:val="99"/>
              </w:rPr>
              <w:t>(713) 512-6200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36"/>
        </w:trPr>
        <w:tc>
          <w:tcPr>
            <w:tcW w:w="20" w:type="dxa"/>
            <w:vAlign w:val="bottom"/>
          </w:tcPr>
          <w:p>
            <w:pPr>
              <w:spacing w:after="0"/>
              <w:rPr>
                <w:sz w:val="20"/>
                <w:szCs w:val="20"/>
                <w:color w:val="auto"/>
              </w:rPr>
            </w:pPr>
          </w:p>
        </w:tc>
        <w:tc>
          <w:tcPr>
            <w:tcW w:w="7000" w:type="dxa"/>
            <w:vAlign w:val="bottom"/>
            <w:gridSpan w:val="6"/>
          </w:tcPr>
          <w:p>
            <w:pPr>
              <w:jc w:val="center"/>
              <w:ind w:left="3096"/>
              <w:spacing w:after="0"/>
              <w:rPr>
                <w:sz w:val="20"/>
                <w:szCs w:val="20"/>
                <w:color w:val="auto"/>
              </w:rPr>
            </w:pPr>
            <w:r>
              <w:rPr>
                <w:rFonts w:ascii="Times New Roman" w:cs="Times New Roman" w:eastAsia="Times New Roman" w:hAnsi="Times New Roman"/>
                <w:sz w:val="18"/>
                <w:szCs w:val="18"/>
                <w:i w:val="1"/>
                <w:iCs w:val="1"/>
                <w:color w:val="auto"/>
                <w:w w:val="98"/>
              </w:rPr>
              <w:t>(Registrant’s telephone number, including area code)</w:t>
            </w:r>
          </w:p>
        </w:tc>
        <w:tc>
          <w:tcPr>
            <w:tcW w:w="3200" w:type="dxa"/>
            <w:vAlign w:val="bottom"/>
          </w:tcPr>
          <w:p>
            <w:pPr>
              <w:spacing w:after="0"/>
              <w:rPr>
                <w:sz w:val="20"/>
                <w:szCs w:val="20"/>
                <w:color w:val="auto"/>
              </w:rPr>
            </w:pPr>
          </w:p>
        </w:tc>
      </w:tr>
      <w:tr>
        <w:trPr>
          <w:trHeight w:val="338"/>
        </w:trPr>
        <w:tc>
          <w:tcPr>
            <w:tcW w:w="70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20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36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32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2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20" w:type="dxa"/>
            <w:vAlign w:val="bottom"/>
          </w:tcPr>
          <w:p>
            <w:pPr>
              <w:spacing w:after="0"/>
              <w:rPr>
                <w:sz w:val="15"/>
                <w:szCs w:val="15"/>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940" w:type="dxa"/>
            <w:vAlign w:val="bottom"/>
            <w:tcBorders>
              <w:top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color w:val="auto"/>
              </w:rPr>
              <w:t>WM</w:t>
            </w: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200" w:type="dxa"/>
            <w:vAlign w:val="bottom"/>
            <w:tcBorders>
              <w:top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9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894" w:right="839" w:bottom="1440" w:gutter="0" w:footer="0" w:header="0"/>
        </w:sectPr>
      </w:pPr>
    </w:p>
    <w:p>
      <w:pPr>
        <w:spacing w:after="0" w:line="5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ind w:left="76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22" w:lineRule="exact"/>
        <w:rPr>
          <w:sz w:val="24"/>
          <w:szCs w:val="24"/>
          <w:color w:val="auto"/>
        </w:rPr>
      </w:pPr>
    </w:p>
    <w:p>
      <w:pPr>
        <w:sectPr>
          <w:pgSz w:w="11900" w:h="16838" w:orient="portrait"/>
          <w:cols w:equalWidth="0" w:num="2">
            <w:col w:w="7320" w:space="720"/>
            <w:col w:w="2180"/>
          </w:cols>
          <w:pgMar w:left="840" w:top="894" w:right="839" w:bottom="1440" w:gutter="0" w:footer="0" w:header="0"/>
          <w:type w:val="continuous"/>
        </w:sect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5" w:lineRule="exact"/>
        <w:rPr>
          <w:sz w:val="24"/>
          <w:szCs w:val="24"/>
          <w:color w:val="auto"/>
        </w:rPr>
      </w:pPr>
    </w:p>
    <w:p>
      <w:pPr>
        <w:spacing w:after="0" w:line="207" w:lineRule="exact"/>
        <w:tabs>
          <w:tab w:leader="none" w:pos="75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$0.01 par value, of the registrant outstanding as of April 25, 2025 was 402,407,976 (excluding treasury shares of 227,874,485).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440055</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28575</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62865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894" w:right="8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and Par Value Amounts)</w:t>
      </w:r>
    </w:p>
    <w:p>
      <w:pPr>
        <w:spacing w:after="0" w:line="9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00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ind w:left="300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4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0" w:type="dxa"/>
            <w:vAlign w:val="bottom"/>
          </w:tcPr>
          <w:p>
            <w:pPr>
              <w:spacing w:after="0"/>
              <w:rPr>
                <w:sz w:val="1"/>
                <w:szCs w:val="1"/>
                <w:color w:val="auto"/>
              </w:rPr>
            </w:pPr>
          </w:p>
        </w:tc>
      </w:tr>
      <w:tr>
        <w:trPr>
          <w:trHeight w:val="203"/>
        </w:trPr>
        <w:tc>
          <w:tcPr>
            <w:tcW w:w="6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Accounts receivable, net of allowance for doubtful accounts of $184 and $165, respectively</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3,272</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receivables, net of allowance for doubtful accounts of $3 and $4, respectively</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w:t>
            </w:r>
          </w:p>
        </w:tc>
        <w:tc>
          <w:tcPr>
            <w:tcW w:w="0" w:type="dxa"/>
            <w:vAlign w:val="bottom"/>
          </w:tcPr>
          <w:p>
            <w:pPr>
              <w:spacing w:after="0"/>
              <w:rPr>
                <w:sz w:val="1"/>
                <w:szCs w:val="1"/>
                <w:color w:val="auto"/>
              </w:rPr>
            </w:pPr>
          </w:p>
        </w:tc>
      </w:tr>
      <w:tr>
        <w:trPr>
          <w:trHeight w:val="203"/>
        </w:trPr>
        <w:tc>
          <w:tcPr>
            <w:tcW w:w="6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Parts and supplies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current assets</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w:t>
            </w:r>
          </w:p>
        </w:tc>
        <w:tc>
          <w:tcPr>
            <w:tcW w:w="0" w:type="dxa"/>
            <w:vAlign w:val="bottom"/>
          </w:tcPr>
          <w:p>
            <w:pPr>
              <w:spacing w:after="0"/>
              <w:rPr>
                <w:sz w:val="1"/>
                <w:szCs w:val="1"/>
                <w:color w:val="auto"/>
              </w:rPr>
            </w:pPr>
          </w:p>
        </w:tc>
      </w:tr>
      <w:tr>
        <w:trPr>
          <w:trHeight w:val="196"/>
        </w:trPr>
        <w:tc>
          <w:tcPr>
            <w:tcW w:w="6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current assets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4,774</w:t>
            </w:r>
          </w:p>
        </w:tc>
        <w:tc>
          <w:tcPr>
            <w:tcW w:w="0" w:type="dxa"/>
            <w:vAlign w:val="bottom"/>
          </w:tcPr>
          <w:p>
            <w:pPr>
              <w:spacing w:after="0"/>
              <w:rPr>
                <w:sz w:val="1"/>
                <w:szCs w:val="1"/>
                <w:color w:val="auto"/>
              </w:rPr>
            </w:pPr>
          </w:p>
        </w:tc>
      </w:tr>
      <w:tr>
        <w:trPr>
          <w:trHeight w:val="181"/>
        </w:trPr>
        <w:tc>
          <w:tcPr>
            <w:tcW w:w="670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Property and equipment, net of accumulated depreciation and depletion of $24,100 and $23,777,</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respectively</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19,553</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19,340</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7"/>
                <w:szCs w:val="17"/>
                <w:color w:val="auto"/>
              </w:rPr>
              <w:t>Goodwill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13,529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13,438</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intangible assets, net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4,188</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7"/>
                <w:szCs w:val="17"/>
                <w:color w:val="auto"/>
              </w:rPr>
              <w:t>Restricted funds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Investments in unconsolidated entities</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w:t>
            </w:r>
          </w:p>
        </w:tc>
        <w:tc>
          <w:tcPr>
            <w:tcW w:w="0" w:type="dxa"/>
            <w:vAlign w:val="bottom"/>
          </w:tcPr>
          <w:p>
            <w:pPr>
              <w:spacing w:after="0"/>
              <w:rPr>
                <w:sz w:val="1"/>
                <w:szCs w:val="1"/>
                <w:color w:val="auto"/>
              </w:rPr>
            </w:pPr>
          </w:p>
        </w:tc>
      </w:tr>
      <w:tr>
        <w:trPr>
          <w:trHeight w:val="203"/>
        </w:trPr>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long-term assets</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1,556</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1,568</w:t>
            </w:r>
          </w:p>
        </w:tc>
        <w:tc>
          <w:tcPr>
            <w:tcW w:w="0" w:type="dxa"/>
            <w:vAlign w:val="bottom"/>
          </w:tcPr>
          <w:p>
            <w:pPr>
              <w:spacing w:after="0"/>
              <w:rPr>
                <w:sz w:val="1"/>
                <w:szCs w:val="1"/>
                <w:color w:val="auto"/>
              </w:rPr>
            </w:pPr>
          </w:p>
        </w:tc>
      </w:tr>
      <w:tr>
        <w:trPr>
          <w:trHeight w:val="196"/>
        </w:trPr>
        <w:tc>
          <w:tcPr>
            <w:tcW w:w="67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assets</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44,486</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44,567</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2220"/>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Accounts payable</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1,901</w:t>
            </w:r>
          </w:p>
        </w:tc>
        <w:tc>
          <w:tcPr>
            <w:tcW w:w="42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Accrued liabilities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0" w:type="dxa"/>
            <w:vAlign w:val="bottom"/>
          </w:tcPr>
          <w:p>
            <w:pPr>
              <w:spacing w:after="0"/>
              <w:rPr>
                <w:sz w:val="1"/>
                <w:szCs w:val="1"/>
                <w:color w:val="auto"/>
              </w:rPr>
            </w:pPr>
          </w:p>
        </w:tc>
      </w:tr>
      <w:tr>
        <w:trPr>
          <w:trHeight w:val="216"/>
        </w:trPr>
        <w:tc>
          <w:tcPr>
            <w:tcW w:w="6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Deferred revenues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r>
        <w:trPr>
          <w:trHeight w:val="196"/>
        </w:trPr>
        <w:tc>
          <w:tcPr>
            <w:tcW w:w="6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6,258</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 less current portion</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22,883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22,541</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2,815</w:t>
            </w:r>
          </w:p>
        </w:tc>
        <w:tc>
          <w:tcPr>
            <w:tcW w:w="0" w:type="dxa"/>
            <w:vAlign w:val="bottom"/>
          </w:tcPr>
          <w:p>
            <w:pPr>
              <w:spacing w:after="0"/>
              <w:rPr>
                <w:sz w:val="1"/>
                <w:szCs w:val="1"/>
                <w:color w:val="auto"/>
              </w:rPr>
            </w:pPr>
          </w:p>
        </w:tc>
      </w:tr>
      <w:tr>
        <w:trPr>
          <w:trHeight w:val="202"/>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Landfill and environmental remediation liabilities</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3,048</w:t>
            </w:r>
          </w:p>
        </w:tc>
        <w:tc>
          <w:tcPr>
            <w:tcW w:w="0" w:type="dxa"/>
            <w:vAlign w:val="bottom"/>
          </w:tcPr>
          <w:p>
            <w:pPr>
              <w:spacing w:after="0"/>
              <w:rPr>
                <w:sz w:val="1"/>
                <w:szCs w:val="1"/>
                <w:color w:val="auto"/>
              </w:rPr>
            </w:pPr>
          </w:p>
        </w:tc>
      </w:tr>
      <w:tr>
        <w:trPr>
          <w:trHeight w:val="203"/>
        </w:trPr>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1,683</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1,651</w:t>
            </w:r>
          </w:p>
        </w:tc>
        <w:tc>
          <w:tcPr>
            <w:tcW w:w="0" w:type="dxa"/>
            <w:vAlign w:val="bottom"/>
          </w:tcPr>
          <w:p>
            <w:pPr>
              <w:spacing w:after="0"/>
              <w:rPr>
                <w:sz w:val="1"/>
                <w:szCs w:val="1"/>
                <w:color w:val="auto"/>
              </w:rPr>
            </w:pPr>
          </w:p>
        </w:tc>
      </w:tr>
      <w:tr>
        <w:trPr>
          <w:trHeight w:val="196"/>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liabilities</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35,835</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36,313</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20"/>
                <w:szCs w:val="20"/>
                <w:color w:val="auto"/>
              </w:rPr>
            </w:pPr>
            <w:r>
              <w:rPr>
                <w:rFonts w:ascii="Times New Roman" w:cs="Times New Roman" w:eastAsia="Times New Roman" w:hAnsi="Times New Roman"/>
                <w:sz w:val="17"/>
                <w:szCs w:val="17"/>
                <w:color w:val="auto"/>
              </w:rPr>
              <w:t>Commitments and contingencies (Note 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Waste Management, Inc. stockholders’ equity:</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Common stock, $0.01 par value; 1,500,000,000 shares authorized; 630,282,461 shares issued</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3"/>
        </w:trPr>
        <w:tc>
          <w:tcPr>
            <w:tcW w:w="6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5,496</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16,160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15,858</w:t>
            </w:r>
          </w:p>
        </w:tc>
        <w:tc>
          <w:tcPr>
            <w:tcW w:w="0" w:type="dxa"/>
            <w:vAlign w:val="bottom"/>
          </w:tcPr>
          <w:p>
            <w:pPr>
              <w:spacing w:after="0"/>
              <w:rPr>
                <w:sz w:val="1"/>
                <w:szCs w:val="1"/>
                <w:color w:val="auto"/>
              </w:rPr>
            </w:pPr>
          </w:p>
        </w:tc>
      </w:tr>
      <w:tr>
        <w:trPr>
          <w:trHeight w:val="203"/>
        </w:trPr>
        <w:tc>
          <w:tcPr>
            <w:tcW w:w="6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Treasury stock at cost 227,911,432 and 228,788,284 shares, respectively</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(12,944)</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(12,993)</w:t>
            </w:r>
          </w:p>
        </w:tc>
        <w:tc>
          <w:tcPr>
            <w:tcW w:w="0" w:type="dxa"/>
            <w:vAlign w:val="bottom"/>
          </w:tcPr>
          <w:p>
            <w:pPr>
              <w:spacing w:after="0"/>
              <w:rPr>
                <w:sz w:val="1"/>
                <w:szCs w:val="1"/>
                <w:color w:val="auto"/>
              </w:rPr>
            </w:pPr>
          </w:p>
        </w:tc>
      </w:tr>
      <w:tr>
        <w:trPr>
          <w:trHeight w:val="196"/>
        </w:trPr>
        <w:tc>
          <w:tcPr>
            <w:tcW w:w="67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Waste Management, Inc. stockholders’ equity</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8,650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8,252</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196"/>
        </w:trPr>
        <w:tc>
          <w:tcPr>
            <w:tcW w:w="67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equity</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8,651</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8,254</w:t>
            </w:r>
          </w:p>
        </w:tc>
        <w:tc>
          <w:tcPr>
            <w:tcW w:w="0" w:type="dxa"/>
            <w:vAlign w:val="bottom"/>
          </w:tcPr>
          <w:p>
            <w:pPr>
              <w:spacing w:after="0"/>
              <w:rPr>
                <w:sz w:val="1"/>
                <w:szCs w:val="1"/>
                <w:color w:val="auto"/>
              </w:rPr>
            </w:pPr>
          </w:p>
        </w:tc>
      </w:tr>
      <w:tr>
        <w:trPr>
          <w:trHeight w:val="196"/>
        </w:trPr>
        <w:tc>
          <w:tcPr>
            <w:tcW w:w="67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44,486</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44,567</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left="60" w:right="59"/>
        <w:spacing w:after="0" w:line="278" w:lineRule="auto"/>
        <w:rPr>
          <w:sz w:val="20"/>
          <w:szCs w:val="20"/>
          <w:color w:val="auto"/>
        </w:rPr>
      </w:pPr>
      <w:r>
        <w:rPr>
          <w:rFonts w:ascii="Times New Roman" w:cs="Times New Roman" w:eastAsia="Times New Roman" w:hAnsi="Times New Roman"/>
          <w:sz w:val="18"/>
          <w:szCs w:val="18"/>
          <w:b w:val="1"/>
          <w:bCs w:val="1"/>
          <w:color w:val="auto"/>
        </w:rPr>
        <w:t>CONDENSED CONSOLIDATED STATEMENTS OF OPERATIONS (In Millions, Except per Share Amounts) (Unaudited)</w:t>
      </w:r>
    </w:p>
    <w:p>
      <w:pPr>
        <w:spacing w:after="0" w:line="38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9"/>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6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3"/>
          </w:tcPr>
          <w:p>
            <w:pPr>
              <w:jc w:val="center"/>
              <w:ind w:right="9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3"/>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7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5,159</w:t>
            </w:r>
          </w:p>
        </w:tc>
        <w:tc>
          <w:tcPr>
            <w:tcW w:w="0" w:type="dxa"/>
            <w:vAlign w:val="bottom"/>
          </w:tcPr>
          <w:p>
            <w:pPr>
              <w:spacing w:after="0"/>
              <w:rPr>
                <w:sz w:val="1"/>
                <w:szCs w:val="1"/>
                <w:color w:val="auto"/>
              </w:rPr>
            </w:pPr>
          </w:p>
        </w:tc>
      </w:tr>
      <w:tr>
        <w:trPr>
          <w:trHeight w:val="20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3,140</w:t>
            </w:r>
          </w:p>
        </w:tc>
        <w:tc>
          <w:tcPr>
            <w:tcW w:w="0" w:type="dxa"/>
            <w:vAlign w:val="bottom"/>
          </w:tcPr>
          <w:p>
            <w:pPr>
              <w:spacing w:after="0"/>
              <w:rPr>
                <w:sz w:val="1"/>
                <w:szCs w:val="1"/>
                <w:color w:val="auto"/>
              </w:rPr>
            </w:pPr>
          </w:p>
        </w:tc>
      </w:tr>
      <w:tr>
        <w:trPr>
          <w:trHeight w:val="216"/>
        </w:trPr>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687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656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16"/>
        </w:trPr>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Restructuring</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 loss from divestitures, asset impairments and unusual items, net</w:t>
            </w:r>
          </w:p>
        </w:tc>
        <w:tc>
          <w:tcPr>
            <w:tcW w:w="7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62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4,143</w:t>
            </w: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7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2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1,016</w:t>
            </w:r>
          </w:p>
        </w:tc>
        <w:tc>
          <w:tcPr>
            <w:tcW w:w="0" w:type="dxa"/>
            <w:vAlign w:val="bottom"/>
          </w:tcPr>
          <w:p>
            <w:pPr>
              <w:spacing w:after="0"/>
              <w:rPr>
                <w:sz w:val="1"/>
                <w:szCs w:val="1"/>
                <w:color w:val="auto"/>
              </w:rPr>
            </w:pPr>
          </w:p>
        </w:tc>
      </w:tr>
      <w:tr>
        <w:trPr>
          <w:trHeight w:val="20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Equity in net income (loss) of unconsolidated entities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7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62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788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0" w:type="dxa"/>
            <w:vAlign w:val="bottom"/>
          </w:tcPr>
          <w:p>
            <w:pPr>
              <w:spacing w:after="0"/>
              <w:rPr>
                <w:sz w:val="1"/>
                <w:szCs w:val="1"/>
                <w:color w:val="auto"/>
              </w:rPr>
            </w:pPr>
          </w:p>
        </w:tc>
      </w:tr>
      <w:tr>
        <w:trPr>
          <w:trHeight w:val="216"/>
        </w:trPr>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7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0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637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16"/>
        </w:trPr>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Waste Management, Inc.</w:t>
            </w: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637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7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260" w:type="dxa"/>
            <w:vAlign w:val="bottom"/>
            <w:tcBorders>
              <w:bottom w:val="single" w:sz="8" w:color="CCEEFF"/>
            </w:tcBorders>
            <w:vMerge w:val="continue"/>
          </w:tcPr>
          <w:p>
            <w:pPr>
              <w:spacing w:after="0"/>
              <w:rPr>
                <w:sz w:val="20"/>
                <w:szCs w:val="20"/>
                <w:color w:val="auto"/>
              </w:rPr>
            </w:pPr>
          </w:p>
        </w:tc>
        <w:tc>
          <w:tcPr>
            <w:tcW w:w="7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1.58</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197"/>
        </w:trPr>
        <w:tc>
          <w:tcPr>
            <w:tcW w:w="62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common share</w:t>
            </w:r>
          </w:p>
        </w:tc>
        <w:tc>
          <w:tcPr>
            <w:tcW w:w="7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1.58</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0"/>
        </w:trPr>
        <w:tc>
          <w:tcPr>
            <w:tcW w:w="7040" w:type="dxa"/>
            <w:vAlign w:val="bottom"/>
            <w:gridSpan w:val="2"/>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8020" w:type="dxa"/>
            <w:vAlign w:val="bottom"/>
            <w:gridSpan w:val="7"/>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60" w:type="dxa"/>
            <w:vAlign w:val="bottom"/>
          </w:tcPr>
          <w:p>
            <w:pPr>
              <w:jc w:val="center"/>
              <w:ind w:left="253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260" w:type="dxa"/>
            <w:vAlign w:val="bottom"/>
          </w:tcPr>
          <w:p>
            <w:pPr>
              <w:jc w:val="center"/>
              <w:ind w:left="25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6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7"/>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6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637</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1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Derivative instruments, net</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Available-for-sale securities, net</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6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Post-retirement benefit obligations, net</w:t>
            </w:r>
          </w:p>
        </w:tc>
        <w:tc>
          <w:tcPr>
            <w:tcW w:w="7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Waste Management, Inc.</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665</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4"/>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net income</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w:t>
            </w:r>
          </w:p>
        </w:tc>
        <w:tc>
          <w:tcPr>
            <w:tcW w:w="46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Adjustments to reconcile consolidated net income to net cash provided by operating activities: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Depreciation, depletion and amortization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656</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Deferred income tax expense (benefit)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Interest accretion on landfill and environmental remediation liabilities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Provision for bad debts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Equity-based compensation expense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Net gain on disposal of assets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(Gain) loss from divestitures, asset impairments and other, net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Equity in net (income) loss of unconsolidated entities, net of dividends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Change in operating assets and liabilities, net of effects of acquisitions and divestitures: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Receivables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Other current assets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Other assets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Deferred revenues and other liabilities</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1,208</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Acquisitions of businesses, net of cash acquired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Capital expenditures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(831)</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Proceeds from divestitures of businesses and other assets, net of cash divested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 net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(829)</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New borrowings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4,993</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Debt repayments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(5,163)</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Common stock repurchase program</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Cash dividends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Exercise of common stock options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Tax payments associated with equity-based compensation transactions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Other, net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760" w:type="dxa"/>
            <w:vAlign w:val="bottom"/>
          </w:tcPr>
          <w:p>
            <w:pPr>
              <w:spacing w:after="0" w:line="161" w:lineRule="exact"/>
              <w:rPr>
                <w:sz w:val="20"/>
                <w:szCs w:val="20"/>
                <w:color w:val="auto"/>
              </w:rPr>
            </w:pPr>
            <w:r>
              <w:rPr>
                <w:rFonts w:ascii="Times New Roman" w:cs="Times New Roman" w:eastAsia="Times New Roman" w:hAnsi="Times New Roman"/>
                <w:sz w:val="17"/>
                <w:szCs w:val="17"/>
                <w:color w:val="auto"/>
              </w:rPr>
              <w:t>Effect of exchange rate changes on cash, cash equivalents and restricted cash and cash</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6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equivalents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 (decrease) in cash, cash equivalents and restricted cash and cash equivalents</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and cash equivalents at beginning of period</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487</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and cash equivalents at end of period</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Reconciliation of cash, cash equivalents and restricted cash and cash equivalents at end of period:</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46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cash and cash equivalents included in other current assets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Restricted cash and cash equivalents included in restricted funds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and cash equivalents at end of period</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 w:name="page5"/>
    <w:bookmarkEnd w:id="4"/>
    <w:p>
      <w:pPr>
        <w:ind w:left="3260"/>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Shares 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1" w:lineRule="exact"/>
        <w:rPr>
          <w:sz w:val="20"/>
          <w:szCs w:val="20"/>
          <w:color w:val="auto"/>
        </w:rPr>
      </w:pPr>
    </w:p>
    <w:tbl>
      <w:tblPr>
        <w:tblLayout w:type="fixed"/>
        <w:tblInd w:w="50" w:type="dxa"/>
        <w:tblCellMar>
          <w:top w:w="0" w:type="dxa"/>
          <w:left w:w="0" w:type="dxa"/>
          <w:bottom w:w="0" w:type="dxa"/>
          <w:right w:w="0" w:type="dxa"/>
        </w:tblCellMar>
      </w:tblPr>
      <w:tr>
        <w:trPr>
          <w:trHeight w:val="165"/>
        </w:trPr>
        <w:tc>
          <w:tcPr>
            <w:tcW w:w="3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12"/>
          </w:tcPr>
          <w:p>
            <w:pPr>
              <w:ind w:left="240"/>
              <w:spacing w:after="0"/>
              <w:rPr>
                <w:sz w:val="20"/>
                <w:szCs w:val="20"/>
                <w:color w:val="auto"/>
              </w:rPr>
            </w:pPr>
            <w:r>
              <w:rPr>
                <w:rFonts w:ascii="Times New Roman" w:cs="Times New Roman" w:eastAsia="Times New Roman" w:hAnsi="Times New Roman"/>
                <w:sz w:val="13"/>
                <w:szCs w:val="13"/>
                <w:b w:val="1"/>
                <w:bCs w:val="1"/>
                <w:color w:val="auto"/>
              </w:rPr>
              <w:t>Waste Management, Inc. Stockholders’ Equity</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3"/>
          </w:tcPr>
          <w:p>
            <w:pPr>
              <w:jc w:val="center"/>
              <w:ind w:right="80"/>
              <w:spacing w:after="0" w:line="12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5"/>
          </w:tcPr>
          <w:p>
            <w:pPr>
              <w:ind w:left="1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9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360" w:type="dxa"/>
            <w:vAlign w:val="bottom"/>
            <w:gridSpan w:val="4"/>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5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62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8"/>
              </w:rPr>
              <w:t>Amounts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6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98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3"/>
                <w:szCs w:val="13"/>
                <w:b w:val="1"/>
                <w:bCs w:val="1"/>
                <w:color w:val="auto"/>
              </w:rPr>
              <w:t>Income (Loss)</w:t>
            </w:r>
          </w:p>
        </w:tc>
        <w:tc>
          <w:tcPr>
            <w:tcW w:w="68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Amounts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rPr>
              <w:t>Interests</w:t>
            </w:r>
          </w:p>
        </w:tc>
        <w:tc>
          <w:tcPr>
            <w:tcW w:w="0" w:type="dxa"/>
            <w:vAlign w:val="bottom"/>
          </w:tcPr>
          <w:p>
            <w:pPr>
              <w:spacing w:after="0"/>
              <w:rPr>
                <w:sz w:val="1"/>
                <w:szCs w:val="1"/>
                <w:color w:val="auto"/>
              </w:rPr>
            </w:pPr>
          </w:p>
        </w:tc>
      </w:tr>
      <w:tr>
        <w:trPr>
          <w:trHeight w:val="128"/>
        </w:trPr>
        <w:tc>
          <w:tcPr>
            <w:tcW w:w="2540" w:type="dxa"/>
            <w:vAlign w:val="bottom"/>
            <w:tcBorders>
              <w:top w:val="single" w:sz="8" w:color="CCEEFF"/>
              <w:left w:val="single" w:sz="8" w:color="CCEEFF"/>
            </w:tcBorders>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0" w:type="dxa"/>
            <w:vAlign w:val="bottom"/>
            <w:tcBorders>
              <w:left w:val="single" w:sz="8" w:color="CCEEFF"/>
            </w:tcBorders>
            <w:shd w:val="clear" w:color="auto" w:fill="000000"/>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December 31, 2024</w:t>
            </w: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$ 8,254</w:t>
            </w:r>
          </w:p>
        </w:tc>
        <w:tc>
          <w:tcPr>
            <w:tcW w:w="8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80" w:type="dxa"/>
            <w:vAlign w:val="bottom"/>
          </w:tcPr>
          <w:p>
            <w:pPr>
              <w:spacing w:after="0"/>
              <w:rPr>
                <w:sz w:val="12"/>
                <w:szCs w:val="12"/>
                <w:color w:val="auto"/>
              </w:rPr>
            </w:pPr>
          </w:p>
        </w:tc>
        <w:tc>
          <w:tcPr>
            <w:tcW w:w="2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tcPr>
          <w:p>
            <w:pPr>
              <w:spacing w:after="0"/>
              <w:rPr>
                <w:sz w:val="12"/>
                <w:szCs w:val="12"/>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5,496</w:t>
            </w:r>
          </w:p>
        </w:tc>
        <w:tc>
          <w:tcPr>
            <w:tcW w:w="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$ 15,858</w:t>
            </w:r>
          </w:p>
        </w:tc>
        <w:tc>
          <w:tcPr>
            <w:tcW w:w="60" w:type="dxa"/>
            <w:vAlign w:val="bottom"/>
          </w:tcPr>
          <w:p>
            <w:pPr>
              <w:spacing w:after="0"/>
              <w:rPr>
                <w:sz w:val="12"/>
                <w:szCs w:val="12"/>
                <w:color w:val="auto"/>
              </w:rPr>
            </w:pPr>
          </w:p>
        </w:tc>
        <w:tc>
          <w:tcPr>
            <w:tcW w:w="1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(115)</w:t>
            </w:r>
          </w:p>
        </w:tc>
        <w:tc>
          <w:tcPr>
            <w:tcW w:w="6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(228,788)</w:t>
            </w:r>
          </w:p>
        </w:tc>
        <w:tc>
          <w:tcPr>
            <w:tcW w:w="6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 (12,993)</w:t>
            </w: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tcBorders>
              <w:left w:val="single" w:sz="8" w:color="CCEEFF"/>
            </w:tcBorders>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Consolidated net income</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637</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637</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4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 net of</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0"/>
                <w:szCs w:val="10"/>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0"/>
                <w:szCs w:val="10"/>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tax</w:t>
            </w: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40" w:type="dxa"/>
            <w:vAlign w:val="bottom"/>
            <w:tcBorders>
              <w:left w:val="single" w:sz="8" w:color="CCEEFF"/>
            </w:tcBorders>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Cash dividends declared of $0.825 per</w:t>
            </w: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(336)</w:t>
            </w: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(336)</w:t>
            </w:r>
          </w:p>
        </w:tc>
        <w:tc>
          <w:tcPr>
            <w:tcW w:w="1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4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w:t>
            </w:r>
          </w:p>
        </w:tc>
        <w:tc>
          <w:tcPr>
            <w:tcW w:w="58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4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Equity-based compensation transactions,</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Pr>
          <w:p>
            <w:pPr>
              <w:spacing w:after="0"/>
              <w:rPr>
                <w:sz w:val="10"/>
                <w:szCs w:val="10"/>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w:t>
            </w: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40" w:type="dxa"/>
            <w:vAlign w:val="bottom"/>
            <w:tcBorders>
              <w:left w:val="single" w:sz="8" w:color="CCEEFF"/>
            </w:tcBorders>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repurchase program</w:t>
            </w: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40" w:type="dxa"/>
            <w:vAlign w:val="bottom"/>
            <w:tcBorders>
              <w:top w:val="single" w:sz="8" w:color="CCEEFF"/>
              <w:left w:val="single" w:sz="8" w:color="CCEEFF"/>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March 31, 2025</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$ 8,651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5,515</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$ 16,160</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(227,911)</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(12,944)</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tcBorders>
              <w:left w:val="single" w:sz="8" w:color="CCEEFF"/>
            </w:tcBorders>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0" w:type="dxa"/>
            <w:vAlign w:val="bottom"/>
            <w:tcBorders>
              <w:left w:val="single" w:sz="8" w:color="CCEEFF"/>
            </w:tcBorders>
            <w:shd w:val="clear" w:color="auto" w:fill="000000"/>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December 31, 2023</w:t>
            </w: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$ 6,896</w:t>
            </w:r>
          </w:p>
        </w:tc>
        <w:tc>
          <w:tcPr>
            <w:tcW w:w="8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80" w:type="dxa"/>
            <w:vAlign w:val="bottom"/>
          </w:tcPr>
          <w:p>
            <w:pPr>
              <w:spacing w:after="0"/>
              <w:rPr>
                <w:sz w:val="12"/>
                <w:szCs w:val="12"/>
                <w:color w:val="auto"/>
              </w:rPr>
            </w:pPr>
          </w:p>
        </w:tc>
        <w:tc>
          <w:tcPr>
            <w:tcW w:w="2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tcPr>
          <w:p>
            <w:pPr>
              <w:spacing w:after="0"/>
              <w:rPr>
                <w:sz w:val="12"/>
                <w:szCs w:val="12"/>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5,351</w:t>
            </w:r>
          </w:p>
        </w:tc>
        <w:tc>
          <w:tcPr>
            <w:tcW w:w="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$ 14,334</w:t>
            </w:r>
          </w:p>
        </w:tc>
        <w:tc>
          <w:tcPr>
            <w:tcW w:w="60" w:type="dxa"/>
            <w:vAlign w:val="bottom"/>
          </w:tcPr>
          <w:p>
            <w:pPr>
              <w:spacing w:after="0"/>
              <w:rPr>
                <w:sz w:val="12"/>
                <w:szCs w:val="12"/>
                <w:color w:val="auto"/>
              </w:rPr>
            </w:pPr>
          </w:p>
        </w:tc>
        <w:tc>
          <w:tcPr>
            <w:tcW w:w="1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(37)</w:t>
            </w:r>
          </w:p>
        </w:tc>
        <w:tc>
          <w:tcPr>
            <w:tcW w:w="6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(228,827)</w:t>
            </w:r>
          </w:p>
        </w:tc>
        <w:tc>
          <w:tcPr>
            <w:tcW w:w="6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 (12,751)</w:t>
            </w: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tcBorders>
              <w:left w:val="single" w:sz="8" w:color="CCEEFF"/>
            </w:tcBorders>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Consolidated net income</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707</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708</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4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 net of</w:t>
            </w: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(23)</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(23)</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tax</w:t>
            </w:r>
          </w:p>
        </w:tc>
        <w:tc>
          <w:tcPr>
            <w:tcW w:w="58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40" w:type="dxa"/>
            <w:vAlign w:val="bottom"/>
            <w:tcBorders>
              <w:left w:val="single" w:sz="8" w:color="CCEEFF"/>
            </w:tcBorders>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Cash dividends declared of $0.75 per</w:t>
            </w: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(307)</w:t>
            </w: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(307)</w:t>
            </w:r>
          </w:p>
        </w:tc>
        <w:tc>
          <w:tcPr>
            <w:tcW w:w="1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4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w:t>
            </w:r>
          </w:p>
        </w:tc>
        <w:tc>
          <w:tcPr>
            <w:tcW w:w="58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4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Equity-based compensation transactions,</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0"/>
                <w:szCs w:val="10"/>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(12)</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1,075</w:t>
            </w:r>
          </w:p>
        </w:tc>
        <w:tc>
          <w:tcPr>
            <w:tcW w:w="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w:t>
            </w: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40" w:type="dxa"/>
            <w:vAlign w:val="bottom"/>
            <w:tcBorders>
              <w:left w:val="single" w:sz="8" w:color="CCEEFF"/>
            </w:tcBorders>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repurchase program</w:t>
            </w:r>
          </w:p>
        </w:tc>
        <w:tc>
          <w:tcPr>
            <w:tcW w:w="5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(253)</w:t>
            </w: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(1,228)</w:t>
            </w: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(263)</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40" w:type="dxa"/>
            <w:vAlign w:val="bottom"/>
            <w:tcBorders>
              <w:top w:val="single" w:sz="8" w:color="CCEEFF"/>
              <w:left w:val="single" w:sz="8" w:color="CCEEFF"/>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March 31, 2024</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$ 7,078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5,352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$ 14,738</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(228,980)</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(12,954)</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360" w:hanging="310"/>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financial statements presented in this report represent the consolidation of Waste Management, Inc., a Delaware corporation; its wholly-owned and majority-owned subsidiaries; and certain variable interest entities for which Waste Management, Inc. or its subsidiaries are the primary beneficiaries as described in Note 12. Waste Management, Inc. is a holding company and all operations are conducted by its subsidiaries. When the terms “the Company,” “we,” “us” or “our” are used in this document, those terms refer to Waste Management, Inc., together with its consolidated subsidiaries and consolidated variable interest entities. When we use the term “WMI,” we are referring only to Waste Management, Inc., the parent holding company.</w:t>
      </w:r>
    </w:p>
    <w:p>
      <w:pPr>
        <w:spacing w:after="0" w:line="175" w:lineRule="exact"/>
        <w:rPr>
          <w:sz w:val="20"/>
          <w:szCs w:val="20"/>
          <w:color w:val="auto"/>
        </w:rPr>
      </w:pPr>
    </w:p>
    <w:p>
      <w:pPr>
        <w:jc w:val="both"/>
        <w:ind w:left="80" w:right="59" w:firstLine="324"/>
        <w:spacing w:after="0" w:line="237" w:lineRule="auto"/>
        <w:rPr>
          <w:sz w:val="20"/>
          <w:szCs w:val="20"/>
          <w:color w:val="auto"/>
        </w:rPr>
      </w:pPr>
      <w:r>
        <w:rPr>
          <w:rFonts w:ascii="Times New Roman" w:cs="Times New Roman" w:eastAsia="Times New Roman" w:hAnsi="Times New Roman"/>
          <w:sz w:val="18"/>
          <w:szCs w:val="18"/>
          <w:color w:val="auto"/>
        </w:rPr>
        <w:t>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recycling and resource recovery services. Through our subsidiaries, including our Waste Management Renewable Energy (“WM Renewable Energy”) segment, we are also a leading developer, operator and owner of landfill gas-to-energy facilities in the U.S. and Canada that produce renewable electricity and renewable natural gas (“RNG”), which is a significant source of fuel that we allocate to our natural gas fleet.</w:t>
      </w:r>
    </w:p>
    <w:p>
      <w:pPr>
        <w:spacing w:after="0" w:line="174" w:lineRule="exact"/>
        <w:rPr>
          <w:sz w:val="20"/>
          <w:szCs w:val="20"/>
          <w:color w:val="auto"/>
        </w:rPr>
      </w:pPr>
    </w:p>
    <w:p>
      <w:pPr>
        <w:jc w:val="both"/>
        <w:ind w:left="80" w:right="59" w:firstLine="324"/>
        <w:spacing w:after="0" w:line="242" w:lineRule="auto"/>
        <w:rPr>
          <w:sz w:val="20"/>
          <w:szCs w:val="20"/>
          <w:color w:val="auto"/>
        </w:rPr>
      </w:pPr>
      <w:r>
        <w:rPr>
          <w:rFonts w:ascii="Times New Roman" w:cs="Times New Roman" w:eastAsia="Times New Roman" w:hAnsi="Times New Roman"/>
          <w:sz w:val="18"/>
          <w:szCs w:val="18"/>
          <w:color w:val="auto"/>
        </w:rPr>
        <w:t>On November 4, 2024, we completed the acquisition of all outstanding shares of Stericycle, Inc. (“Stericycle”), the operations of which are presented in this report as our new WM Healthcare Solutions segment. The acquisition expands our offerings in the U.S. and Canada and adds operations in parts of Western Europe. These businesses provide regulated waste and compliance services and secure information destruction services that protect people and brands, promote health and well-being and safeguard the environment. Refer to Note 8 for further discussion.</w:t>
      </w:r>
    </w:p>
    <w:p>
      <w:pPr>
        <w:spacing w:after="0" w:line="171" w:lineRule="exact"/>
        <w:rPr>
          <w:sz w:val="20"/>
          <w:szCs w:val="20"/>
          <w:color w:val="auto"/>
        </w:rPr>
      </w:pPr>
    </w:p>
    <w:p>
      <w:pPr>
        <w:jc w:val="both"/>
        <w:ind w:left="60" w:right="59" w:firstLine="324"/>
        <w:spacing w:after="0" w:line="237" w:lineRule="auto"/>
        <w:rPr>
          <w:sz w:val="20"/>
          <w:szCs w:val="20"/>
          <w:color w:val="auto"/>
        </w:rPr>
      </w:pPr>
      <w:r>
        <w:rPr>
          <w:rFonts w:ascii="Times New Roman" w:cs="Times New Roman" w:eastAsia="Times New Roman" w:hAnsi="Times New Roman"/>
          <w:sz w:val="18"/>
          <w:szCs w:val="18"/>
          <w:color w:val="auto"/>
        </w:rPr>
        <w:t>Our senior management evaluates, oversees and manages the financial performance of our business through five reportable segments, referred to as (i) Collection and Disposal - East Tier (“East Tier”); (ii) Collection and Disposal - West Tier (“West Tier”); (iii) Recycling Processing and Sales; (iv) WM Renewable Energy and (v) WM Healthcare Solutions. Our East and West Tiers along with certain ancillary services (“Other Ancillary”) that are not managed through our Tier segments, but that support our collection and disposal operations, form our “Collection and Disposal” businesses. We also provide additional services not managed through our five reportable segments, which are presented as Corporate and Other. Refer to Note 7 for further discussion.</w:t>
      </w:r>
    </w:p>
    <w:p>
      <w:pPr>
        <w:spacing w:after="0" w:line="20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Condensed Consolidated Financial Statements as of March 31, 2025 and for the three months ended March 31, 2025 and 2024 are unaudited. In the opinion of management, these financial statements include all adjustments, which, unless otherwise disclosed, are of a normal recurring nature, necessary for a fair presentation of the financial position, results of operations, comprehensive income, cash flows and changes in equity for the periods presented. The results for interim periods are not necessarily indicative of results for the entire year. The financial statements presented herein should be read in conjunction with the financial statements included in our Annual Report on Form 10-K for the year ended December 31, 2024.</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intangible asset impairments and the fair value of assets and liabilities acquired in business combinations. Actual results could differ materially from the estimates and assumptions that we use in the preparation of our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497205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generally recognize revenue as services are performed or products are delivered. For example, revenue typically is recognized as waste is collected; tons are received at our landfills, transfer stations or processing facilities; or recycling and other commodities, such as RNG, electricity and capacity, Renewable Identification Numbers (“RINs”) and Renewable Energy Credits (“RECs”), are sold. Compliance services revenues are recognized over the contractual service period.</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also bill for certain services prior to performance. Such services include, among others, certain commercial and residential contracts and equipment rentals. These advanced billings are included in deferred revenues and recognized as revenue in the period service is provided. Substantially all our deferred revenues during the reported periods are realized as revenues within one to three months, when the related services are performed.</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Contract Acquisition Costs</w:t>
      </w:r>
    </w:p>
    <w:p>
      <w:pPr>
        <w:spacing w:after="0" w:line="216" w:lineRule="exact"/>
        <w:rPr>
          <w:sz w:val="20"/>
          <w:szCs w:val="20"/>
          <w:color w:val="auto"/>
        </w:rPr>
      </w:pPr>
    </w:p>
    <w:p>
      <w:pPr>
        <w:jc w:val="both"/>
        <w:ind w:left="60" w:right="59" w:firstLine="324"/>
        <w:spacing w:after="0"/>
        <w:rPr>
          <w:sz w:val="20"/>
          <w:szCs w:val="20"/>
          <w:color w:val="auto"/>
        </w:rPr>
      </w:pPr>
      <w:r>
        <w:rPr>
          <w:rFonts w:ascii="Times New Roman" w:cs="Times New Roman" w:eastAsia="Times New Roman" w:hAnsi="Times New Roman"/>
          <w:sz w:val="18"/>
          <w:szCs w:val="18"/>
          <w:color w:val="auto"/>
        </w:rPr>
        <w:t>Our incremental direct costs of obtaining a contract, which consist primarily of sales incentives, are generally deferred and amortized to selling, general and administrative expense over the estimated life of the relevant customer relationship, ranging from five to 16 years. Contract acquisition costs that are paid to the customer are deferred and amortized as a reduction in revenue over the contract life. Our contract acquisition costs are classified as current or noncurrent based on the timing of when we expect to recognize amortization and are included in other assets in our Condensed Consolidated Balance Sheets. As of March 31, 2025 and December 31, 2024, we had $221 million and $218 million, respectively, of deferred contract costs, of which $160 million and $154 million, respectively, were related to deferred sales incentives.</w:t>
      </w:r>
    </w:p>
    <w:p>
      <w:pPr>
        <w:spacing w:after="0" w:line="37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Amounts for our operating lease right-of-use assets are recorded in other long-term assets and the current and long-term portion of our operating lease liabilities are reflected in accrued liabilities and other long-term liabilities, respectively, in our Condensed Consolidated Balance Sheets. Amounts for our financing leases are recorded in property and equipment, net of accumulated depreciation and depletion, and current or long-term debt in our Condensed Consolidated Balance Sheets, as appropriate.</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16" w:lineRule="exact"/>
        <w:rPr>
          <w:sz w:val="20"/>
          <w:szCs w:val="20"/>
          <w:color w:val="auto"/>
        </w:rPr>
      </w:pPr>
    </w:p>
    <w:p>
      <w:pPr>
        <w:jc w:val="both"/>
        <w:ind w:left="60" w:right="59" w:firstLine="324"/>
        <w:spacing w:after="0" w:line="237"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primarily of cash and cash equivalents, investments held within restricted funds and accounts receivable. We make efforts to control our exposure to credit risk associated with these instruments by (i) placing our assets and other financial interests with a diverse group of credit-worthy financial institutions; (ii) holding high-quality financial instruments while limiting investments in any one instrument and (iii) maintaining strict policies over credit extension that include credit evaluations, credit limits and monitoring procedures, although generally we do not have collateral requirements for credit extensions. We also control our exposure associated with trade receivables by discontinuing service, to the extent allowable, to non-paying customers. However, our overall credit risk associated with trade receivables is limited due to the large number and diversity of customers we serve.</w:t>
      </w:r>
    </w:p>
    <w:p>
      <w:pPr>
        <w:spacing w:after="0" w:line="1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When necessary, reclassifications have been made to our prior period financial information to conform to the current year presentation and are not material to our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5" w:lineRule="exact"/>
        <w:rPr>
          <w:sz w:val="20"/>
          <w:szCs w:val="20"/>
          <w:color w:val="auto"/>
        </w:rPr>
      </w:pPr>
    </w:p>
    <w:p>
      <w:pPr>
        <w:ind w:left="360" w:hanging="310"/>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Landfill and Environmental Remediation Liabilities</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Liabilities for landfill and environmental remediation costs are presented in the table below (in millions):</w:t>
      </w:r>
    </w:p>
    <w:p>
      <w:pPr>
        <w:spacing w:after="0" w:line="12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Landfill</w:t>
            </w:r>
          </w:p>
        </w:tc>
        <w:tc>
          <w:tcPr>
            <w:tcW w:w="1160" w:type="dxa"/>
            <w:vAlign w:val="bottom"/>
            <w:gridSpan w:val="4"/>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Environmental</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Landfill</w:t>
            </w:r>
          </w:p>
        </w:tc>
        <w:tc>
          <w:tcPr>
            <w:tcW w:w="140" w:type="dxa"/>
            <w:vAlign w:val="bottom"/>
          </w:tcPr>
          <w:p>
            <w:pPr>
              <w:spacing w:after="0"/>
              <w:rPr>
                <w:sz w:val="10"/>
                <w:szCs w:val="10"/>
                <w:color w:val="auto"/>
              </w:rPr>
            </w:pPr>
          </w:p>
        </w:tc>
        <w:tc>
          <w:tcPr>
            <w:tcW w:w="11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Environmental</w:t>
            </w:r>
          </w:p>
        </w:tc>
        <w:tc>
          <w:tcPr>
            <w:tcW w:w="140" w:type="dxa"/>
            <w:vAlign w:val="bottom"/>
          </w:tcPr>
          <w:p>
            <w:pPr>
              <w:spacing w:after="0"/>
              <w:rPr>
                <w:sz w:val="10"/>
                <w:szCs w:val="10"/>
                <w:color w:val="auto"/>
              </w:rPr>
            </w:pPr>
          </w:p>
        </w:tc>
        <w:tc>
          <w:tcPr>
            <w:tcW w:w="60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Remediation</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Remediation</w:t>
            </w:r>
          </w:p>
        </w:tc>
        <w:tc>
          <w:tcPr>
            <w:tcW w:w="1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 accrued liabilities)</w:t>
            </w:r>
          </w:p>
        </w:tc>
        <w:tc>
          <w:tcPr>
            <w:tcW w:w="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w:t>
            </w:r>
          </w:p>
        </w:tc>
        <w:tc>
          <w:tcPr>
            <w:tcW w:w="6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0" w:type="dxa"/>
            <w:vAlign w:val="bottom"/>
          </w:tcPr>
          <w:p>
            <w:pPr>
              <w:spacing w:after="0"/>
              <w:rPr>
                <w:sz w:val="1"/>
                <w:szCs w:val="1"/>
                <w:color w:val="auto"/>
              </w:rPr>
            </w:pPr>
          </w:p>
        </w:tc>
      </w:tr>
      <w:tr>
        <w:trPr>
          <w:trHeight w:val="209"/>
        </w:trPr>
        <w:tc>
          <w:tcPr>
            <w:tcW w:w="28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changes to landfill and environmental remediation liabilities for the three months ended March 31, 2025 are reflected in the table below (in millions):</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Landfill</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Environmental</w:t>
            </w:r>
          </w:p>
        </w:tc>
        <w:tc>
          <w:tcPr>
            <w:tcW w:w="0" w:type="dxa"/>
            <w:vAlign w:val="bottom"/>
          </w:tcPr>
          <w:p>
            <w:pPr>
              <w:spacing w:after="0"/>
              <w:rPr>
                <w:sz w:val="1"/>
                <w:szCs w:val="1"/>
                <w:color w:val="auto"/>
              </w:rPr>
            </w:pPr>
          </w:p>
        </w:tc>
      </w:tr>
      <w:tr>
        <w:trPr>
          <w:trHeight w:val="173"/>
        </w:trPr>
        <w:tc>
          <w:tcPr>
            <w:tcW w:w="6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Remediation</w:t>
            </w:r>
          </w:p>
        </w:tc>
        <w:tc>
          <w:tcPr>
            <w:tcW w:w="0" w:type="dxa"/>
            <w:vAlign w:val="bottom"/>
          </w:tcPr>
          <w:p>
            <w:pPr>
              <w:spacing w:after="0"/>
              <w:rPr>
                <w:sz w:val="1"/>
                <w:szCs w:val="1"/>
                <w:color w:val="auto"/>
              </w:rPr>
            </w:pPr>
          </w:p>
        </w:tc>
      </w:tr>
      <w:tr>
        <w:trPr>
          <w:trHeight w:val="209"/>
        </w:trPr>
        <w:tc>
          <w:tcPr>
            <w:tcW w:w="6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16"/>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Obligations incurred and capitalized</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Obligations settled</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accretion</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Revisions in estimates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Acquisitions, divestitures and other adjustments</w:t>
            </w:r>
          </w:p>
        </w:tc>
        <w:tc>
          <w:tcPr>
            <w:tcW w:w="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At several of our landfills, we provide financial assurance by depositing cash into restricted trust funds for purposes of settling final capping, closure, post-closure and environmental remediation obligations. Generally, these trust funds are established to comply with statutory requirements and operating agreements. See Note 12 for additional information related to these trusts.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5" w:lineRule="exact"/>
        <w:rPr>
          <w:sz w:val="20"/>
          <w:szCs w:val="20"/>
          <w:color w:val="auto"/>
        </w:rPr>
      </w:pPr>
    </w:p>
    <w:p>
      <w:pPr>
        <w:ind w:left="360" w:hanging="310"/>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components of debt at principal amounts as of each balance sheet date (in millions) and provides the maturities and interest rate ranges of each major category as of March 31, 2025:</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46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8"/>
        </w:trPr>
        <w:tc>
          <w:tcPr>
            <w:tcW w:w="20" w:type="dxa"/>
            <w:vAlign w:val="bottom"/>
          </w:tcPr>
          <w:p>
            <w:pPr>
              <w:spacing w:after="0"/>
              <w:rPr>
                <w:sz w:val="15"/>
                <w:szCs w:val="15"/>
                <w:color w:val="auto"/>
              </w:rPr>
            </w:pPr>
          </w:p>
        </w:tc>
        <w:tc>
          <w:tcPr>
            <w:tcW w:w="682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Commercial paper program (weighted average interest rate of 4.6% as of March 31, 2025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4.7% as of December 31, 2024)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198"/>
        </w:trPr>
        <w:tc>
          <w:tcPr>
            <w:tcW w:w="20" w:type="dxa"/>
            <w:vAlign w:val="bottom"/>
          </w:tcPr>
          <w:p>
            <w:pPr>
              <w:spacing w:after="0"/>
              <w:rPr>
                <w:sz w:val="17"/>
                <w:szCs w:val="17"/>
                <w:color w:val="auto"/>
              </w:rPr>
            </w:pPr>
          </w:p>
        </w:tc>
        <w:tc>
          <w:tcPr>
            <w:tcW w:w="6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Senior notes, maturing through 2054, interest rates ranging from 0.75% to 7.75% (weighted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4"/>
        </w:trPr>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average interest rate of 4.2% as of March 31, 2025 and December 31, 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18,419</w:t>
            </w: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Canadian senior notes, C$500 million maturing September 2026, interest rate of 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198"/>
        </w:trPr>
        <w:tc>
          <w:tcPr>
            <w:tcW w:w="20" w:type="dxa"/>
            <w:vAlign w:val="bottom"/>
          </w:tcPr>
          <w:p>
            <w:pPr>
              <w:spacing w:after="0"/>
              <w:rPr>
                <w:sz w:val="17"/>
                <w:szCs w:val="17"/>
                <w:color w:val="auto"/>
              </w:rPr>
            </w:pPr>
          </w:p>
        </w:tc>
        <w:tc>
          <w:tcPr>
            <w:tcW w:w="6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Tax-exempt bonds, maturing through 2053, fixed and variable interest rates ranging from</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0.7% to 4.8% (weighted average interest rate of 3.6% as of March 31, 2025 and 3.7% as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4"/>
        </w:trPr>
        <w:tc>
          <w:tcPr>
            <w:tcW w:w="6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w:t>
            </w:r>
          </w:p>
        </w:tc>
      </w:tr>
      <w:tr>
        <w:trPr>
          <w:trHeight w:val="198"/>
        </w:trPr>
        <w:tc>
          <w:tcPr>
            <w:tcW w:w="20" w:type="dxa"/>
            <w:vAlign w:val="bottom"/>
          </w:tcPr>
          <w:p>
            <w:pPr>
              <w:spacing w:after="0"/>
              <w:rPr>
                <w:sz w:val="17"/>
                <w:szCs w:val="17"/>
                <w:color w:val="auto"/>
              </w:rPr>
            </w:pPr>
          </w:p>
        </w:tc>
        <w:tc>
          <w:tcPr>
            <w:tcW w:w="68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Financing leases and other, maturing through 2082 (weighted average interest rate of 4.9% as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 March 31, 2025 and December 31, 2024) (a)</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r>
      <w:tr>
        <w:trPr>
          <w:trHeight w:val="216"/>
        </w:trPr>
        <w:tc>
          <w:tcPr>
            <w:tcW w:w="20" w:type="dxa"/>
            <w:vAlign w:val="bottom"/>
          </w:tcPr>
          <w:p>
            <w:pPr>
              <w:spacing w:after="0"/>
              <w:rPr>
                <w:sz w:val="18"/>
                <w:szCs w:val="18"/>
                <w:color w:val="auto"/>
              </w:rPr>
            </w:pPr>
          </w:p>
        </w:tc>
        <w:tc>
          <w:tcPr>
            <w:tcW w:w="6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Debt issuance costs, discounts and other</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09"/>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23,900</w:t>
            </w:r>
          </w:p>
        </w:tc>
      </w:tr>
      <w:tr>
        <w:trPr>
          <w:trHeight w:val="216"/>
        </w:trPr>
        <w:tc>
          <w:tcPr>
            <w:tcW w:w="20" w:type="dxa"/>
            <w:vAlign w:val="bottom"/>
          </w:tcPr>
          <w:p>
            <w:pPr>
              <w:spacing w:after="0"/>
              <w:rPr>
                <w:sz w:val="18"/>
                <w:szCs w:val="18"/>
                <w:color w:val="auto"/>
              </w:rPr>
            </w:pPr>
          </w:p>
        </w:tc>
        <w:tc>
          <w:tcPr>
            <w:tcW w:w="6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r>
      <w:tr>
        <w:trPr>
          <w:trHeight w:val="209"/>
        </w:trPr>
        <w:tc>
          <w:tcPr>
            <w:tcW w:w="20" w:type="dxa"/>
            <w:vAlign w:val="bottom"/>
          </w:tcPr>
          <w:p>
            <w:pPr>
              <w:spacing w:after="0"/>
              <w:rPr>
                <w:sz w:val="18"/>
                <w:szCs w:val="18"/>
                <w:color w:val="auto"/>
              </w:rPr>
            </w:pPr>
          </w:p>
        </w:tc>
        <w:tc>
          <w:tcPr>
            <w:tcW w:w="6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22,883</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22,541</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r>
    </w:tbl>
    <w:p>
      <w:pPr>
        <w:spacing w:after="0" w:line="76" w:lineRule="exact"/>
        <w:rPr>
          <w:sz w:val="20"/>
          <w:szCs w:val="20"/>
          <w:color w:val="auto"/>
        </w:rPr>
      </w:pPr>
    </w:p>
    <w:p>
      <w:pPr>
        <w:ind w:left="380" w:right="79" w:hanging="330"/>
        <w:spacing w:after="0" w:line="282"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our landfill financing leases, the maturities of our financing leases and other debt obligations extend through 2059.</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Debt Classification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March 31, 2025, we had approximately $3.8 billion of debt maturing within the next 12 months, including</w:t>
      </w:r>
    </w:p>
    <w:p>
      <w:pPr>
        <w:spacing w:after="0" w:line="27" w:lineRule="exact"/>
        <w:rPr>
          <w:sz w:val="20"/>
          <w:szCs w:val="20"/>
          <w:color w:val="auto"/>
        </w:rPr>
      </w:pPr>
    </w:p>
    <w:p>
      <w:pPr>
        <w:ind w:left="300" w:hanging="250"/>
        <w:spacing w:after="0"/>
        <w:tabs>
          <w:tab w:leader="none" w:pos="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billion of short-term borrowings under our commercial paper program (net of related discount on issuance);</w:t>
      </w:r>
    </w:p>
    <w:p>
      <w:pPr>
        <w:spacing w:after="0" w:line="9" w:lineRule="exact"/>
        <w:rPr>
          <w:rFonts w:ascii="Times New Roman" w:cs="Times New Roman" w:eastAsia="Times New Roman" w:hAnsi="Times New Roman"/>
          <w:sz w:val="18"/>
          <w:szCs w:val="18"/>
          <w:color w:val="auto"/>
        </w:rPr>
      </w:pPr>
    </w:p>
    <w:p>
      <w:pPr>
        <w:jc w:val="both"/>
        <w:ind w:left="60" w:right="59" w:hanging="10"/>
        <w:spacing w:after="0" w:line="252"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billion of tax-exempt bonds with term interest rate periods that expire within the next 12 months, which is prior to their scheduled maturities; (iii) $500 million of 0.75% senior notes that mature in November 2025 and (iv) $454 million of other debt with scheduled maturities within the next 12 months, including $298 million of tax-exempt bonds. As of March 31, 2025, we have classified $2.8 billion of debt maturing in the next 12 months as long-term because we have the intent and ability to refinance these borrowings on a long-term basis as supported by the forecasted available capacity under our $3.5 billion long-term U.S. and Canadian revolving credit facility (“$3.5 billion revolving credit facility”), as discussed below. The remaining $954 million of debt maturing in the next 12 months is classified as current obligations.</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Access to and Utilization of Credit Facilities and Commercial Paper Program</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$3.5 Billion Revolving Credit Facility — </w:t>
      </w:r>
      <w:r>
        <w:rPr>
          <w:rFonts w:ascii="Times New Roman" w:cs="Times New Roman" w:eastAsia="Times New Roman" w:hAnsi="Times New Roman"/>
          <w:sz w:val="18"/>
          <w:szCs w:val="18"/>
          <w:color w:val="auto"/>
        </w:rPr>
        <w:t>Our $3.5 billion revolving credit facility, maturing May 2029, provides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credit capacity to be used for cash borrowings, to support letters of credit and to support our commercial paper program. The interest rates we pay on outstanding U.S. or Canadian loans are based on the Secured Overnight Financing Rate (“SOFR”) administered by the Federal Reserve Bank of New York or the Canadian Overnight Repo Rate Average (“CORRA”) administered by the Bank of Canada, respectively, plus a spread depending on our senior public debt rating assigned by Moody’s Investors Service, Inc. and Standard and Poor’s Global Ratings. The spread above SOFR or CORRA can range from 0.585% to 1.025% per annum, plus applicable credit adjustments. We also pay certain other fees set forth in the $3.5 billion revolving credit facility agreement, including a facility fee based on the aggregate commitment, regardless of usage. As of March 31, 2025, we had no outstanding borrowings under this facility. We had $1.5 billion of outstanding borrowings (net of related discount on issuance) under our commercial paper program and $224 million of letters of credit issued, both supported by the facility, leaving unused and available credit capacity of $1.8 billion as of</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March 31, 2025. WM Holdings, a wholly-owned subsidiary of WMI, guarantees all of the obligations under the $3.5 billion revolving credit facility.</w:t>
      </w:r>
    </w:p>
    <w:p>
      <w:pPr>
        <w:spacing w:after="0" w:line="16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Commercial Paper Program </w:t>
      </w:r>
      <w:r>
        <w:rPr>
          <w:rFonts w:ascii="Times New Roman" w:cs="Times New Roman" w:eastAsia="Times New Roman" w:hAnsi="Times New Roman"/>
          <w:sz w:val="18"/>
          <w:szCs w:val="18"/>
          <w:color w:val="auto"/>
        </w:rPr>
        <w:t>— We have a commercial paper program that enables us to borrow funds for up to 397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days at competitive interest rates. The rates we pay for outstanding borrowings are based on the term of the notes. The commercial paper program is fully supported by our $3.5 billion revolving credit facility. As of March 31, 2025, we had $1.5 billion of outstanding borrowings (net of related discount on issuance) under our commercial paper program.</w:t>
      </w:r>
    </w:p>
    <w:p>
      <w:pPr>
        <w:spacing w:after="0" w:line="180" w:lineRule="exact"/>
        <w:rPr>
          <w:sz w:val="20"/>
          <w:szCs w:val="20"/>
          <w:color w:val="auto"/>
        </w:rPr>
      </w:pPr>
    </w:p>
    <w:p>
      <w:pPr>
        <w:jc w:val="both"/>
        <w:ind w:left="60" w:right="7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Letter of Credit Lines — </w:t>
      </w:r>
      <w:r>
        <w:rPr>
          <w:rFonts w:ascii="Times New Roman" w:cs="Times New Roman" w:eastAsia="Times New Roman" w:hAnsi="Times New Roman"/>
          <w:sz w:val="18"/>
          <w:szCs w:val="18"/>
          <w:color w:val="auto"/>
        </w:rPr>
        <w:t>As of March 31, 2025, we had utilized $860 million of other uncommitted letter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lines, with terms maturing through December 2028.</w:t>
      </w:r>
    </w:p>
    <w:p>
      <w:pPr>
        <w:spacing w:after="0" w:line="1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Debt Borrowings and Repayments</w:t>
      </w:r>
    </w:p>
    <w:p>
      <w:pPr>
        <w:spacing w:after="0" w:line="227"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Commercial Paper Program — </w:t>
      </w:r>
      <w:r>
        <w:rPr>
          <w:rFonts w:ascii="Times New Roman" w:cs="Times New Roman" w:eastAsia="Times New Roman" w:hAnsi="Times New Roman"/>
          <w:sz w:val="18"/>
          <w:szCs w:val="18"/>
          <w:color w:val="auto"/>
        </w:rPr>
        <w:t>During the three months ended March 31, 2025, we made cash repayments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$4.7 billion, which were more than offset by $5.0 billion of cash borrowings (net of related discount on issuance) used for general corporate purposes.</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Senior Notes — </w:t>
      </w:r>
      <w:r>
        <w:rPr>
          <w:rFonts w:ascii="Times New Roman" w:cs="Times New Roman" w:eastAsia="Times New Roman" w:hAnsi="Times New Roman"/>
          <w:sz w:val="18"/>
          <w:szCs w:val="18"/>
          <w:color w:val="auto"/>
        </w:rPr>
        <w:t>We repaid $422 million of 3.125% senior notes upon maturity in March 2025.</w:t>
      </w:r>
    </w:p>
    <w:p>
      <w:pPr>
        <w:spacing w:after="0" w:line="223" w:lineRule="exact"/>
        <w:rPr>
          <w:sz w:val="20"/>
          <w:szCs w:val="20"/>
          <w:color w:val="auto"/>
        </w:rPr>
      </w:pPr>
    </w:p>
    <w:p>
      <w:pPr>
        <w:ind w:left="360" w:hanging="310"/>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effective income tax rate was 19.2% and 18.6% for the three months ended March 31, 2025 and 2024, respectively. The increase in our effective income tax rate when comparing the three months ended March 31, 2025 and 2024 was primarily driven by the timing of amortization resulting from our investment in low-income housing investments offset, in part, by federal tax credits. We evaluate our effective income tax rate at each interim period and adjust it as facts and circumstances warrant.</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Investments Qualifying for Federal Tax Credits</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Renewable Natural Gas </w:t>
      </w:r>
      <w:r>
        <w:rPr>
          <w:rFonts w:ascii="Times New Roman" w:cs="Times New Roman" w:eastAsia="Times New Roman" w:hAnsi="Times New Roman"/>
          <w:sz w:val="18"/>
          <w:szCs w:val="18"/>
          <w:color w:val="auto"/>
        </w:rPr>
        <w:t>— Through our subsidiaries, including our WM Renewable Energy segment,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invested in building landfill gas-to-energy facilities in the U.S. and Canada that produce renewable electricity and RNG. We expect our new RNG facilities to qualify for federal tax credits and to realize those credits through 2026 under Section 48 of the Internal Revenue Code.</w:t>
      </w:r>
    </w:p>
    <w:p>
      <w:pPr>
        <w:spacing w:after="0" w:line="18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and 2024, we recognized a reduction in our income tax expense of $46 million and $37 million, respectively due to federal tax credits expected to be realized from our RNG investments.</w:t>
      </w:r>
    </w:p>
    <w:p>
      <w:pPr>
        <w:spacing w:after="0" w:line="16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Low-Income Housing </w:t>
      </w:r>
      <w:r>
        <w:rPr>
          <w:rFonts w:ascii="Times New Roman" w:cs="Times New Roman" w:eastAsia="Times New Roman" w:hAnsi="Times New Roman"/>
          <w:sz w:val="18"/>
          <w:szCs w:val="18"/>
          <w:color w:val="auto"/>
        </w:rPr>
        <w:t>— We have significant financial interests in entities established to invest in and manage low-income housing properties. We support the operations of these entities in exchange for a pro-rata share of the tax credits they generate. The low-income housing investments qualify for federal tax credits that we expect to realize through 2036 under Section 42 or Section 45D of the Internal Revenue Code.</w:t>
      </w:r>
    </w:p>
    <w:p>
      <w:pPr>
        <w:spacing w:after="0" w:line="182"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Under the proportional amortization method, the equity investment is amortized in proportion to the income tax credits and other income tax benefits received. The amortization expense and the income tax credits are required to be presented on a net basis in income tax expense on the Condensed Consolidated Statements of Operations.</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we recognized income tax expense of $20 million related to amortization under ASU 2023-02 and a reduction in our income tax expense of $27 million primarily due to federal tax credits realized from these investments. In addition, during the three months ended March 31, 2025, we recognized interest expense of $9 million associated with our investments in low-income housing properties.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we recognized $20 million of net losses and a reduction in our income tax expense of $28 million primarily due to federal tax credits realized from these investments. In addition, during the three months ended March 31, 2024, we recognized interest expense of $6 million associated with our investments in low-income housing properties.</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Note 12 for additional information related to these unconsolidated variable interest entities.</w:t>
      </w:r>
    </w:p>
    <w:p>
      <w:pPr>
        <w:spacing w:after="0" w:line="221" w:lineRule="exact"/>
        <w:rPr>
          <w:sz w:val="20"/>
          <w:szCs w:val="20"/>
          <w:color w:val="auto"/>
        </w:rPr>
      </w:pPr>
    </w:p>
    <w:p>
      <w:pPr>
        <w:ind w:left="360" w:hanging="310"/>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Basic and diluted earnings per share for the three months ended March 31 were computed using the following common share data (shares in millions):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1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common shares outstanding at end of period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0" w:type="dxa"/>
            <w:vAlign w:val="bottom"/>
          </w:tcPr>
          <w:p>
            <w:pPr>
              <w:spacing w:after="0"/>
              <w:rPr>
                <w:sz w:val="1"/>
                <w:szCs w:val="1"/>
                <w:color w:val="auto"/>
              </w:rPr>
            </w:pPr>
          </w:p>
        </w:tc>
      </w:tr>
      <w:tr>
        <w:trPr>
          <w:trHeight w:val="216"/>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using weighted average common shares outstanding</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9"/>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basic common shares outstanding</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0" w:type="dxa"/>
            <w:vAlign w:val="bottom"/>
          </w:tcPr>
          <w:p>
            <w:pPr>
              <w:spacing w:after="0"/>
              <w:rPr>
                <w:sz w:val="1"/>
                <w:szCs w:val="1"/>
                <w:color w:val="auto"/>
              </w:rPr>
            </w:pPr>
          </w:p>
        </w:tc>
      </w:tr>
      <w:tr>
        <w:trPr>
          <w:trHeight w:val="216"/>
        </w:trPr>
        <w:tc>
          <w:tcPr>
            <w:tcW w:w="7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Dilutive effect of equity-based compensation awards and other contingently issuable shares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9"/>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diluted common shares outstanding</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w:t>
            </w:r>
          </w:p>
        </w:tc>
        <w:tc>
          <w:tcPr>
            <w:tcW w:w="0" w:type="dxa"/>
            <w:vAlign w:val="bottom"/>
          </w:tcPr>
          <w:p>
            <w:pPr>
              <w:spacing w:after="0"/>
              <w:rPr>
                <w:sz w:val="1"/>
                <w:szCs w:val="1"/>
                <w:color w:val="auto"/>
              </w:rPr>
            </w:pPr>
          </w:p>
        </w:tc>
      </w:tr>
      <w:tr>
        <w:trPr>
          <w:trHeight w:val="20"/>
        </w:trPr>
        <w:tc>
          <w:tcPr>
            <w:tcW w:w="7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Potentially issuable shares</w:t>
            </w:r>
          </w:p>
        </w:tc>
        <w:tc>
          <w:tcPr>
            <w:tcW w:w="7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60" w:type="dxa"/>
            <w:vAlign w:val="bottom"/>
            <w:vMerge w:val="continue"/>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200" w:type="dxa"/>
            <w:vAlign w:val="bottom"/>
            <w:vMerge w:val="continue"/>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8"/>
        </w:trPr>
        <w:tc>
          <w:tcPr>
            <w:tcW w:w="71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Number of anti-dilutive potentially issuable shares excluded from diluted common shares</w:t>
            </w: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Refer to the Condensed Consolidated Statements of Operations for net income attributable to Waste Management, Inc.</w:t>
      </w:r>
    </w:p>
    <w:p>
      <w:pPr>
        <w:spacing w:after="0" w:line="221" w:lineRule="exact"/>
        <w:rPr>
          <w:sz w:val="20"/>
          <w:szCs w:val="20"/>
          <w:color w:val="auto"/>
        </w:rPr>
      </w:pPr>
    </w:p>
    <w:p>
      <w:pPr>
        <w:ind w:left="360" w:hanging="310"/>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Financial Instruments — </w:t>
      </w:r>
      <w:r>
        <w:rPr>
          <w:rFonts w:ascii="Times New Roman" w:cs="Times New Roman" w:eastAsia="Times New Roman" w:hAnsi="Times New Roman"/>
          <w:sz w:val="18"/>
          <w:szCs w:val="18"/>
          <w:color w:val="auto"/>
        </w:rPr>
        <w:t>We have obtained letters of credit, surety bonds and insurance policies and have established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 funds and issued financial guarantees to support tax-exempt bonds, contracts, performance of landfill final capping, closure and post-closure requirements, environmental remediation and other obligations. Letters of credit generally are supported by our $3.5 billion revolving credit facility and other credit lines established for that purpose. These facilities are discussed further in Note 3. Surety bonds and insurance policies are supported by (i) a diverse group of third-party surety and insurance companies; (ii) an entity in which we have a noncontrolling financial interest or (iii) a wholly-owned insurance captive, the sole business of which is to issue surety bonds and/or insurance policies on our behalf.</w:t>
      </w:r>
    </w:p>
    <w:p>
      <w:pPr>
        <w:spacing w:after="0" w:line="185" w:lineRule="exact"/>
        <w:rPr>
          <w:sz w:val="20"/>
          <w:szCs w:val="20"/>
          <w:color w:val="auto"/>
        </w:rPr>
      </w:pPr>
    </w:p>
    <w:p>
      <w:pPr>
        <w:jc w:val="both"/>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Management does not expect that any claims against or draws on these instruments would have a material adverse effect on our financial condition, results of operations or cash flows.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181"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Insurance — </w:t>
      </w:r>
      <w:r>
        <w:rPr>
          <w:rFonts w:ascii="Times New Roman" w:cs="Times New Roman" w:eastAsia="Times New Roman" w:hAnsi="Times New Roman"/>
          <w:sz w:val="18"/>
          <w:szCs w:val="18"/>
          <w:color w:val="auto"/>
        </w:rPr>
        <w:t>We carry insurance coverage for protection of our assets and operations from certain risks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liability, automobile liability, workers’ compensation, real and personal property, directors’ and officers’ liability, pollution legal liability, cyber incident liability and other coverages we believe are customary to the industry. Our exposure to loss for insurance claims is generally limited to the per-incident deductible under the related insurance policy and any amounts that exceed our insured limits. Our exposure could increase if our insurers are unable to meet their commitments on a timely basis.</w:t>
      </w:r>
    </w:p>
    <w:p>
      <w:pPr>
        <w:spacing w:after="0" w:line="184"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We have retained a significant portion of the risks related to our health and welfare, general liability, automobile liability and workers’ compensation claims programs. “General liability” refers to the self-insured portion of specific third-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party claims made against us that may be covered under our commercial general liability insurance policy. For our self-insured portions, the exposure for unpaid claims and associated expenses, including incurred but not reported losses, is based on an actuarial valuation or internal estimates. The accruals for these liabilities could be revised if future occurrences or loss development significantly differ from such valuations and estimates. We use a wholly-owned insurance captive to insure the deductibles for our general liability, automobile liability and workers’ compensation claims programs.</w:t>
      </w:r>
    </w:p>
    <w:p>
      <w:pPr>
        <w:spacing w:after="0" w:line="183"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We do not expect the impact of any known casualty, property, environmental or other contingency to have a material impact on our financial condition, results of operations or cash flows.</w:t>
      </w:r>
    </w:p>
    <w:p>
      <w:pPr>
        <w:spacing w:after="0" w:line="16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Guarantees — </w:t>
      </w:r>
      <w:r>
        <w:rPr>
          <w:rFonts w:ascii="Times New Roman" w:cs="Times New Roman" w:eastAsia="Times New Roman" w:hAnsi="Times New Roman"/>
          <w:sz w:val="18"/>
          <w:szCs w:val="18"/>
          <w:color w:val="auto"/>
        </w:rPr>
        <w:t>In the ordinary course of our business, WMI and WM Holdings enter into guarantee agreements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their subsidiaries’ operations. Additionally, WMI and WM Holdings have each guaranteed all of the senior debt of the other entity. No additional liabilities have been recorded for these intercompany guarantees because all of the underlying obligations are reflected in our Condensed Consolidated Balance Sheets.</w:t>
      </w:r>
    </w:p>
    <w:p>
      <w:pPr>
        <w:spacing w:after="0" w:line="18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As of March 31, 2025, we have guaranteed the obligations and certain performance requirements of third parties in connection with both consolidated and unconsolidated entities, including guarantees to cover the difference, if any, between the sale value and the guaranteed market or contractually-determined value of certain homeowner’s properties that are adjacent to or near 18 of our landfills. We have also agreed to indemnify certain third-party purchasers against liabilities associated with divested operations prior to such sale. We do not believe that the remaining contingent obligations will have a material adverse effect on the Company’s business, financial condition, results of operations or cash flows.</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Environmental Matters — </w:t>
      </w:r>
      <w:r>
        <w:rPr>
          <w:rFonts w:ascii="Times New Roman" w:cs="Times New Roman" w:eastAsia="Times New Roman" w:hAnsi="Times New Roman"/>
          <w:sz w:val="18"/>
          <w:szCs w:val="18"/>
          <w:color w:val="auto"/>
        </w:rPr>
        <w:t>A significant portion of our operating costs and capital expenditures could be characterized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clean-up.</w:t>
      </w:r>
    </w:p>
    <w:p>
      <w:pPr>
        <w:spacing w:after="0" w:line="187"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environmental impact investigation. In these cases, we use the amount within the range that is our best estimate. If no amount within a range appears to be a better estimate than any other, we use the amount that is the low end of such range. If we used the high ends of such ranges (where estimable), our aggregate potential liability would be approximately $9 million higher than the $219 million recorded in the Condensed Consolidated Balance Sheet as of March 31, 2025.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our balance sheet and income from operations. These adjustments could be material in any given period.</w:t>
      </w:r>
    </w:p>
    <w:p>
      <w:pPr>
        <w:spacing w:after="0" w:line="19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As of March 31, 2025, we had been notified by the government that we are a PRP in connection with 74 locations listed on the Environmental Protection Agency’s (“EPA’s”) Superfund National Priorities List, or NPL. Of the 74 sites at which claims have been made against us, 14 are sites we own. Each of the NPL sites we own were initially developed by others as a landfill disposal facility. At each of these facilities, we are working in conjunction with the government to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characterize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60 NPL sites, which we do not own, are at various procedural stages under the Comprehensive Environmental Response, Compensation and Liability Act of 1980, as amended, known as CERCLA or Superfund.</w:t>
      </w:r>
    </w:p>
    <w:p>
      <w:pPr>
        <w:spacing w:after="0" w:line="183"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194"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2018, both of McGinnes Industrial Maintenance Corporation (“MIMC”), a subsidiary of Waste Management of Texas, Inc., and International Paper Company (“IPC”) entered into an Administrative Order on Consent with the EPA as PRPs to develop a remedial design for the San Jacinto River Waste Pits Superfund Site in Harris County, Texas. We recorded a liability for MIMC’s estimated potential share of the EPA’s proposed remedy and related costs, although allocation of responsibility among the PRPs for the proposed remedy has not been established. MIMC and IPC have continued to work on a remedial design to support the EPA’s proposed remedy; however, in the first quarter of 2024, the EPA publicly issued a letter alleging that the remedial design had serious deficiencies. MIMC and IPC engaged with the EPA throughout the year, and in November 2024, MIMC and IPC publicly issued a proposed revised full remedial design to address the EPA’s comments. Due to increases in the estimated costs of the remedy to address the EPA’s comments, in the fourth quarter of 2024 we recorded an additional $13 million liability for MIMC’s estimated potential share of such costs. As a result, the recorded liability as of March 31, 2025 and December 31, 2024 was approximately $97 million. MIMC’s ultimate liability could be materially different from current estimates, including potential increases resulting from MIMC’s continued engagement with the EPA regarding a final remedial design for the site.</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below a stated threshold. In accordance with this SEC regulation, the Company uses a threshold of $1 million for purposes of determining whether disclosure of any such environmental proceedings is required. Other than the matter discussed below involving Stericycle’s divested Domestic Environmental Solutions business, we are not aware of any matters in the first quarter of 2025 that are required to be disclosed pursuant to this standard.</w:t>
      </w:r>
    </w:p>
    <w:p>
      <w:pPr>
        <w:spacing w:after="0" w:line="18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us to meet certain regulatory or contractual conditions upon site closure or upon termination of the agreements. Compliance with these agreements inherently involves subjective determinations and may result in disputes, including litigation.</w:t>
      </w:r>
    </w:p>
    <w:p>
      <w:pPr>
        <w:spacing w:after="0" w:line="17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Litigation — </w:t>
      </w:r>
      <w:r>
        <w:rPr>
          <w:rFonts w:ascii="Times New Roman" w:cs="Times New Roman" w:eastAsia="Times New Roman" w:hAnsi="Times New Roman"/>
          <w:sz w:val="18"/>
          <w:szCs w:val="18"/>
          <w:color w:val="auto"/>
        </w:rPr>
        <w:t>We are subject to various proceedings, lawsuits, disputes and claims arising in the ordinary course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Many of these actions raise complex factual and legal issues and are subject to uncertainties. Actions that have been filed against us, and that may be filed against us in the future, include personal injury, property damage, commercial, customer, and employment-related claims, including purported state and national class action lawsuits related to: alleged environmental contamination, including releases of hazardous material and odors; sales and marketing practices, customer service agreements and prices and fees; and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will have a material adverse effect on the Company’s business, financial condition, results of operations or cash flows.</w:t>
      </w:r>
    </w:p>
    <w:p>
      <w:pPr>
        <w:spacing w:after="0" w:line="190"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On November 4, 2024, the Company acquired Stericycle. At the time of the acquisition, Stericycle was subject to the following legal matters, which are now legal matters of our wholly-owned subsidiary.</w:t>
      </w:r>
    </w:p>
    <w:p>
      <w:pPr>
        <w:spacing w:after="0" w:line="162" w:lineRule="exact"/>
        <w:rPr>
          <w:sz w:val="20"/>
          <w:szCs w:val="20"/>
          <w:color w:val="auto"/>
        </w:rPr>
      </w:pPr>
    </w:p>
    <w:p>
      <w:pPr>
        <w:jc w:val="both"/>
        <w:ind w:left="380" w:right="59"/>
        <w:spacing w:after="0" w:line="254" w:lineRule="auto"/>
        <w:rPr>
          <w:sz w:val="20"/>
          <w:szCs w:val="20"/>
          <w:color w:val="auto"/>
        </w:rPr>
      </w:pPr>
      <w:r>
        <w:rPr>
          <w:rFonts w:ascii="Times New Roman" w:cs="Times New Roman" w:eastAsia="Times New Roman" w:hAnsi="Times New Roman"/>
          <w:sz w:val="18"/>
          <w:szCs w:val="18"/>
          <w:color w:val="auto"/>
        </w:rPr>
        <w:t>Stericycle entered into a deferred prosecution agreement (“DPA”) with the U.S. Department of Justice (“DOJ”) and a cease-and-desist order with the SEC in 2022 relating to Stericycle’s compliance with the U.S. Foreign Corrupt Practices Act and other anti-corruption laws with respect to now-divested operations in Latin America. The DPA and cease-and-desist order required Stericycle to engage an independent compliance monitor for two years, which Stericycle satisfied. Additionally, the DPA required Stericycle to self-report any potential violations of the anti-corruption laws through November 2025. In April 2025, the DOJ filed, and the court granted, a motion for early termination of the DPA, and the deferred charges against Stericycle have been dismissed with prejudice. This matter did not have a material adverse effect on the Company’s business, financial condition, results of operations or cash flows.</w:t>
      </w:r>
    </w:p>
    <w:p>
      <w:pPr>
        <w:spacing w:after="0" w:line="188" w:lineRule="exact"/>
        <w:rPr>
          <w:sz w:val="20"/>
          <w:szCs w:val="20"/>
          <w:color w:val="auto"/>
        </w:rPr>
      </w:pPr>
    </w:p>
    <w:p>
      <w:pPr>
        <w:jc w:val="both"/>
        <w:ind w:left="380" w:right="59"/>
        <w:spacing w:after="0" w:line="253" w:lineRule="auto"/>
        <w:rPr>
          <w:sz w:val="20"/>
          <w:szCs w:val="20"/>
          <w:color w:val="auto"/>
        </w:rPr>
      </w:pPr>
      <w:r>
        <w:rPr>
          <w:rFonts w:ascii="Times New Roman" w:cs="Times New Roman" w:eastAsia="Times New Roman" w:hAnsi="Times New Roman"/>
          <w:sz w:val="18"/>
          <w:szCs w:val="18"/>
          <w:color w:val="auto"/>
        </w:rPr>
        <w:t>Stericycle has been cooperating with an investigation by the office of the U.S. Attorney for the Southern District of New York (“SDNY”) and the EPA into Stericycle’s historical compliance with federal environmental statutes, including the Resource Conservation and Recovery Act, in connection with the collection, transportation and disposal of hazardous waste by Stericycle’s Domestic Environmental Solutions business unit that was divested in 2020. Stericycle previously disclosed that it made an accrual in respect of this matter of approximately $10 million. In January 2025, the parties agreed on settlement terms for this matter, which are within Stericycle’s prior accrual. On January 17, 2025, the U.S. Attorney filed a complaint in the U.S. District Court for the SDNY, and on the same day, announced the settlement agreement with Stericycle. The settlement received court approval, and this matter is fully resolved. The settlement did not have a material adverse effect on the Company’s business, financial condition, results of operations or cash flows.</w:t>
      </w:r>
    </w:p>
    <w:p>
      <w:pPr>
        <w:spacing w:after="0" w:line="194" w:lineRule="exact"/>
        <w:rPr>
          <w:sz w:val="20"/>
          <w:szCs w:val="20"/>
          <w:color w:val="auto"/>
        </w:rPr>
      </w:pPr>
    </w:p>
    <w:p>
      <w:pPr>
        <w:jc w:val="both"/>
        <w:ind w:left="380" w:right="59"/>
        <w:spacing w:after="0" w:line="253" w:lineRule="auto"/>
        <w:rPr>
          <w:sz w:val="20"/>
          <w:szCs w:val="20"/>
          <w:color w:val="auto"/>
        </w:rPr>
      </w:pPr>
      <w:r>
        <w:rPr>
          <w:rFonts w:ascii="Times New Roman" w:cs="Times New Roman" w:eastAsia="Times New Roman" w:hAnsi="Times New Roman"/>
          <w:sz w:val="18"/>
          <w:szCs w:val="18"/>
          <w:color w:val="auto"/>
        </w:rPr>
        <w:t>On February 11, 2020, Stericycle received an administrative subpoena from the U.S. Drug Enforcement Administration (“DEA”), which executed a search warrant at a facility in Rancho Cordova, California and an administrative inspection warrant at a facility in Indianapolis, Indiana for materials related to Stericycle’s now-divested Domestic Environmental Solutions business of collecting, transporting, and destroying controlled substances from retail customers (the “ESOL Retail Controlled Substances Business”). On that same day, agents from the California Department of Toxic Substances Control executed a separate search warrant at the Rancho Cordova facility. Since that time, the U.S. Attorney’s Office for the Eastern District of California (“USAO EDCA”) has been overseeing criminal and civil investigations of the ESOL Retail Controlled Substances Business. The USAO EDCA informed Stericycle that the investigations relate to Stericycle’s operation and sale of its ESOL Retail Controlled Substances Business that was divested in 2020 and has asserted that Stericycle and some of Stericycle’s current or former employees may have civil and criminal liability under the Controlled Substances Act and other federal statutes related to that business. Stericycle has been cooperating with the ongoing investigations, which are limited to the period of</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ind w:left="380" w:right="59"/>
        <w:spacing w:after="0" w:line="266" w:lineRule="auto"/>
        <w:rPr>
          <w:sz w:val="20"/>
          <w:szCs w:val="20"/>
          <w:color w:val="auto"/>
        </w:rPr>
      </w:pPr>
      <w:r>
        <w:rPr>
          <w:rFonts w:ascii="Times New Roman" w:cs="Times New Roman" w:eastAsia="Times New Roman" w:hAnsi="Times New Roman"/>
          <w:sz w:val="18"/>
          <w:szCs w:val="18"/>
          <w:color w:val="auto"/>
        </w:rPr>
        <w:t>Stericycle’s historical operation and ownership of the ESOL Retail Controlled Substances Business from 2015 through 2020. While the ultimate disposition of this matter remains uncertain, we do not currently believe that it will have a material adverse effect on the Company’s business, financial condition, results of operations or cash flows.</w:t>
      </w:r>
    </w:p>
    <w:p>
      <w:pPr>
        <w:spacing w:after="0" w:line="176"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June 2022, we and certain of our officers were named as defendants in a complaint alleging violation of the federal securities laws and seeking certification as a class action in the U.S. District Court for the Southern District of New York. A lead plaintiff has been appointed and an amended complaint was filed in January 2023. The amended complaint seeks damages on behalf of a putative class of secondary market purchasers of our senior notes with a special mandatory redemption feature issued in May 2019, asserting claims under the Securities Exchange Act of 1934, as amended based on alleged misrepresentations and omissions concerning the time for completion of our acquisition of Advanced Disposal. The court certified a class on March 31, 2025. The case is currently in the discovery phase, and we intend to vigorously defend against this pending suit. We believe any potential recovery by the plaintiffs, in excess of applicable deductibles, will be covered by insurance, and we do not believe that the eventual outcome of this suit will have a material adverse effect on the Company’s business, financial condition, results of operations or cash flows.</w:t>
      </w:r>
    </w:p>
    <w:p>
      <w:pPr>
        <w:spacing w:after="0" w:line="19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WMI’s charter and bylaws provide that WMI shall indemnify against all liabilities and expenses, and upon request shall advance expenses to any person, who is subject to a pending or threatened proceeding because such person is or was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permitted to have such fees advanced under Delaware law. Additionally, the Company has direct contractual obligations to provide indemnification to each of the members of WMI’s Board of Directors and each of WMI’s executive officers.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186"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Multiemployer Defined Benefit Pension Plans — </w:t>
      </w:r>
      <w:r>
        <w:rPr>
          <w:rFonts w:ascii="Times New Roman" w:cs="Times New Roman" w:eastAsia="Times New Roman" w:hAnsi="Times New Roman"/>
          <w:sz w:val="18"/>
          <w:szCs w:val="18"/>
          <w:color w:val="auto"/>
        </w:rPr>
        <w:t>About 20% of our workforce is covered by collective bargaining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with various local unions across the U.S. and Canada, and certain parts of Europe. As a result of some of these agreements, certain of our subsidiaries are participating employers in a number of trustee-managed multiemployer defined benefit pension plans (“Multiemployer Pension Plans”) for the covered employees. In connection with our ongoing renegotiation of various collective bargaining agreements, we may discuss and negotiate for the complete or partial withdrawal from one or more of these Multiemployer Pension Plans.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w:t>
      </w:r>
    </w:p>
    <w:p>
      <w:pPr>
        <w:spacing w:after="0" w:line="19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do not believe that any future liability relating to our past or current participation in, or withdrawals from, the Multiemployer Pension Plans to which we contribute will have a material adverse effect on our business, financial condition or liquidity. However, liability for future withdrawals could have a material adverse effect on our results of operations or cash flows for a particular reporting period, depending on the number of employees withdrawn and the financial condition of the Multiemployer Pension Plan(s) at the time of such withdrawal(s).</w:t>
      </w:r>
    </w:p>
    <w:p>
      <w:pPr>
        <w:spacing w:after="0" w:line="181"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Tax Matters — </w:t>
      </w:r>
      <w:r>
        <w:rPr>
          <w:rFonts w:ascii="Times New Roman" w:cs="Times New Roman" w:eastAsia="Times New Roman" w:hAnsi="Times New Roman"/>
          <w:sz w:val="18"/>
          <w:szCs w:val="18"/>
          <w:color w:val="auto"/>
        </w:rPr>
        <w:t>We maintain a liability for uncertain tax positions, the balance of which management believes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adequate. Results of audit assessments by taxing authorities are not currently expected to have a material adverse effect on our financial condition, results of operations or cash flows. We participate in the IRS’s Compliance Assurance Process, which means we work with the IRS throughout the year towards resolving any material issues prior to the filing of our annual tax return. Any unresolved issues as of the tax return filing date are subject to routine examination procedures. In the fourth quarter of 2022, the Company received a notice of tax due for the 2017 tax year related to a remaining</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disagreement with the IRS. In response to the notice, the Company made a deposit of approximately $103 million with the IRS. In the fourth quarter of 2024, the Company filed a claim for refund of the entire amount deposited with the IRS. We expect to litigate any denial of the claim for refund. As of March 31, 2025 and December 31, 2024, the IRS deposit, net of reserve for uncertain tax positions, was classified as a component of other long-term assets in the Company’s Condensed Consolidated Balance Sheets.</w:t>
      </w:r>
    </w:p>
    <w:p>
      <w:pPr>
        <w:spacing w:after="0" w:line="179" w:lineRule="exact"/>
        <w:rPr>
          <w:sz w:val="20"/>
          <w:szCs w:val="20"/>
          <w:color w:val="auto"/>
        </w:rPr>
      </w:pPr>
    </w:p>
    <w:p>
      <w:pPr>
        <w:ind w:left="360" w:hanging="310"/>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and Related Information</w:t>
      </w:r>
    </w:p>
    <w:p>
      <w:pPr>
        <w:spacing w:after="0" w:line="216" w:lineRule="exact"/>
        <w:rPr>
          <w:sz w:val="20"/>
          <w:szCs w:val="20"/>
          <w:color w:val="auto"/>
        </w:rPr>
      </w:pPr>
    </w:p>
    <w:p>
      <w:pPr>
        <w:jc w:val="both"/>
        <w:ind w:left="60" w:right="59" w:firstLine="324"/>
        <w:spacing w:after="0" w:line="238" w:lineRule="auto"/>
        <w:rPr>
          <w:sz w:val="20"/>
          <w:szCs w:val="20"/>
          <w:color w:val="auto"/>
        </w:rPr>
      </w:pPr>
      <w:r>
        <w:rPr>
          <w:rFonts w:ascii="Times New Roman" w:cs="Times New Roman" w:eastAsia="Times New Roman" w:hAnsi="Times New Roman"/>
          <w:sz w:val="18"/>
          <w:szCs w:val="18"/>
          <w:color w:val="auto"/>
        </w:rPr>
        <w:t>Our senior management evaluates, oversees and manages the financial performance of our business through five reportable segments, referred to as (i) East Tier; (ii) West Tier; (iii) Recycling Processing and Sales; (iv) WM Renewable Energy and (v) WM Healthcare Solutions. Our East and West Tiers along with Other Ancillary services that are not managed through our Tier segments, but that support our collection and disposal operations, form our “Collection and Disposal” businesses. We also provide additional services not managed through our five reportable segments, which are presented as Corporate and Other.</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Summarized financial information concerning our reportable segments for the three months ended March 31 is shown in the following table (in millions):</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Net</w:t>
            </w:r>
          </w:p>
        </w:tc>
        <w:tc>
          <w:tcPr>
            <w:tcW w:w="8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Intercompany</w:t>
            </w:r>
          </w:p>
        </w:tc>
        <w:tc>
          <w:tcPr>
            <w:tcW w:w="80" w:type="dxa"/>
            <w:vAlign w:val="bottom"/>
          </w:tcPr>
          <w:p>
            <w:pPr>
              <w:spacing w:after="0"/>
              <w:rPr>
                <w:sz w:val="12"/>
                <w:szCs w:val="12"/>
                <w:color w:val="auto"/>
              </w:rPr>
            </w:pPr>
          </w:p>
        </w:tc>
        <w:tc>
          <w:tcPr>
            <w:tcW w:w="5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Selling,</w:t>
            </w:r>
          </w:p>
        </w:tc>
        <w:tc>
          <w:tcPr>
            <w:tcW w:w="100" w:type="dxa"/>
            <w:vAlign w:val="bottom"/>
          </w:tcPr>
          <w:p>
            <w:pPr>
              <w:spacing w:after="0"/>
              <w:rPr>
                <w:sz w:val="12"/>
                <w:szCs w:val="12"/>
                <w:color w:val="auto"/>
              </w:rPr>
            </w:pP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Depreciation,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40" w:type="dxa"/>
            <w:vAlign w:val="bottom"/>
          </w:tcPr>
          <w:p>
            <w:pPr>
              <w:spacing w:after="0"/>
              <w:rPr>
                <w:sz w:val="12"/>
                <w:szCs w:val="12"/>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600" w:type="dxa"/>
            <w:vAlign w:val="bottom"/>
            <w:gridSpan w:val="4"/>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80" w:type="dxa"/>
            <w:vAlign w:val="bottom"/>
          </w:tcPr>
          <w:p>
            <w:pPr>
              <w:spacing w:after="0"/>
              <w:rPr>
                <w:sz w:val="11"/>
                <w:szCs w:val="11"/>
                <w:color w:val="auto"/>
              </w:rPr>
            </w:pPr>
          </w:p>
        </w:tc>
        <w:tc>
          <w:tcPr>
            <w:tcW w:w="7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Operating</w:t>
            </w:r>
          </w:p>
        </w:tc>
        <w:tc>
          <w:tcPr>
            <w:tcW w:w="6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6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80" w:type="dxa"/>
            <w:vAlign w:val="bottom"/>
          </w:tcPr>
          <w:p>
            <w:pPr>
              <w:spacing w:after="0"/>
              <w:rPr>
                <w:sz w:val="11"/>
                <w:szCs w:val="11"/>
                <w:color w:val="auto"/>
              </w:rPr>
            </w:pPr>
          </w:p>
        </w:tc>
        <w:tc>
          <w:tcPr>
            <w:tcW w:w="82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General and</w:t>
            </w:r>
          </w:p>
        </w:tc>
        <w:tc>
          <w:tcPr>
            <w:tcW w:w="100" w:type="dxa"/>
            <w:vAlign w:val="bottom"/>
          </w:tcPr>
          <w:p>
            <w:pPr>
              <w:spacing w:after="0"/>
              <w:rPr>
                <w:sz w:val="11"/>
                <w:szCs w:val="11"/>
                <w:color w:val="auto"/>
              </w:rPr>
            </w:pPr>
          </w:p>
        </w:tc>
        <w:tc>
          <w:tcPr>
            <w:tcW w:w="6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Net</w:t>
            </w:r>
          </w:p>
        </w:tc>
        <w:tc>
          <w:tcPr>
            <w:tcW w:w="7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Depletion and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from</w:t>
            </w:r>
          </w:p>
        </w:tc>
        <w:tc>
          <w:tcPr>
            <w:tcW w:w="780" w:type="dxa"/>
            <w:vAlign w:val="bottom"/>
            <w:gridSpan w:val="3"/>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Expenditures</w:t>
            </w:r>
          </w:p>
        </w:tc>
        <w:tc>
          <w:tcPr>
            <w:tcW w:w="0" w:type="dxa"/>
            <w:vAlign w:val="bottom"/>
          </w:tcPr>
          <w:p>
            <w:pPr>
              <w:spacing w:after="0"/>
              <w:rPr>
                <w:sz w:val="1"/>
                <w:szCs w:val="1"/>
                <w:color w:val="auto"/>
              </w:rPr>
            </w:pPr>
          </w:p>
        </w:tc>
      </w:tr>
      <w:tr>
        <w:trPr>
          <w:trHeight w:val="155"/>
        </w:trPr>
        <w:tc>
          <w:tcPr>
            <w:tcW w:w="2200" w:type="dxa"/>
            <w:vAlign w:val="bottom"/>
          </w:tcPr>
          <w:p>
            <w:pPr>
              <w:spacing w:after="0"/>
              <w:rPr>
                <w:sz w:val="13"/>
                <w:szCs w:val="13"/>
                <w:color w:val="auto"/>
              </w:rPr>
            </w:pPr>
          </w:p>
        </w:tc>
        <w:tc>
          <w:tcPr>
            <w:tcW w:w="6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82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Revenues(a)</w:t>
            </w:r>
          </w:p>
        </w:tc>
        <w:tc>
          <w:tcPr>
            <w:tcW w:w="62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4"/>
              </w:rPr>
              <w:t>Revenues</w:t>
            </w:r>
          </w:p>
        </w:tc>
        <w:tc>
          <w:tcPr>
            <w:tcW w:w="6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Administrative</w:t>
            </w:r>
          </w:p>
        </w:tc>
        <w:tc>
          <w:tcPr>
            <w:tcW w:w="7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Expenses(f)</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Amortization</w:t>
            </w:r>
          </w:p>
        </w:tc>
        <w:tc>
          <w:tcPr>
            <w:tcW w:w="60" w:type="dxa"/>
            <w:vAlign w:val="bottom"/>
          </w:tcPr>
          <w:p>
            <w:pPr>
              <w:spacing w:after="0"/>
              <w:rPr>
                <w:sz w:val="13"/>
                <w:szCs w:val="13"/>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Operations(b)</w:t>
            </w:r>
          </w:p>
        </w:tc>
        <w:tc>
          <w:tcPr>
            <w:tcW w:w="140" w:type="dxa"/>
            <w:vAlign w:val="bottom"/>
          </w:tcPr>
          <w:p>
            <w:pPr>
              <w:spacing w:after="0"/>
              <w:rPr>
                <w:sz w:val="13"/>
                <w:szCs w:val="13"/>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(c)</w:t>
            </w:r>
          </w:p>
        </w:tc>
        <w:tc>
          <w:tcPr>
            <w:tcW w:w="0" w:type="dxa"/>
            <w:vAlign w:val="bottom"/>
          </w:tcPr>
          <w:p>
            <w:pPr>
              <w:spacing w:after="0"/>
              <w:rPr>
                <w:sz w:val="1"/>
                <w:szCs w:val="1"/>
                <w:color w:val="auto"/>
              </w:rPr>
            </w:pPr>
          </w:p>
        </w:tc>
      </w:tr>
      <w:tr>
        <w:trPr>
          <w:trHeight w:val="129"/>
        </w:trPr>
        <w:tc>
          <w:tcPr>
            <w:tcW w:w="22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Collection and Disposal:</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East Tier</w:t>
            </w:r>
          </w:p>
        </w:tc>
        <w:tc>
          <w:tcPr>
            <w:tcW w:w="1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2,140</w:t>
            </w:r>
          </w:p>
        </w:tc>
        <w:tc>
          <w:tcPr>
            <w:tcW w:w="6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558</w:t>
            </w:r>
          </w:p>
        </w:tc>
        <w:tc>
          <w:tcPr>
            <w:tcW w:w="6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2,698</w:t>
            </w:r>
          </w:p>
        </w:tc>
        <w:tc>
          <w:tcPr>
            <w:tcW w:w="6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1,696</w:t>
            </w:r>
          </w:p>
        </w:tc>
        <w:tc>
          <w:tcPr>
            <w:tcW w:w="60" w:type="dxa"/>
            <w:vAlign w:val="bottom"/>
          </w:tcPr>
          <w:p>
            <w:pPr>
              <w:spacing w:after="0"/>
              <w:rPr>
                <w:sz w:val="11"/>
                <w:szCs w:val="11"/>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90</w:t>
            </w:r>
          </w:p>
        </w:tc>
        <w:tc>
          <w:tcPr>
            <w:tcW w:w="6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251</w:t>
            </w:r>
          </w:p>
        </w:tc>
        <w:tc>
          <w:tcPr>
            <w:tcW w:w="18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661</w:t>
            </w:r>
          </w:p>
        </w:tc>
        <w:tc>
          <w:tcPr>
            <w:tcW w:w="6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West Tier</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2,082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2,588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1,613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86</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219</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670</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Other Ancillary</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752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718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200" w:type="dxa"/>
            <w:vAlign w:val="bottom"/>
            <w:tcBorders>
              <w:top w:val="single" w:sz="8" w:color="CCEEFF"/>
            </w:tcBorders>
            <w:shd w:val="clear" w:color="auto" w:fill="CCEEFF"/>
          </w:tcPr>
          <w:p>
            <w:pPr>
              <w:ind w:left="340"/>
              <w:spacing w:after="0" w:line="129" w:lineRule="exact"/>
              <w:rPr>
                <w:sz w:val="20"/>
                <w:szCs w:val="20"/>
                <w:color w:val="auto"/>
              </w:rPr>
            </w:pPr>
            <w:r>
              <w:rPr>
                <w:rFonts w:ascii="Times New Roman" w:cs="Times New Roman" w:eastAsia="Times New Roman" w:hAnsi="Times New Roman"/>
                <w:sz w:val="13"/>
                <w:szCs w:val="13"/>
                <w:color w:val="auto"/>
              </w:rPr>
              <w:t>Collection and Disposal(d)(e)</w:t>
            </w:r>
          </w:p>
        </w:tc>
        <w:tc>
          <w:tcPr>
            <w:tcW w:w="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4,922</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1,116</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6,038</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4,027</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206</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477</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1,328</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436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Recycling Processing and Sales(d)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WM Renewable Energy(e)</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WM Healthcare Solutions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156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Corporate and Other(e)</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(327)</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200" w:type="dxa"/>
            <w:vAlign w:val="bottom"/>
            <w:tcBorders>
              <w:bottom w:val="single" w:sz="8" w:color="CCEEFF"/>
            </w:tcBorders>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w:t>
            </w:r>
          </w:p>
        </w:tc>
        <w:tc>
          <w:tcPr>
            <w:tcW w:w="120" w:type="dxa"/>
            <w:vAlign w:val="bottom"/>
            <w:tcBorders>
              <w:top w:val="single" w:sz="8" w:color="auto"/>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6,018</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1,214</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7,232</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4,856</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692</w:t>
            </w: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w:t>
            </w:r>
          </w:p>
        </w:tc>
        <w:tc>
          <w:tcPr>
            <w:tcW w:w="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656</w:t>
            </w:r>
          </w:p>
        </w:tc>
        <w:tc>
          <w:tcPr>
            <w:tcW w:w="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1,013</w:t>
            </w:r>
          </w:p>
        </w:tc>
        <w:tc>
          <w:tcPr>
            <w:tcW w:w="6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Intercompany Elimination</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(1,214)</w:t>
            </w:r>
          </w:p>
        </w:tc>
        <w:tc>
          <w:tcPr>
            <w:tcW w:w="80" w:type="dxa"/>
            <w:vAlign w:val="bottom"/>
          </w:tcPr>
          <w:p>
            <w:pPr>
              <w:spacing w:after="0"/>
              <w:rPr>
                <w:sz w:val="11"/>
                <w:szCs w:val="11"/>
                <w:color w:val="auto"/>
              </w:rPr>
            </w:pPr>
          </w:p>
        </w:tc>
        <w:tc>
          <w:tcPr>
            <w:tcW w:w="5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(1,209)</w:t>
            </w:r>
          </w:p>
        </w:tc>
        <w:tc>
          <w:tcPr>
            <w:tcW w:w="80" w:type="dxa"/>
            <w:vAlign w:val="bottom"/>
          </w:tcPr>
          <w:p>
            <w:pPr>
              <w:spacing w:after="0"/>
              <w:rPr>
                <w:sz w:val="11"/>
                <w:szCs w:val="11"/>
                <w:color w:val="auto"/>
              </w:rPr>
            </w:pPr>
          </w:p>
        </w:tc>
        <w:tc>
          <w:tcPr>
            <w:tcW w:w="82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1"/>
                <w:szCs w:val="11"/>
                <w:color w:val="auto"/>
              </w:rPr>
            </w:pPr>
          </w:p>
        </w:tc>
        <w:tc>
          <w:tcPr>
            <w:tcW w:w="6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20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Net</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6,018</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3,647</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687</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656</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1,013</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Net</w:t>
            </w:r>
          </w:p>
        </w:tc>
        <w:tc>
          <w:tcPr>
            <w:tcW w:w="82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Intercompany</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Gross</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Selling,</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78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Depreciation,</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600" w:type="dxa"/>
            <w:vAlign w:val="bottom"/>
            <w:gridSpan w:val="4"/>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80" w:type="dxa"/>
            <w:vAlign w:val="bottom"/>
          </w:tcPr>
          <w:p>
            <w:pPr>
              <w:spacing w:after="0"/>
              <w:rPr>
                <w:sz w:val="11"/>
                <w:szCs w:val="11"/>
                <w:color w:val="auto"/>
              </w:rPr>
            </w:pPr>
          </w:p>
        </w:tc>
        <w:tc>
          <w:tcPr>
            <w:tcW w:w="7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Operating</w:t>
            </w:r>
          </w:p>
        </w:tc>
        <w:tc>
          <w:tcPr>
            <w:tcW w:w="6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6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80" w:type="dxa"/>
            <w:vAlign w:val="bottom"/>
          </w:tcPr>
          <w:p>
            <w:pPr>
              <w:spacing w:after="0"/>
              <w:rPr>
                <w:sz w:val="11"/>
                <w:szCs w:val="11"/>
                <w:color w:val="auto"/>
              </w:rPr>
            </w:pPr>
          </w:p>
        </w:tc>
        <w:tc>
          <w:tcPr>
            <w:tcW w:w="82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General and</w:t>
            </w:r>
          </w:p>
        </w:tc>
        <w:tc>
          <w:tcPr>
            <w:tcW w:w="100" w:type="dxa"/>
            <w:vAlign w:val="bottom"/>
          </w:tcPr>
          <w:p>
            <w:pPr>
              <w:spacing w:after="0"/>
              <w:rPr>
                <w:sz w:val="11"/>
                <w:szCs w:val="11"/>
                <w:color w:val="auto"/>
              </w:rPr>
            </w:pPr>
          </w:p>
        </w:tc>
        <w:tc>
          <w:tcPr>
            <w:tcW w:w="6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Net</w:t>
            </w:r>
          </w:p>
        </w:tc>
        <w:tc>
          <w:tcPr>
            <w:tcW w:w="7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Depletion and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from</w:t>
            </w:r>
          </w:p>
        </w:tc>
        <w:tc>
          <w:tcPr>
            <w:tcW w:w="7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Expenditures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shd w:val="clear" w:color="auto" w:fill="CCEEFF"/>
          </w:tcPr>
          <w:p>
            <w:pPr>
              <w:spacing w:after="0"/>
              <w:rPr>
                <w:sz w:val="11"/>
                <w:szCs w:val="11"/>
                <w:color w:val="auto"/>
              </w:rPr>
            </w:pPr>
          </w:p>
        </w:tc>
        <w:tc>
          <w:tcPr>
            <w:tcW w:w="600" w:type="dxa"/>
            <w:vAlign w:val="bottom"/>
            <w:gridSpan w:val="4"/>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Revenues</w:t>
            </w:r>
          </w:p>
        </w:tc>
        <w:tc>
          <w:tcPr>
            <w:tcW w:w="820" w:type="dxa"/>
            <w:vAlign w:val="bottom"/>
            <w:gridSpan w:val="3"/>
            <w:shd w:val="clear" w:color="auto" w:fill="CCEEFF"/>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Revenues(a)</w:t>
            </w:r>
          </w:p>
        </w:tc>
        <w:tc>
          <w:tcPr>
            <w:tcW w:w="620" w:type="dxa"/>
            <w:vAlign w:val="bottom"/>
            <w:gridSpan w:val="3"/>
            <w:shd w:val="clear" w:color="auto" w:fill="CCEEFF"/>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Revenues</w:t>
            </w:r>
          </w:p>
        </w:tc>
        <w:tc>
          <w:tcPr>
            <w:tcW w:w="620" w:type="dxa"/>
            <w:vAlign w:val="bottom"/>
            <w:gridSpan w:val="3"/>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Expenses</w:t>
            </w:r>
          </w:p>
        </w:tc>
        <w:tc>
          <w:tcPr>
            <w:tcW w:w="900" w:type="dxa"/>
            <w:vAlign w:val="bottom"/>
            <w:gridSpan w:val="4"/>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Administrative</w:t>
            </w:r>
          </w:p>
        </w:tc>
        <w:tc>
          <w:tcPr>
            <w:tcW w:w="70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Expenses(f)</w:t>
            </w:r>
          </w:p>
        </w:tc>
        <w:tc>
          <w:tcPr>
            <w:tcW w:w="7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Amortization</w:t>
            </w:r>
          </w:p>
        </w:tc>
        <w:tc>
          <w:tcPr>
            <w:tcW w:w="60" w:type="dxa"/>
            <w:vAlign w:val="bottom"/>
            <w:shd w:val="clear" w:color="auto" w:fill="CCEEFF"/>
          </w:tcPr>
          <w:p>
            <w:pPr>
              <w:spacing w:after="0"/>
              <w:rPr>
                <w:sz w:val="11"/>
                <w:szCs w:val="11"/>
                <w:color w:val="auto"/>
              </w:rPr>
            </w:pPr>
          </w:p>
        </w:tc>
        <w:tc>
          <w:tcPr>
            <w:tcW w:w="840" w:type="dxa"/>
            <w:vAlign w:val="bottom"/>
            <w:gridSpan w:val="3"/>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Operations(b)</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2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Collection and Disposal:</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East Tier</w:t>
            </w:r>
          </w:p>
        </w:tc>
        <w:tc>
          <w:tcPr>
            <w:tcW w:w="1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2,081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527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2,608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1,624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241</w:t>
            </w:r>
          </w:p>
        </w:tc>
        <w:tc>
          <w:tcPr>
            <w:tcW w:w="180" w:type="dxa"/>
            <w:vAlign w:val="bottom"/>
            <w:gridSpan w:val="2"/>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654</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West Tier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1,993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2,480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1,558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627</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Other Ancillary</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642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686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656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200" w:type="dxa"/>
            <w:vAlign w:val="bottom"/>
          </w:tcPr>
          <w:p>
            <w:pPr>
              <w:ind w:left="340"/>
              <w:spacing w:after="0" w:line="129" w:lineRule="exact"/>
              <w:rPr>
                <w:sz w:val="20"/>
                <w:szCs w:val="20"/>
                <w:color w:val="auto"/>
              </w:rPr>
            </w:pPr>
            <w:r>
              <w:rPr>
                <w:rFonts w:ascii="Times New Roman" w:cs="Times New Roman" w:eastAsia="Times New Roman" w:hAnsi="Times New Roman"/>
                <w:sz w:val="13"/>
                <w:szCs w:val="13"/>
                <w:color w:val="auto"/>
              </w:rPr>
              <w:t>Collection and Disposal(d)(e)</w:t>
            </w: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4,716</w:t>
            </w: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1,058</w:t>
            </w: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5,774</w:t>
            </w: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3,838</w:t>
            </w: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209</w:t>
            </w: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450</w:t>
            </w: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1,279</w:t>
            </w: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389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Recycling Processing and Sales(d)</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WM Renewable Energy(e)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Corporate and Other(e)</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(303)</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200" w:type="dxa"/>
            <w:vAlign w:val="bottom"/>
            <w:tcBorders>
              <w:bottom w:val="single" w:sz="8" w:color="CCEEFF"/>
            </w:tcBorders>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w:t>
            </w:r>
          </w:p>
        </w:tc>
        <w:tc>
          <w:tcPr>
            <w:tcW w:w="120" w:type="dxa"/>
            <w:vAlign w:val="bottom"/>
            <w:tcBorders>
              <w:top w:val="single" w:sz="8" w:color="auto"/>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5,159</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1,132</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6,291</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4,267</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496</w:t>
            </w: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514</w:t>
            </w:r>
          </w:p>
        </w:tc>
        <w:tc>
          <w:tcPr>
            <w:tcW w:w="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1,016</w:t>
            </w:r>
          </w:p>
        </w:tc>
        <w:tc>
          <w:tcPr>
            <w:tcW w:w="6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Intercompany Elimination</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(1,132)</w:t>
            </w:r>
          </w:p>
        </w:tc>
        <w:tc>
          <w:tcPr>
            <w:tcW w:w="80" w:type="dxa"/>
            <w:vAlign w:val="bottom"/>
          </w:tcPr>
          <w:p>
            <w:pPr>
              <w:spacing w:after="0"/>
              <w:rPr>
                <w:sz w:val="11"/>
                <w:szCs w:val="11"/>
                <w:color w:val="auto"/>
              </w:rPr>
            </w:pPr>
          </w:p>
        </w:tc>
        <w:tc>
          <w:tcPr>
            <w:tcW w:w="5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(1,127)</w:t>
            </w:r>
          </w:p>
        </w:tc>
        <w:tc>
          <w:tcPr>
            <w:tcW w:w="80" w:type="dxa"/>
            <w:vAlign w:val="bottom"/>
          </w:tcPr>
          <w:p>
            <w:pPr>
              <w:spacing w:after="0"/>
              <w:rPr>
                <w:sz w:val="11"/>
                <w:szCs w:val="11"/>
                <w:color w:val="auto"/>
              </w:rPr>
            </w:pPr>
          </w:p>
        </w:tc>
        <w:tc>
          <w:tcPr>
            <w:tcW w:w="82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1"/>
                <w:szCs w:val="11"/>
                <w:color w:val="auto"/>
              </w:rPr>
            </w:pPr>
          </w:p>
        </w:tc>
        <w:tc>
          <w:tcPr>
            <w:tcW w:w="6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20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Net</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5,159</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3,140</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491</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514</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1,016</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380" w:right="79" w:hanging="330"/>
        <w:spacing w:after="0" w:line="266"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67"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those items included in the determination of income from operations, the accounting policies of the segments are the same as those described in Note 1.</w:t>
      </w:r>
    </w:p>
    <w:p>
      <w:pPr>
        <w:spacing w:after="0" w:line="53"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non-cash items. Capital expenditures are reported in our reportable segments at the time they are recorded within the segments’ property and equipment balances and, therefore, include timing differences for amounts accrued but not yet paid.</w:t>
      </w:r>
    </w:p>
    <w:p>
      <w:pPr>
        <w:spacing w:after="0" w:line="67"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fees related to the processing of recyclable material we collect are included within our Collection and Disposal businesses. The amounts in income from operations for the three months ended March 31, 2025 and 2024 are $20 million and $22 million, respectively.</w:t>
      </w:r>
    </w:p>
    <w:p>
      <w:pPr>
        <w:spacing w:after="0" w:line="67" w:lineRule="exact"/>
        <w:rPr>
          <w:rFonts w:ascii="Times New Roman" w:cs="Times New Roman" w:eastAsia="Times New Roman" w:hAnsi="Times New Roman"/>
          <w:sz w:val="18"/>
          <w:szCs w:val="18"/>
          <w:color w:val="auto"/>
        </w:rPr>
      </w:pPr>
    </w:p>
    <w:p>
      <w:pPr>
        <w:jc w:val="both"/>
        <w:ind w:left="380" w:right="79" w:hanging="330"/>
        <w:spacing w:after="0" w:line="256"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Renewable Energy pays a 15% intercompany royalty to our Collection and Disposal and Corporate and Other businesses for landfill gas. The total amount of royalties in gross and intercompany operating revenues for the East Tier, West Tier, and Corporate and Other and in operating expenses for WM Renewable Energy for the three months ended March 31, 2025 and 2024 are $14 million and $10 million, respectively. Prior to the fourth quarter of 2024, amounts related to intercompany royalty payments were adjusted through income from operations. Prior periods have been recast to conform to current year presentation.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ind w:left="380" w:right="79" w:hanging="330"/>
        <w:spacing w:after="0" w:line="282"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net expenses include restructuring expenses, (gain) loss from divestitures, and asset impairments and unusual items, net.</w:t>
      </w:r>
    </w:p>
    <w:p>
      <w:pPr>
        <w:spacing w:after="0" w:line="53"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by reportable segment are presented in the table below as follows (in millions):</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340" w:type="dxa"/>
            <w:vAlign w:val="bottom"/>
            <w:tcBorders>
              <w:bottom w:val="single" w:sz="8" w:color="CCEEFF"/>
            </w:tcBorders>
          </w:tcPr>
          <w:p>
            <w:pPr>
              <w:spacing w:after="0"/>
              <w:rPr>
                <w:sz w:val="15"/>
                <w:szCs w:val="15"/>
                <w:color w:val="auto"/>
              </w:rPr>
            </w:pPr>
          </w:p>
        </w:tc>
        <w:tc>
          <w:tcPr>
            <w:tcW w:w="17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 and Disposal:</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East Tier</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15,242</w:t>
            </w:r>
          </w:p>
        </w:tc>
        <w:tc>
          <w:tcPr>
            <w:tcW w:w="760" w:type="dxa"/>
            <w:vAlign w:val="bottom"/>
          </w:tcPr>
          <w:p>
            <w:pPr>
              <w:spacing w:after="0"/>
              <w:rPr>
                <w:sz w:val="18"/>
                <w:szCs w:val="18"/>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West Tier</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11,780</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Ancillary</w:t>
            </w:r>
          </w:p>
        </w:tc>
        <w:tc>
          <w:tcPr>
            <w:tcW w:w="17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7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Collection and Disposal</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27,812</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 Renewable Energy</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WM Healthcare Solutions</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9,260</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 of intercompany investments and advances</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(869)</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 per Condensed Consolidated Balance Sheet</w:t>
            </w:r>
          </w:p>
        </w:tc>
        <w:tc>
          <w:tcPr>
            <w:tcW w:w="17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44,486</w:t>
            </w: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780" w:type="dxa"/>
            <w:vAlign w:val="bottom"/>
            <w:vMerge w:val="restart"/>
          </w:tcPr>
          <w:p>
            <w:pPr>
              <w:jc w:val="right"/>
              <w:ind w:right="147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34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3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57" w:right="1440"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The mix of operating revenues from our major lines of business for the three months ended March 31 are as follows (in millions):</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w:t>
            </w:r>
          </w:p>
        </w:tc>
        <w:tc>
          <w:tcPr>
            <w:tcW w:w="11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120" w:type="dxa"/>
            <w:vAlign w:val="bottom"/>
          </w:tcPr>
          <w:p>
            <w:pPr>
              <w:spacing w:after="0"/>
              <w:rPr>
                <w:sz w:val="13"/>
                <w:szCs w:val="13"/>
                <w:color w:val="auto"/>
              </w:rPr>
            </w:pPr>
          </w:p>
        </w:tc>
        <w:tc>
          <w:tcPr>
            <w:tcW w:w="78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Gross</w:t>
            </w:r>
          </w:p>
        </w:tc>
      </w:tr>
      <w:tr>
        <w:trPr>
          <w:trHeight w:val="149"/>
        </w:trPr>
        <w:tc>
          <w:tcPr>
            <w:tcW w:w="22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20" w:type="dxa"/>
            <w:vAlign w:val="bottom"/>
          </w:tcPr>
          <w:p>
            <w:pPr>
              <w:spacing w:after="0"/>
              <w:rPr>
                <w:sz w:val="12"/>
                <w:szCs w:val="12"/>
                <w:color w:val="auto"/>
              </w:rPr>
            </w:pPr>
          </w:p>
        </w:tc>
        <w:tc>
          <w:tcPr>
            <w:tcW w:w="78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r>
      <w:tr>
        <w:trPr>
          <w:trHeight w:val="173"/>
        </w:trPr>
        <w:tc>
          <w:tcPr>
            <w:tcW w:w="224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Revenues (a)(b)</w:t>
            </w:r>
          </w:p>
        </w:tc>
        <w:tc>
          <w:tcPr>
            <w:tcW w:w="120" w:type="dxa"/>
            <w:vAlign w:val="bottom"/>
          </w:tcPr>
          <w:p>
            <w:pPr>
              <w:spacing w:after="0"/>
              <w:rPr>
                <w:sz w:val="15"/>
                <w:szCs w:val="15"/>
                <w:color w:val="auto"/>
              </w:rPr>
            </w:pPr>
          </w:p>
        </w:tc>
        <w:tc>
          <w:tcPr>
            <w:tcW w:w="78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Revenues</w:t>
            </w:r>
          </w:p>
        </w:tc>
      </w:tr>
      <w:tr>
        <w:trPr>
          <w:trHeight w:val="196"/>
        </w:trPr>
        <w:tc>
          <w:tcPr>
            <w:tcW w:w="22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r>
      <w:tr>
        <w:trPr>
          <w:trHeight w:val="216"/>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16"/>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r>
      <w:tr>
        <w:trPr>
          <w:trHeight w:val="216"/>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collection</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09"/>
        </w:trPr>
        <w:tc>
          <w:tcPr>
            <w:tcW w:w="5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collection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w:t>
            </w:r>
          </w:p>
        </w:tc>
      </w:tr>
      <w:tr>
        <w:trPr>
          <w:trHeight w:val="216"/>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r>
      <w:tr>
        <w:trPr>
          <w:trHeight w:val="216"/>
        </w:trPr>
        <w:tc>
          <w:tcPr>
            <w:tcW w:w="5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09"/>
        </w:trPr>
        <w:tc>
          <w:tcPr>
            <w:tcW w:w="5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6,038</w:t>
            </w:r>
          </w:p>
        </w:tc>
      </w:tr>
      <w:tr>
        <w:trPr>
          <w:trHeight w:val="216"/>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16"/>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 Renewable Energy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WM Healthcare Solutions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r>
      <w:tr>
        <w:trPr>
          <w:trHeight w:val="216"/>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9"/>
        </w:trPr>
        <w:tc>
          <w:tcPr>
            <w:tcW w:w="58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7,232</w:t>
            </w:r>
          </w:p>
        </w:tc>
      </w:tr>
      <w:tr>
        <w:trPr>
          <w:trHeight w:val="197"/>
        </w:trPr>
        <w:tc>
          <w:tcPr>
            <w:tcW w:w="2240" w:type="dxa"/>
            <w:vAlign w:val="bottom"/>
            <w:shd w:val="clear" w:color="auto" w:fill="CCEEFF"/>
          </w:tcPr>
          <w:p>
            <w:pPr>
              <w:spacing w:after="0"/>
              <w:rPr>
                <w:sz w:val="17"/>
                <w:szCs w:val="17"/>
                <w:color w:val="auto"/>
              </w:rPr>
            </w:pPr>
          </w:p>
        </w:tc>
        <w:tc>
          <w:tcPr>
            <w:tcW w:w="3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6"/>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r>
      <w:tr>
        <w:trPr>
          <w:trHeight w:val="216"/>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r>
      <w:tr>
        <w:trPr>
          <w:trHeight w:val="216"/>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r>
      <w:tr>
        <w:trPr>
          <w:trHeight w:val="216"/>
        </w:trPr>
        <w:tc>
          <w:tcPr>
            <w:tcW w:w="5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collection</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10"/>
        </w:trPr>
        <w:tc>
          <w:tcPr>
            <w:tcW w:w="5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collection</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w:t>
            </w:r>
          </w:p>
        </w:tc>
      </w:tr>
      <w:tr>
        <w:trPr>
          <w:trHeight w:val="216"/>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r>
      <w:tr>
        <w:trPr>
          <w:trHeight w:val="216"/>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10"/>
        </w:trPr>
        <w:tc>
          <w:tcPr>
            <w:tcW w:w="5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5,774</w:t>
            </w:r>
          </w:p>
        </w:tc>
      </w:tr>
      <w:tr>
        <w:trPr>
          <w:trHeight w:val="216"/>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16"/>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WM Renewable Energy</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50"/>
        </w:trPr>
        <w:tc>
          <w:tcPr>
            <w:tcW w:w="58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6,291</w:t>
            </w:r>
          </w:p>
        </w:tc>
      </w:tr>
      <w:tr>
        <w:trPr>
          <w:trHeight w:val="129"/>
        </w:trPr>
        <w:tc>
          <w:tcPr>
            <w:tcW w:w="2240" w:type="dxa"/>
            <w:vAlign w:val="bottom"/>
            <w:shd w:val="clear" w:color="auto" w:fill="CCEEFF"/>
          </w:tcPr>
          <w:p>
            <w:pPr>
              <w:spacing w:after="0"/>
              <w:rPr>
                <w:sz w:val="11"/>
                <w:szCs w:val="11"/>
                <w:color w:val="auto"/>
              </w:rPr>
            </w:pPr>
          </w:p>
        </w:tc>
        <w:tc>
          <w:tcPr>
            <w:tcW w:w="3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3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r>
    </w:tbl>
    <w:p>
      <w:pPr>
        <w:spacing w:after="0" w:line="76" w:lineRule="exact"/>
        <w:rPr>
          <w:sz w:val="20"/>
          <w:szCs w:val="20"/>
          <w:color w:val="auto"/>
        </w:rPr>
      </w:pPr>
    </w:p>
    <w:p>
      <w:pPr>
        <w:jc w:val="both"/>
        <w:ind w:left="380" w:right="79" w:hanging="330"/>
        <w:spacing w:after="0" w:line="266"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67" w:lineRule="exact"/>
        <w:rPr>
          <w:rFonts w:ascii="Times New Roman" w:cs="Times New Roman" w:eastAsia="Times New Roman" w:hAnsi="Times New Roman"/>
          <w:sz w:val="18"/>
          <w:szCs w:val="18"/>
          <w:color w:val="auto"/>
        </w:rPr>
      </w:pPr>
    </w:p>
    <w:p>
      <w:pPr>
        <w:jc w:val="both"/>
        <w:ind w:left="380" w:right="79" w:hanging="330"/>
        <w:spacing w:after="0" w:line="261"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with the 2024 Form 10-K, the Company adjusted gross and intercompany operating revenues to reflect the 15% royalty paid by WM Renewable Energy to our Collection and Disposal and Corporate and Other businesses for the purchase of landfill gas. There was no change to net operating revenues. Prior periods have been recast to conform to current presentation.</w:t>
      </w:r>
    </w:p>
    <w:p>
      <w:pPr>
        <w:spacing w:after="0" w:line="7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financial and operating results may fluctuate for many reasons, including period-to-period changes in the relative contribution of revenue by each line of business, changes in commodity prices and general economic conditions. Our operating revenues and volumes typically experience seasonal increases in the summer months that are reflected in second and third quarter revenues and results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Service or operational disruptions caused by severe storms, extended periods of inclement weather or climate events can significantly affect the operating results of the geographic areas affected. Extreme weather events may also lead to supply chain disruption and delayed project development, or disruption of our customers’ businesses, reducing the amount of waste generated by their operations.</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Conversely,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 While weather-related and other event-driven special projects can boost revenues through additional work for a limited time, due to significant start-up costs and other factors, such revenue can generate earnings at comparatively lower margins.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Acquisitions and Divestitures</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Stericycle Acquisition</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June 3, 2024, we entered into an Agreement and Plan of Merger (the “Merger Agreement”) to acquire all outstanding shares of Stericycle for $62.00 per share in cash, representing a total enterprise value of approximately $7.2 billion (net of cash acquired) when including the assumption of $0.5 billion of debt and the repayment of approximately $0.8 billion of net debt. The acquisition expands our offerings in the U.S., Canada and parts of Western Europe by providing regulated waste and compliance services and secure information destruction services that protect people and brands, promote health and well-being and safeguard the environment. The transaction closed on November 4, 2024 and was funded using borrowings under a term credit agreement, commercial paper program and available cash on hand. Shortly thereafter, we repaid all outstanding borrowings under the term credit agreement with net proceeds from our November 2024 issuance of $5.2 billion of senior notes.</w:t>
      </w:r>
    </w:p>
    <w:p>
      <w:pPr>
        <w:spacing w:after="0" w:line="8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have not been retroactively restated to include Stericycle’s historical financial position or results of operations. The acquisition is accounted for as a business combination. In accordance with the purchase method of accounting, the purchase price paid has been allocated to the assets and liabilities acquired based upon their estimated fair values as of the acquisition date, with the excess of the purchase price over the net assets acquired recorded as goodwill. We are in the process of valuing all of the assets and liabilities acquired in the acquisition and until we have completed our valuation process, there may be adjustments to our estimates of fair value and resulting preliminary purchase price allocation.</w:t>
      </w:r>
    </w:p>
    <w:p>
      <w:pPr>
        <w:spacing w:after="0" w:line="81"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estimates and assumptions are subject to change during the measurement period, not to exceed one year from the acquisition date. The areas of acquisition accounting that are not yet finalized primarily relate to (i) finalizing the review and valuation of trade names, permits, customer relationships and certain property plant and equipment and other intangibles (including the models, key assumptions, estimates and inputs used) and assignment of remaining useful lives associated with the depreciable and amortizable assets and (ii) finalizing the review and valuation of accounts receivable, accrued expenses, contingent liabilities, deferred taxes and goodwill (including key assumptions, inputs and estimates).</w:t>
      </w:r>
    </w:p>
    <w:p>
      <w:pPr>
        <w:spacing w:after="0" w:line="7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Goodwill of $3.7 billion was calculated as the excess of the consideration paid over the net assets recognized and represents the future economic benefits expected to arise from other assets acquired that could not be individually identified and separately recognized and from synergies of the combination. During the first quarter of 2025, we finalized the determination of our reporting units related to the Stericycle acquisition and allocated the goodwill balance to two reporting units within our WM Healthcare Solutions segment using a relative fair value allocation method. Substantially all of the goodwill is not deductible for income tax purposes.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shows the preliminary purchase price allocation as of the date acquired and adjustments to</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2025 (in millions):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November 4, 2024</w:t>
            </w:r>
          </w:p>
        </w:tc>
        <w:tc>
          <w:tcPr>
            <w:tcW w:w="8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10"/>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1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Parts and supplies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held for sale (a)</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1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r>
      <w:tr>
        <w:trPr>
          <w:trHeight w:val="216"/>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w:t>
            </w:r>
          </w:p>
        </w:tc>
      </w:tr>
      <w:tr>
        <w:trPr>
          <w:trHeight w:val="21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16"/>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16"/>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revenues</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held for sale (a)</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(510)</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16"/>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(884)</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r>
      <w:tr>
        <w:trPr>
          <w:trHeight w:val="21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(542)</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09"/>
        </w:trPr>
        <w:tc>
          <w:tcPr>
            <w:tcW w:w="5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purchase price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6,907</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6,903</w:t>
            </w: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Represents Stericycle’s Spain and Portugal subsidiaries. See “Divestitures” below for additional information.</w:t>
      </w:r>
    </w:p>
    <w:p>
      <w:pPr>
        <w:spacing w:after="0" w:line="131"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preliminary allocation of $3,468 million for other intangible assets includes $2,279 million for customer relationships with a weighted average amortization period of 15 years, $610 million for indefinite lived trade names, $319 million for indefinite lived permits, $114 million for finite lived trade names with a weighted average amortization period of 2.9 years, $141 million for ERP software with a weighted average amortization period of 4.7 years and $5 million for developed technology with an amortization period of 17 years.</w:t>
      </w:r>
    </w:p>
    <w:p>
      <w:pPr>
        <w:spacing w:after="0" w:line="1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Divestitures</w:t>
      </w:r>
    </w:p>
    <w:p>
      <w:pPr>
        <w:spacing w:after="0" w:line="229" w:lineRule="exact"/>
        <w:rPr>
          <w:sz w:val="20"/>
          <w:szCs w:val="20"/>
          <w:color w:val="auto"/>
        </w:rPr>
      </w:pPr>
    </w:p>
    <w:p>
      <w:pPr>
        <w:jc w:val="both"/>
        <w:ind w:left="60" w:right="59" w:firstLine="162"/>
        <w:spacing w:after="0" w:line="266" w:lineRule="auto"/>
        <w:rPr>
          <w:sz w:val="20"/>
          <w:szCs w:val="20"/>
          <w:color w:val="auto"/>
        </w:rPr>
      </w:pPr>
      <w:r>
        <w:rPr>
          <w:rFonts w:ascii="Times New Roman" w:cs="Times New Roman" w:eastAsia="Times New Roman" w:hAnsi="Times New Roman"/>
          <w:sz w:val="18"/>
          <w:szCs w:val="18"/>
          <w:color w:val="auto"/>
        </w:rPr>
        <w:t>On January 2, 2025, we completed the sale of our WM Healthcare Solutions’ Spain and Portugal subsidiaries. As the fair value of consideration transferred was equal to the carrying value of the divested subsidiaries, no gain or loss was recognized.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Accumulated Other Comprehensive Income (Loss)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changes in the balances of each component of accumulated other comprehensive income (loss), net of tax, which is included as a component of Waste Management, Inc. stockholders’ equity, are as follows (in millions, with amounts in parentheses representing decreases to accumulated other comprehensive income):</w:t>
      </w:r>
    </w:p>
    <w:p>
      <w:pPr>
        <w:sectPr>
          <w:pgSz w:w="11900" w:h="16838" w:orient="portrait"/>
          <w:cols w:equalWidth="0" w:num="1">
            <w:col w:w="9019"/>
          </w:cols>
          <w:pgMar w:left="144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Balance,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4896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7" w:lineRule="exact"/>
        <w:rPr>
          <w:sz w:val="20"/>
          <w:szCs w:val="20"/>
          <w:color w:val="auto"/>
        </w:rPr>
      </w:pPr>
    </w:p>
    <w:p>
      <w:pPr>
        <w:ind w:left="260"/>
        <w:spacing w:after="0" w:line="256" w:lineRule="auto"/>
        <w:rPr>
          <w:sz w:val="20"/>
          <w:szCs w:val="20"/>
          <w:color w:val="auto"/>
        </w:rPr>
      </w:pPr>
      <w:r>
        <w:rPr>
          <w:rFonts w:ascii="Times New Roman" w:cs="Times New Roman" w:eastAsia="Times New Roman" w:hAnsi="Times New Roman"/>
          <w:sz w:val="18"/>
          <w:szCs w:val="18"/>
          <w:color w:val="auto"/>
        </w:rPr>
        <w:t>Other comprehensive income (loss) before reclassifications, net of tax expense (benefit) of $4, $1, $0 and $0, respectively Amounts reclassified from accumulated other comprehensive (income) loss, net of tax (expense) benefit of $(1), $0, $0 and $0,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-417195</wp:posOffset>
            </wp:positionV>
            <wp:extent cx="5648960" cy="411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48960" cy="411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w:t>
            </w:r>
          </w:p>
        </w:tc>
        <w:tc>
          <w:tcPr>
            <w:tcW w:w="10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20" w:type="dxa"/>
            <w:vAlign w:val="bottom"/>
          </w:tcPr>
          <w:p>
            <w:pPr>
              <w:spacing w:after="0"/>
              <w:rPr>
                <w:sz w:val="13"/>
                <w:szCs w:val="13"/>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Post-</w:t>
            </w: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7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8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00" w:type="dxa"/>
            <w:vAlign w:val="bottom"/>
            <w:gridSpan w:val="3"/>
            <w:vMerge w:val="continue"/>
          </w:tcPr>
          <w:p>
            <w:pPr>
              <w:spacing w:after="0"/>
              <w:rPr>
                <w:sz w:val="12"/>
                <w:szCs w:val="12"/>
                <w:color w:val="auto"/>
              </w:rPr>
            </w:pPr>
          </w:p>
        </w:tc>
        <w:tc>
          <w:tcPr>
            <w:tcW w:w="78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for-Sale</w:t>
            </w:r>
          </w:p>
        </w:tc>
        <w:tc>
          <w:tcPr>
            <w:tcW w:w="9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9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0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4"/>
                <w:szCs w:val="24"/>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11" w:lineRule="exact"/>
        <w:rPr>
          <w:sz w:val="20"/>
          <w:szCs w:val="20"/>
          <w:color w:val="auto"/>
        </w:rPr>
      </w:pPr>
    </w:p>
    <w:p>
      <w:pPr>
        <w:sectPr>
          <w:pgSz w:w="11900" w:h="16838" w:orient="portrait"/>
          <w:cols w:equalWidth="0" w:num="2">
            <w:col w:w="4680" w:space="200"/>
            <w:col w:w="4139"/>
          </w:cols>
          <w:pgMar w:left="1440" w:top="657" w:right="1440" w:bottom="1440" w:gutter="0" w:footer="0" w:header="0"/>
          <w:type w:val="continuous"/>
        </w:sectPr>
      </w:pPr>
    </w:p>
    <w:tbl>
      <w:tblPr>
        <w:tblLayout w:type="fixed"/>
        <w:tblInd w:w="40" w:type="dxa"/>
        <w:tblCellMar>
          <w:top w:w="0" w:type="dxa"/>
          <w:left w:w="0" w:type="dxa"/>
          <w:bottom w:w="0" w:type="dxa"/>
          <w:right w:w="0" w:type="dxa"/>
        </w:tblCellMar>
      </w:tblPr>
      <w:tr>
        <w:trPr>
          <w:trHeight w:val="199"/>
        </w:trPr>
        <w:tc>
          <w:tcPr>
            <w:tcW w:w="4840" w:type="dxa"/>
            <w:vAlign w:val="bottom"/>
            <w:tcBorders>
              <w:bottom w:val="single" w:sz="8" w:color="CCEEFF"/>
            </w:tcBorders>
          </w:tcPr>
          <w:p>
            <w:pPr>
              <w:ind w:left="20"/>
              <w:spacing w:after="0" w:line="199" w:lineRule="exact"/>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30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28</w:t>
            </w:r>
          </w:p>
        </w:tc>
      </w:tr>
      <w:tr>
        <w:trPr>
          <w:trHeight w:val="210"/>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2025</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(87)</w:t>
            </w:r>
          </w:p>
        </w:tc>
      </w:tr>
      <w:tr>
        <w:trPr>
          <w:trHeight w:val="20"/>
        </w:trPr>
        <w:tc>
          <w:tcPr>
            <w:tcW w:w="4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 Common Stock Repurchase Program</w:t>
      </w:r>
    </w:p>
    <w:p>
      <w:pPr>
        <w:spacing w:after="0" w:line="225"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Company repurchases shares of its common stock as part of capital allocation programs authorized by our Board of Directors.</w:t>
      </w:r>
    </w:p>
    <w:p>
      <w:pPr>
        <w:spacing w:after="0" w:line="16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There were no common stock repurchases during the first quarter of 2025. As a result of the Stericycle acquisition, the Company has temporarily suspended share repurchases. We expect to resume share repurchase once the Company’s leverage returns to targeted levels.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Fair Value Measurements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Accounted for at Fair Value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assets and liabilities that are measured at fair value on a recurring basis include the following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2800" w:type="dxa"/>
            <w:vAlign w:val="bottom"/>
            <w:tcBorders>
              <w:bottom w:val="single" w:sz="8" w:color="CCEEFF"/>
            </w:tcBorders>
          </w:tcPr>
          <w:p>
            <w:pPr>
              <w:spacing w:after="0"/>
              <w:rPr>
                <w:sz w:val="15"/>
                <w:szCs w:val="15"/>
                <w:color w:val="auto"/>
              </w:rPr>
            </w:pPr>
          </w:p>
        </w:tc>
        <w:tc>
          <w:tcPr>
            <w:tcW w:w="17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20" w:type="dxa"/>
            <w:vAlign w:val="bottom"/>
          </w:tcPr>
          <w:p>
            <w:pPr>
              <w:spacing w:after="0"/>
              <w:rPr>
                <w:sz w:val="17"/>
                <w:szCs w:val="17"/>
                <w:color w:val="auto"/>
              </w:rPr>
            </w:pPr>
          </w:p>
        </w:tc>
        <w:tc>
          <w:tcPr>
            <w:tcW w:w="50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Quoted prices in active markets (Level 1):</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Cash equivalents and money market funds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Pr>
          <w:p>
            <w:pPr>
              <w:spacing w:after="0"/>
              <w:rPr>
                <w:sz w:val="18"/>
                <w:szCs w:val="18"/>
                <w:color w:val="auto"/>
              </w:rPr>
            </w:pPr>
          </w:p>
        </w:tc>
        <w:tc>
          <w:tcPr>
            <w:tcW w:w="200" w:type="dxa"/>
            <w:vAlign w:val="bottom"/>
            <w:gridSpan w:val="2"/>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 securities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Significant other observable inputs (Level 2):</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Available-for-sale securities (a)</w:t>
            </w:r>
          </w:p>
        </w:tc>
        <w:tc>
          <w:tcPr>
            <w:tcW w:w="1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10"/>
        </w:trPr>
        <w:tc>
          <w:tcPr>
            <w:tcW w:w="20" w:type="dxa"/>
            <w:vAlign w:val="bottom"/>
          </w:tcPr>
          <w:p>
            <w:pPr>
              <w:spacing w:after="0"/>
              <w:rPr>
                <w:sz w:val="18"/>
                <w:szCs w:val="18"/>
                <w:color w:val="auto"/>
              </w:rPr>
            </w:pPr>
          </w:p>
        </w:tc>
        <w:tc>
          <w:tcPr>
            <w:tcW w:w="5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7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8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Our available-for-sale securities primarily relate to debt securities with maturities over the next ten years.</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Debt</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of March 31, 2025 and December 31, 2024, the carrying value of our debt was $23.8 billion and $23.9 billion, respectively. The estimated fair value of our debt was approximately $23.2 billion and $22.9 billion as of March 31, 2025 and December 31, 2024, respectively.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or estimation methodologies could have a material effect on the estimated fair values. The fair value estimates are based on Level 2 inputs of the fair value hierarchy available as of March 31, 2025 and December 31, 2024. These amounts have not been revalued since those dates and current estimates of fair value could differ significantly from the amounts presented.</w:t>
      </w:r>
    </w:p>
    <w:p>
      <w:pPr>
        <w:spacing w:after="0" w:line="18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See Note 8 for information related to the nonrecurring fair value measurement of assets and liabilities acquired in connection with our acquisition of Stericycle.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Variable Interest Entities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our financial interests in unconsolidated and consolidated variable interest entities that we consider significant:</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Low-Income Housing Properties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do not consolidate our investments in entities established to manage low-income housing properties because we are not the primary beneficiary of these entities as we do not have the power to individually direct the activities of these entities. Our aggregate investment balance in these entities was $684 million and $707 million as of March 31, 2025 and December 31, 2024, respectively. The debt balance related to our investments in low-income housing properties was $655 million and $670 million as of March 31, 2025 and December 31, 2024, respectively. Additional information related to these investments is discussed in Note 4.</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Trust Funds for Final Capping, Closure, Post-Closure or Environmental Remediation Obligations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Unconsolidated Variable Interest Entities — </w:t>
      </w:r>
      <w:r>
        <w:rPr>
          <w:rFonts w:ascii="Times New Roman" w:cs="Times New Roman" w:eastAsia="Times New Roman" w:hAnsi="Times New Roman"/>
          <w:sz w:val="18"/>
          <w:szCs w:val="18"/>
          <w:color w:val="auto"/>
        </w:rPr>
        <w:t>Trust funds that are established for both the benefit of the Company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host community in which we operate are not consolidated because we are not the primary beneficiary of these entities as (i) we do not have the power to direct the significant activities of the trusts or (ii) power over the trusts’ significant activities is shared. Our interests in these trusts are accounted for as investments in unconsolidated entities and receivables. These amounts are recorded in other receivables, investments in unconsolidated entities and other long-term assets in our Condensed Consolidated Balance Sheets, as appropriate. We also reflect our share of the unrealized gains and losses on available-for-sale securities held by these trusts as a component of our accumulated other comprehensive income (loss). Our investments and receivables related to these trusts had an aggregate carrying value of $111 million at March 31, 2025 and December 31, 2024.</w:t>
      </w:r>
    </w:p>
    <w:p>
      <w:pPr>
        <w:spacing w:after="0" w:line="18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Consolidated Variable Interest Entities — </w:t>
      </w:r>
      <w:r>
        <w:rPr>
          <w:rFonts w:ascii="Times New Roman" w:cs="Times New Roman" w:eastAsia="Times New Roman" w:hAnsi="Times New Roman"/>
          <w:sz w:val="18"/>
          <w:szCs w:val="18"/>
          <w:color w:val="auto"/>
        </w:rPr>
        <w:t>Trust funds for which we are the sole beneficiary are consolidated because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the primary beneficiary. These trust funds are recorded in restricted funds in our Condensed Consolidated Balance Sheets. Unrealized gains and losses on available-for-sale securities held by these trusts are recorded as a component of accumulated other comprehensive income (loss). These trusts had a fair value of $131 million and $128 million as of March 31,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23" w:name="page24"/>
    <w:bookmarkEnd w:id="23"/>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Annual Report on Form 10-K for the year ended December 31, 2024.</w:t>
      </w:r>
    </w:p>
    <w:p>
      <w:pPr>
        <w:spacing w:after="0" w:line="180" w:lineRule="exact"/>
        <w:rPr>
          <w:sz w:val="20"/>
          <w:szCs w:val="20"/>
          <w:color w:val="auto"/>
        </w:rPr>
      </w:pPr>
    </w:p>
    <w:p>
      <w:pPr>
        <w:jc w:val="both"/>
        <w:ind w:left="60" w:right="59" w:firstLine="324"/>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contains certain forward-looking statements that are made subject to the safe harbor protections provided by the Private Securities Litigation Reform Act of 1995. Forward-looking statements are often identified by the words, “will,” “may,” “should,” “continue,” “anticipate,” “believe,” “expect,” “plan,” “forecast,” “project,” “estimate,” “intend,” and words of a similar nature and include estimates or projections of financial and other data; comments on expectations relating to future periods; plans or objectives for the future; and statements of opinions, views or beliefs about current and future events, circumstances or performance. You should view these statements with caution. They are based on the facts and circumstances known to us as of the date the statements are made. These forward looking statements are subject to risks and uncertainties that could cause actual results to be materially different from those set forth in such forward-looking statements, including but not limited to failure to implement our optimization, automation, growth and cost savings initiatives and overall business strategy; failure to obtain the results anticipated from strategic initiatives, investments, acquisitions or new lines of business; failure to identify acquisition targets, consummate and integrate acquisitions, including our ability to integrate the acquisition of Stericycle and achieve the anticipated benefits therefrom, including synergies; legal, regulatory and other matters that may affect the costs and timing of our ability to integrate and deliver all of the expected benefits of the Stericycle acquisition; failure to maintain an effective system of internal control over financial reporting; existing or new environmental and other regulations, including developments related to emerging contaminants, gas emissions, renewable energy, extended producer responsibility and our natural gas fleet; significant environmental, safety or other incidents resulting in liabilities or brand damage; failure to obtain and maintain necessary permits due to land scarcity, public opposition or otherwise; diminishing landfill capacity, resulting in increased costs and the need for disposal alternatives; exposure to different regulatory, legal, financial and economic conditions in international jurisdictions; failure to attract, hire and retain key team members and a high quality workforce; increases in labor costs due to union organizing activities or changes in wage and labor related regulations; disruption and costs resulting from severe weather and destructive climate events; failure to achieve our sustainability goals or execute on our sustainability-related strategy and initiatives, including within planned timelines or anticipated budgets due to disruptions, delays, cost increases or changes in environmental or tax regulations and incentives; focus on and regulation of, environmental and sustainability-related disclosures, which could lead to increased costs, risk of non-compliance, brand damage and litigation risk related to our sustainability efforts; macroeconomic conditions, geopolitical conflict and large-scale market disruption resulting in labor, supply chain and transportation constraints, inflationary cost pressures and fluctuations in commodity prices, fuel and other energy costs; increased competition; pricing actions; impacts from international trade restrictions and tariffs; competitive disposal alternatives, diversion of waste from landfills and declining waste volumes; changing conditions in the healthcare industry; weakness in general economic conditions and capital markets; instability of financial institutions; adoption of new tax legislation; fuel shortages; failure to develop and protect new technology; failure of technology to perform as expected; failure to prevent, detect and address cybersecurity incidents or comply with privacy regulations; inability to adapt and manage the benefits and risks of artificial intelligence; negative outcomes of litigation or governmental proceedings, including those acquired through transactions; and operational or management decisions or developments that result in impairment charges and other risks discussed in our filings with the SEC, including Part I, Item 1A of our Annual Report on Form 10-K for the year ended December 31, 2024. We assume no obligation to update any forward-looking statement, including financial estimates and forecasts, whether as a result of future events, circumstances or developments or otherwise.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 renewable energy. We own or operate the largest network of landfills throughout the U.S. and Canada. In order to make disposal more practical for larger urban markets, where the distance to landfills is typically farther, we manage transfer stations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24" w:name="page25"/>
    <w:bookmarkEnd w:id="24"/>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that consolidate, compact and transport waste efficiently and economically. Our solid waste business is operated and managed locally by our subsidiaries that focus on distinct geographic areas and provide collection, transfer, disposal, recycling and resource recovery services. Through our subsidiaries, including our Waste Management Renewable Energy (“WM Renewable Energy”) segment, we are also a leading developer, operator and owner of landfill gas-to-energy facilities in the U.S. and Canada that produce renewable electricity and renewable natural gas (“RNG”), which is a significant source of fuel that we allocate to our natural gas fleet. Additionally, we are a leading recycler in the U.S. and Canada, handling materials that include paper, cardboard, glass, plastic and metal.</w:t>
      </w:r>
    </w:p>
    <w:p>
      <w:pPr>
        <w:spacing w:after="0" w:line="189" w:lineRule="exact"/>
        <w:rPr>
          <w:sz w:val="20"/>
          <w:szCs w:val="20"/>
          <w:color w:val="auto"/>
        </w:rPr>
      </w:pPr>
    </w:p>
    <w:p>
      <w:pPr>
        <w:jc w:val="both"/>
        <w:ind w:left="60" w:right="59" w:firstLine="324"/>
        <w:spacing w:after="0" w:line="274" w:lineRule="auto"/>
        <w:rPr>
          <w:sz w:val="20"/>
          <w:szCs w:val="20"/>
          <w:color w:val="auto"/>
        </w:rPr>
      </w:pPr>
      <w:r>
        <w:rPr>
          <w:rFonts w:ascii="Times New Roman" w:cs="Times New Roman" w:eastAsia="Times New Roman" w:hAnsi="Times New Roman"/>
          <w:sz w:val="17"/>
          <w:szCs w:val="17"/>
          <w:color w:val="auto"/>
        </w:rPr>
        <w:t>Our senior management evaluates, oversees and manages the financial performance of our business through five reportable segments, referred to as (i) Collection and Disposal - East Tier (“East Tier”); (ii) Collection and Disposal - West Tier (“West Tier”); (iii) Recycling Processing and Sales; (iv) WM Renewable Energy and (v) WM Healthcare Solutions. Our East and West Tiers, along with certain ancillary services (“Other Ancillary”) that are not managed through our Tier segments, but that support our collection and disposal operations, form our “Collection and Disposal” businesses. We also provide additional services not managed through our five reportable segments, which are presented as Corporate and Other.</w:t>
      </w:r>
    </w:p>
    <w:p>
      <w:pPr>
        <w:spacing w:after="0" w:line="1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Stericycle Acquisition</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November 4, 2024, we completed our acquisition of all outstanding shares of Stericycle, Inc., a provider of regulated waste and compliance services and secure information destruction services that protect people and brands, promote health and well-being and safeguard the environment. The post-closing operating results of Stericycle have been included in our Condensed Consolidated Financial Statements as a new reportable segment referred to as WM Healthcare Solutions. During the first quarter of 2025, we prioritized maintaining service delivery continuity for our customers, ensuring business alignment with WM’s core values and capturing preliminary synergies through reduction of duplicative processes and costs. Additional integration efforts focused on optimizing processes through technological enhancements, establishing a performance management approach aimed at accountability and improving utilization and optimization of the asset portfolio.</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Strategy</w:t>
      </w:r>
    </w:p>
    <w:p>
      <w:pPr>
        <w:spacing w:after="0" w:line="216" w:lineRule="exact"/>
        <w:rPr>
          <w:sz w:val="20"/>
          <w:szCs w:val="20"/>
          <w:color w:val="auto"/>
        </w:rPr>
      </w:pPr>
    </w:p>
    <w:p>
      <w:pPr>
        <w:jc w:val="both"/>
        <w:ind w:left="60" w:right="59" w:firstLine="324"/>
        <w:spacing w:after="0" w:line="233" w:lineRule="auto"/>
        <w:rPr>
          <w:sz w:val="20"/>
          <w:szCs w:val="20"/>
          <w:color w:val="auto"/>
        </w:rPr>
      </w:pPr>
      <w:r>
        <w:rPr>
          <w:rFonts w:ascii="Times New Roman" w:cs="Times New Roman" w:eastAsia="Times New Roman" w:hAnsi="Times New Roman"/>
          <w:sz w:val="18"/>
          <w:szCs w:val="18"/>
          <w:color w:val="auto"/>
        </w:rPr>
        <w:t>Our fundamental strategy has not changed; we remain dedicated to providing long-term value to our stockholders by successfully executing our core strategy of focused differentiation and continuous improvement. We have enabled a people-first, technology-led focus to drive our mission to maximize resource value, while minimizing environmental impact, and sustainability and environmental stewardship is embedded in all that we do. Our strategy leverages and sustains the strongest asset network in the industry to drive best-in-class customer experience and growth. Our strategic planning processes appropriately consider that the future of our business and the industry can be influenced by changes in economic conditions, the competitive landscape, the regulatory environment, asset and resource availability and technology. We believe that focused differentiation, which is driven by capitalizing on our unique and extensive network of assets, will deliver profitable growth and position us to leverage competitive advantages. Simultaneously, we believe that investing in automation to improve processes and drive operational efficiency combined with a focus on the cost to serve our customers will yield an attractive profit margin and enhanced service quality. We are furthering our strategy of focused differentiation and continuous improvement beyond our traditional waste operations through our sustainability growth strategy that includes significant investments in our WM Renewable Energy and Recycling Processing and Sales segments, while increasing automation and reducing labor dependency. In addition, with our acquisition of Stericycle, we have advanced our growth strategy and built upon our sustainability initiatives. The acquisition provides a complementary business platform in regulated waste and compliance services involving medical waste, a sector with attractive near- and long-term growth dynamics and in secure information destruction services to further our leading suite of comprehensive waste and environmental solutions. Furthermore, we are also evaluating and pursuing emerging diversion technologies that may generate additional value.</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Business Environment</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waste industry is a comparatively mature and stable industry. However, customers increasingly expect more of their waste materials to be recovered and those waste streams are becoming more complex. In addition, many state and local governments mandate diversion, recycling and waste reduction at the source and prohibit the disposal of certain types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5" w:name="page26"/>
    <w:bookmarkEnd w:id="25"/>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of waste at landfills. We monitor these developments to adapt our service offerings. As companies, individuals and communities look for ways to be more sustainable, we promote our comprehensive services that go beyond our core business of collecting and disposing of waste in order to meet their needs. This includes expanding traditional recycling services, increasing organics collection and processing, providing regulated waste and compliance services and secure information destruction and expanding our renewable energy projects to meet the evolving needs of our diverse customer base. As North America’s leading provider of comprehensive environmental solutions, we are taking big, bold steps to catalyze positive change – change that will impact our Company as well as the communities we serve. Consistent with our Company’s long-standing commitment to sustainability and environmental stewardship, we have published our 2024 Sustainability Report providing details on our sustainability-related performance and outlining progress towards our 2030 sustainability goals. The Sustainability Report conveys the strong linkage between the Company’s sustainability goals and our growth strategy, inclusive of the planned and ongoing expansion of the Company’s Recycling Processing and Sales and WM Renewable Energy segments. The information in this report can be found at sustainability.wm.com but it does not constitute a part of, and is not incorporated by reference into, this Quarterly Report on Form 10-Q.</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encounter intense competition from governmental, quasi-governmental and private service providers based on pricing, and to a much lesser extent, the nature of service offerings, particularly in the residential line of business. Our industry is directly affected by changes in general economic factors, including increases and decreases in consumer spending, business expansions and construction activity. These factors generally correlate to volumes of waste generated and impact our revenue. Negative economic conditions and other macroeconomic trends can and have caused customers to reduce their service needs. Such negative economic conditions, in addition to competitor actions, can impact our strategy to negotiate, renew, or expand service contracts and grow our business. We also encounter competition for acquisitions and growth opportunities. General economic factors and the market for consumer goods, in addition to regulatory developments, can also significantly impact commodity prices for the recyclable materials we sell. Significant components of our operating expenses vary directly as we experience changes in revenue due to volume and inflation. Volume changes can fluctuate significantly by line of business and volume changes in higher margin businesses can impact key financial metrics. We must dynamically manage our cost structure in response to volume changes and cost inflation.</w:t>
      </w:r>
    </w:p>
    <w:p>
      <w:pPr>
        <w:spacing w:after="0" w:line="176" w:lineRule="exact"/>
        <w:rPr>
          <w:sz w:val="20"/>
          <w:szCs w:val="20"/>
          <w:color w:val="auto"/>
        </w:rPr>
      </w:pPr>
    </w:p>
    <w:p>
      <w:pPr>
        <w:jc w:val="both"/>
        <w:ind w:left="60" w:right="59" w:firstLine="324"/>
        <w:spacing w:after="0" w:line="235" w:lineRule="auto"/>
        <w:rPr>
          <w:sz w:val="20"/>
          <w:szCs w:val="20"/>
          <w:color w:val="auto"/>
        </w:rPr>
      </w:pPr>
      <w:r>
        <w:rPr>
          <w:rFonts w:ascii="Times New Roman" w:cs="Times New Roman" w:eastAsia="Times New Roman" w:hAnsi="Times New Roman"/>
          <w:sz w:val="18"/>
          <w:szCs w:val="18"/>
          <w:color w:val="auto"/>
        </w:rPr>
        <w:t>We believe the Company’s industry-leading asset network and strategic focus on investing in our people and our digital platform will give the Company the necessary tools to address the evolving challenges impacting the Company and our industry. In line with our commitment to continuous improvement and a differentiated customer experience, we remain focused on our automation and optimization investments to enhance our operational efficiency and change the way we interact with our customers. Advancements made through these initiatives are intended to seamlessly and digitally connect all enterprise functions required to service customers and provide the best experience. We have made significant progress in executing this technology enablement strategy to automate and optimize certain elements of our service delivery model. The key benefits are reduced labor dependency for certain high-turnover positions, particularly in customer experience, recycling and residential collection, while further elevating our customer self-service through digitalization and implementation of technologies to enhance the safety, reliability and efficiency within our collection operations.</w:t>
      </w:r>
    </w:p>
    <w:p>
      <w:pPr>
        <w:spacing w:after="0" w:line="187" w:lineRule="exact"/>
        <w:rPr>
          <w:sz w:val="20"/>
          <w:szCs w:val="20"/>
          <w:color w:val="auto"/>
        </w:rPr>
      </w:pPr>
    </w:p>
    <w:p>
      <w:pPr>
        <w:jc w:val="both"/>
        <w:ind w:left="60" w:right="59" w:firstLine="324"/>
        <w:spacing w:after="0" w:line="237" w:lineRule="auto"/>
        <w:rPr>
          <w:sz w:val="20"/>
          <w:szCs w:val="20"/>
          <w:color w:val="auto"/>
        </w:rPr>
      </w:pPr>
      <w:r>
        <w:rPr>
          <w:rFonts w:ascii="Times New Roman" w:cs="Times New Roman" w:eastAsia="Times New Roman" w:hAnsi="Times New Roman"/>
          <w:sz w:val="18"/>
          <w:szCs w:val="18"/>
          <w:color w:val="auto"/>
        </w:rPr>
        <w:t>We sometimes experience margin pressures and variability in earnings and margins from our commodity-driven businesses, specifically within our Recycling Processing and Sales and WM Renewable Energy segments. During the first quarter, we experienced moderate decreases in the market price for recycled commodities when compared to the prior year period. The impacts of commodity price fluctuations are not currently material to our WM Renewable Energy segment; however, as we continue to make investments to grow that segment, we may experience more significant impacts from fluctuations in the prices of electricity, natural gas, RINs and RECs. We continue to take proactive steps to adjust our business models to protect against the downside risk of changes in commodity prices.</w:t>
      </w:r>
    </w:p>
    <w:p>
      <w:pPr>
        <w:spacing w:after="0" w:line="20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Variability in economic conditions, including inflation, interest rates, employment trends and supply chain reliability, can create risk and uncertainty in financial outlook. We take proactive steps to recover and mitigate inflationary cost pressures through our overall pricing efforts and by managing our costs through efficiency, labor productivity and investments in technology to automate certain aspects of our business. We remain committed to putting our people first to ensure that they are well positioned to execute our daily operations diligently and safely. We remain focused on delivering outstanding customer service, managing our variable costs with changing volumes and investing in technology that will enhance our customers’ experience and provide operating efficiencies intended to reduce our cost to serve our customers.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6" w:name="page27"/>
    <w:bookmarkEnd w:id="26"/>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Current Quarter Financial Results</w:t>
      </w:r>
    </w:p>
    <w:p>
      <w:pPr>
        <w:spacing w:after="0" w:line="216" w:lineRule="exact"/>
        <w:rPr>
          <w:sz w:val="20"/>
          <w:szCs w:val="20"/>
          <w:color w:val="auto"/>
        </w:rPr>
      </w:pPr>
    </w:p>
    <w:p>
      <w:pPr>
        <w:jc w:val="both"/>
        <w:ind w:left="60" w:right="59" w:firstLine="324"/>
        <w:spacing w:after="0" w:line="235" w:lineRule="auto"/>
        <w:rPr>
          <w:sz w:val="20"/>
          <w:szCs w:val="20"/>
          <w:color w:val="auto"/>
        </w:rPr>
      </w:pPr>
      <w:r>
        <w:rPr>
          <w:rFonts w:ascii="Times New Roman" w:cs="Times New Roman" w:eastAsia="Times New Roman" w:hAnsi="Times New Roman"/>
          <w:sz w:val="18"/>
          <w:szCs w:val="18"/>
          <w:color w:val="auto"/>
        </w:rPr>
        <w:t>During the first quarter of 2025, we continued to focus on our priorities to advance our strategy – enhancing employee engagement, permanently reducing our cost to serve our customers through the use of technology and automation, investing in growth through our Recycling Processing and Sales and WM Renewable Energy segments and integrating the Stericycle business. We continue to invest in our people through paying a competitive market wage, investing in our digital platform and providing training for our team members. We also continue to make investments in automation and optimization to enhance our operational efficiency and improve labor productivity for all lines of business. As part of the integration of Stericycle, which constitutes our new WM Healthcare Solutions segment, we achieved synergies by reducing costs of duplicative business processes, focused on service delivery for our customers and aligned team members and business processes with WM’s core values.</w:t>
      </w:r>
    </w:p>
    <w:p>
      <w:pPr>
        <w:spacing w:after="0" w:line="20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Key elements of our financial results for the first quarter include:</w:t>
      </w:r>
    </w:p>
    <w:p>
      <w:pPr>
        <w:spacing w:after="0" w:line="117" w:lineRule="exact"/>
        <w:rPr>
          <w:sz w:val="20"/>
          <w:szCs w:val="20"/>
          <w:color w:val="auto"/>
        </w:rPr>
      </w:pPr>
    </w:p>
    <w:p>
      <w:pPr>
        <w:jc w:val="both"/>
        <w:ind w:left="720" w:right="79" w:hanging="319"/>
        <w:spacing w:after="0" w:line="258"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were $6,018 million compared with $5,159 million in the prior year period, an increase of $859 million, or 16.7%. The increase is primarily attributable to (i) the acquisition of Stericycle; (ii) higher yield in our Collection and Disposal businesses; (iii) tuck-in collection and disposal acquisitions and (iv) higher volumes in our landfill, recycling and WM Renewable Energy businesses, which were partially offset by lower industrial and residential collection volumes;</w:t>
      </w:r>
    </w:p>
    <w:p>
      <w:pPr>
        <w:spacing w:after="0" w:line="75"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were $3,647 million, or 60.6% of revenues, compared with $3,140 million, or 60.9% of revenues, in the prior year period. The $507 million increase is primarily attributable to (i) the impact of our recent acquisitions and (ii) inflationary impacts. These increases were offset in part by (i) lower industrial and residential collection volumes and (ii) improved operating efficiency and cost control initiatives in our Collection and Disposal businesses;</w:t>
      </w:r>
    </w:p>
    <w:p>
      <w:pPr>
        <w:spacing w:after="0" w:line="75"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were $687 million, or 11.4% of revenues, compared with $491 million, or 9.5% of revenues, in the prior year period. The $196 million increase is primarily attributable to</w:t>
      </w:r>
    </w:p>
    <w:p>
      <w:pPr>
        <w:ind w:left="720" w:right="79" w:firstLine="5"/>
        <w:spacing w:after="0" w:line="260" w:lineRule="auto"/>
        <w:tabs>
          <w:tab w:leader="none" w:pos="96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Stericycle acquisition and related integration costs and (ii) increased labor costs due to higher annual long-term incentive compensation costs and annual wage increases for our employees;</w:t>
      </w:r>
    </w:p>
    <w:p>
      <w:pPr>
        <w:spacing w:after="0" w:line="73"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was $1,013 million, or 16.8% of revenues, compared with $1,016 million, or 19.7% of revenues, in the prior year period. We achieved $49 million of growth in income from operations of the Collection and Disposal businesses, but that growth was more than offset by an increase in our Corporate and Other costs, which can largely be attributed to Stericycle acquisition and integration costs, and an increase in depreciation and amortization as a result of the Stericycle acquisition;</w:t>
      </w:r>
    </w:p>
    <w:p>
      <w:pPr>
        <w:spacing w:after="0" w:line="75"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Waste Management, Inc. was $637 million, or $1.58 per diluted share, compared with $708 million, or $1.75 per diluted share, in the prior year period. Net income decreased $71 million primarily due to an increase in interest expense as a result of additional debt incurred to fund our acquisition of Stericycle and to a lesser extent a decrease in income from operations, discussed above. These decreases were partially offset by a reduction in income tax expense of $11 million, or $0.03 per diluted share.</w:t>
      </w:r>
    </w:p>
    <w:p>
      <w:pPr>
        <w:spacing w:after="0" w:line="75"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was $1,208 million compared with $1,367 million in the prior year period, with the decrease driven by (i) higher cash interest primarily due to additional debt incurred to fund our acquisition of Stericycle; (ii) unfavorable changes in working capital, net of effects of acquisitions and divestitures and (iii) higher annual incentive compensation payments. This decrease was partially offset by higher earnings across all segments, including the contributions from our recent acquisitions.</w:t>
      </w:r>
    </w:p>
    <w:p>
      <w:pPr>
        <w:spacing w:after="0" w:line="75"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Free cash flow was $475 million compared with $714 million in the prior year period. The decrease in free cash flow is attributable to the decrease in net cash provided by operating activities discussed above as well as an increase in capital spending, which was driven by (i) investments in capital assets such as trucks, landfills and equipment and (ii) capital expenditures within our WM Healthcare Solutions segment to support the business. These decreases were partially offset by proceeds from the divestiture of non-strategic assets and businesses. Free cash flow is a non-GAAP measure of liquidity. Refer to </w:t>
      </w:r>
      <w:r>
        <w:rPr>
          <w:rFonts w:ascii="Times New Roman" w:cs="Times New Roman" w:eastAsia="Times New Roman" w:hAnsi="Times New Roman"/>
          <w:sz w:val="18"/>
          <w:szCs w:val="18"/>
          <w:i w:val="1"/>
          <w:iCs w:val="1"/>
          <w:color w:val="auto"/>
        </w:rPr>
        <w:t>Free Cash Flow</w:t>
      </w:r>
      <w:r>
        <w:rPr>
          <w:rFonts w:ascii="Times New Roman" w:cs="Times New Roman" w:eastAsia="Times New Roman" w:hAnsi="Times New Roman"/>
          <w:sz w:val="18"/>
          <w:szCs w:val="18"/>
          <w:color w:val="auto"/>
        </w:rPr>
        <w:t xml:space="preserve"> below for our definition of free cash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27" w:name="page28"/>
    <w:bookmarkEnd w:id="27"/>
    <w:p>
      <w:pPr>
        <w:ind w:left="720" w:right="79"/>
        <w:spacing w:after="0" w:line="282" w:lineRule="auto"/>
        <w:rPr>
          <w:sz w:val="20"/>
          <w:szCs w:val="20"/>
          <w:color w:val="auto"/>
        </w:rPr>
      </w:pPr>
      <w:r>
        <w:rPr>
          <w:rFonts w:ascii="Times New Roman" w:cs="Times New Roman" w:eastAsia="Times New Roman" w:hAnsi="Times New Roman"/>
          <w:sz w:val="18"/>
          <w:szCs w:val="18"/>
          <w:color w:val="auto"/>
        </w:rPr>
        <w:t>flow, additional information about our use of this measure and a reconciliation to net cash provided by operating activities, which is the most comparable GAAP measure.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Operating Revenues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mix of operating revenues for the three months ended March 31 are as follows (in millions):</w:t>
      </w:r>
    </w:p>
    <w:p>
      <w:pPr>
        <w:spacing w:after="0" w:line="11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Net</w:t>
            </w:r>
          </w:p>
        </w:tc>
        <w:tc>
          <w:tcPr>
            <w:tcW w:w="16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91"/>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1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Revenues (a)(b)</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0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Commercial</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collection</w:t>
            </w:r>
          </w:p>
        </w:tc>
        <w:tc>
          <w:tcPr>
            <w:tcW w:w="1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collection</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Landfill</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Transfer</w:t>
            </w:r>
          </w:p>
        </w:tc>
        <w:tc>
          <w:tcPr>
            <w:tcW w:w="17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WM Renewable Energy</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WM Healthcare Solutions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0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Commercial</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collection</w:t>
            </w:r>
          </w:p>
        </w:tc>
        <w:tc>
          <w:tcPr>
            <w:tcW w:w="1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collection</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Landfill</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Transfer</w:t>
            </w:r>
          </w:p>
        </w:tc>
        <w:tc>
          <w:tcPr>
            <w:tcW w:w="17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WM Renewable Energy</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7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162560</wp:posOffset>
            </wp:positionV>
            <wp:extent cx="14141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26" w:lineRule="exact"/>
        <w:rPr>
          <w:sz w:val="20"/>
          <w:szCs w:val="20"/>
          <w:color w:val="auto"/>
        </w:rPr>
      </w:pPr>
    </w:p>
    <w:p>
      <w:pPr>
        <w:jc w:val="both"/>
        <w:ind w:left="720" w:right="79" w:hanging="319"/>
        <w:spacing w:after="0" w:line="266"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67"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with the 2024 Form 10-K, the Company adjusted gross and intercompany operating revenues to reflect the 15% royalty paid by WM Renewable Energy to our Collection and Disposal and Corporate and Other businesses for the purchase of landfill gas. There was no change to net operating revenues. Prior periods have been recast to conform to current presentation.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8" w:name="page29"/>
    <w:bookmarkEnd w:id="28"/>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details associated with the period-to-period change in revenues and average yield (dollars in millions):</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920" w:type="dxa"/>
            <w:vAlign w:val="bottom"/>
            <w:gridSpan w:val="9"/>
          </w:tcPr>
          <w:p>
            <w:pPr>
              <w:jc w:val="center"/>
              <w:ind w:right="650"/>
              <w:spacing w:after="0"/>
              <w:rPr>
                <w:sz w:val="20"/>
                <w:szCs w:val="20"/>
                <w:color w:val="auto"/>
              </w:rPr>
            </w:pPr>
            <w:r>
              <w:rPr>
                <w:rFonts w:ascii="Times New Roman" w:cs="Times New Roman" w:eastAsia="Times New Roman" w:hAnsi="Times New Roman"/>
                <w:sz w:val="14"/>
                <w:szCs w:val="14"/>
                <w:b w:val="1"/>
                <w:bCs w:val="1"/>
                <w:color w:val="auto"/>
              </w:rPr>
              <w:t>Period-to-Period Change for the</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gridSpan w:val="6"/>
          </w:tcPr>
          <w:p>
            <w:pPr>
              <w:jc w:val="center"/>
              <w:ind w:left="5"/>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6"/>
          </w:tcPr>
          <w:p>
            <w:pPr>
              <w:jc w:val="center"/>
              <w:ind w:left="5"/>
              <w:spacing w:after="0"/>
              <w:rPr>
                <w:sz w:val="20"/>
                <w:szCs w:val="20"/>
                <w:color w:val="auto"/>
              </w:rPr>
            </w:pPr>
            <w:r>
              <w:rPr>
                <w:rFonts w:ascii="Times New Roman" w:cs="Times New Roman" w:eastAsia="Times New Roman" w:hAnsi="Times New Roman"/>
                <w:sz w:val="14"/>
                <w:szCs w:val="14"/>
                <w:b w:val="1"/>
                <w:bCs w:val="1"/>
                <w:color w:val="auto"/>
              </w:rPr>
              <w:t>March 31, 2025 vs. 2024</w:t>
            </w: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150"/>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940" w:type="dxa"/>
            <w:vAlign w:val="bottom"/>
            <w:gridSpan w:val="2"/>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80" w:type="dxa"/>
            <w:vAlign w:val="bottom"/>
          </w:tcPr>
          <w:p>
            <w:pPr>
              <w:spacing w:after="0"/>
              <w:rPr>
                <w:sz w:val="12"/>
                <w:szCs w:val="12"/>
                <w:color w:val="auto"/>
              </w:rPr>
            </w:pPr>
          </w:p>
        </w:tc>
        <w:tc>
          <w:tcPr>
            <w:tcW w:w="8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2"/>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80" w:type="dxa"/>
            <w:vAlign w:val="bottom"/>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Business(a)</w:t>
            </w:r>
          </w:p>
        </w:tc>
        <w:tc>
          <w:tcPr>
            <w:tcW w:w="8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96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Company(b)</w:t>
            </w:r>
          </w:p>
        </w:tc>
        <w:tc>
          <w:tcPr>
            <w:tcW w:w="0" w:type="dxa"/>
            <w:vAlign w:val="bottom"/>
          </w:tcPr>
          <w:p>
            <w:pPr>
              <w:spacing w:after="0"/>
              <w:rPr>
                <w:sz w:val="1"/>
                <w:szCs w:val="1"/>
                <w:color w:val="auto"/>
              </w:rPr>
            </w:pPr>
          </w:p>
        </w:tc>
      </w:tr>
      <w:tr>
        <w:trPr>
          <w:trHeight w:val="209"/>
        </w:trPr>
        <w:tc>
          <w:tcPr>
            <w:tcW w:w="4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and Disposal</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Recycling Processing and Sales and WM Renewable Energy (c)</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surcharge and mandated fees</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average yield (d)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Volume (e)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Internal revenue growth</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Divestitures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79" w:hanging="330"/>
        <w:spacing w:after="0" w:line="282"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period by the prior year period’s related business revenue adjusted to exclude the impacts of divestitures for the current year period.</w:t>
      </w:r>
    </w:p>
    <w:p>
      <w:pPr>
        <w:spacing w:after="0" w:line="53"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period by the prior year period’s total Company revenue adjusted to exclude the impacts of divestitures for the current year period.</w:t>
      </w:r>
    </w:p>
    <w:p>
      <w:pPr>
        <w:spacing w:after="0" w:line="53"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combined impact of commodity price variability in both our Recycling Processing and Sales and WM Renewable Energy segments, as well as changes in certain recycling fees charged by our collection and disposal operations.</w:t>
      </w:r>
    </w:p>
    <w:p>
      <w:pPr>
        <w:spacing w:after="0" w:line="6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herein represent the changes in our revenues attributable to average yield for the total Company.</w:t>
      </w:r>
    </w:p>
    <w:p>
      <w:pPr>
        <w:spacing w:after="0" w:line="225"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activities from our Corporate and Other businesses.</w:t>
      </w:r>
    </w:p>
    <w:p>
      <w:pPr>
        <w:spacing w:after="0" w:line="225"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provides further details about our period-to-period change in revenues: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Average Yield</w:t>
      </w:r>
    </w:p>
    <w:p>
      <w:pPr>
        <w:spacing w:after="0" w:line="22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Collection and Disposal Average Yield </w:t>
      </w:r>
      <w:r>
        <w:rPr>
          <w:rFonts w:ascii="Times New Roman" w:cs="Times New Roman" w:eastAsia="Times New Roman" w:hAnsi="Times New Roman"/>
          <w:sz w:val="18"/>
          <w:szCs w:val="18"/>
          <w:color w:val="auto"/>
        </w:rPr>
        <w:t>— This measure reflects the effect on our revenues from the pricing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collection, transfer and landfill operations, exclusive of volume changes. Revenue growth from Collection and Disposal average yield includes not only base rate changes and environmental and service fee fluctuations, but also (i) certain average price changes related to the overall mix of services, which are due to the types of services provided; (ii) changes in average price from new and lost business and (iii) price decreases to retain customers.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9" w:name="page30"/>
    <w:bookmarkEnd w:id="29"/>
    <w:p>
      <w:pPr>
        <w:ind w:left="380"/>
        <w:spacing w:after="0"/>
        <w:rPr>
          <w:sz w:val="20"/>
          <w:szCs w:val="20"/>
          <w:color w:val="auto"/>
        </w:rPr>
      </w:pPr>
      <w:r>
        <w:rPr>
          <w:rFonts w:ascii="Times New Roman" w:cs="Times New Roman" w:eastAsia="Times New Roman" w:hAnsi="Times New Roman"/>
          <w:sz w:val="18"/>
          <w:szCs w:val="18"/>
          <w:color w:val="auto"/>
        </w:rPr>
        <w:t>The details of our revenue growth from Collection and Disposal average yield are as follows (dollars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2260" w:type="dxa"/>
            <w:vAlign w:val="bottom"/>
            <w:gridSpan w:val="5"/>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Period-to-Period Change for the</w:t>
            </w:r>
          </w:p>
        </w:tc>
      </w:tr>
      <w:tr>
        <w:trPr>
          <w:trHeight w:val="148"/>
        </w:trPr>
        <w:tc>
          <w:tcPr>
            <w:tcW w:w="6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4"/>
          </w:tcPr>
          <w:p>
            <w:pPr>
              <w:jc w:val="center"/>
              <w:ind w:right="21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6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gridSpan w:val="4"/>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March 31, 2025 vs. 2024</w:t>
            </w:r>
          </w:p>
        </w:tc>
      </w:tr>
      <w:tr>
        <w:trPr>
          <w:trHeight w:val="117"/>
        </w:trPr>
        <w:tc>
          <w:tcPr>
            <w:tcW w:w="66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160" w:type="dxa"/>
            <w:vAlign w:val="bottom"/>
          </w:tcPr>
          <w:p>
            <w:pPr>
              <w:spacing w:after="0"/>
              <w:rPr>
                <w:sz w:val="10"/>
                <w:szCs w:val="10"/>
                <w:color w:val="auto"/>
              </w:rPr>
            </w:pPr>
          </w:p>
        </w:tc>
      </w:tr>
      <w:tr>
        <w:trPr>
          <w:trHeight w:val="162"/>
        </w:trPr>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Related</w:t>
            </w:r>
          </w:p>
        </w:tc>
      </w:tr>
      <w:tr>
        <w:trPr>
          <w:trHeight w:val="173"/>
        </w:trPr>
        <w:tc>
          <w:tcPr>
            <w:tcW w:w="6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5"/>
                <w:szCs w:val="15"/>
                <w:color w:val="auto"/>
              </w:rPr>
            </w:pPr>
          </w:p>
        </w:tc>
        <w:tc>
          <w:tcPr>
            <w:tcW w:w="104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Business</w:t>
            </w:r>
          </w:p>
        </w:tc>
      </w:tr>
      <w:tr>
        <w:trPr>
          <w:trHeight w:val="209"/>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8"/>
                <w:szCs w:val="18"/>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CEEFF"/>
          </w:tcPr>
          <w:p>
            <w:pPr>
              <w:spacing w:after="0"/>
              <w:rPr>
                <w:sz w:val="18"/>
                <w:szCs w:val="18"/>
                <w:color w:val="auto"/>
              </w:rPr>
            </w:pPr>
          </w:p>
        </w:tc>
      </w:tr>
      <w:tr>
        <w:trPr>
          <w:trHeight w:val="210"/>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collection</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8"/>
                <w:szCs w:val="18"/>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8"/>
                <w:szCs w:val="18"/>
                <w:color w:val="auto"/>
              </w:rPr>
            </w:pPr>
          </w:p>
        </w:tc>
      </w:tr>
      <w:tr>
        <w:trPr>
          <w:trHeight w:val="216"/>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0" w:type="dxa"/>
            <w:vAlign w:val="bottom"/>
            <w:tcBorders>
              <w:bottom w:val="single" w:sz="8" w:color="CCEEFF"/>
            </w:tcBorders>
            <w:gridSpan w:val="2"/>
          </w:tcPr>
          <w:p>
            <w:pPr>
              <w:ind w:left="920"/>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Borders>
              <w:bottom w:val="single" w:sz="8" w:color="CCEEFF"/>
            </w:tcBorders>
          </w:tcPr>
          <w:p>
            <w:pPr>
              <w:spacing w:after="0"/>
              <w:rPr>
                <w:sz w:val="18"/>
                <w:szCs w:val="18"/>
                <w:color w:val="auto"/>
              </w:rPr>
            </w:pPr>
          </w:p>
        </w:tc>
      </w:tr>
      <w:tr>
        <w:trPr>
          <w:trHeight w:val="209"/>
        </w:trPr>
        <w:tc>
          <w:tcPr>
            <w:tcW w:w="6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360" w:type="dxa"/>
            <w:vAlign w:val="bottom"/>
            <w:tcBorders>
              <w:bottom w:val="single" w:sz="8" w:color="CCEEFF"/>
            </w:tcBorders>
            <w:gridSpan w:val="3"/>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99"/>
              </w:rPr>
              <w:t>4.0 %</w:t>
            </w:r>
          </w:p>
        </w:tc>
      </w:tr>
      <w:tr>
        <w:trPr>
          <w:trHeight w:val="20"/>
        </w:trPr>
        <w:tc>
          <w:tcPr>
            <w:tcW w:w="6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overall pricing efforts are focused on keeping pace with the increasing costs and capital intensity of our business. We continue to see yield growth in our landfill business primarily driven by municipal solid waste landfills, which achieved average yield of 4.0% for the first quarter of 2025.</w:t>
      </w:r>
    </w:p>
    <w:p>
      <w:pPr>
        <w:spacing w:after="0" w:line="17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Recycling Processing and Sales and WM Renewable Energy </w:t>
      </w:r>
      <w:r>
        <w:rPr>
          <w:rFonts w:ascii="Times New Roman" w:cs="Times New Roman" w:eastAsia="Times New Roman" w:hAnsi="Times New Roman"/>
          <w:sz w:val="18"/>
          <w:szCs w:val="18"/>
          <w:color w:val="auto"/>
        </w:rPr>
        <w:t>— Recycling Processing and Sales revenues attributable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yield decreased $7 million in the first quarter of 2025 as compared with the prior year period. This decline was driven by 10% lower average market prices in our brokerage business compared with the prior year, partially offset by 5% higher average market prices for our single-stream recycled commodities. In addition, revenues attributable to yield in our WM Renewable Energy segment increased $8 million as compared with the prior year period, primarily driven by an increase in electricity and natural gas prices due in part to extreme winter weather in the current quarter, which was partially offset by lower RINs pricing. While there may be short-term fluctuations in our commodity-driven businesses as prices change, we continue to take proactive steps to adjust our business models to protect against the downside risk of changes in commodity prices.</w:t>
      </w:r>
    </w:p>
    <w:p>
      <w:pPr>
        <w:spacing w:after="0" w:line="188" w:lineRule="exact"/>
        <w:rPr>
          <w:sz w:val="20"/>
          <w:szCs w:val="20"/>
          <w:color w:val="auto"/>
        </w:rPr>
      </w:pPr>
    </w:p>
    <w:p>
      <w:pPr>
        <w:jc w:val="both"/>
        <w:ind w:left="60" w:right="59" w:firstLine="324"/>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Energy Surcharge and Mandated Fees — </w:t>
      </w:r>
      <w:r>
        <w:rPr>
          <w:rFonts w:ascii="Times New Roman" w:cs="Times New Roman" w:eastAsia="Times New Roman" w:hAnsi="Times New Roman"/>
          <w:sz w:val="17"/>
          <w:szCs w:val="17"/>
          <w:color w:val="auto"/>
        </w:rPr>
        <w:t>These fees decreased $2 million for the first quarter of 2025 as compared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the prior year period. Our energy surcharge revenues declined $9 million primarily due to a decline in the market prices for diesel fuel of approximately 8.5% in the first quarter of 2025 as compared with the prior year period. This decline was partially offset by a $7 million increase in our mandated fees primarily related to fees and taxes assessed by various state, county and municipal government agencies at our landfills and transfer stations, particularly in our West Tier.</w:t>
      </w:r>
    </w:p>
    <w:p>
      <w:pPr>
        <w:spacing w:after="0" w:line="1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Volume</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revenues from volume (excluding volumes from acquisitions and divestitures) increased $4 million for the first quarter of 2025 as compared with the prior year period. Special waste volume in our West Tier was favorably impacted by the wildfires clean-up activities that began in the first quarter of 2025. Additionally, volumes increased in both our Recycling Processing and Sales and WM Renewable Energy segments primarily due to contributions from growth projects. These volume increases were largely offset by declines in industrial and residential collection volume as well as the impacts of one fewer workday and extreme winter weather in the current quarter. Industrial collection volume declined primarily due to lower contributions from temporary business and residential collection volume declined largely due to our intentional shedding of lower-margin business.</w:t>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Acquisitions and Divestitures</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Acquisitions and divestitures resulted in a net increase in revenues of $690 million, or 13.4%, in the first quarter of 2025 as compared with the prior year. This increase was primarily due to our acquisition of Stericycle in November 2024. The remaining increase was related to our ongoing investment in tuck-in collection and disposal businesses.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0" w:name="page31"/>
    <w:bookmarkEnd w:id="30"/>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components of our operating expenses for the three months ended March 31 (in millions of dollars and as a percentage of revenues):</w:t>
      </w:r>
    </w:p>
    <w:p>
      <w:pPr>
        <w:spacing w:after="0" w:line="61"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340" w:type="dxa"/>
            <w:vAlign w:val="bottom"/>
            <w:tcBorders>
              <w:bottom w:val="single" w:sz="8" w:color="CCEEFF"/>
            </w:tcBorders>
          </w:tcPr>
          <w:p>
            <w:pPr>
              <w:spacing w:after="0"/>
              <w:rPr>
                <w:sz w:val="15"/>
                <w:szCs w:val="15"/>
                <w:color w:val="auto"/>
              </w:rPr>
            </w:pPr>
          </w:p>
        </w:tc>
        <w:tc>
          <w:tcPr>
            <w:tcW w:w="166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r>
      <w:tr>
        <w:trPr>
          <w:trHeight w:val="425"/>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 and related benefits</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$ 1,074</w:t>
            </w: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17.8 %</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6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17.3 %</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Transfer and disposal costs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Maintenance and repairs</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Subcontractor costs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Fuel</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 and franchise fees and taxes</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Landfill operating costs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management</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18"/>
                <w:szCs w:val="18"/>
                <w:color w:val="auto"/>
              </w:rPr>
            </w:pPr>
          </w:p>
        </w:tc>
      </w:tr>
      <w:tr>
        <w:trPr>
          <w:trHeight w:val="216"/>
        </w:trPr>
        <w:tc>
          <w:tcPr>
            <w:tcW w:w="4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6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Borders>
              <w:bottom w:val="single" w:sz="8" w:color="CCEEFF"/>
            </w:tcBorders>
          </w:tcPr>
          <w:p>
            <w:pPr>
              <w:spacing w:after="0"/>
              <w:rPr>
                <w:sz w:val="18"/>
                <w:szCs w:val="18"/>
                <w:color w:val="auto"/>
              </w:rPr>
            </w:pPr>
          </w:p>
        </w:tc>
      </w:tr>
      <w:tr>
        <w:trPr>
          <w:trHeight w:val="426"/>
        </w:trPr>
        <w:tc>
          <w:tcPr>
            <w:tcW w:w="4340" w:type="dxa"/>
            <w:vAlign w:val="bottom"/>
            <w:shd w:val="clear" w:color="auto" w:fill="CCEEFF"/>
          </w:tcPr>
          <w:p>
            <w:pPr>
              <w:spacing w:after="0"/>
              <w:rPr>
                <w:sz w:val="24"/>
                <w:szCs w:val="24"/>
                <w:color w:val="auto"/>
              </w:rPr>
            </w:pP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$ 3,647</w:t>
            </w: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60.6 %</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3,140</w:t>
            </w:r>
          </w:p>
        </w:tc>
        <w:tc>
          <w:tcPr>
            <w:tcW w:w="16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60.9 %</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operating expenses for the three months ended March 31, 2025 increased as compared with the three months ended March 31, 2024, primarily due to (i) our recent acquisitions and (ii) moderate inflationary pressures. These increases were offset, in part, by (i) lower residential and industrial volumes attributable, in part, to intentional shedding of lower margin residential contracts, industrial economic softness and one less workday as compared with the first quarter of 2024 and (ii) continued operating efficiency and cost control initiatives in our Collection and Disposal businesses. Although our operating expenses increased overall, efficiency gains, improved turnover and momentum in truck deliveries combined with the benefit of price increases positioned us to reduce our operating expenses as a percentage of revenue when compared with the prior year period.</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Significant items affecting the comparison of operating expenses for the reported periods include:</w:t>
      </w:r>
    </w:p>
    <w:p>
      <w:pPr>
        <w:spacing w:after="0" w:line="223" w:lineRule="exact"/>
        <w:rPr>
          <w:sz w:val="20"/>
          <w:szCs w:val="20"/>
          <w:color w:val="auto"/>
        </w:rPr>
      </w:pPr>
    </w:p>
    <w:p>
      <w:pPr>
        <w:jc w:val="both"/>
        <w:ind w:left="60" w:right="7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Labor and Related Benefits </w:t>
      </w:r>
      <w:r>
        <w:rPr>
          <w:rFonts w:ascii="Times New Roman" w:cs="Times New Roman" w:eastAsia="Times New Roman" w:hAnsi="Times New Roman"/>
          <w:sz w:val="18"/>
          <w:szCs w:val="18"/>
          <w:color w:val="auto"/>
        </w:rPr>
        <w:t>— The increase in labor and related benefits costs was largely driven by (i) the addition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as a result of our recent acquisitions and (ii) annual employee wage increases. The increase was offset, in part, by residential collection efficiency improvements, improved driver retention and conversion to automated side-load routes.</w:t>
      </w:r>
    </w:p>
    <w:p>
      <w:pPr>
        <w:spacing w:after="0" w:line="17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Transfer and Disposal Costs </w:t>
      </w:r>
      <w:r>
        <w:rPr>
          <w:rFonts w:ascii="Times New Roman" w:cs="Times New Roman" w:eastAsia="Times New Roman" w:hAnsi="Times New Roman"/>
          <w:sz w:val="18"/>
          <w:szCs w:val="18"/>
          <w:color w:val="auto"/>
        </w:rPr>
        <w:t>— The increase in transfer and disposal costs was primarily due to additional disposal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attributable to our recent acquisitions and inflationary cost pressures, which includes increased disposal fees at third-party sites and higher rates from our third-party haulers. These increases were offset, in part, by decreases in residential and industrial collection volumes.</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Maintenance and Repairs </w:t>
      </w:r>
      <w:r>
        <w:rPr>
          <w:rFonts w:ascii="Times New Roman" w:cs="Times New Roman" w:eastAsia="Times New Roman" w:hAnsi="Times New Roman"/>
          <w:sz w:val="18"/>
          <w:szCs w:val="18"/>
          <w:color w:val="auto"/>
        </w:rPr>
        <w:t>— The increase in maintenance and repairs costs was largely driven by (i) additional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as a part of our recent acquisitions; (ii) inflation in parts, supplies and third-party services and (iii) annual employee wage increases. These increases were offset, in part, by new truck deliveries, which lowered average fleet age and reduced demand for third-party services, parts and supplies.</w:t>
      </w:r>
    </w:p>
    <w:p>
      <w:pPr>
        <w:spacing w:after="0" w:line="180"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Subcontractor Costs — </w:t>
      </w:r>
      <w:r>
        <w:rPr>
          <w:rFonts w:ascii="Times New Roman" w:cs="Times New Roman" w:eastAsia="Times New Roman" w:hAnsi="Times New Roman"/>
          <w:sz w:val="18"/>
          <w:szCs w:val="18"/>
          <w:color w:val="auto"/>
        </w:rPr>
        <w:t>The increase in subcontractor costs was primarily due to (i) additional costs incurred as a part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recent acquisitions and (ii) continued inflationary cost pressures, particularly labor costs from third-party haulers. These increases were offset, in part, by the impact of lower fuel prices on third-party subcontracted hauling and services as compared with the three months ended March 31, 2024.</w:t>
      </w:r>
    </w:p>
    <w:p>
      <w:pPr>
        <w:spacing w:after="0" w:line="180"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 The increase in cost of goods sold was primarily driven by (i) additional pipeline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new RNG facilities brought on-line since the first quarter of 2024 and (ii) a 5% increase in recycled commodity prices compared to the prior year period.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31" w:name="page32"/>
    <w:bookmarkEnd w:id="31"/>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Fuel </w:t>
      </w:r>
      <w:r>
        <w:rPr>
          <w:rFonts w:ascii="Times New Roman" w:cs="Times New Roman" w:eastAsia="Times New Roman" w:hAnsi="Times New Roman"/>
          <w:sz w:val="18"/>
          <w:szCs w:val="18"/>
          <w:color w:val="auto"/>
        </w:rPr>
        <w:t>— The increase in fuel costs was primarily due to (i) our recent acquisitions and (ii) the expiration of the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alternative fuel tax credit on December 31, 2024. These increases were offset, in part, by an 8.5% decrease in market prices for diesel fuel.</w:t>
      </w:r>
    </w:p>
    <w:p>
      <w:pPr>
        <w:spacing w:after="0" w:line="173"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Disposal and Franchise Fees and Taxes </w:t>
      </w:r>
      <w:r>
        <w:rPr>
          <w:rFonts w:ascii="Times New Roman" w:cs="Times New Roman" w:eastAsia="Times New Roman" w:hAnsi="Times New Roman"/>
          <w:sz w:val="18"/>
          <w:szCs w:val="18"/>
          <w:color w:val="auto"/>
        </w:rPr>
        <w:t>— The increase in disposal and franchise fees and taxes was primarily driven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increased landfill volumes in our West Tier.</w:t>
      </w:r>
    </w:p>
    <w:p>
      <w:pPr>
        <w:spacing w:after="0" w:line="158"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Landfill Operating Costs </w:t>
      </w:r>
      <w:r>
        <w:rPr>
          <w:rFonts w:ascii="Times New Roman" w:cs="Times New Roman" w:eastAsia="Times New Roman" w:hAnsi="Times New Roman"/>
          <w:sz w:val="18"/>
          <w:szCs w:val="18"/>
          <w:color w:val="auto"/>
        </w:rPr>
        <w:t>— The decrease in landfill operating costs was primarily due to certain adjustments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our environmental remediation reserve during the first quarter of 2024.</w:t>
      </w:r>
    </w:p>
    <w:p>
      <w:pPr>
        <w:spacing w:after="0" w:line="158"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 Management </w:t>
      </w:r>
      <w:r>
        <w:rPr>
          <w:rFonts w:ascii="Times New Roman" w:cs="Times New Roman" w:eastAsia="Times New Roman" w:hAnsi="Times New Roman"/>
          <w:sz w:val="18"/>
          <w:szCs w:val="18"/>
          <w:color w:val="auto"/>
        </w:rPr>
        <w:t>— Risk management costs increased primarily due (i) additional claims and premiums attributable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our recent acquisitions and (ii) increases in claims costs due to negative claim development from prior accident years.</w:t>
      </w:r>
    </w:p>
    <w:p>
      <w:pPr>
        <w:spacing w:after="0" w:line="158" w:lineRule="exact"/>
        <w:rPr>
          <w:sz w:val="20"/>
          <w:szCs w:val="20"/>
          <w:color w:val="auto"/>
        </w:rPr>
      </w:pPr>
    </w:p>
    <w:p>
      <w:pPr>
        <w:jc w:val="both"/>
        <w:ind w:left="60" w:right="7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 Other operating cost increases were primarily due to (i) additional expenses attributable to our recent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acquisitions and, to a much lesser extent, (ii) increased utility costs largely attributable new RNG plants brought on-line since the first quarter of 2024 and increased power prices.</w:t>
      </w:r>
    </w:p>
    <w:p>
      <w:pPr>
        <w:spacing w:after="0" w:line="1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components of our selling, general and administrative expenses for the three months ended March 31 (in millions of dollars and as a percentage of revenues):</w:t>
      </w:r>
    </w:p>
    <w:p>
      <w:pPr>
        <w:spacing w:after="0" w:line="61"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040" w:type="dxa"/>
            <w:vAlign w:val="bottom"/>
            <w:tcBorders>
              <w:bottom w:val="single" w:sz="8" w:color="CCEEFF"/>
            </w:tcBorders>
          </w:tcPr>
          <w:p>
            <w:pPr>
              <w:spacing w:after="0"/>
              <w:rPr>
                <w:sz w:val="15"/>
                <w:szCs w:val="15"/>
                <w:color w:val="auto"/>
              </w:rPr>
            </w:pPr>
          </w:p>
        </w:tc>
        <w:tc>
          <w:tcPr>
            <w:tcW w:w="2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r>
      <w:tr>
        <w:trPr>
          <w:trHeight w:val="20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 and related benefits</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bad debts</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spacing w:after="0"/>
              <w:rPr>
                <w:sz w:val="18"/>
                <w:szCs w:val="18"/>
                <w:color w:val="auto"/>
              </w:rPr>
            </w:pPr>
          </w:p>
        </w:tc>
      </w:tr>
      <w:tr>
        <w:trPr>
          <w:trHeight w:val="216"/>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Borders>
              <w:bottom w:val="single" w:sz="8" w:color="CCEEFF"/>
            </w:tcBorders>
          </w:tcPr>
          <w:p>
            <w:pPr>
              <w:spacing w:after="0"/>
              <w:rPr>
                <w:sz w:val="18"/>
                <w:szCs w:val="18"/>
                <w:color w:val="auto"/>
              </w:rPr>
            </w:pPr>
          </w:p>
        </w:tc>
      </w:tr>
      <w:tr>
        <w:trPr>
          <w:trHeight w:val="210"/>
        </w:trPr>
        <w:tc>
          <w:tcPr>
            <w:tcW w:w="4040" w:type="dxa"/>
            <w:vAlign w:val="bottom"/>
            <w:tcBorders>
              <w:bottom w:val="single" w:sz="8" w:color="CCEEFF"/>
            </w:tcBorders>
            <w:shd w:val="clear" w:color="auto" w:fill="CCEEFF"/>
          </w:tcPr>
          <w:p>
            <w:pPr>
              <w:spacing w:after="0"/>
              <w:rPr>
                <w:sz w:val="18"/>
                <w:szCs w:val="18"/>
                <w:color w:val="auto"/>
              </w:rPr>
            </w:pPr>
          </w:p>
        </w:tc>
        <w:tc>
          <w:tcPr>
            <w:tcW w:w="2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11.4</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have increased primarily due to higher labor costs from acquisitions as well as consulting costs incurred to support the integration of Stericycle.</w:t>
      </w:r>
    </w:p>
    <w:p>
      <w:pPr>
        <w:spacing w:after="0" w:line="16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Significant items affecting the comparison of our selling, general and administrative expenses for the reported periods include:</w:t>
      </w:r>
    </w:p>
    <w:p>
      <w:pPr>
        <w:spacing w:after="0" w:line="160"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Labor and Related Benefits — </w:t>
      </w:r>
      <w:r>
        <w:rPr>
          <w:rFonts w:ascii="Times New Roman" w:cs="Times New Roman" w:eastAsia="Times New Roman" w:hAnsi="Times New Roman"/>
          <w:sz w:val="18"/>
          <w:szCs w:val="18"/>
          <w:color w:val="auto"/>
        </w:rPr>
        <w:t>The increase in labor and related benefits costs was primarily related to (i) our recent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acquisitions, particularly Stericycle; (ii) higher long-term incentive compensation costs; (iii) increased headcount and (iv) annual employee wage increases.</w:t>
      </w:r>
    </w:p>
    <w:p>
      <w:pPr>
        <w:spacing w:after="0" w:line="173"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Professional Fees </w:t>
      </w:r>
      <w:r>
        <w:rPr>
          <w:rFonts w:ascii="Times New Roman" w:cs="Times New Roman" w:eastAsia="Times New Roman" w:hAnsi="Times New Roman"/>
          <w:sz w:val="18"/>
          <w:szCs w:val="18"/>
          <w:color w:val="auto"/>
        </w:rPr>
        <w:t>—The increase in professional fees was primarily attributable to our acquisition of Stericycle,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integration, business optimization and system development costs.</w:t>
      </w:r>
    </w:p>
    <w:p>
      <w:pPr>
        <w:spacing w:after="0" w:line="158"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Provision for Bad Debts </w:t>
      </w:r>
      <w:r>
        <w:rPr>
          <w:rFonts w:ascii="Times New Roman" w:cs="Times New Roman" w:eastAsia="Times New Roman" w:hAnsi="Times New Roman"/>
          <w:sz w:val="18"/>
          <w:szCs w:val="18"/>
          <w:color w:val="auto"/>
        </w:rPr>
        <w:t>—The increase in provision for bad debts was primarily attributable to our Stericycle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5" w:right="1440" w:bottom="1440" w:gutter="0" w:footer="0" w:header="0"/>
        </w:sectPr>
      </w:pPr>
    </w:p>
    <w:bookmarkStart w:id="32" w:name="page33"/>
    <w:bookmarkEnd w:id="32"/>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Depreciation, Depletion and Amortization Expenses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our depreciation, depletion and amortization expenses for the three months ended March 31 (in millions of dollars and as a percentage of revenues):</w:t>
      </w:r>
    </w:p>
    <w:p>
      <w:pPr>
        <w:spacing w:after="0" w:line="61"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860" w:type="dxa"/>
            <w:vAlign w:val="bottom"/>
            <w:tcBorders>
              <w:bottom w:val="single" w:sz="8" w:color="CCEEFF"/>
            </w:tcBorders>
          </w:tcPr>
          <w:p>
            <w:pPr>
              <w:spacing w:after="0"/>
              <w:rPr>
                <w:sz w:val="15"/>
                <w:szCs w:val="15"/>
                <w:color w:val="auto"/>
              </w:rPr>
            </w:pPr>
          </w:p>
        </w:tc>
        <w:tc>
          <w:tcPr>
            <w:tcW w:w="13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r>
      <w:tr>
        <w:trPr>
          <w:trHeight w:val="20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tangible property and equipment</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Depletion of landfill airspace</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shd w:val="clear" w:color="auto" w:fill="CCEEFF"/>
          </w:tcPr>
          <w:p>
            <w:pPr>
              <w:spacing w:after="0"/>
              <w:rPr>
                <w:sz w:val="18"/>
                <w:szCs w:val="18"/>
                <w:color w:val="auto"/>
              </w:rPr>
            </w:pPr>
          </w:p>
        </w:tc>
      </w:tr>
      <w:tr>
        <w:trPr>
          <w:trHeight w:val="209"/>
        </w:trPr>
        <w:tc>
          <w:tcPr>
            <w:tcW w:w="4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10.9</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increase in depreciation of tangible property and equipment during the first quarter of 2025, as compared with the first quarter of 2024, was driven by (i) our recent acquisitions and (ii) investments in capital assets such as trucks, landfills and equipment. The increase in depletion of landfill airspace was driven by volume increases, particularly at sites within our West Tier. The increase in amortization of intangible assets during the first quarter of 2025, as compared with the first quarter of 2024, was primarily driven by the amortization of customer relationships and other intangibles acquired as part of the Stericycle acquisition.</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increase in restructuring during the first quarter of 2025, as compared with the first quarter of 2024, was primarily driven by employee costs related to our acquisition of Stericycle.</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income from operations for our reportable segments for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(dollars in millions):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1900" w:type="dxa"/>
            <w:vAlign w:val="bottom"/>
            <w:tcBorders>
              <w:bottom w:val="single" w:sz="8" w:color="CCEEFF"/>
            </w:tcBorders>
          </w:tcPr>
          <w:p>
            <w:pPr>
              <w:spacing w:after="0"/>
              <w:rPr>
                <w:sz w:val="15"/>
                <w:szCs w:val="15"/>
                <w:color w:val="auto"/>
              </w:rPr>
            </w:pPr>
          </w:p>
        </w:tc>
        <w:tc>
          <w:tcPr>
            <w:tcW w:w="18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left="1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and Disposal:</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East Tier</w:t>
            </w:r>
          </w:p>
        </w:tc>
        <w:tc>
          <w:tcPr>
            <w:tcW w:w="1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4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West Tier</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Ancillary</w:t>
            </w:r>
          </w:p>
        </w:tc>
        <w:tc>
          <w:tcPr>
            <w:tcW w:w="18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and Disposal</w:t>
            </w:r>
          </w:p>
        </w:tc>
        <w:tc>
          <w:tcPr>
            <w:tcW w:w="1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4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WM Renewable Energy</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Healthcare Solutions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41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4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4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Percentage of revenues</w:t>
            </w:r>
          </w:p>
        </w:tc>
        <w:tc>
          <w:tcPr>
            <w:tcW w:w="18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16.8</w:t>
            </w:r>
          </w:p>
        </w:tc>
        <w:tc>
          <w:tcPr>
            <w:tcW w:w="14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19.7</w:t>
            </w:r>
          </w:p>
        </w:tc>
        <w:tc>
          <w:tcPr>
            <w:tcW w:w="14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9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Percentage change does not provide a meaningful comparison.</w:t>
      </w:r>
    </w:p>
    <w:p>
      <w:pPr>
        <w:spacing w:after="0" w:line="117"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significant items affecting income from operations for our segments during the first quarter of 2025, as compared with the prior year period, are summarized below:</w:t>
      </w:r>
    </w:p>
    <w:p>
      <w:pPr>
        <w:spacing w:after="0" w:line="160"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Collection and Disposal </w:t>
      </w:r>
      <w:r>
        <w:rPr>
          <w:rFonts w:ascii="Times New Roman" w:cs="Times New Roman" w:eastAsia="Times New Roman" w:hAnsi="Times New Roman"/>
          <w:sz w:val="18"/>
          <w:szCs w:val="18"/>
          <w:color w:val="auto"/>
        </w:rPr>
        <w:t>— Income from operations in our Collection and Disposal businesses increased primarily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 revenue growth from price increases, which translate into increased yield or average unit price; (ii) special waste volume in our West Tier, which was favorably impacted by the wildfire clean-up activities and (iii) actions to improve the</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33" w:name="page34"/>
    <w:bookmarkEnd w:id="33"/>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efficiency and operating costs incurred to serve our customers. These increases were partially offset by a decline in industrial collection volumes primarily due to lower contributions from temporary business.</w:t>
      </w:r>
    </w:p>
    <w:p>
      <w:pPr>
        <w:spacing w:after="0" w:line="160" w:lineRule="exact"/>
        <w:rPr>
          <w:sz w:val="20"/>
          <w:szCs w:val="20"/>
          <w:color w:val="auto"/>
        </w:rPr>
      </w:pPr>
    </w:p>
    <w:p>
      <w:pPr>
        <w:jc w:val="both"/>
        <w:ind w:left="60" w:right="59" w:firstLine="324"/>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Recycling Processing and Sales </w:t>
      </w:r>
      <w:r>
        <w:rPr>
          <w:rFonts w:ascii="Times New Roman" w:cs="Times New Roman" w:eastAsia="Times New Roman" w:hAnsi="Times New Roman"/>
          <w:sz w:val="17"/>
          <w:szCs w:val="17"/>
          <w:color w:val="auto"/>
        </w:rPr>
        <w:t>— Income from operations in Recycling Processing and Sales was essentially flat year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over year. While certain costs attributable to maintenance and repairs and lease termination increased, we benefitted from the automation of our recycling facilities as well as investments in new facilities and improvements in commodity pricing.</w:t>
      </w:r>
    </w:p>
    <w:p>
      <w:pPr>
        <w:spacing w:after="0" w:line="155" w:lineRule="exact"/>
        <w:rPr>
          <w:sz w:val="20"/>
          <w:szCs w:val="20"/>
          <w:color w:val="auto"/>
        </w:rPr>
      </w:pPr>
    </w:p>
    <w:p>
      <w:pPr>
        <w:jc w:val="both"/>
        <w:ind w:left="60" w:right="7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WM Renewable Energy </w:t>
      </w:r>
      <w:r>
        <w:rPr>
          <w:rFonts w:ascii="Times New Roman" w:cs="Times New Roman" w:eastAsia="Times New Roman" w:hAnsi="Times New Roman"/>
          <w:sz w:val="18"/>
          <w:szCs w:val="18"/>
          <w:color w:val="auto"/>
        </w:rPr>
        <w:t>— The decrease in income from operations in WM Renewable Energy was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value and quantity of RINs sold partially offset by an increase in energy prices related to extreme winter weather.</w:t>
      </w:r>
    </w:p>
    <w:p>
      <w:pPr>
        <w:spacing w:after="0" w:line="15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WM Healthcare Solutions </w:t>
      </w:r>
      <w:r>
        <w:rPr>
          <w:rFonts w:ascii="Times New Roman" w:cs="Times New Roman" w:eastAsia="Times New Roman" w:hAnsi="Times New Roman"/>
          <w:sz w:val="18"/>
          <w:szCs w:val="18"/>
          <w:color w:val="auto"/>
        </w:rPr>
        <w:t>– Our WM Healthcare Solutions segment generated a loss of $25 million during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2025, which was largely attributable to (i) depreciation and amortization expenses and (ii) integration related expenses. There was no activity for this segment during the first quarter of 2024, as Stericycle was acquired in November 2024.</w:t>
      </w:r>
    </w:p>
    <w:p>
      <w:pPr>
        <w:spacing w:after="0" w:line="180"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Corporate and Other </w:t>
      </w:r>
      <w:r>
        <w:rPr>
          <w:rFonts w:ascii="Times New Roman" w:cs="Times New Roman" w:eastAsia="Times New Roman" w:hAnsi="Times New Roman"/>
          <w:sz w:val="18"/>
          <w:szCs w:val="18"/>
          <w:color w:val="auto"/>
        </w:rPr>
        <w:t>— The decrease in income from operations was primarily driven by (i) integration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consulting fees in connection with our recent Stericycle acquisition and (ii) an increase in risk management expenses as referenced in </w:t>
      </w: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xml:space="preserve"> above.</w:t>
      </w:r>
    </w:p>
    <w:p>
      <w:pPr>
        <w:spacing w:after="0" w:line="1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jc w:val="both"/>
        <w:ind w:left="60" w:right="59" w:firstLine="259"/>
        <w:spacing w:after="0" w:line="250" w:lineRule="auto"/>
        <w:rPr>
          <w:sz w:val="20"/>
          <w:szCs w:val="20"/>
          <w:color w:val="auto"/>
        </w:rPr>
      </w:pPr>
      <w:r>
        <w:rPr>
          <w:rFonts w:ascii="Times New Roman" w:cs="Times New Roman" w:eastAsia="Times New Roman" w:hAnsi="Times New Roman"/>
          <w:sz w:val="18"/>
          <w:szCs w:val="18"/>
          <w:color w:val="auto"/>
        </w:rPr>
        <w:t>Our interest expense, net was $232 million and $130 million during the three months ended March 31, 2025 and 2024, respectively. The increase is primarily related to an increase in our average debt balances to fund our November 2024 acquisition of Stericycle.</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income tax expense and effective income tax rates were $151 million, or 19.2%, and $162 million, or 18.6%, for the three months ended March 31, 2025 and 2024, respectively. See Note 4 to the Condensed Consolidated Financial Statements for more information related to income taxes.</w:t>
      </w:r>
    </w:p>
    <w:p>
      <w:pPr>
        <w:spacing w:after="0" w:line="174"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Tax Legislation </w:t>
      </w:r>
      <w:r>
        <w:rPr>
          <w:rFonts w:ascii="Times New Roman" w:cs="Times New Roman" w:eastAsia="Times New Roman" w:hAnsi="Times New Roman"/>
          <w:sz w:val="18"/>
          <w:szCs w:val="18"/>
          <w:color w:val="auto"/>
        </w:rPr>
        <w:t>— The Inflation Reduction Act of 2022 (“IRA”) contains several tax-related provisions,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(i) alternative fuel tax credits; (ii) tax incentives for investments in renewable energy production, carbon capture and other climate actions and (iii) the overall measurement of corporate income taxes. Given the complexity and uncertainty around the applicability of the legislation to our specific facts and circumstances, we continue to analyze the IRA provisions to identify and quantify potential opportunities and applicable benefits included in the legislation. The provisions of the IRA concerning investment tax credits are expected to generate a cumulative benefit ranging from $300 million to $400 million, $145 million of which was recognized in 2023 and 2024 with the remainder anticipated to be realized in 2025 and 2026. The expected benefit from the investment tax credit for 2025 and 2026 is dependent on a number of estimates and assumptions, including the timing of project completion. Additionally, we expect that the production tax credit incentives for investments in renewable energy and carbon capture, as expanded by the IRA, could result in an incremental benefit to the Company, although at this time, the anticipated amount of such benefit has not been quantified due, in part, to the lack of regulatory guidance.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Company consistently generates cash flow from operations that meets and exceeds our working capital needs, allows for payment of our dividends, investment in the business through capital expenditures and tuck-in acquisitions and funding of strategic sustainability growth investments. We continually monitor our actual and forecasted cash flows, our liquidity and our capital resources, enabling us to plan for our present needs and fund unbudgeted business requirements that may arise during the year. The Company believes that its investment grade credit ratings, diverse investor base, large value of unencumbered assets and modest leverage enable it to obtain adequate financing, and refinance upcoming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4" w:name="page35"/>
    <w:bookmarkEnd w:id="34"/>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maturities, as necessary to meet its ongoing capital, operating, strategic and other liquidity requirements. We also have the ability to manage liquidity during periods of significant financial market disruption through temporary modification of our capital expenditure and share repurchase plans.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and Cash Equivalents, Restricted Funds and Debt Obligations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summary of our cash and cash equivalents, restricted funds and debt balances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394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0"/>
        </w:trPr>
        <w:tc>
          <w:tcPr>
            <w:tcW w:w="6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Restricted funds:</w:t>
            </w: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80" w:type="dxa"/>
            <w:vAlign w:val="bottom"/>
            <w:gridSpan w:val="3"/>
            <w:vMerge w:val="continue"/>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Insurance reserves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Final capping, closure, post-closure and environmental remediation funds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restricted funds (a)</w:t>
            </w:r>
          </w:p>
        </w:tc>
        <w:tc>
          <w:tcPr>
            <w:tcW w:w="7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Debt:</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Current portion</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0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portion</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7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79" w:hanging="330"/>
        <w:spacing w:after="0" w:line="282"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2025 and December 31, 2024, $100 million of these account balances were included in other current assets in our Condensed Consolidated Balance Sheets.</w:t>
      </w:r>
    </w:p>
    <w:p>
      <w:pPr>
        <w:spacing w:after="0" w:line="16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Debt — </w:t>
      </w:r>
      <w:r>
        <w:rPr>
          <w:rFonts w:ascii="Times New Roman" w:cs="Times New Roman" w:eastAsia="Times New Roman" w:hAnsi="Times New Roman"/>
          <w:sz w:val="18"/>
          <w:szCs w:val="18"/>
          <w:color w:val="auto"/>
        </w:rPr>
        <w:t>As of March 31, 2025, we had approximately $3.8 billion of debt maturing within the next 12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(i) $1.5 billion of short-term borrowings under our commercial paper program (net of related discount on issuance); (ii) $1.3 billion of tax-exempt bonds with term interest rate periods that expire within the next 12 months, which is prior to their scheduled maturities; (iii) $500 million of 0.75% senior notes that mature in November 2025 and (iv) $454 million of other debt with scheduled maturities within the next 12 months, including $298 million of tax exempt bonds. As of March 31, 2025, we have classified $2.8 billion of debt maturing in the next 12 months as long-term because we have the intent and ability to refinance these borrowings on a long-term basis as supported by the forecasted available capacity under our $3.5 billion long-term U.S. and Canadian revolving credit facility. The remaining $954 million of debt maturing in the next 12 months is classified as current obligations.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5" w:name="page36"/>
    <w:bookmarkEnd w:id="35"/>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Guarantor Financial Information</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WM Holdings has fully and unconditionally guaranteed all of WMI’s senior indebtedness. WMI has fully and unconditionally guaranteed all of WM Holdings’ senior indebtedness. None of WMI’s other subsidiaries have guaranteed any of WMI’s or WM Holdings’ debt. In lieu of providing separate financial statements for the subsidiary issuer and guarantor (WMI and WM Holdings), we have presented the accompanying supplemental summarized combined balance sheet and income statement information for WMI and WM Holdings on a combined basis after elimination of intercompany transactions between WMI and WM Holdings and amounts related to investments in any subsidiary that is a non-guarantor (in millions):</w:t>
      </w:r>
    </w:p>
    <w:p>
      <w:pPr>
        <w:spacing w:after="0" w:line="196" w:lineRule="exact"/>
        <w:rPr>
          <w:sz w:val="20"/>
          <w:szCs w:val="20"/>
          <w:color w:val="auto"/>
        </w:rPr>
      </w:pPr>
    </w:p>
    <w:p>
      <w:pPr>
        <w:ind w:left="6660"/>
        <w:spacing w:after="0"/>
        <w:tabs>
          <w:tab w:leader="none" w:pos="7760" w:val="left"/>
        </w:tabs>
        <w:rPr>
          <w:sz w:val="20"/>
          <w:szCs w:val="20"/>
          <w:color w:val="auto"/>
        </w:rPr>
      </w:pPr>
      <w:r>
        <w:rPr>
          <w:rFonts w:ascii="Times New Roman" w:cs="Times New Roman" w:eastAsia="Times New Roman" w:hAnsi="Times New Roman"/>
          <w:sz w:val="14"/>
          <w:szCs w:val="14"/>
          <w:b w:val="1"/>
          <w:bCs w:val="1"/>
          <w:color w:val="auto"/>
        </w:rPr>
        <w:t>March 31, 2025</w:t>
        <w:tab/>
        <w:t>December 31, 2024</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Information:</w:t>
            </w:r>
          </w:p>
        </w:tc>
        <w:tc>
          <w:tcPr>
            <w:tcW w:w="2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Advances due to affiliates</w:t>
            </w:r>
          </w:p>
        </w:tc>
        <w:tc>
          <w:tcPr>
            <w:tcW w:w="2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15,909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15,328</w:t>
            </w:r>
          </w:p>
        </w:tc>
      </w:tr>
      <w:tr>
        <w:trPr>
          <w:trHeight w:val="216"/>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20,464</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20,140</w:t>
            </w:r>
          </w:p>
        </w:tc>
      </w:tr>
      <w:tr>
        <w:trPr>
          <w:trHeight w:val="353"/>
        </w:trPr>
        <w:tc>
          <w:tcPr>
            <w:tcW w:w="6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66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0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Statement Information:</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34"/>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bl>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 Activity</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summary of our cash flows for the three months ended March 31 (in millions):</w:t>
      </w:r>
    </w:p>
    <w:p>
      <w:pPr>
        <w:spacing w:after="0" w:line="12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9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6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92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(829)</w:t>
            </w:r>
          </w:p>
        </w:tc>
        <w:tc>
          <w:tcPr>
            <w:tcW w:w="20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197"/>
        </w:trPr>
        <w:tc>
          <w:tcPr>
            <w:tcW w:w="69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(536)</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 </w:t>
      </w:r>
      <w:r>
        <w:rPr>
          <w:rFonts w:ascii="Times New Roman" w:cs="Times New Roman" w:eastAsia="Times New Roman" w:hAnsi="Times New Roman"/>
          <w:sz w:val="18"/>
          <w:szCs w:val="18"/>
          <w:color w:val="auto"/>
        </w:rPr>
        <w:t>Our operating cash flows decreased by $159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2025, as compared with the prior year period, driven by (i) higher cash interest due to additional debt incurred to fund our acquisition of Stericycle; (ii) unfavorable changes in working capital, net of effects of acquisitions and divestitures and (iii) higher annual incentive compensation payments. This decrease was partially offset by higher earnings in all of our segments, including the contributions from our recent acquisitions.</w:t>
      </w:r>
    </w:p>
    <w:p>
      <w:pPr>
        <w:spacing w:after="0" w:line="75"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 </w:t>
      </w:r>
      <w:r>
        <w:rPr>
          <w:rFonts w:ascii="Times New Roman" w:cs="Times New Roman" w:eastAsia="Times New Roman" w:hAnsi="Times New Roman"/>
          <w:sz w:val="18"/>
          <w:szCs w:val="18"/>
          <w:color w:val="auto"/>
        </w:rPr>
        <w:t>The most significant items included in our investing cash flows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2025 and 2024 are summarized below:</w:t>
      </w:r>
    </w:p>
    <w:p>
      <w:pPr>
        <w:spacing w:after="0" w:line="158" w:lineRule="exact"/>
        <w:rPr>
          <w:sz w:val="20"/>
          <w:szCs w:val="20"/>
          <w:color w:val="auto"/>
        </w:rPr>
      </w:pPr>
    </w:p>
    <w:p>
      <w:pPr>
        <w:jc w:val="both"/>
        <w:ind w:left="720" w:right="79" w:hanging="319"/>
        <w:spacing w:after="0" w:line="261"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 Expenditures — </w:t>
      </w:r>
      <w:r>
        <w:rPr>
          <w:rFonts w:ascii="Times New Roman" w:cs="Times New Roman" w:eastAsia="Times New Roman" w:hAnsi="Times New Roman"/>
          <w:sz w:val="18"/>
          <w:szCs w:val="18"/>
          <w:color w:val="auto"/>
        </w:rPr>
        <w:t>We used $831 million and $668 million for capital expenditures during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2025 and 2024, respectively. The increase in capital spending is primarily driven by (i) investments in capital assets such as trucks, landfills and equipment and (ii) capital expenditures within our WM Healthcare Solutions segment to support the business.</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Divestitures — </w:t>
      </w:r>
      <w:r>
        <w:rPr>
          <w:rFonts w:ascii="Times New Roman" w:cs="Times New Roman" w:eastAsia="Times New Roman" w:hAnsi="Times New Roman"/>
          <w:sz w:val="18"/>
          <w:szCs w:val="18"/>
          <w:color w:val="auto"/>
        </w:rPr>
        <w:t>Proceeds from divestitures of businesses and other assets, net of cash divested were $98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$15 million for the three months ended March 31, 2025 and 2024, respectively. Proceeds in 2025 primarily related to the sale of our WM Healthcare Solutions’ Spain and Portugal subsidiaries. The remaining 2025 and 2024 proceeds were from the sale of certain non-strategic assets.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36" w:name="page37"/>
    <w:bookmarkEnd w:id="36"/>
    <w:p>
      <w:pPr>
        <w:jc w:val="both"/>
        <w:ind w:left="720" w:right="79" w:hanging="319"/>
        <w:spacing w:after="0" w:line="261"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Net — </w:t>
      </w:r>
      <w:r>
        <w:rPr>
          <w:rFonts w:ascii="Times New Roman" w:cs="Times New Roman" w:eastAsia="Times New Roman" w:hAnsi="Times New Roman"/>
          <w:sz w:val="18"/>
          <w:szCs w:val="18"/>
          <w:color w:val="auto"/>
        </w:rPr>
        <w:t>The year-over-year changes in other investing activities were primarily driven by changes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portfolio associated with a wholly-owned insurance captive. During the three months ended March 31, 2025 and 2024, we used $92 million and $90 million, respectively, of cash from restricted cash and cash equivalents to invest in available-for-sale securities.</w:t>
      </w:r>
    </w:p>
    <w:p>
      <w:pPr>
        <w:spacing w:after="0" w:line="72" w:lineRule="exact"/>
        <w:rPr>
          <w:sz w:val="20"/>
          <w:szCs w:val="20"/>
          <w:color w:val="auto"/>
        </w:rPr>
      </w:pPr>
    </w:p>
    <w:p>
      <w:pPr>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Cash Used in Financing Activities — </w:t>
      </w:r>
      <w:r>
        <w:rPr>
          <w:rFonts w:ascii="Times New Roman" w:cs="Times New Roman" w:eastAsia="Times New Roman" w:hAnsi="Times New Roman"/>
          <w:sz w:val="18"/>
          <w:szCs w:val="18"/>
          <w:color w:val="auto"/>
        </w:rPr>
        <w:t>The most significant items affecting the comparison of our financing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flows for the three months ended March 31, 2025 and 2024 are summarized below:</w:t>
      </w:r>
    </w:p>
    <w:p>
      <w:pPr>
        <w:spacing w:after="0" w:line="50" w:lineRule="exact"/>
        <w:rPr>
          <w:sz w:val="20"/>
          <w:szCs w:val="20"/>
          <w:color w:val="auto"/>
        </w:rPr>
      </w:pPr>
    </w:p>
    <w:p>
      <w:pPr>
        <w:ind w:left="720" w:right="79" w:hanging="319"/>
        <w:spacing w:after="0" w:line="284"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Debt Borrowings and Repayments — </w:t>
      </w:r>
      <w:r>
        <w:rPr>
          <w:rFonts w:ascii="Times New Roman" w:cs="Times New Roman" w:eastAsia="Times New Roman" w:hAnsi="Times New Roman"/>
          <w:sz w:val="18"/>
          <w:szCs w:val="18"/>
          <w:color w:val="auto"/>
        </w:rPr>
        <w:t>The following summarizes our cash borrowings and repayments of debt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March 31 (in millions):</w:t>
      </w:r>
    </w:p>
    <w:p>
      <w:pPr>
        <w:spacing w:after="0" w:line="59" w:lineRule="exact"/>
        <w:rPr>
          <w:sz w:val="20"/>
          <w:szCs w:val="20"/>
          <w:color w:val="auto"/>
        </w:rPr>
      </w:pPr>
    </w:p>
    <w:tbl>
      <w:tblPr>
        <w:tblLayout w:type="fixed"/>
        <w:tblInd w:w="700" w:type="dxa"/>
        <w:tblCellMar>
          <w:top w:w="0" w:type="dxa"/>
          <w:left w:w="0" w:type="dxa"/>
          <w:bottom w:w="0" w:type="dxa"/>
          <w:right w:w="0" w:type="dxa"/>
        </w:tblCellMar>
      </w:tblPr>
      <w:tr>
        <w:trPr>
          <w:trHeight w:val="173"/>
        </w:trPr>
        <w:tc>
          <w:tcPr>
            <w:tcW w:w="56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w:t>
            </w:r>
          </w:p>
        </w:tc>
      </w:tr>
      <w:tr>
        <w:trPr>
          <w:trHeight w:val="216"/>
        </w:trPr>
        <w:tc>
          <w:tcPr>
            <w:tcW w:w="5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w:t>
            </w:r>
          </w:p>
        </w:tc>
        <w:tc>
          <w:tcPr>
            <w:tcW w:w="1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w:t>
            </w:r>
          </w:p>
        </w:tc>
      </w:tr>
      <w:tr>
        <w:trPr>
          <w:trHeight w:val="209"/>
        </w:trPr>
        <w:tc>
          <w:tcPr>
            <w:tcW w:w="5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Repayments</w:t>
            </w: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w:t>
            </w:r>
          </w:p>
        </w:tc>
      </w:tr>
      <w:tr>
        <w:trPr>
          <w:trHeight w:val="216"/>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notes</w:t>
            </w: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(422)</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debt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9"/>
        </w:trPr>
        <w:tc>
          <w:tcPr>
            <w:tcW w:w="56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(4,570)</w:t>
            </w:r>
          </w:p>
        </w:tc>
      </w:tr>
      <w:tr>
        <w:trPr>
          <w:trHeight w:val="210"/>
        </w:trPr>
        <w:tc>
          <w:tcPr>
            <w:tcW w:w="5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i w:val="1"/>
                <w:iCs w:val="1"/>
                <w:color w:val="auto"/>
              </w:rPr>
              <w:t>Net cash borrowings (repayments)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0"/>
        </w:trPr>
        <w:tc>
          <w:tcPr>
            <w:tcW w:w="5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right="59"/>
        <w:spacing w:after="0" w:line="282" w:lineRule="auto"/>
        <w:rPr>
          <w:sz w:val="20"/>
          <w:szCs w:val="20"/>
          <w:color w:val="auto"/>
        </w:rPr>
      </w:pPr>
      <w:r>
        <w:rPr>
          <w:rFonts w:ascii="Times New Roman" w:cs="Times New Roman" w:eastAsia="Times New Roman" w:hAnsi="Times New Roman"/>
          <w:sz w:val="18"/>
          <w:szCs w:val="18"/>
          <w:color w:val="auto"/>
        </w:rPr>
        <w:t>Refer to Note 3 to the Condensed Consolidated Financial Statements for additional information related to our debt borrowings and repayments.</w:t>
      </w:r>
    </w:p>
    <w:p>
      <w:pPr>
        <w:spacing w:after="0" w:line="52" w:lineRule="exact"/>
        <w:rPr>
          <w:sz w:val="20"/>
          <w:szCs w:val="20"/>
          <w:color w:val="auto"/>
        </w:rPr>
      </w:pPr>
    </w:p>
    <w:p>
      <w:pPr>
        <w:jc w:val="both"/>
        <w:ind w:left="720" w:right="79" w:hanging="319"/>
        <w:spacing w:after="0" w:line="258"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Common Stock Repurchase Program — </w:t>
      </w:r>
      <w:r>
        <w:rPr>
          <w:rFonts w:ascii="Times New Roman" w:cs="Times New Roman" w:eastAsia="Times New Roman" w:hAnsi="Times New Roman"/>
          <w:sz w:val="18"/>
          <w:szCs w:val="18"/>
          <w:color w:val="auto"/>
        </w:rPr>
        <w:t>During the three months ended March 31, 2024, we used $250 million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shares of our common stock under accelerated share repurchase agreements. In the fourth quarter of 2024, we announced our temporary suspension of share repurchase activity as a result of the acquisition of Stericycle. We expect to resume share repurchases once the Company’s leverage returns to targeted levels, which is currently projected to be about 18 months after the November 2024 acquisition of Stericycle.</w:t>
      </w:r>
    </w:p>
    <w:p>
      <w:pPr>
        <w:spacing w:after="0" w:line="75"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Dividends — </w:t>
      </w:r>
      <w:r>
        <w:rPr>
          <w:rFonts w:ascii="Times New Roman" w:cs="Times New Roman" w:eastAsia="Times New Roman" w:hAnsi="Times New Roman"/>
          <w:sz w:val="18"/>
          <w:szCs w:val="18"/>
          <w:color w:val="auto"/>
        </w:rPr>
        <w:t>For the periods presented, all dividends have been declared by our Board of Directors.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cash dividends of $336 million and $307 million during the three months ended March 31, 2025 and 2024, respectively. The increase in dividend payments is primarily due to our quarterly per share dividend increasing from $0.75 in 2024 to $0.825 in 2025.</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We believe free cash flow gives investors useful insight into how we view our liquidity, but the use of free cash flow as a liquidity measure has material limitations because it excludes certain expenditures that are required or that we have committed to, such as declared dividend payments and debt service requirements.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91" w:right="1440" w:bottom="1440" w:gutter="0" w:footer="0" w:header="0"/>
        </w:sectPr>
      </w:pPr>
    </w:p>
    <w:bookmarkStart w:id="37" w:name="page38"/>
    <w:bookmarkEnd w:id="37"/>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calculation of free cash flow and reconciliation to net cash provided by operating activities for the three months ended March 31, 2025 and 2024 is shown in the table below (in millions) and may not be calculated the same as similarly-titled measures presented by other companies:</w:t>
      </w:r>
    </w:p>
    <w:p>
      <w:pPr>
        <w:spacing w:after="0" w:line="7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402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r>
      <w:tr>
        <w:trPr>
          <w:trHeight w:val="216"/>
        </w:trPr>
        <w:tc>
          <w:tcPr>
            <w:tcW w:w="20" w:type="dxa"/>
            <w:vAlign w:val="bottom"/>
          </w:tcPr>
          <w:p>
            <w:pPr>
              <w:spacing w:after="0"/>
              <w:rPr>
                <w:sz w:val="18"/>
                <w:szCs w:val="18"/>
                <w:color w:val="auto"/>
              </w:rPr>
            </w:pPr>
          </w:p>
        </w:tc>
        <w:tc>
          <w:tcPr>
            <w:tcW w:w="6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Capital expenditures to support the business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Capital expenditures - sustainability growth investments (a)</w:t>
            </w:r>
          </w:p>
        </w:tc>
        <w:tc>
          <w:tcPr>
            <w:tcW w:w="6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09"/>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divestitures of businesses and other assets, net of cash divested</w:t>
            </w:r>
          </w:p>
        </w:tc>
        <w:tc>
          <w:tcPr>
            <w:tcW w:w="6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0"/>
        </w:trPr>
        <w:tc>
          <w:tcPr>
            <w:tcW w:w="20" w:type="dxa"/>
            <w:vAlign w:val="bottom"/>
          </w:tcPr>
          <w:p>
            <w:pPr>
              <w:spacing w:after="0"/>
              <w:rPr>
                <w:sz w:val="18"/>
                <w:szCs w:val="18"/>
                <w:color w:val="auto"/>
              </w:rPr>
            </w:pPr>
          </w:p>
        </w:tc>
        <w:tc>
          <w:tcPr>
            <w:tcW w:w="6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Free cash flow</w:t>
            </w:r>
          </w:p>
        </w:tc>
        <w:tc>
          <w:tcPr>
            <w:tcW w:w="62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r>
    </w:tbl>
    <w:p>
      <w:pPr>
        <w:spacing w:after="0" w:line="76" w:lineRule="exact"/>
        <w:rPr>
          <w:sz w:val="20"/>
          <w:szCs w:val="20"/>
          <w:color w:val="auto"/>
        </w:rPr>
      </w:pPr>
    </w:p>
    <w:p>
      <w:pPr>
        <w:jc w:val="both"/>
        <w:ind w:left="380" w:right="79" w:hanging="330"/>
        <w:spacing w:after="0" w:line="266"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growth investments are intended to further our sustainability leadership position by increasing recycling volumes and growing renewable natural gas generation. We expect they will deliver circular solutions for our customers and drive environmental value to the communities we serve.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 and Assumptions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intangible asset impairments and the fair value of assets and liabilities acquired in business combinations, as described in Item 7 of our Annual Report on Form 10-K for the year ended December 31, 2024. Actual results could differ materially from the estimates and assumptions that we use in the preparation of our financial statements.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Seasonal Trends</w:t>
      </w:r>
    </w:p>
    <w:p>
      <w:pPr>
        <w:spacing w:after="0" w:line="216" w:lineRule="exact"/>
        <w:rPr>
          <w:sz w:val="20"/>
          <w:szCs w:val="20"/>
          <w:color w:val="auto"/>
        </w:rPr>
      </w:pPr>
    </w:p>
    <w:p>
      <w:pPr>
        <w:jc w:val="both"/>
        <w:ind w:left="80" w:right="59" w:firstLine="324"/>
        <w:spacing w:after="0"/>
        <w:rPr>
          <w:sz w:val="20"/>
          <w:szCs w:val="20"/>
          <w:color w:val="auto"/>
        </w:rPr>
      </w:pPr>
      <w:r>
        <w:rPr>
          <w:rFonts w:ascii="Times New Roman" w:cs="Times New Roman" w:eastAsia="Times New Roman" w:hAnsi="Times New Roman"/>
          <w:sz w:val="18"/>
          <w:szCs w:val="18"/>
          <w:color w:val="auto"/>
        </w:rPr>
        <w:t>Our financial and operating results may fluctuate for many reasons, including period-to-period changes in the relative contribution of revenue by each line of business, changes in commodity prices and general economic conditions. Our operating revenues and volumes typically experience seasonal increases in the summer months that are reflected in second and third quarter revenues and results of operations.</w:t>
      </w:r>
    </w:p>
    <w:p>
      <w:pPr>
        <w:spacing w:after="0" w:line="185" w:lineRule="exact"/>
        <w:rPr>
          <w:sz w:val="20"/>
          <w:szCs w:val="20"/>
          <w:color w:val="auto"/>
        </w:rPr>
      </w:pPr>
    </w:p>
    <w:p>
      <w:pPr>
        <w:jc w:val="both"/>
        <w:ind w:left="80" w:right="59" w:firstLine="324"/>
        <w:spacing w:after="0"/>
        <w:rPr>
          <w:sz w:val="20"/>
          <w:szCs w:val="20"/>
          <w:color w:val="auto"/>
        </w:rPr>
      </w:pPr>
      <w:r>
        <w:rPr>
          <w:rFonts w:ascii="Times New Roman" w:cs="Times New Roman" w:eastAsia="Times New Roman" w:hAnsi="Times New Roman"/>
          <w:sz w:val="18"/>
          <w:szCs w:val="18"/>
          <w:color w:val="auto"/>
        </w:rPr>
        <w:t>Service or operational disruptions caused by severe storms, extended periods of inclement weather or climate events can significantly affect the operating results of the geographic areas affected. Extreme weather events may also lead to supply chain disruption and delayed project development, or disruption of our customers’ businesses, reducing the amount of waste generated by their operations.</w:t>
      </w:r>
    </w:p>
    <w:p>
      <w:pPr>
        <w:spacing w:after="0" w:line="185" w:lineRule="exact"/>
        <w:rPr>
          <w:sz w:val="20"/>
          <w:szCs w:val="20"/>
          <w:color w:val="auto"/>
        </w:rPr>
      </w:pPr>
    </w:p>
    <w:p>
      <w:pPr>
        <w:jc w:val="both"/>
        <w:ind w:left="60" w:right="59" w:firstLine="324"/>
        <w:spacing w:after="0" w:line="239" w:lineRule="auto"/>
        <w:rPr>
          <w:sz w:val="20"/>
          <w:szCs w:val="20"/>
          <w:color w:val="auto"/>
        </w:rPr>
      </w:pPr>
      <w:r>
        <w:rPr>
          <w:rFonts w:ascii="Times New Roman" w:cs="Times New Roman" w:eastAsia="Times New Roman" w:hAnsi="Times New Roman"/>
          <w:sz w:val="18"/>
          <w:szCs w:val="18"/>
          <w:color w:val="auto"/>
        </w:rPr>
        <w:t>Conversely,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 While weather-related and other event-driven special projects can boost revenues through additional work for a limited time, due to significant start-up costs and other factors, such revenue can generate earnings at comparatively lower margins.</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16" w:lineRule="exact"/>
        <w:rPr>
          <w:sz w:val="20"/>
          <w:szCs w:val="20"/>
          <w:color w:val="auto"/>
        </w:rPr>
      </w:pPr>
    </w:p>
    <w:p>
      <w:pPr>
        <w:jc w:val="both"/>
        <w:ind w:left="80" w:right="59" w:firstLine="324"/>
        <w:spacing w:after="0" w:line="239" w:lineRule="auto"/>
        <w:rPr>
          <w:sz w:val="20"/>
          <w:szCs w:val="20"/>
          <w:color w:val="auto"/>
        </w:rPr>
      </w:pPr>
      <w:r>
        <w:rPr>
          <w:rFonts w:ascii="Times New Roman" w:cs="Times New Roman" w:eastAsia="Times New Roman" w:hAnsi="Times New Roman"/>
          <w:sz w:val="18"/>
          <w:szCs w:val="18"/>
          <w:color w:val="auto"/>
        </w:rPr>
        <w:t>Variability in economic conditions, including inflation, interest rates, employment trends and supply chain reliability, can create risk and uncertainty in financial outlook. We take proactive steps to recover and mitigate inflationary cost pressures through our overall pricing efforts and by managing our costs through efficiency, labor productivity and investments in technology to automate certain aspects of our business. These efforts may not be successful for various reasons including the pace of inflation, operating cost inefficiencies, market responses and contractual limitations, such</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8" w:name="page39"/>
    <w:bookmarkEnd w:id="38"/>
    <w:p>
      <w:pPr>
        <w:ind w:left="80" w:right="79"/>
        <w:spacing w:after="0" w:line="266" w:lineRule="auto"/>
        <w:rPr>
          <w:sz w:val="20"/>
          <w:szCs w:val="20"/>
          <w:color w:val="auto"/>
        </w:rPr>
      </w:pPr>
      <w:r>
        <w:rPr>
          <w:rFonts w:ascii="Times New Roman" w:cs="Times New Roman" w:eastAsia="Times New Roman" w:hAnsi="Times New Roman"/>
          <w:sz w:val="18"/>
          <w:szCs w:val="18"/>
          <w:color w:val="auto"/>
        </w:rPr>
        <w:t>as the timing lag in our ability to recover increased costs under certain contracts that are tied to a price escalation index with a lookback provision.</w:t>
      </w:r>
    </w:p>
    <w:p>
      <w:pPr>
        <w:spacing w:after="0" w:line="172"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Information about market risks as of March 31, 2025 does not materially differ from that discussed under Item 7A in our Annual Report on Form 10-K for the year ended December 31, 2024.</w:t>
      </w:r>
    </w:p>
    <w:p>
      <w:pPr>
        <w:spacing w:after="0" w:line="158"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Effectiveness of Disclosure Controls and Procedures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and financial officers, has evaluated the effectiveness of our disclosure controls and procedures (as defined in Rules 13a-15(e) and 15d-15(e) of the Securities Exchange Act of 1934, as amended (the “Exchange Act”)) in ensuring that the information required to be disclosed in reports that we file or submit under the Exchange Act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March 31, 2025 (the end of the period covered by this Quarterly Report on Form 10-Q) at a reasonable assurance level.</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Management, together with our CEO and CFO, evaluated the changes in our internal control over financial reporting during the quarter ended March 31, 2025. We determined that there were no changes in our internal control over financial reporting during the quarter ended March 31, 2025 that have materially affected, or are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7"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color w:val="auto"/>
        </w:rPr>
        <w:t xml:space="preserve">Information regarding our legal proceedings can be found under the </w:t>
      </w:r>
      <w:r>
        <w:rPr>
          <w:rFonts w:ascii="Times New Roman" w:cs="Times New Roman" w:eastAsia="Times New Roman" w:hAnsi="Times New Roman"/>
          <w:sz w:val="18"/>
          <w:szCs w:val="18"/>
          <w:i w:val="1"/>
          <w:iCs w:val="1"/>
          <w:color w:val="auto"/>
        </w:rPr>
        <w:t>Environmental Matters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sections of Note 6 to the Condensed Consolidated Financial Statements.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Part I, Item 1A of our Annual Report on Form 10-K for the year ended December 31,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864"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Defaults Upon Senior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Information concerning mine safety and other regulatory matters required by Section 1503(a) of the Dodd-Frank Wall Street Reform and Consumer Protection Act and Item 104 of Regulation S-K is included in Exhibit 95 to this quarterly report.</w:t>
      </w: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February 25, 2025, Mr. Rafael E. Carrasco, Senior Vice President — Enterprise Strategy and President — WM Healthcare Solutions, adopted a stock trading plan (the “Carrasco Plan”) intended to satisfy the affirmative defense of Rule 10b5-1(c) under the Exchange Act. The Carrasco Plan will commence on May 27, 2025 and will automatically terminate on the earlier of May 22, 2026 and the completion of all the contemplated transactions set forth therein. The Carrasco Plan provides for the potential cashless exercise of three vested stock option awards totaling 5,792 stock options, upon our common stock reaching specified market prices, pursuant to which shares of common stock will be sold to cover the option exercise price, tax obligations, commissions and fees. The Carrasco Plan then provides instructions to sell 50% of the shares of common stock resulting from each cashless option exercise after settlement and Mr. Carrasco will continue to hold the remaining 50% of the shares.</w:t>
      </w:r>
    </w:p>
    <w:p>
      <w:pPr>
        <w:spacing w:after="0" w:line="18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February 27, 2025, James C. Fish, Jr., President, Chief Executive Officer and member of our Board of Directors, adopted a written net share settlement plan (the “Fish Plan”). The Fish Plan went into effect on the date of adoption and was not intended to satisfy the affirmative defense of Rule 10b5-1(c) under the Exchange Act. The Fish Plan provided that upon (i) the vesting of 22,063 and 19,805 stock options on March 1, 2025 and March 7, 2025, respectively and (ii) our common stock reaching a specified market price on or before March 7, 2025, the Company would exercise the options and withhold shares of common stock necessary to cover the option exercise price and tax obligations. The options were automatically exercised pursuant to the terms of the Fish Plan and all remaining shares of common stock resulting from the option exercises after the net share settlement process were delivered to Mr. Fish.</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40" w:name="page41"/>
    <w:bookmarkEnd w:id="40"/>
    <w:tbl>
      <w:tblPr>
        <w:tblLayout w:type="fixed"/>
        <w:tblInd w:w="40" w:type="dxa"/>
        <w:tblCellMar>
          <w:top w:w="0" w:type="dxa"/>
          <w:left w:w="0" w:type="dxa"/>
          <w:bottom w:w="0" w:type="dxa"/>
          <w:right w:w="0" w:type="dxa"/>
        </w:tblCellMar>
      </w:tblPr>
      <w:tr>
        <w:trPr>
          <w:trHeight w:val="198"/>
        </w:trPr>
        <w:tc>
          <w:tcPr>
            <w:tcW w:w="11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Item 6. </w:t>
            </w:r>
            <w:r>
              <w:rPr>
                <w:rFonts w:ascii="Times New Roman" w:cs="Times New Roman" w:eastAsia="Times New Roman" w:hAnsi="Times New Roman"/>
                <w:sz w:val="16"/>
                <w:szCs w:val="16"/>
                <w:b w:val="1"/>
                <w:bCs w:val="1"/>
                <w:i w:val="1"/>
                <w:iCs w:val="1"/>
                <w:color w:val="auto"/>
              </w:rPr>
              <w:t>Exhibits.</w:t>
            </w: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8"/>
        </w:trPr>
        <w:tc>
          <w:tcPr>
            <w:tcW w:w="11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640" w:type="dxa"/>
            <w:vAlign w:val="bottom"/>
            <w:gridSpan w:val="8"/>
          </w:tcPr>
          <w:p>
            <w:pPr>
              <w:ind w:left="3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90"/>
        </w:trPr>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77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Form of 2025 Long Term Incentive Compensation PSU Award Agreement [Incorporated by reference to</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gridSpan w:val="13"/>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Exhibit 10.1 to Form 8-K filed February 28, 2025].</w:t>
              </w:r>
            </w:hyperlink>
          </w:p>
        </w:tc>
      </w:tr>
      <w:tr>
        <w:trPr>
          <w:trHeight w:val="20"/>
        </w:trPr>
        <w:tc>
          <w:tcPr>
            <w:tcW w:w="9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24"/>
                <w:szCs w:val="24"/>
                <w:color w:val="auto"/>
              </w:rPr>
            </w:pPr>
          </w:p>
        </w:tc>
        <w:tc>
          <w:tcPr>
            <w:tcW w:w="77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Form of 2025 Long Term Incentive Compensation Stock Option Award Agreement [Incorporated by</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gridSpan w:val="13"/>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reference to Exhibit 10.2 to Form 8-K filed February 28, 2025].</w:t>
              </w:r>
            </w:hyperlink>
          </w:p>
        </w:tc>
      </w:tr>
      <w:tr>
        <w:trPr>
          <w:trHeight w:val="20"/>
        </w:trPr>
        <w:tc>
          <w:tcPr>
            <w:tcW w:w="9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24"/>
                <w:szCs w:val="24"/>
                <w:color w:val="auto"/>
              </w:rPr>
            </w:pPr>
          </w:p>
        </w:tc>
        <w:tc>
          <w:tcPr>
            <w:tcW w:w="77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Form of 2025 Executive Officer Annual Incentive Award Agreement [Incorporated by reference to Exhibit</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3</w:t>
              </w:r>
              <w:r>
                <w:rPr>
                  <w:rFonts w:ascii="Times New Roman" w:cs="Times New Roman" w:eastAsia="Times New Roman" w:hAnsi="Times New Roman"/>
                  <w:sz w:val="18"/>
                  <w:szCs w:val="18"/>
                  <w:color w:val="0000EE"/>
                  <w:w w:val="99"/>
                </w:rPr>
                <w:t xml:space="preserve"> to Form 8-K filed February 28, 2025].</w:t>
              </w:r>
            </w:hyperlink>
          </w:p>
        </w:tc>
        <w:tc>
          <w:tcPr>
            <w:tcW w:w="4640" w:type="dxa"/>
            <w:vAlign w:val="bottom"/>
            <w:gridSpan w:val="8"/>
          </w:tcPr>
          <w:p>
            <w:pPr>
              <w:spacing w:after="0"/>
              <w:rPr>
                <w:sz w:val="17"/>
                <w:szCs w:val="17"/>
                <w:color w:val="auto"/>
              </w:rPr>
            </w:pPr>
          </w:p>
        </w:tc>
      </w:tr>
      <w:tr>
        <w:trPr>
          <w:trHeight w:val="318"/>
        </w:trPr>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77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Form of 2025 Long Term Incentive Compensation RSU Award Agreement.</w:t>
            </w:r>
          </w:p>
        </w:tc>
      </w:tr>
      <w:tr>
        <w:trPr>
          <w:trHeight w:val="318"/>
        </w:trPr>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22.1*</w:t>
            </w:r>
          </w:p>
        </w:tc>
        <w:tc>
          <w:tcPr>
            <w:tcW w:w="220" w:type="dxa"/>
            <w:vAlign w:val="bottom"/>
          </w:tcPr>
          <w:p>
            <w:pPr>
              <w:spacing w:after="0"/>
              <w:rPr>
                <w:sz w:val="24"/>
                <w:szCs w:val="24"/>
                <w:color w:val="auto"/>
              </w:rPr>
            </w:pPr>
          </w:p>
        </w:tc>
        <w:tc>
          <w:tcPr>
            <w:tcW w:w="544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Guarantor Subsidiary.</w:t>
            </w:r>
          </w:p>
        </w:tc>
        <w:tc>
          <w:tcPr>
            <w:tcW w:w="2320" w:type="dxa"/>
            <w:vAlign w:val="bottom"/>
            <w:gridSpan w:val="3"/>
          </w:tcPr>
          <w:p>
            <w:pPr>
              <w:spacing w:after="0"/>
              <w:rPr>
                <w:sz w:val="24"/>
                <w:szCs w:val="24"/>
                <w:color w:val="auto"/>
              </w:rPr>
            </w:pPr>
          </w:p>
        </w:tc>
      </w:tr>
      <w:tr>
        <w:trPr>
          <w:trHeight w:val="20"/>
        </w:trPr>
        <w:tc>
          <w:tcPr>
            <w:tcW w:w="9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4"/>
                <w:szCs w:val="24"/>
                <w:color w:val="auto"/>
              </w:rPr>
            </w:pPr>
          </w:p>
        </w:tc>
        <w:tc>
          <w:tcPr>
            <w:tcW w:w="77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Certification Pursuant to Rules 13a-14(a) and 15d-14(a) under the Securities Exchange Act of 1934 of</w:t>
            </w: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James C. Fish, Jr., President and Chief Executive Officer.</w:t>
            </w:r>
          </w:p>
        </w:tc>
        <w:tc>
          <w:tcPr>
            <w:tcW w:w="3620" w:type="dxa"/>
            <w:vAlign w:val="bottom"/>
            <w:gridSpan w:val="6"/>
          </w:tcPr>
          <w:p>
            <w:pPr>
              <w:spacing w:after="0"/>
              <w:rPr>
                <w:sz w:val="17"/>
                <w:szCs w:val="17"/>
                <w:color w:val="auto"/>
              </w:rPr>
            </w:pPr>
          </w:p>
        </w:tc>
      </w:tr>
      <w:tr>
        <w:trPr>
          <w:trHeight w:val="318"/>
        </w:trPr>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4"/>
                <w:szCs w:val="24"/>
                <w:color w:val="auto"/>
              </w:rPr>
            </w:pPr>
          </w:p>
        </w:tc>
        <w:tc>
          <w:tcPr>
            <w:tcW w:w="77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Certification Pursuant to Rules 13a-14(a) and 15d-14(a) under the Securities Exchange Act of 1934 of</w:t>
            </w: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Devina A. Rankin, Executive Vice President and Chief Financial Officer.</w:t>
            </w:r>
          </w:p>
        </w:tc>
      </w:tr>
      <w:tr>
        <w:trPr>
          <w:trHeight w:val="20"/>
        </w:trPr>
        <w:tc>
          <w:tcPr>
            <w:tcW w:w="9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440" w:type="dxa"/>
            <w:vAlign w:val="bottom"/>
            <w:gridSpan w:val="5"/>
            <w:shd w:val="clear" w:color="auto" w:fill="0000EE"/>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24"/>
                <w:szCs w:val="24"/>
                <w:color w:val="auto"/>
              </w:rPr>
            </w:pPr>
          </w:p>
        </w:tc>
        <w:tc>
          <w:tcPr>
            <w:tcW w:w="74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Certification Pursuant to 18 U.S.C. §1350 of James C. Fish, Jr., President and Chief Executive Officer.</w:t>
            </w:r>
          </w:p>
        </w:tc>
        <w:tc>
          <w:tcPr>
            <w:tcW w:w="360" w:type="dxa"/>
            <w:vAlign w:val="bottom"/>
            <w:gridSpan w:val="2"/>
          </w:tcPr>
          <w:p>
            <w:pPr>
              <w:spacing w:after="0"/>
              <w:rPr>
                <w:sz w:val="24"/>
                <w:szCs w:val="24"/>
                <w:color w:val="auto"/>
              </w:rPr>
            </w:pPr>
          </w:p>
        </w:tc>
      </w:tr>
      <w:tr>
        <w:trPr>
          <w:trHeight w:val="318"/>
        </w:trPr>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24"/>
                <w:szCs w:val="24"/>
                <w:color w:val="auto"/>
              </w:rPr>
            </w:pPr>
          </w:p>
        </w:tc>
        <w:tc>
          <w:tcPr>
            <w:tcW w:w="77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Certification Pursuant to 18 U.S.C. §1350 of Devina A. Rankin, Executive Vice President and Chief</w:t>
            </w: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Financial Officer.</w:t>
            </w:r>
          </w:p>
        </w:tc>
      </w:tr>
      <w:tr>
        <w:trPr>
          <w:trHeight w:val="20"/>
        </w:trPr>
        <w:tc>
          <w:tcPr>
            <w:tcW w:w="9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940" w:type="dxa"/>
            <w:vAlign w:val="bottom"/>
            <w:gridSpan w:val="9"/>
          </w:tcPr>
          <w:p>
            <w:pPr>
              <w:spacing w:after="0" w:line="20" w:lineRule="exact"/>
              <w:rPr>
                <w:sz w:val="1"/>
                <w:szCs w:val="1"/>
                <w:color w:val="auto"/>
              </w:rPr>
            </w:pPr>
          </w:p>
        </w:tc>
      </w:tr>
      <w:tr>
        <w:trPr>
          <w:trHeight w:val="318"/>
        </w:trPr>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Pr>
          <w:p>
            <w:pPr>
              <w:spacing w:after="0"/>
              <w:rPr>
                <w:sz w:val="24"/>
                <w:szCs w:val="24"/>
                <w:color w:val="auto"/>
              </w:rPr>
            </w:pPr>
          </w:p>
        </w:tc>
        <w:tc>
          <w:tcPr>
            <w:tcW w:w="18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Mine Safety Disclosures.</w:t>
            </w:r>
          </w:p>
        </w:tc>
        <w:tc>
          <w:tcPr>
            <w:tcW w:w="5940" w:type="dxa"/>
            <w:vAlign w:val="bottom"/>
            <w:gridSpan w:val="9"/>
          </w:tcPr>
          <w:p>
            <w:pPr>
              <w:spacing w:after="0"/>
              <w:rPr>
                <w:sz w:val="24"/>
                <w:szCs w:val="24"/>
                <w:color w:val="auto"/>
              </w:rPr>
            </w:pPr>
          </w:p>
        </w:tc>
      </w:tr>
      <w:tr>
        <w:trPr>
          <w:trHeight w:val="358"/>
        </w:trPr>
        <w:tc>
          <w:tcPr>
            <w:tcW w:w="11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77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w:t>
            </w:r>
          </w:p>
        </w:tc>
      </w:tr>
      <w:tr>
        <w:trPr>
          <w:trHeight w:val="338"/>
        </w:trPr>
        <w:tc>
          <w:tcPr>
            <w:tcW w:w="11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77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337"/>
        </w:trPr>
        <w:tc>
          <w:tcPr>
            <w:tcW w:w="11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77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r>
      <w:tr>
        <w:trPr>
          <w:trHeight w:val="338"/>
        </w:trPr>
        <w:tc>
          <w:tcPr>
            <w:tcW w:w="11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77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Labels.</w:t>
            </w:r>
          </w:p>
        </w:tc>
      </w:tr>
      <w:tr>
        <w:trPr>
          <w:trHeight w:val="338"/>
        </w:trPr>
        <w:tc>
          <w:tcPr>
            <w:tcW w:w="11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77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r>
      <w:tr>
        <w:trPr>
          <w:trHeight w:val="338"/>
        </w:trPr>
        <w:tc>
          <w:tcPr>
            <w:tcW w:w="11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77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r>
      <w:tr>
        <w:trPr>
          <w:trHeight w:val="338"/>
        </w:trPr>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77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121"/>
        </w:trPr>
        <w:tc>
          <w:tcPr>
            <w:tcW w:w="180" w:type="dxa"/>
            <w:vAlign w:val="bottom"/>
            <w:tcBorders>
              <w:bottom w:val="single" w:sz="8" w:color="auto"/>
            </w:tcBorders>
            <w:gridSpan w:val="2"/>
          </w:tcPr>
          <w:p>
            <w:pPr>
              <w:spacing w:after="0"/>
              <w:rPr>
                <w:sz w:val="10"/>
                <w:szCs w:val="10"/>
                <w:color w:val="auto"/>
              </w:rPr>
            </w:pPr>
          </w:p>
        </w:tc>
        <w:tc>
          <w:tcPr>
            <w:tcW w:w="980" w:type="dxa"/>
            <w:vAlign w:val="bottom"/>
            <w:tcBorders>
              <w:bottom w:val="single" w:sz="8" w:color="auto"/>
            </w:tcBorders>
            <w:gridSpan w:val="2"/>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5"/>
        </w:trPr>
        <w:tc>
          <w:tcPr>
            <w:tcW w:w="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Filed herewith.</w:t>
            </w: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64"/>
        </w:trPr>
        <w:tc>
          <w:tcPr>
            <w:tcW w:w="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740" w:type="dxa"/>
            <w:vAlign w:val="bottom"/>
            <w:gridSpan w:val="15"/>
          </w:tcPr>
          <w:p>
            <w:pPr>
              <w:ind w:left="60"/>
              <w:spacing w:after="0"/>
              <w:rPr>
                <w:sz w:val="20"/>
                <w:szCs w:val="20"/>
                <w:color w:val="auto"/>
              </w:rPr>
            </w:pPr>
            <w:r>
              <w:rPr>
                <w:rFonts w:ascii="Times New Roman" w:cs="Times New Roman" w:eastAsia="Times New Roman" w:hAnsi="Times New Roman"/>
                <w:sz w:val="13"/>
                <w:szCs w:val="13"/>
                <w:color w:val="auto"/>
              </w:rPr>
              <w:t>Furnished herewith.</w:t>
            </w:r>
          </w:p>
        </w:tc>
      </w:tr>
      <w:tr>
        <w:trPr>
          <w:trHeight w:val="853"/>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80" w:type="dxa"/>
            <w:vAlign w:val="bottom"/>
            <w:gridSpan w:val="6"/>
          </w:tcPr>
          <w:p>
            <w:pPr>
              <w:ind w:left="3220"/>
              <w:spacing w:after="0"/>
              <w:rPr>
                <w:sz w:val="20"/>
                <w:szCs w:val="20"/>
                <w:color w:val="auto"/>
              </w:rPr>
            </w:pPr>
            <w:r>
              <w:rPr>
                <w:rFonts w:ascii="Times New Roman" w:cs="Times New Roman" w:eastAsia="Times New Roman" w:hAnsi="Times New Roman"/>
                <w:sz w:val="18"/>
                <w:szCs w:val="18"/>
                <w:color w:val="auto"/>
              </w:rPr>
              <w:t>41</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78" w:right="1440"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tbl>
      <w:tblPr>
        <w:tblLayout w:type="fixed"/>
        <w:tblInd w:w="458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DEVINA A. RANKIN</w:t>
            </w:r>
          </w:p>
        </w:tc>
      </w:tr>
      <w:tr>
        <w:trPr>
          <w:trHeight w:val="189"/>
        </w:trPr>
        <w:tc>
          <w:tcPr>
            <w:tcW w:w="340" w:type="dxa"/>
            <w:vAlign w:val="bottom"/>
          </w:tcPr>
          <w:p>
            <w:pPr>
              <w:spacing w:after="0"/>
              <w:rPr>
                <w:sz w:val="16"/>
                <w:szCs w:val="16"/>
                <w:color w:val="auto"/>
              </w:rPr>
            </w:pPr>
          </w:p>
        </w:tc>
        <w:tc>
          <w:tcPr>
            <w:tcW w:w="40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Devina A. Rankin</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34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432"/>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43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CARROLL</w:t>
            </w:r>
          </w:p>
        </w:tc>
      </w:tr>
      <w:tr>
        <w:trPr>
          <w:trHeight w:val="211"/>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John Carroll</w:t>
            </w:r>
          </w:p>
        </w:tc>
      </w:tr>
    </w:tbl>
    <w:p>
      <w:pPr>
        <w:jc w:val="center"/>
        <w:ind w:left="4840"/>
        <w:spacing w:after="0"/>
        <w:rPr>
          <w:sz w:val="20"/>
          <w:szCs w:val="20"/>
          <w:color w:val="auto"/>
        </w:rPr>
      </w:pPr>
      <w:r>
        <w:rPr>
          <w:rFonts w:ascii="Times New Roman" w:cs="Times New Roman" w:eastAsia="Times New Roman" w:hAnsi="Times New Roman"/>
          <w:sz w:val="18"/>
          <w:szCs w:val="18"/>
          <w:i w:val="1"/>
          <w:iCs w:val="1"/>
          <w:color w:val="auto"/>
        </w:rPr>
        <w:t>Vice President and</w:t>
      </w:r>
    </w:p>
    <w:p>
      <w:pPr>
        <w:spacing w:after="0" w:line="7" w:lineRule="exact"/>
        <w:rPr>
          <w:sz w:val="20"/>
          <w:szCs w:val="20"/>
          <w:color w:val="auto"/>
        </w:rPr>
      </w:pPr>
    </w:p>
    <w:p>
      <w:pPr>
        <w:jc w:val="center"/>
        <w:ind w:left="4840"/>
        <w:spacing w:after="0"/>
        <w:rPr>
          <w:sz w:val="20"/>
          <w:szCs w:val="20"/>
          <w:color w:val="auto"/>
        </w:rPr>
      </w:pPr>
      <w:r>
        <w:rPr>
          <w:rFonts w:ascii="Times New Roman" w:cs="Times New Roman" w:eastAsia="Times New Roman" w:hAnsi="Times New Roman"/>
          <w:sz w:val="18"/>
          <w:szCs w:val="18"/>
          <w:i w:val="1"/>
          <w:iCs w:val="1"/>
          <w:color w:val="auto"/>
        </w:rPr>
        <w:t>Chief Accounting Officer</w:t>
      </w:r>
    </w:p>
    <w:p>
      <w:pPr>
        <w:spacing w:after="0" w:line="9" w:lineRule="exact"/>
        <w:rPr>
          <w:sz w:val="20"/>
          <w:szCs w:val="20"/>
          <w:color w:val="auto"/>
        </w:rPr>
      </w:pPr>
    </w:p>
    <w:p>
      <w:pPr>
        <w:jc w:val="center"/>
        <w:ind w:left="484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April 29,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42" w:name="page43"/>
    <w:bookmarkEnd w:id="4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523240</wp:posOffset>
            </wp:positionH>
            <wp:positionV relativeFrom="page">
              <wp:posOffset>95250</wp:posOffset>
            </wp:positionV>
            <wp:extent cx="6501765" cy="81222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6501765" cy="8122285"/>
                    </a:xfrm>
                    <a:prstGeom prst="rect">
                      <a:avLst/>
                    </a:prstGeom>
                    <a:noFill/>
                  </pic:spPr>
                </pic:pic>
              </a:graphicData>
            </a:graphic>
          </wp:anchor>
        </w:drawing>
        <w:t>EXHIBIT 10.4</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1040" w:right="340"/>
        <w:spacing w:after="0" w:line="249" w:lineRule="auto"/>
        <w:rPr>
          <w:sz w:val="20"/>
          <w:szCs w:val="20"/>
          <w:color w:val="auto"/>
        </w:rPr>
      </w:pPr>
      <w:r>
        <w:rPr>
          <w:rFonts w:ascii="Arial" w:cs="Arial" w:eastAsia="Arial" w:hAnsi="Arial"/>
          <w:sz w:val="53"/>
          <w:szCs w:val="53"/>
          <w:b w:val="1"/>
          <w:bCs w:val="1"/>
          <w:color w:val="00693C"/>
        </w:rPr>
        <w:t>Long Term Incentive Compensation RSU Award Agreement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693C"/>
        </w:rPr>
        <w:t>under the</w:t>
      </w:r>
    </w:p>
    <w:p>
      <w:pPr>
        <w:spacing w:after="0" w:line="9" w:lineRule="exact"/>
        <w:rPr>
          <w:sz w:val="20"/>
          <w:szCs w:val="20"/>
          <w:color w:val="auto"/>
        </w:rPr>
      </w:pPr>
    </w:p>
    <w:p>
      <w:pPr>
        <w:jc w:val="center"/>
        <w:spacing w:after="0" w:line="269" w:lineRule="auto"/>
        <w:rPr>
          <w:sz w:val="20"/>
          <w:szCs w:val="20"/>
          <w:color w:val="auto"/>
        </w:rPr>
      </w:pPr>
      <w:r>
        <w:rPr>
          <w:rFonts w:ascii="Arial" w:cs="Arial" w:eastAsia="Arial" w:hAnsi="Arial"/>
          <w:sz w:val="43"/>
          <w:szCs w:val="43"/>
          <w:b w:val="1"/>
          <w:bCs w:val="1"/>
          <w:color w:val="00693C"/>
        </w:rPr>
        <w:t>Waste Management, Inc. 2023 Stock Incentive Plan</w:t>
      </w:r>
    </w:p>
    <w:p>
      <w:pPr>
        <w:spacing w:after="0" w:line="84" w:lineRule="exact"/>
        <w:rPr>
          <w:sz w:val="20"/>
          <w:szCs w:val="20"/>
          <w:color w:val="auto"/>
        </w:rPr>
      </w:pPr>
    </w:p>
    <w:p>
      <w:pPr>
        <w:ind w:right="60"/>
        <w:spacing w:after="0" w:line="230" w:lineRule="auto"/>
        <w:rPr>
          <w:sz w:val="20"/>
          <w:szCs w:val="20"/>
          <w:color w:val="auto"/>
        </w:rPr>
      </w:pPr>
      <w:r>
        <w:rPr>
          <w:rFonts w:ascii="Arial" w:cs="Arial" w:eastAsia="Arial" w:hAnsi="Arial"/>
          <w:sz w:val="20"/>
          <w:szCs w:val="20"/>
          <w:color w:val="auto"/>
        </w:rPr>
        <w:t>This Award Agreement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entered into effective as of [●] (the “</w:t>
      </w:r>
      <w:r>
        <w:rPr>
          <w:rFonts w:ascii="Arial" w:cs="Arial" w:eastAsia="Arial" w:hAnsi="Arial"/>
          <w:sz w:val="20"/>
          <w:szCs w:val="20"/>
          <w:b w:val="1"/>
          <w:bCs w:val="1"/>
          <w:i w:val="1"/>
          <w:iCs w:val="1"/>
          <w:color w:val="auto"/>
        </w:rPr>
        <w:t>Grant Date</w:t>
      </w:r>
      <w:r>
        <w:rPr>
          <w:rFonts w:ascii="Arial" w:cs="Arial" w:eastAsia="Arial" w:hAnsi="Arial"/>
          <w:sz w:val="20"/>
          <w:szCs w:val="20"/>
          <w:color w:val="auto"/>
        </w:rPr>
        <w:t>”), by and between Waste Management, Inc.,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(together with its Subsidiaries and Affiliates, “</w:t>
      </w:r>
      <w:r>
        <w:rPr>
          <w:rFonts w:ascii="Arial" w:cs="Arial" w:eastAsia="Arial" w:hAnsi="Arial"/>
          <w:sz w:val="20"/>
          <w:szCs w:val="20"/>
          <w:b w:val="1"/>
          <w:bCs w:val="1"/>
          <w:i w:val="1"/>
          <w:iCs w:val="1"/>
          <w:color w:val="auto"/>
        </w:rPr>
        <w:t>WM</w:t>
      </w:r>
      <w:r>
        <w:rPr>
          <w:rFonts w:ascii="Arial" w:cs="Arial" w:eastAsia="Arial" w:hAnsi="Arial"/>
          <w:sz w:val="20"/>
          <w:szCs w:val="20"/>
          <w:color w:val="auto"/>
        </w:rPr>
        <w:t>”), and [●] (“</w:t>
      </w:r>
      <w:r>
        <w:rPr>
          <w:rFonts w:ascii="Arial" w:cs="Arial" w:eastAsia="Arial" w:hAnsi="Arial"/>
          <w:sz w:val="20"/>
          <w:szCs w:val="20"/>
          <w:b w:val="1"/>
          <w:bCs w:val="1"/>
          <w:i w:val="1"/>
          <w:iCs w:val="1"/>
          <w:color w:val="auto"/>
        </w:rPr>
        <w:t>Employee</w:t>
      </w:r>
      <w:r>
        <w:rPr>
          <w:rFonts w:ascii="Arial" w:cs="Arial" w:eastAsia="Arial" w:hAnsi="Arial"/>
          <w:sz w:val="20"/>
          <w:szCs w:val="20"/>
          <w:color w:val="auto"/>
        </w:rPr>
        <w:t>”). At all times, the Awards under this Agreement are subject to the terms and conditions of the Waste Management, Inc. 2023 Stock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xml:space="preserve">”), this Agreement, and all applicable administrative interpretations and practices. A copy of the Plan and the Plan Prospectus is available online at </w:t>
      </w:r>
      <w:r>
        <w:rPr>
          <w:rFonts w:ascii="Arial" w:cs="Arial" w:eastAsia="Arial" w:hAnsi="Arial"/>
          <w:sz w:val="20"/>
          <w:szCs w:val="20"/>
          <w:color w:val="4F6228"/>
        </w:rPr>
        <w:t>www.benefits.ml.com</w:t>
      </w:r>
      <w:r>
        <w:rPr>
          <w:rFonts w:ascii="Arial" w:cs="Arial" w:eastAsia="Arial" w:hAnsi="Arial"/>
          <w:sz w:val="20"/>
          <w:szCs w:val="20"/>
          <w:color w:val="auto"/>
        </w:rPr>
        <w:t xml:space="preserve"> . Please also see the Company’s Form 10-K included in its most recent Annual Report, available on the Investor Relations page of </w:t>
      </w:r>
      <w:r>
        <w:rPr>
          <w:rFonts w:ascii="Arial" w:cs="Arial" w:eastAsia="Arial" w:hAnsi="Arial"/>
          <w:sz w:val="20"/>
          <w:szCs w:val="20"/>
          <w:color w:val="4F6228"/>
        </w:rPr>
        <w:t>www.wm.com</w:t>
      </w:r>
      <w:r>
        <w:rPr>
          <w:rFonts w:ascii="Arial" w:cs="Arial" w:eastAsia="Arial" w:hAnsi="Arial"/>
          <w:sz w:val="20"/>
          <w:szCs w:val="20"/>
          <w:color w:val="auto"/>
        </w:rPr>
        <w:t xml:space="preserve"> under Financial Reporting – Annual Reports, for information about the Company. By executing this Agreement, you consent to receipt of the Plan, the Prospectus, and the Annual Reports by electronic access as set forth in this paragraph.</w:t>
      </w:r>
    </w:p>
    <w:p>
      <w:pPr>
        <w:spacing w:after="0" w:line="174"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b w:val="1"/>
          <w:bCs w:val="1"/>
          <w:color w:val="auto"/>
        </w:rPr>
        <w:t xml:space="preserve">You must execute this Agreement in full, online in accordance with the instructions below, prior to </w:t>
      </w:r>
      <w:r>
        <w:rPr>
          <w:rFonts w:ascii="Arial" w:cs="Arial" w:eastAsia="Arial" w:hAnsi="Arial"/>
          <w:sz w:val="20"/>
          <w:szCs w:val="20"/>
          <w:u w:val="single" w:color="auto"/>
          <w:color w:val="auto"/>
        </w:rPr>
        <w:t>[●],</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in</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order for this Agreement to become effective.</w:t>
      </w:r>
      <w:r>
        <w:rPr>
          <w:rFonts w:ascii="Arial" w:cs="Arial" w:eastAsia="Arial" w:hAnsi="Arial"/>
          <w:sz w:val="20"/>
          <w:szCs w:val="20"/>
          <w:b w:val="1"/>
          <w:bCs w:val="1"/>
          <w:color w:val="auto"/>
        </w:rPr>
        <w:t xml:space="preserve"> If you do not execute this Agreement by correctly following the instructions below, your Awards may be cancelled.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693C"/>
        </w:rPr>
        <w:t>Important Instructions for Executing this Agreement</w:t>
      </w:r>
    </w:p>
    <w:p>
      <w:pPr>
        <w:spacing w:after="0" w:line="233"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color w:val="auto"/>
        </w:rPr>
        <w:t>If you are a new equity award participant, you must open a Limited Individual Investor Account (LIIA) before you can accept your awards. To open your LIIA, log in to www.benefits.ml.com at the secure website maintained by the third-party stock administrator. Once logged in, follow the prompts to “Open a Brokerage Account”. When you have successfully created your account, follow the online instructions, and complete all the steps required to accept the award.</w:t>
      </w:r>
    </w:p>
    <w:p>
      <w:pPr>
        <w:spacing w:after="0" w:line="175" w:lineRule="exact"/>
        <w:rPr>
          <w:sz w:val="20"/>
          <w:szCs w:val="20"/>
          <w:color w:val="auto"/>
        </w:rPr>
      </w:pPr>
    </w:p>
    <w:p>
      <w:pPr>
        <w:jc w:val="both"/>
        <w:ind w:right="420"/>
        <w:spacing w:after="0" w:line="241" w:lineRule="auto"/>
        <w:rPr>
          <w:sz w:val="20"/>
          <w:szCs w:val="20"/>
          <w:color w:val="auto"/>
        </w:rPr>
      </w:pPr>
      <w:r>
        <w:rPr>
          <w:rFonts w:ascii="Arial" w:cs="Arial" w:eastAsia="Arial" w:hAnsi="Arial"/>
          <w:sz w:val="20"/>
          <w:szCs w:val="20"/>
          <w:color w:val="auto"/>
        </w:rPr>
        <w:t>If you have previously received a stock-based incentive award, log on to www.benefits.ml.com at the secure website maintained by the third-party stock administrator. Follow the online instructions and complete all the steps required to accept the award.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693C"/>
        </w:rPr>
        <w:t>Restricted Stock Units</w:t>
      </w:r>
    </w:p>
    <w:p>
      <w:pPr>
        <w:spacing w:after="0" w:line="233" w:lineRule="exact"/>
        <w:rPr>
          <w:sz w:val="20"/>
          <w:szCs w:val="20"/>
          <w:color w:val="auto"/>
        </w:rPr>
      </w:pPr>
    </w:p>
    <w:p>
      <w:pPr>
        <w:ind w:left="340" w:right="40" w:hanging="332"/>
        <w:spacing w:after="0" w:line="237" w:lineRule="auto"/>
        <w:tabs>
          <w:tab w:leader="none" w:pos="340"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RSU Grant</w:t>
      </w:r>
      <w:r>
        <w:rPr>
          <w:rFonts w:ascii="Arial" w:cs="Arial" w:eastAsia="Arial" w:hAnsi="Arial"/>
          <w:sz w:val="20"/>
          <w:szCs w:val="20"/>
          <w:color w:val="auto"/>
        </w:rPr>
        <w:t>. The Company hereby grants to Employee a Restricted Stock Unit Award of [●] units. RSUs are notational units of measurement denominated in shares of common stock of the Company, $.01 par value (“</w:t>
      </w:r>
      <w:r>
        <w:rPr>
          <w:rFonts w:ascii="Arial" w:cs="Arial" w:eastAsia="Arial" w:hAnsi="Arial"/>
          <w:sz w:val="20"/>
          <w:szCs w:val="20"/>
          <w:b w:val="1"/>
          <w:bCs w:val="1"/>
          <w:i w:val="1"/>
          <w:iCs w:val="1"/>
          <w:color w:val="auto"/>
        </w:rPr>
        <w:t>Common Stock</w:t>
      </w:r>
      <w:r>
        <w:rPr>
          <w:rFonts w:ascii="Arial" w:cs="Arial" w:eastAsia="Arial" w:hAnsi="Arial"/>
          <w:sz w:val="20"/>
          <w:szCs w:val="20"/>
          <w:color w:val="auto"/>
        </w:rPr>
        <w:t>”). Each RSU represents a hypothetical share of Common Stock. Upon your timely execution of this Agreement, WM will credit your RSUs to an unfunded bookkeeping account for you.</w:t>
      </w:r>
    </w:p>
    <w:p>
      <w:pPr>
        <w:spacing w:after="0" w:line="171" w:lineRule="exact"/>
        <w:rPr>
          <w:rFonts w:ascii="Arial" w:cs="Arial" w:eastAsia="Arial" w:hAnsi="Arial"/>
          <w:sz w:val="20"/>
          <w:szCs w:val="20"/>
          <w:color w:val="auto"/>
        </w:rPr>
      </w:pPr>
    </w:p>
    <w:p>
      <w:pPr>
        <w:ind w:left="340" w:right="200" w:hanging="332"/>
        <w:spacing w:after="0" w:line="234" w:lineRule="auto"/>
        <w:tabs>
          <w:tab w:leader="none" w:pos="340"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Vesting of RSUs</w:t>
      </w:r>
      <w:r>
        <w:rPr>
          <w:rFonts w:ascii="Arial" w:cs="Arial" w:eastAsia="Arial" w:hAnsi="Arial"/>
          <w:sz w:val="20"/>
          <w:szCs w:val="20"/>
          <w:color w:val="auto"/>
        </w:rPr>
        <w:t>. The RSUs granted by this Agreement (</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RSU Awards</w:t>
      </w:r>
      <w:r>
        <w:rPr>
          <w:rFonts w:ascii="Arial" w:cs="Arial" w:eastAsia="Arial" w:hAnsi="Arial"/>
          <w:sz w:val="20"/>
          <w:szCs w:val="20"/>
          <w:color w:val="auto"/>
        </w:rPr>
        <w:t>”) vest entirely on the on a pro-rata basis over a three-year period following the Grant Date, with 34% of the RSUs vesting on the first</w:t>
      </w:r>
    </w:p>
    <w:p>
      <w:pPr>
        <w:spacing w:after="0" w:line="2" w:lineRule="exact"/>
        <w:rPr>
          <w:sz w:val="20"/>
          <w:szCs w:val="20"/>
          <w:color w:val="auto"/>
        </w:rPr>
      </w:pPr>
    </w:p>
    <w:p>
      <w:pPr>
        <w:ind w:left="340" w:right="320"/>
        <w:spacing w:after="0" w:line="225" w:lineRule="auto"/>
        <w:rPr>
          <w:sz w:val="20"/>
          <w:szCs w:val="20"/>
          <w:color w:val="auto"/>
        </w:rPr>
      </w:pPr>
      <w:r>
        <w:rPr>
          <w:rFonts w:ascii="Arial" w:cs="Arial" w:eastAsia="Arial" w:hAnsi="Arial"/>
          <w:sz w:val="20"/>
          <w:szCs w:val="20"/>
          <w:color w:val="auto"/>
        </w:rPr>
        <w:t>anniversary of the Grant Date, 33% of the RSU vesting on the second anniversary of the Grant Date, and the remaining 33% of the RSUs vesting 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473710</wp:posOffset>
            </wp:positionV>
            <wp:extent cx="656653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6566535" cy="25400"/>
                    </a:xfrm>
                    <a:prstGeom prst="rect">
                      <a:avLst/>
                    </a:prstGeom>
                    <a:noFill/>
                  </pic:spPr>
                </pic:pic>
              </a:graphicData>
            </a:graphic>
          </wp:anchor>
        </w:drawing>
      </w:r>
    </w:p>
    <w:p>
      <w:pPr>
        <w:sectPr>
          <w:pgSz w:w="11900" w:h="16838" w:orient="portrait"/>
          <w:cols w:equalWidth="0" w:num="1">
            <w:col w:w="9840"/>
          </w:cols>
          <w:pgMar w:left="1020" w:top="543" w:right="1039" w:bottom="1440" w:gutter="0" w:footer="0" w:header="0"/>
        </w:sectPr>
      </w:pPr>
    </w:p>
    <w:bookmarkStart w:id="43" w:name="page44"/>
    <w:bookmarkEnd w:id="43"/>
    <w:p>
      <w:pPr>
        <w:ind w:left="340" w:right="100"/>
        <w:spacing w:after="0" w:line="239"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523240</wp:posOffset>
            </wp:positionH>
            <wp:positionV relativeFrom="page">
              <wp:posOffset>395605</wp:posOffset>
            </wp:positionV>
            <wp:extent cx="6501765" cy="81565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6501765" cy="8156575"/>
                    </a:xfrm>
                    <a:prstGeom prst="rect">
                      <a:avLst/>
                    </a:prstGeom>
                    <a:noFill/>
                  </pic:spPr>
                </pic:pic>
              </a:graphicData>
            </a:graphic>
          </wp:anchor>
        </w:drawing>
        <w:t xml:space="preserve">the third anniversary of the Grant Date. The dates of vesting are the </w:t>
      </w:r>
      <w:r>
        <w:rPr>
          <w:rFonts w:ascii="Arial" w:cs="Arial" w:eastAsia="Arial" w:hAnsi="Arial"/>
          <w:sz w:val="20"/>
          <w:szCs w:val="20"/>
          <w:b w:val="1"/>
          <w:bCs w:val="1"/>
          <w:i w:val="1"/>
          <w:iCs w:val="1"/>
          <w:color w:val="auto"/>
        </w:rPr>
        <w:t>Vesting Dates</w:t>
      </w:r>
      <w:r>
        <w:rPr>
          <w:rFonts w:ascii="Arial" w:cs="Arial" w:eastAsia="Arial" w:hAnsi="Arial"/>
          <w:sz w:val="20"/>
          <w:szCs w:val="20"/>
          <w:color w:val="auto"/>
        </w:rPr>
        <w:t xml:space="preserve">. Except as otherwise provided herein, your RSUs generally vest only if you are continuously employed from the Grant Date to each Vesting Date, subject to the exceptions discussed below. The period from the Grant Date (inclusive) to the last Vesting Date is the </w:t>
      </w:r>
      <w:r>
        <w:rPr>
          <w:rFonts w:ascii="Arial" w:cs="Arial" w:eastAsia="Arial" w:hAnsi="Arial"/>
          <w:sz w:val="20"/>
          <w:szCs w:val="20"/>
          <w:b w:val="1"/>
          <w:bCs w:val="1"/>
          <w:i w:val="1"/>
          <w:iCs w:val="1"/>
          <w:color w:val="auto"/>
        </w:rPr>
        <w:t>Restriction Period</w:t>
      </w:r>
      <w:r>
        <w:rPr>
          <w:rFonts w:ascii="Arial" w:cs="Arial" w:eastAsia="Arial" w:hAnsi="Arial"/>
          <w:sz w:val="20"/>
          <w:szCs w:val="20"/>
          <w:color w:val="auto"/>
        </w:rPr>
        <w:t>.</w:t>
      </w:r>
    </w:p>
    <w:p>
      <w:pPr>
        <w:spacing w:after="0" w:line="164" w:lineRule="exact"/>
        <w:rPr>
          <w:sz w:val="20"/>
          <w:szCs w:val="20"/>
          <w:color w:val="auto"/>
        </w:rPr>
      </w:pPr>
    </w:p>
    <w:p>
      <w:pPr>
        <w:ind w:left="340" w:right="220" w:hanging="332"/>
        <w:spacing w:after="0" w:line="237" w:lineRule="auto"/>
        <w:tabs>
          <w:tab w:leader="none" w:pos="340" w:val="left"/>
        </w:tabs>
        <w:numPr>
          <w:ilvl w:val="0"/>
          <w:numId w:val="25"/>
        </w:numPr>
        <w:rPr>
          <w:rFonts w:ascii="Arial" w:cs="Arial" w:eastAsia="Arial" w:hAnsi="Arial"/>
          <w:sz w:val="20"/>
          <w:szCs w:val="20"/>
          <w:i w:val="1"/>
          <w:iCs w:val="1"/>
          <w:color w:val="auto"/>
        </w:rPr>
      </w:pPr>
      <w:r>
        <w:rPr>
          <w:rFonts w:ascii="Arial" w:cs="Arial" w:eastAsia="Arial" w:hAnsi="Arial"/>
          <w:sz w:val="20"/>
          <w:szCs w:val="20"/>
          <w:u w:val="single" w:color="auto"/>
          <w:color w:val="auto"/>
        </w:rPr>
        <w:t>Timing and Form of Payment of RSU Award</w:t>
      </w:r>
      <w:r>
        <w:rPr>
          <w:rFonts w:ascii="Arial" w:cs="Arial" w:eastAsia="Arial" w:hAnsi="Arial"/>
          <w:sz w:val="20"/>
          <w:szCs w:val="20"/>
          <w:color w:val="auto"/>
        </w:rPr>
        <w:t>. Upon vesting, each RSU is converted to one share of Common Stock, free of any restrictions. WM will deliver the shares of Common Stock to you and make payment of the corresponding Dividend Equivalents as soon as administratively feasible (and no later than 74 days) following the Vesting Dates.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00693C"/>
        </w:rPr>
        <w:t>Important Award Details</w:t>
      </w:r>
    </w:p>
    <w:p>
      <w:pPr>
        <w:spacing w:after="0" w:line="233"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Your Awards under this Agreement are subject to important terms and conditions set forth below. Please read them carefully and seek advice from your own legal and tax advisors before executing this Agreement.</w:t>
      </w:r>
    </w:p>
    <w:p>
      <w:pPr>
        <w:spacing w:after="0" w:line="155" w:lineRule="exact"/>
        <w:rPr>
          <w:sz w:val="20"/>
          <w:szCs w:val="20"/>
          <w:color w:val="auto"/>
        </w:rPr>
      </w:pPr>
    </w:p>
    <w:p>
      <w:pPr>
        <w:ind w:left="340" w:right="40" w:hanging="332"/>
        <w:spacing w:after="0" w:line="232" w:lineRule="auto"/>
        <w:tabs>
          <w:tab w:leader="none" w:pos="340"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Death or Disability</w:t>
      </w:r>
      <w:r>
        <w:rPr>
          <w:rFonts w:ascii="Arial" w:cs="Arial" w:eastAsia="Arial" w:hAnsi="Arial"/>
          <w:sz w:val="20"/>
          <w:szCs w:val="20"/>
          <w:color w:val="auto"/>
        </w:rPr>
        <w:t>. Upon Employee’s death or disability (as determined by the Committee and within the meaning of Section 409A of the Internal Revenue Code of 1986, as amended, and the Treasury Regulations issued thereunder (“</w:t>
      </w:r>
      <w:r>
        <w:rPr>
          <w:rFonts w:ascii="Arial" w:cs="Arial" w:eastAsia="Arial" w:hAnsi="Arial"/>
          <w:sz w:val="20"/>
          <w:szCs w:val="20"/>
          <w:b w:val="1"/>
          <w:bCs w:val="1"/>
          <w:i w:val="1"/>
          <w:iCs w:val="1"/>
          <w:color w:val="auto"/>
        </w:rPr>
        <w:t>Section 409A</w:t>
      </w:r>
      <w:r>
        <w:rPr>
          <w:rFonts w:ascii="Arial" w:cs="Arial" w:eastAsia="Arial" w:hAnsi="Arial"/>
          <w:sz w:val="20"/>
          <w:szCs w:val="20"/>
          <w:color w:val="auto"/>
        </w:rPr>
        <w:t>”) and specifically Section 409A (a)(2)(C) (“</w:t>
      </w:r>
      <w:r>
        <w:rPr>
          <w:rFonts w:ascii="Arial" w:cs="Arial" w:eastAsia="Arial" w:hAnsi="Arial"/>
          <w:sz w:val="20"/>
          <w:szCs w:val="20"/>
          <w:b w:val="1"/>
          <w:bCs w:val="1"/>
          <w:i w:val="1"/>
          <w:iCs w:val="1"/>
          <w:color w:val="auto"/>
        </w:rPr>
        <w:t>Disability</w:t>
      </w:r>
      <w:r>
        <w:rPr>
          <w:rFonts w:ascii="Arial" w:cs="Arial" w:eastAsia="Arial" w:hAnsi="Arial"/>
          <w:sz w:val="20"/>
          <w:szCs w:val="20"/>
          <w:color w:val="auto"/>
        </w:rPr>
        <w:t>”)), Employee (or in the case of Employee’s death, Employee’s beneficiary) shall be entitled to immediate vesting in full of all RSUs under this Agreement (and related unpaid Dividend Equivalents attributable to the time period from the Grant Date to the time of such immediate vesting), which shall be issued and paid within 74 days following the date of such death or Disability, as applicable.</w:t>
      </w:r>
    </w:p>
    <w:p>
      <w:pPr>
        <w:spacing w:after="0" w:line="171" w:lineRule="exact"/>
        <w:rPr>
          <w:rFonts w:ascii="Arial" w:cs="Arial" w:eastAsia="Arial" w:hAnsi="Arial"/>
          <w:sz w:val="20"/>
          <w:szCs w:val="20"/>
          <w:color w:val="auto"/>
        </w:rPr>
      </w:pPr>
    </w:p>
    <w:p>
      <w:pPr>
        <w:ind w:left="340" w:hanging="332"/>
        <w:spacing w:after="0"/>
        <w:tabs>
          <w:tab w:leader="none" w:pos="340"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Involuntary Termination of Employment Without Cause by WM</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660" w:right="40" w:hanging="328"/>
        <w:spacing w:after="0" w:line="231" w:lineRule="auto"/>
        <w:tabs>
          <w:tab w:leader="none" w:pos="660" w:val="left"/>
        </w:tabs>
        <w:numPr>
          <w:ilvl w:val="1"/>
          <w:numId w:val="26"/>
        </w:numPr>
        <w:rPr>
          <w:rFonts w:ascii="Arial" w:cs="Arial" w:eastAsia="Arial" w:hAnsi="Arial"/>
          <w:sz w:val="20"/>
          <w:szCs w:val="20"/>
          <w:color w:val="auto"/>
        </w:rPr>
      </w:pPr>
      <w:r>
        <w:rPr>
          <w:rFonts w:ascii="Arial" w:cs="Arial" w:eastAsia="Arial" w:hAnsi="Arial"/>
          <w:sz w:val="20"/>
          <w:szCs w:val="20"/>
          <w:u w:val="single" w:color="auto"/>
          <w:color w:val="auto"/>
        </w:rPr>
        <w:t>Involuntary Termination without Cause</w:t>
      </w:r>
      <w:r>
        <w:rPr>
          <w:rFonts w:ascii="Arial" w:cs="Arial" w:eastAsia="Arial" w:hAnsi="Arial"/>
          <w:sz w:val="20"/>
          <w:szCs w:val="20"/>
          <w:color w:val="auto"/>
        </w:rPr>
        <w:t>. Upon Employee’s involuntary Termination of Employment by WM without Cause, Employee shall be entitled to the amount of unvested RSUs and any related Dividend Equivalents on such RSUs through the Vesting Dates that Employee would have been entitled to under this Agreement if Employee had remained employed until the Vesting Dates multiplied by the fraction which has as its numerator the total number of days that Employee was employed by WM during the period beginning on the Grant Date and ending on the date of Termination of Employment and has as its denominator 1095, which shall be issued and paid no later than 74 days following the normal Vesting Dates.</w:t>
      </w:r>
    </w:p>
    <w:p>
      <w:pPr>
        <w:spacing w:after="0" w:line="173" w:lineRule="exact"/>
        <w:rPr>
          <w:rFonts w:ascii="Arial" w:cs="Arial" w:eastAsia="Arial" w:hAnsi="Arial"/>
          <w:sz w:val="20"/>
          <w:szCs w:val="20"/>
          <w:color w:val="auto"/>
        </w:rPr>
      </w:pPr>
    </w:p>
    <w:p>
      <w:pPr>
        <w:ind w:left="660" w:right="80" w:hanging="328"/>
        <w:spacing w:after="0" w:line="230" w:lineRule="auto"/>
        <w:tabs>
          <w:tab w:leader="none" w:pos="660" w:val="left"/>
        </w:tabs>
        <w:numPr>
          <w:ilvl w:val="1"/>
          <w:numId w:val="26"/>
        </w:numPr>
        <w:rPr>
          <w:rFonts w:ascii="Arial" w:cs="Arial" w:eastAsia="Arial" w:hAnsi="Arial"/>
          <w:sz w:val="20"/>
          <w:szCs w:val="20"/>
          <w:color w:val="auto"/>
        </w:rPr>
      </w:pPr>
      <w:r>
        <w:rPr>
          <w:rFonts w:ascii="Arial" w:cs="Arial" w:eastAsia="Arial" w:hAnsi="Arial"/>
          <w:sz w:val="20"/>
          <w:szCs w:val="20"/>
          <w:u w:val="single" w:color="auto"/>
          <w:color w:val="auto"/>
        </w:rPr>
        <w:t>Retirement</w:t>
      </w:r>
      <w:r>
        <w:rPr>
          <w:rFonts w:ascii="Arial" w:cs="Arial" w:eastAsia="Arial" w:hAnsi="Arial"/>
          <w:sz w:val="20"/>
          <w:szCs w:val="20"/>
          <w:color w:val="auto"/>
        </w:rPr>
        <w:t>. Upon Employee’s Retirement, Employee shall be entitled to the amount of RSUs and any related Dividend Equivalents on such RSUs through the Vesting Dates that Employee would have been entitled to under this Agreement if Employee had remained employed until the first Vesting Date multiplied by the fraction which has as its numerator the total number of days that Employee was employed by WM during the calendar year in which the Grant Date occurred and has as its denominator 365, which shall be issued and paid no later than 74 days following the normal Vesting Dates. To illustrate the preceding sentence, if Employee retires on or after the first day of the calendar year following the calendar year in which the Grant Date occurs, he or she shall be entitled to receive a full payout at such time.</w:t>
      </w:r>
    </w:p>
    <w:p>
      <w:pPr>
        <w:spacing w:after="0" w:line="176" w:lineRule="exact"/>
        <w:rPr>
          <w:rFonts w:ascii="Arial" w:cs="Arial" w:eastAsia="Arial" w:hAnsi="Arial"/>
          <w:sz w:val="20"/>
          <w:szCs w:val="20"/>
          <w:color w:val="auto"/>
        </w:rPr>
      </w:pPr>
    </w:p>
    <w:p>
      <w:pPr>
        <w:ind w:left="660" w:right="20" w:hanging="328"/>
        <w:spacing w:after="0" w:line="234" w:lineRule="auto"/>
        <w:tabs>
          <w:tab w:leader="none" w:pos="660" w:val="left"/>
        </w:tabs>
        <w:numPr>
          <w:ilvl w:val="1"/>
          <w:numId w:val="26"/>
        </w:numPr>
        <w:rPr>
          <w:rFonts w:ascii="Arial" w:cs="Arial" w:eastAsia="Arial" w:hAnsi="Arial"/>
          <w:sz w:val="20"/>
          <w:szCs w:val="20"/>
          <w:color w:val="auto"/>
        </w:rPr>
      </w:pPr>
      <w:r>
        <w:rPr>
          <w:rFonts w:ascii="Arial" w:cs="Arial" w:eastAsia="Arial" w:hAnsi="Arial"/>
          <w:sz w:val="20"/>
          <w:szCs w:val="20"/>
          <w:color w:val="auto"/>
        </w:rPr>
        <w:t>In the event Employee is employed by a subsidiary of the Company that is sold by the Company in a transaction (i) that would not constitute a Corporate Change of the Company, but (ii) that would constitute a Corporate Change of the subsidiary with the subsidiary substituted for Company thereunder, such transaction shall be deemed to constitute an involuntary Termination of Employment by WM without Cause for purposes of this paragraph 2 as of the effective date of such Transaction.</w:t>
      </w:r>
    </w:p>
    <w:p>
      <w:pPr>
        <w:spacing w:after="0" w:line="174" w:lineRule="exact"/>
        <w:rPr>
          <w:rFonts w:ascii="Arial" w:cs="Arial" w:eastAsia="Arial" w:hAnsi="Arial"/>
          <w:sz w:val="20"/>
          <w:szCs w:val="20"/>
          <w:color w:val="auto"/>
        </w:rPr>
      </w:pPr>
    </w:p>
    <w:p>
      <w:pPr>
        <w:ind w:left="660" w:hanging="328"/>
        <w:spacing w:after="0"/>
        <w:tabs>
          <w:tab w:leader="none" w:pos="660" w:val="left"/>
        </w:tabs>
        <w:numPr>
          <w:ilvl w:val="1"/>
          <w:numId w:val="26"/>
        </w:numPr>
        <w:rPr>
          <w:rFonts w:ascii="Arial" w:cs="Arial" w:eastAsia="Arial" w:hAnsi="Arial"/>
          <w:sz w:val="20"/>
          <w:szCs w:val="20"/>
          <w:color w:val="auto"/>
        </w:rPr>
      </w:pPr>
      <w:r>
        <w:rPr>
          <w:rFonts w:ascii="Arial" w:cs="Arial" w:eastAsia="Arial" w:hAnsi="Arial"/>
          <w:sz w:val="20"/>
          <w:szCs w:val="20"/>
          <w:color w:val="auto"/>
        </w:rPr>
        <w:t>The following terms shall have the meanings set forth below for purposes of this Agreement:</w:t>
      </w:r>
    </w:p>
    <w:p>
      <w:pPr>
        <w:spacing w:after="0" w:line="202" w:lineRule="exact"/>
        <w:rPr>
          <w:rFonts w:ascii="Arial" w:cs="Arial" w:eastAsia="Arial" w:hAnsi="Arial"/>
          <w:sz w:val="20"/>
          <w:szCs w:val="20"/>
          <w:color w:val="auto"/>
        </w:rPr>
      </w:pPr>
    </w:p>
    <w:p>
      <w:pPr>
        <w:ind w:left="1300" w:right="60" w:hanging="419"/>
        <w:spacing w:after="0" w:line="247" w:lineRule="auto"/>
        <w:tabs>
          <w:tab w:leader="none" w:pos="1300" w:val="left"/>
        </w:tabs>
        <w:numPr>
          <w:ilvl w:val="2"/>
          <w:numId w:val="2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Retirement </w:t>
      </w:r>
      <w:r>
        <w:rPr>
          <w:rFonts w:ascii="Arial" w:cs="Arial" w:eastAsia="Arial" w:hAnsi="Arial"/>
          <w:sz w:val="19"/>
          <w:szCs w:val="19"/>
          <w:color w:val="auto"/>
        </w:rPr>
        <w:t>means Termination of Employment due to the voluntary resignation of employment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by Employee, after Employee (1) has reached age 55 or greater; (2) has a sum of age plus years</w:t>
      </w:r>
    </w:p>
    <w:p>
      <w:pPr>
        <w:ind w:left="1300"/>
        <w:spacing w:after="0" w:line="225" w:lineRule="auto"/>
        <w:rPr>
          <w:sz w:val="20"/>
          <w:szCs w:val="20"/>
          <w:color w:val="auto"/>
        </w:rPr>
      </w:pPr>
      <w:r>
        <w:rPr>
          <w:rFonts w:ascii="Arial" w:cs="Arial" w:eastAsia="Arial" w:hAnsi="Arial"/>
          <w:sz w:val="20"/>
          <w:szCs w:val="20"/>
          <w:color w:val="auto"/>
        </w:rPr>
        <w:t>of Service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473710</wp:posOffset>
            </wp:positionV>
            <wp:extent cx="656653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6566535" cy="26035"/>
                    </a:xfrm>
                    <a:prstGeom prst="rect">
                      <a:avLst/>
                    </a:prstGeom>
                    <a:noFill/>
                  </pic:spPr>
                </pic:pic>
              </a:graphicData>
            </a:graphic>
          </wp:anchor>
        </w:drawing>
      </w:r>
    </w:p>
    <w:p>
      <w:pPr>
        <w:sectPr>
          <w:pgSz w:w="11900" w:h="16838" w:orient="portrait"/>
          <w:cols w:equalWidth="0" w:num="1">
            <w:col w:w="9840"/>
          </w:cols>
          <w:pgMar w:left="1020" w:top="1022" w:right="1039" w:bottom="1440" w:gutter="0" w:footer="0" w:header="0"/>
        </w:sectPr>
      </w:pPr>
    </w:p>
    <w:bookmarkStart w:id="44" w:name="page45"/>
    <w:bookmarkEnd w:id="44"/>
    <w:p>
      <w:pPr>
        <w:ind w:left="1292"/>
        <w:spacing w:after="0" w:line="23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523240</wp:posOffset>
            </wp:positionH>
            <wp:positionV relativeFrom="page">
              <wp:posOffset>395605</wp:posOffset>
            </wp:positionV>
            <wp:extent cx="6501765" cy="82162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6501765" cy="8216265"/>
                    </a:xfrm>
                    <a:prstGeom prst="rect">
                      <a:avLst/>
                    </a:prstGeom>
                    <a:noFill/>
                  </pic:spPr>
                </pic:pic>
              </a:graphicData>
            </a:graphic>
          </wp:anchor>
        </w:drawing>
        <w:t xml:space="preserve">(as defined in paragraph ii. below) with WM equal to 65 or greater; and (3) has completed at least 5 consecutive full years of Service with WM during the 5-year period immediately preceding the resignation; </w:t>
      </w:r>
      <w:r>
        <w:rPr>
          <w:rFonts w:ascii="Arial" w:cs="Arial" w:eastAsia="Arial" w:hAnsi="Arial"/>
          <w:sz w:val="20"/>
          <w:szCs w:val="20"/>
          <w:u w:val="single" w:color="auto"/>
          <w:color w:val="auto"/>
        </w:rPr>
        <w:t>provided</w:t>
      </w:r>
      <w:r>
        <w:rPr>
          <w:rFonts w:ascii="Arial" w:cs="Arial" w:eastAsia="Arial" w:hAnsi="Arial"/>
          <w:sz w:val="20"/>
          <w:szCs w:val="20"/>
          <w:color w:val="auto"/>
        </w:rPr>
        <w:t>, that Employee is not receiving severance benefits pursuant to the severance pay plans of WM.</w:t>
      </w:r>
    </w:p>
    <w:p>
      <w:pPr>
        <w:spacing w:after="0" w:line="172" w:lineRule="exact"/>
        <w:rPr>
          <w:sz w:val="20"/>
          <w:szCs w:val="20"/>
          <w:color w:val="auto"/>
        </w:rPr>
      </w:pPr>
    </w:p>
    <w:p>
      <w:pPr>
        <w:ind w:left="1292" w:right="80" w:hanging="463"/>
        <w:spacing w:after="0" w:line="231" w:lineRule="auto"/>
        <w:tabs>
          <w:tab w:leader="none" w:pos="1292" w:val="left"/>
        </w:tabs>
        <w:numPr>
          <w:ilvl w:val="2"/>
          <w:numId w:val="27"/>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Service </w:t>
      </w:r>
      <w:r>
        <w:rPr>
          <w:rFonts w:ascii="Arial" w:cs="Arial" w:eastAsia="Arial" w:hAnsi="Arial"/>
          <w:sz w:val="20"/>
          <w:szCs w:val="20"/>
          <w:color w:val="auto"/>
        </w:rPr>
        <w:t>is measured from Employee’s original date of hire by WM, except as provided below.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case of a break of employment by Employee from WM of one year or more in length, Employee’s service before the break of employment is not considered Service. Service with an entity acquired by WM is considered Service so long as Employee remained continuously employed with such predecessor company(ies) and WM. In the case of a break of employment between a predecessor company and WM of any length, Employee’s Service shall be measured from the original date of hire by WM and shall not include any service with any predecessor company.</w:t>
      </w:r>
    </w:p>
    <w:p>
      <w:pPr>
        <w:spacing w:after="0" w:line="173" w:lineRule="exact"/>
        <w:rPr>
          <w:rFonts w:ascii="Arial" w:cs="Arial" w:eastAsia="Arial" w:hAnsi="Arial"/>
          <w:sz w:val="20"/>
          <w:szCs w:val="20"/>
          <w:color w:val="auto"/>
        </w:rPr>
      </w:pPr>
    </w:p>
    <w:p>
      <w:pPr>
        <w:ind w:left="1292" w:right="40" w:hanging="507"/>
        <w:spacing w:after="0" w:line="232" w:lineRule="auto"/>
        <w:tabs>
          <w:tab w:leader="none" w:pos="1292" w:val="left"/>
        </w:tabs>
        <w:numPr>
          <w:ilvl w:val="2"/>
          <w:numId w:val="27"/>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Termination of Employment </w:t>
      </w:r>
      <w:r>
        <w:rPr>
          <w:rFonts w:ascii="Arial" w:cs="Arial" w:eastAsia="Arial" w:hAnsi="Arial"/>
          <w:sz w:val="20"/>
          <w:szCs w:val="20"/>
          <w:color w:val="auto"/>
        </w:rPr>
        <w:t>means the termination of Employee’s employment or other service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relationship with WM as determined by the Committee. Temporary absences from employment because of illness, vacation or leave of absence and transfers among the Company and its Subsidiaries and Affiliates will not be considered a Termination of Employment. Any question as to whether and when there has been a Termination of Employment, and the cause of such termination, shall be determined by and in the sole discretion of the Committee and such determination shall be final.</w:t>
      </w:r>
    </w:p>
    <w:p>
      <w:pPr>
        <w:spacing w:after="0" w:line="171" w:lineRule="exact"/>
        <w:rPr>
          <w:rFonts w:ascii="Arial" w:cs="Arial" w:eastAsia="Arial" w:hAnsi="Arial"/>
          <w:sz w:val="20"/>
          <w:szCs w:val="20"/>
          <w:color w:val="auto"/>
        </w:rPr>
      </w:pPr>
    </w:p>
    <w:p>
      <w:pPr>
        <w:ind w:left="1292" w:right="60" w:hanging="503"/>
        <w:spacing w:after="0" w:line="229" w:lineRule="auto"/>
        <w:tabs>
          <w:tab w:leader="none" w:pos="1292" w:val="left"/>
        </w:tabs>
        <w:numPr>
          <w:ilvl w:val="2"/>
          <w:numId w:val="27"/>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Cause </w:t>
      </w:r>
      <w:r>
        <w:rPr>
          <w:rFonts w:ascii="Arial" w:cs="Arial" w:eastAsia="Arial" w:hAnsi="Arial"/>
          <w:sz w:val="20"/>
          <w:szCs w:val="20"/>
          <w:color w:val="auto"/>
        </w:rPr>
        <w:t>means any of the following: (1) willful or deliberate and continual refusal to materially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perform Employee’s duties reasonably requested by WM after receipt of written notice to Employee of such failure to perform, specifying such failure (other than as a result of Employee’s sickness, illness, injury, death or disability) and Employee fails to cure such nonperformance within ten (10) days of receipt of said written notice; (2) breach of any statutory or common law duty of loyalty to WM; (3) Employee has been convicted of, or pleaded </w:t>
      </w:r>
      <w:r>
        <w:rPr>
          <w:rFonts w:ascii="Arial" w:cs="Arial" w:eastAsia="Arial" w:hAnsi="Arial"/>
          <w:sz w:val="20"/>
          <w:szCs w:val="20"/>
          <w:i w:val="1"/>
          <w:iCs w:val="1"/>
          <w:color w:val="auto"/>
        </w:rPr>
        <w:t>nolo contendre</w:t>
      </w:r>
      <w:r>
        <w:rPr>
          <w:rFonts w:ascii="Arial" w:cs="Arial" w:eastAsia="Arial" w:hAnsi="Arial"/>
          <w:sz w:val="20"/>
          <w:szCs w:val="20"/>
          <w:color w:val="auto"/>
        </w:rPr>
        <w:t xml:space="preserve"> to, any felony; (4) Employee willfully or intentionally caused material injury to WM, its property, or its assets; (5) Employee disclosed to unauthorized person(s) proprietary or confidential information of WM that causes a material injury to WM; or (6) any material violation or a repeated and willful violation of WM’s policies or procedures, including but not limited to, WM’s Code of Business Conduct and Ethics (or any successor policy) then in effect.</w:t>
      </w:r>
    </w:p>
    <w:p>
      <w:pPr>
        <w:spacing w:after="0" w:line="178" w:lineRule="exact"/>
        <w:rPr>
          <w:rFonts w:ascii="Arial" w:cs="Arial" w:eastAsia="Arial" w:hAnsi="Arial"/>
          <w:sz w:val="20"/>
          <w:szCs w:val="20"/>
          <w:color w:val="auto"/>
        </w:rPr>
      </w:pPr>
    </w:p>
    <w:p>
      <w:pPr>
        <w:ind w:left="732" w:right="140" w:hanging="327"/>
        <w:spacing w:after="0" w:line="248" w:lineRule="auto"/>
        <w:tabs>
          <w:tab w:leader="none" w:pos="732" w:val="left"/>
        </w:tabs>
        <w:numPr>
          <w:ilvl w:val="1"/>
          <w:numId w:val="28"/>
        </w:numPr>
        <w:rPr>
          <w:rFonts w:ascii="Arial" w:cs="Arial" w:eastAsia="Arial" w:hAnsi="Arial"/>
          <w:sz w:val="19"/>
          <w:szCs w:val="19"/>
          <w:color w:val="auto"/>
        </w:rPr>
      </w:pPr>
      <w:r>
        <w:rPr>
          <w:rFonts w:ascii="Arial" w:cs="Arial" w:eastAsia="Arial" w:hAnsi="Arial"/>
          <w:sz w:val="19"/>
          <w:szCs w:val="19"/>
          <w:color w:val="auto"/>
        </w:rPr>
        <w:t>In order to receive any of the benefits upon termination described above in paragraphs 1 and 2, Employee (or, if applicable, Employee’s estate) must first (x) execute and not revoke a general release of claims in favor of WM and its affiliates in a form that is acceptable to WM and which has become effective and irrevocable prior to the payment date set forth above (or such earlier deadline set by WM and (y) continue to abide by all ongoing obligations to WM under any restrictive covenant agreement.</w:t>
      </w:r>
    </w:p>
    <w:p>
      <w:pPr>
        <w:spacing w:after="0" w:line="167" w:lineRule="exact"/>
        <w:rPr>
          <w:rFonts w:ascii="Arial" w:cs="Arial" w:eastAsia="Arial" w:hAnsi="Arial"/>
          <w:sz w:val="19"/>
          <w:szCs w:val="19"/>
          <w:color w:val="auto"/>
        </w:rPr>
      </w:pPr>
    </w:p>
    <w:p>
      <w:pPr>
        <w:ind w:left="332" w:right="100" w:hanging="332"/>
        <w:spacing w:after="0" w:line="232" w:lineRule="auto"/>
        <w:tabs>
          <w:tab w:leader="none" w:pos="332"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 for Other Reasons</w:t>
      </w:r>
      <w:r>
        <w:rPr>
          <w:rFonts w:ascii="Arial" w:cs="Arial" w:eastAsia="Arial" w:hAnsi="Arial"/>
          <w:sz w:val="20"/>
          <w:szCs w:val="20"/>
          <w:color w:val="auto"/>
        </w:rPr>
        <w:t>. Except as provided in paragraphs 1 through 2 above and 5 below, Employee must be an employee of WM continuously from the Grant Date through the close of business on last day of the Restriction Period to be entitled to receive payment of any RSU Awards. Upon Termination of Employment on or before the lapse of the Restriction Period, for any reason other than termination that would qualify Employee for payout under paragraphs 1 through 2 above and 5 below, Employee shall immediately forfeit all unvested RSUs and any related Dividend Equivalents, without the payment of any consideration by WM.</w:t>
      </w:r>
    </w:p>
    <w:p>
      <w:pPr>
        <w:spacing w:after="0" w:line="171" w:lineRule="exact"/>
        <w:rPr>
          <w:rFonts w:ascii="Arial" w:cs="Arial" w:eastAsia="Arial" w:hAnsi="Arial"/>
          <w:sz w:val="20"/>
          <w:szCs w:val="20"/>
          <w:color w:val="auto"/>
        </w:rPr>
      </w:pPr>
    </w:p>
    <w:p>
      <w:pPr>
        <w:ind w:left="332" w:hanging="332"/>
        <w:spacing w:after="0"/>
        <w:tabs>
          <w:tab w:leader="none" w:pos="332"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Recoupment Provisions</w:t>
      </w:r>
    </w:p>
    <w:p>
      <w:pPr>
        <w:spacing w:after="0" w:line="202" w:lineRule="exact"/>
        <w:rPr>
          <w:rFonts w:ascii="Arial" w:cs="Arial" w:eastAsia="Arial" w:hAnsi="Arial"/>
          <w:sz w:val="20"/>
          <w:szCs w:val="20"/>
          <w:color w:val="auto"/>
        </w:rPr>
      </w:pPr>
    </w:p>
    <w:p>
      <w:pPr>
        <w:ind w:left="732" w:hanging="327"/>
        <w:spacing w:after="0"/>
        <w:tabs>
          <w:tab w:leader="none" w:pos="732" w:val="left"/>
        </w:tabs>
        <w:numPr>
          <w:ilvl w:val="1"/>
          <w:numId w:val="29"/>
        </w:numPr>
        <w:rPr>
          <w:rFonts w:ascii="Arial" w:cs="Arial" w:eastAsia="Arial" w:hAnsi="Arial"/>
          <w:sz w:val="20"/>
          <w:szCs w:val="20"/>
          <w:color w:val="auto"/>
        </w:rPr>
      </w:pPr>
      <w:r>
        <w:rPr>
          <w:rFonts w:ascii="Arial" w:cs="Arial" w:eastAsia="Arial" w:hAnsi="Arial"/>
          <w:sz w:val="20"/>
          <w:szCs w:val="20"/>
          <w:u w:val="single" w:color="auto"/>
          <w:color w:val="auto"/>
        </w:rPr>
        <w:t>Clawback Policy</w:t>
      </w:r>
    </w:p>
    <w:p>
      <w:pPr>
        <w:spacing w:after="0" w:line="202" w:lineRule="exact"/>
        <w:rPr>
          <w:rFonts w:ascii="Arial" w:cs="Arial" w:eastAsia="Arial" w:hAnsi="Arial"/>
          <w:sz w:val="20"/>
          <w:szCs w:val="20"/>
          <w:color w:val="auto"/>
        </w:rPr>
      </w:pPr>
    </w:p>
    <w:p>
      <w:pPr>
        <w:ind w:left="1292" w:right="240" w:hanging="419"/>
        <w:spacing w:after="0" w:line="247" w:lineRule="auto"/>
        <w:tabs>
          <w:tab w:leader="none" w:pos="1292" w:val="left"/>
        </w:tabs>
        <w:numPr>
          <w:ilvl w:val="2"/>
          <w:numId w:val="29"/>
        </w:numPr>
        <w:rPr>
          <w:rFonts w:ascii="Arial" w:cs="Arial" w:eastAsia="Arial" w:hAnsi="Arial"/>
          <w:sz w:val="19"/>
          <w:szCs w:val="19"/>
          <w:color w:val="auto"/>
        </w:rPr>
      </w:pPr>
      <w:r>
        <w:rPr>
          <w:rFonts w:ascii="Arial" w:cs="Arial" w:eastAsia="Arial" w:hAnsi="Arial"/>
          <w:sz w:val="19"/>
          <w:szCs w:val="19"/>
          <w:color w:val="auto"/>
        </w:rPr>
        <w:t>Notwithstanding any provisions in the Plan or this Agreement to the contrary, any portion of the payments and benefits provided under this Agreement or the sale of any shares of Common</w:t>
      </w:r>
    </w:p>
    <w:p>
      <w:pPr>
        <w:ind w:left="1292" w:right="680"/>
        <w:spacing w:after="0" w:line="225" w:lineRule="auto"/>
        <w:rPr>
          <w:sz w:val="20"/>
          <w:szCs w:val="20"/>
          <w:color w:val="auto"/>
        </w:rPr>
      </w:pPr>
      <w:r>
        <w:rPr>
          <w:rFonts w:ascii="Arial" w:cs="Arial" w:eastAsia="Arial" w:hAnsi="Arial"/>
          <w:sz w:val="20"/>
          <w:szCs w:val="20"/>
          <w:color w:val="auto"/>
        </w:rPr>
        <w:t>Stock issued hereunder shall be subject to the Waste Management, Inc. Clawback Policy, adopted by the</w:t>
      </w:r>
    </w:p>
    <w:p>
      <w:pPr>
        <w:spacing w:after="0" w:line="1" w:lineRule="exact"/>
        <w:rPr>
          <w:sz w:val="20"/>
          <w:szCs w:val="20"/>
          <w:color w:val="auto"/>
        </w:rPr>
      </w:pPr>
    </w:p>
    <w:p>
      <w:pPr>
        <w:jc w:val="center"/>
        <w:ind w:right="-31"/>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473710</wp:posOffset>
            </wp:positionV>
            <wp:extent cx="656653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6566535" cy="25400"/>
                    </a:xfrm>
                    <a:prstGeom prst="rect">
                      <a:avLst/>
                    </a:prstGeom>
                    <a:noFill/>
                  </pic:spPr>
                </pic:pic>
              </a:graphicData>
            </a:graphic>
          </wp:anchor>
        </w:drawing>
      </w:r>
    </w:p>
    <w:p>
      <w:pPr>
        <w:sectPr>
          <w:pgSz w:w="11900" w:h="16838" w:orient="portrait"/>
          <w:cols w:equalWidth="0" w:num="1">
            <w:col w:w="9812"/>
          </w:cols>
          <w:pgMar w:left="1028" w:top="1022" w:right="1059" w:bottom="1440" w:gutter="0" w:footer="0" w:header="0"/>
        </w:sectPr>
      </w:pPr>
    </w:p>
    <w:bookmarkStart w:id="45" w:name="page46"/>
    <w:bookmarkEnd w:id="45"/>
    <w:p>
      <w:pPr>
        <w:ind w:left="1292"/>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523240</wp:posOffset>
            </wp:positionH>
            <wp:positionV relativeFrom="page">
              <wp:posOffset>395605</wp:posOffset>
            </wp:positionV>
            <wp:extent cx="6501765" cy="83534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6501765" cy="8353425"/>
                    </a:xfrm>
                    <a:prstGeom prst="rect">
                      <a:avLst/>
                    </a:prstGeom>
                    <a:noFill/>
                  </pic:spPr>
                </pic:pic>
              </a:graphicData>
            </a:graphic>
          </wp:anchor>
        </w:drawing>
        <w:t>Committee of the Board on August 21, 2023, (as may be amended from time to time, the</w:t>
      </w:r>
    </w:p>
    <w:p>
      <w:pPr>
        <w:spacing w:after="0" w:line="4" w:lineRule="exact"/>
        <w:rPr>
          <w:sz w:val="20"/>
          <w:szCs w:val="20"/>
          <w:color w:val="auto"/>
        </w:rPr>
      </w:pPr>
    </w:p>
    <w:p>
      <w:pPr>
        <w:ind w:left="1292" w:right="20"/>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Clawback Policy</w:t>
      </w:r>
      <w:r>
        <w:rPr>
          <w:rFonts w:ascii="Arial" w:cs="Arial" w:eastAsia="Arial" w:hAnsi="Arial"/>
          <w:sz w:val="20"/>
          <w:szCs w:val="20"/>
          <w:color w:val="auto"/>
        </w:rPr>
        <w:t>”) and any other clawback or recovery policy adopted by the Committee or the Board from time to time, including, without limitation, any such policy adopted in accordance with the requirements of the Dodd-Frank Wall Street Reform and Consumer Protection Act of 2010 or any rule or regulation of the SEC or New York Stock Exchange. Additionally, notwithstanding the terms of any of the organizational documents of WM, any corporate policy, or any contract between Employee and WM, Employee hereby acknowledges and agrees that Employee will not be entitled to (i) indemnification for any liability (including any amounts owed by Employee in a judgment or settlement in connection with any action taken by the Committee or the Board to enforce the Clawback Policy) (such action, a “</w:t>
      </w:r>
      <w:r>
        <w:rPr>
          <w:rFonts w:ascii="Arial" w:cs="Arial" w:eastAsia="Arial" w:hAnsi="Arial"/>
          <w:sz w:val="20"/>
          <w:szCs w:val="20"/>
          <w:b w:val="1"/>
          <w:bCs w:val="1"/>
          <w:i w:val="1"/>
          <w:iCs w:val="1"/>
          <w:color w:val="auto"/>
        </w:rPr>
        <w:t>Clawback Proceeding</w:t>
      </w:r>
      <w:r>
        <w:rPr>
          <w:rFonts w:ascii="Arial" w:cs="Arial" w:eastAsia="Arial" w:hAnsi="Arial"/>
          <w:sz w:val="20"/>
          <w:szCs w:val="20"/>
          <w:color w:val="auto"/>
        </w:rPr>
        <w:t>”) or loss (including judgments, fines, taxes, penalties or amounts paid in settlement by or on behalf of Employee incurred by Employee in connection with or as a result of any Clawback Proceeding) or (ii) indemnification or advancement of any expenses (including attorneys’ fees) from WM incurred by Employee in connection any Clawback Proceeding; provided, however, if Employee is successful on the merits in the defense of any claim asserted against Employee in a Clawback Proceeding, Employee shall be indemnified for the expenses (including attorneys' fees) Employee reasonably incurred to defend such claim. Employee knowingly, voluntarily and intentionally waives, and agrees not to asset any claims regarding, any and all rights to indemnification, advancement of expenses and other rights from WM to which Employee is now or may become entitled under any indemnity agreement or other contract between Employee and WM, the organizational documents of WM and the General Corporation Law of the State of Delaware, in each case to the extent such waiver and agreement is necessary to comply with applicable law or give effect to the preceding provisions of this paragraph.</w:t>
      </w:r>
    </w:p>
    <w:p>
      <w:pPr>
        <w:spacing w:after="0" w:line="186" w:lineRule="exact"/>
        <w:rPr>
          <w:sz w:val="20"/>
          <w:szCs w:val="20"/>
          <w:color w:val="auto"/>
        </w:rPr>
      </w:pPr>
    </w:p>
    <w:p>
      <w:pPr>
        <w:ind w:left="732" w:hanging="327"/>
        <w:spacing w:after="0"/>
        <w:tabs>
          <w:tab w:leader="none" w:pos="732" w:val="left"/>
        </w:tabs>
        <w:numPr>
          <w:ilvl w:val="2"/>
          <w:numId w:val="30"/>
        </w:numPr>
        <w:rPr>
          <w:rFonts w:ascii="Arial" w:cs="Arial" w:eastAsia="Arial" w:hAnsi="Arial"/>
          <w:sz w:val="20"/>
          <w:szCs w:val="20"/>
          <w:color w:val="auto"/>
        </w:rPr>
      </w:pPr>
      <w:r>
        <w:rPr>
          <w:rFonts w:ascii="Arial" w:cs="Arial" w:eastAsia="Arial" w:hAnsi="Arial"/>
          <w:sz w:val="20"/>
          <w:szCs w:val="20"/>
          <w:u w:val="single" w:color="auto"/>
          <w:color w:val="auto"/>
        </w:rPr>
        <w:t>Repayment of RSU Award in the Event of Misconduct</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292" w:right="40" w:hanging="419"/>
        <w:spacing w:after="0" w:line="241" w:lineRule="auto"/>
        <w:tabs>
          <w:tab w:leader="none" w:pos="1292" w:val="left"/>
        </w:tabs>
        <w:numPr>
          <w:ilvl w:val="3"/>
          <w:numId w:val="30"/>
        </w:numPr>
        <w:rPr>
          <w:rFonts w:ascii="Arial" w:cs="Arial" w:eastAsia="Arial" w:hAnsi="Arial"/>
          <w:sz w:val="19"/>
          <w:szCs w:val="19"/>
          <w:color w:val="auto"/>
        </w:rPr>
      </w:pPr>
      <w:r>
        <w:rPr>
          <w:rFonts w:ascii="Arial" w:cs="Arial" w:eastAsia="Arial" w:hAnsi="Arial"/>
          <w:sz w:val="19"/>
          <w:szCs w:val="19"/>
          <w:color w:val="auto"/>
        </w:rPr>
        <w:t xml:space="preserve">Overriding any other inconsistent terms of this Agreement, if the Committee, in its sole discretion, determines that Employee either engaged in or benefited from Misconduct (as defined below), then, to the fullest extent permitted by law, Employee shall refund and pay to WM any Common Stock and/or amounts (including Dividend Equivalents), plus interest, received by Employee under this Agreement. </w:t>
      </w:r>
      <w:r>
        <w:rPr>
          <w:rFonts w:ascii="Arial" w:cs="Arial" w:eastAsia="Arial" w:hAnsi="Arial"/>
          <w:sz w:val="19"/>
          <w:szCs w:val="19"/>
          <w:b w:val="1"/>
          <w:bCs w:val="1"/>
          <w:i w:val="1"/>
          <w:iCs w:val="1"/>
          <w:color w:val="auto"/>
        </w:rPr>
        <w:t>Misconduct</w:t>
      </w:r>
      <w:r>
        <w:rPr>
          <w:rFonts w:ascii="Arial" w:cs="Arial" w:eastAsia="Arial" w:hAnsi="Arial"/>
          <w:sz w:val="19"/>
          <w:szCs w:val="19"/>
          <w:color w:val="auto"/>
        </w:rPr>
        <w:t xml:space="preserve"> means any act or failure to act by any employee of WM that</w:t>
      </w:r>
    </w:p>
    <w:p>
      <w:pPr>
        <w:spacing w:after="0" w:line="1" w:lineRule="exact"/>
        <w:rPr>
          <w:rFonts w:ascii="Arial" w:cs="Arial" w:eastAsia="Arial" w:hAnsi="Arial"/>
          <w:sz w:val="19"/>
          <w:szCs w:val="19"/>
          <w:color w:val="auto"/>
        </w:rPr>
      </w:pPr>
    </w:p>
    <w:p>
      <w:pPr>
        <w:ind w:left="1292"/>
        <w:spacing w:after="0" w:line="244" w:lineRule="auto"/>
        <w:rPr>
          <w:rFonts w:ascii="Arial" w:cs="Arial" w:eastAsia="Arial" w:hAnsi="Arial"/>
          <w:sz w:val="19"/>
          <w:szCs w:val="19"/>
          <w:color w:val="auto"/>
        </w:rPr>
      </w:pPr>
      <w:r>
        <w:rPr>
          <w:rFonts w:ascii="Arial" w:cs="Arial" w:eastAsia="Arial" w:hAnsi="Arial"/>
          <w:sz w:val="19"/>
          <w:szCs w:val="19"/>
          <w:color w:val="auto"/>
        </w:rPr>
        <w:t xml:space="preserve">(i) caused or was intended to cause a violation of WM’s policies or the WM code of conduct, generally accepted accounting principles or any applicable laws in effect at the time of the act or failure to act in question and that (i) materially increased the value of the payment or RSU Award received by Employee under this Agreement. The Committee may, in its sole discretion, delegate the determination of Misconduct to an independent third party (either a law firm or an accounting firm, hereinafter referred to as </w:t>
      </w:r>
      <w:r>
        <w:rPr>
          <w:rFonts w:ascii="Arial" w:cs="Arial" w:eastAsia="Arial" w:hAnsi="Arial"/>
          <w:sz w:val="19"/>
          <w:szCs w:val="19"/>
          <w:b w:val="1"/>
          <w:bCs w:val="1"/>
          <w:i w:val="1"/>
          <w:iCs w:val="1"/>
          <w:color w:val="auto"/>
        </w:rPr>
        <w:t>Independent Third Party</w:t>
      </w:r>
      <w:r>
        <w:rPr>
          <w:rFonts w:ascii="Arial" w:cs="Arial" w:eastAsia="Arial" w:hAnsi="Arial"/>
          <w:sz w:val="19"/>
          <w:szCs w:val="19"/>
          <w:color w:val="auto"/>
        </w:rPr>
        <w:t>) appointed by the Committee.</w:t>
      </w:r>
    </w:p>
    <w:p>
      <w:pPr>
        <w:spacing w:after="0" w:line="161" w:lineRule="exact"/>
        <w:rPr>
          <w:rFonts w:ascii="Arial" w:cs="Arial" w:eastAsia="Arial" w:hAnsi="Arial"/>
          <w:sz w:val="19"/>
          <w:szCs w:val="19"/>
          <w:color w:val="auto"/>
        </w:rPr>
      </w:pPr>
    </w:p>
    <w:p>
      <w:pPr>
        <w:ind w:left="1292" w:right="80" w:hanging="463"/>
        <w:spacing w:after="0" w:line="234" w:lineRule="auto"/>
        <w:tabs>
          <w:tab w:leader="none" w:pos="1292" w:val="left"/>
        </w:tabs>
        <w:numPr>
          <w:ilvl w:val="3"/>
          <w:numId w:val="30"/>
        </w:numPr>
        <w:rPr>
          <w:rFonts w:ascii="Arial" w:cs="Arial" w:eastAsia="Arial" w:hAnsi="Arial"/>
          <w:sz w:val="20"/>
          <w:szCs w:val="20"/>
          <w:color w:val="auto"/>
        </w:rPr>
      </w:pPr>
      <w:r>
        <w:rPr>
          <w:rFonts w:ascii="Arial" w:cs="Arial" w:eastAsia="Arial" w:hAnsi="Arial"/>
          <w:sz w:val="20"/>
          <w:szCs w:val="20"/>
          <w:color w:val="auto"/>
        </w:rPr>
        <w:t>Following a determination of Misconduct by Employee, Employee may dispute such determination pursuant to binding arbitration as set forth under “General Terms” provided, however, that if Employee is determined to have benefited from, but not engaged in, Misconduct, Employee will have no right to dispute such determination and such determination shall be conclusive and binding.</w:t>
      </w:r>
    </w:p>
    <w:p>
      <w:pPr>
        <w:spacing w:after="0" w:line="174" w:lineRule="exact"/>
        <w:rPr>
          <w:rFonts w:ascii="Arial" w:cs="Arial" w:eastAsia="Arial" w:hAnsi="Arial"/>
          <w:sz w:val="20"/>
          <w:szCs w:val="20"/>
          <w:color w:val="auto"/>
        </w:rPr>
      </w:pPr>
    </w:p>
    <w:p>
      <w:pPr>
        <w:ind w:left="1292" w:right="480" w:hanging="507"/>
        <w:spacing w:after="0" w:line="241" w:lineRule="auto"/>
        <w:tabs>
          <w:tab w:leader="none" w:pos="1292" w:val="left"/>
        </w:tabs>
        <w:numPr>
          <w:ilvl w:val="3"/>
          <w:numId w:val="30"/>
        </w:numPr>
        <w:rPr>
          <w:rFonts w:ascii="Arial" w:cs="Arial" w:eastAsia="Arial" w:hAnsi="Arial"/>
          <w:sz w:val="20"/>
          <w:szCs w:val="20"/>
          <w:color w:val="auto"/>
        </w:rPr>
      </w:pPr>
      <w:r>
        <w:rPr>
          <w:rFonts w:ascii="Arial" w:cs="Arial" w:eastAsia="Arial" w:hAnsi="Arial"/>
          <w:sz w:val="20"/>
          <w:szCs w:val="20"/>
          <w:color w:val="auto"/>
        </w:rPr>
        <w:t>WM must initiate recovery pursuant to this paragraph 4 by the earliest of (i) one year after discovery of alleged Misconduct, or (ii) the second anniversary of Employee’s Termination of Employment.</w:t>
      </w:r>
    </w:p>
    <w:p>
      <w:pPr>
        <w:spacing w:after="0" w:line="171" w:lineRule="exact"/>
        <w:rPr>
          <w:rFonts w:ascii="Arial" w:cs="Arial" w:eastAsia="Arial" w:hAnsi="Arial"/>
          <w:sz w:val="20"/>
          <w:szCs w:val="20"/>
          <w:color w:val="auto"/>
        </w:rPr>
      </w:pPr>
    </w:p>
    <w:p>
      <w:pPr>
        <w:ind w:left="1292" w:right="660" w:hanging="503"/>
        <w:spacing w:after="0" w:line="241" w:lineRule="auto"/>
        <w:tabs>
          <w:tab w:leader="none" w:pos="1292" w:val="left"/>
        </w:tabs>
        <w:numPr>
          <w:ilvl w:val="3"/>
          <w:numId w:val="30"/>
        </w:numPr>
        <w:rPr>
          <w:rFonts w:ascii="Arial" w:cs="Arial" w:eastAsia="Arial" w:hAnsi="Arial"/>
          <w:sz w:val="20"/>
          <w:szCs w:val="20"/>
          <w:color w:val="auto"/>
        </w:rPr>
      </w:pPr>
      <w:r>
        <w:rPr>
          <w:rFonts w:ascii="Arial" w:cs="Arial" w:eastAsia="Arial" w:hAnsi="Arial"/>
          <w:sz w:val="20"/>
          <w:szCs w:val="20"/>
          <w:color w:val="auto"/>
        </w:rPr>
        <w:t>The provisions of this paragraph 4, without any implication as to any other provision of this Agreement, shall survive the expiration or termination of this Agreement and Employee’s employment.</w:t>
      </w:r>
    </w:p>
    <w:p>
      <w:pPr>
        <w:spacing w:after="0" w:line="171" w:lineRule="exact"/>
        <w:rPr>
          <w:rFonts w:ascii="Arial" w:cs="Arial" w:eastAsia="Arial" w:hAnsi="Arial"/>
          <w:sz w:val="20"/>
          <w:szCs w:val="20"/>
          <w:color w:val="auto"/>
        </w:rPr>
      </w:pPr>
    </w:p>
    <w:p>
      <w:pPr>
        <w:ind w:left="332" w:hanging="332"/>
        <w:spacing w:after="0"/>
        <w:tabs>
          <w:tab w:leader="none" w:pos="332"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Acceleration upon Corporate Change</w:t>
      </w:r>
      <w:r>
        <w:rPr>
          <w:rFonts w:ascii="Arial" w:cs="Arial" w:eastAsia="Arial" w:hAnsi="Arial"/>
          <w:sz w:val="20"/>
          <w:szCs w:val="20"/>
          <w:color w:val="auto"/>
        </w:rPr>
        <w:t>. Overriding any other inconsistent terms of this Agreement:</w:t>
      </w:r>
    </w:p>
    <w:p>
      <w:pPr>
        <w:spacing w:after="0" w:line="202" w:lineRule="exact"/>
        <w:rPr>
          <w:rFonts w:ascii="Arial" w:cs="Arial" w:eastAsia="Arial" w:hAnsi="Arial"/>
          <w:sz w:val="20"/>
          <w:szCs w:val="20"/>
          <w:color w:val="auto"/>
        </w:rPr>
      </w:pPr>
    </w:p>
    <w:p>
      <w:pPr>
        <w:ind w:left="652" w:right="260" w:hanging="328"/>
        <w:spacing w:after="0" w:line="231" w:lineRule="auto"/>
        <w:tabs>
          <w:tab w:leader="none" w:pos="652" w:val="left"/>
        </w:tabs>
        <w:numPr>
          <w:ilvl w:val="1"/>
          <w:numId w:val="31"/>
        </w:numPr>
        <w:rPr>
          <w:rFonts w:ascii="Arial" w:cs="Arial" w:eastAsia="Arial" w:hAnsi="Arial"/>
          <w:sz w:val="20"/>
          <w:szCs w:val="20"/>
          <w:color w:val="auto"/>
        </w:rPr>
      </w:pPr>
      <w:r>
        <w:rPr>
          <w:rFonts w:ascii="Arial" w:cs="Arial" w:eastAsia="Arial" w:hAnsi="Arial"/>
          <w:sz w:val="20"/>
          <w:szCs w:val="20"/>
          <w:color w:val="auto"/>
        </w:rPr>
        <w:t>If there is a Corporate Change prior to the close of the Restriction Period, all outstanding but unvested RSUs will be immediately vested in full and, along with all associated Dividend Equivalents up to the original Vesting</w:t>
      </w:r>
    </w:p>
    <w:p>
      <w:pPr>
        <w:sectPr>
          <w:pgSz w:w="11900" w:h="16838" w:orient="portrait"/>
          <w:cols w:equalWidth="0" w:num="1">
            <w:col w:w="9832"/>
          </w:cols>
          <w:pgMar w:left="1028" w:top="1022" w:right="1039" w:bottom="1440" w:gutter="0" w:footer="0" w:header="0"/>
        </w:sectPr>
      </w:pPr>
    </w:p>
    <w:p>
      <w:pPr>
        <w:spacing w:after="0" w:line="2" w:lineRule="exact"/>
        <w:rPr>
          <w:sz w:val="20"/>
          <w:szCs w:val="20"/>
          <w:color w:val="auto"/>
        </w:rPr>
      </w:pPr>
    </w:p>
    <w:p>
      <w:pPr>
        <w:jc w:val="center"/>
        <w:ind w:right="8"/>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473710</wp:posOffset>
            </wp:positionV>
            <wp:extent cx="656653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6566535" cy="26035"/>
                    </a:xfrm>
                    <a:prstGeom prst="rect">
                      <a:avLst/>
                    </a:prstGeom>
                    <a:noFill/>
                  </pic:spPr>
                </pic:pic>
              </a:graphicData>
            </a:graphic>
          </wp:anchor>
        </w:drawing>
      </w:r>
    </w:p>
    <w:p>
      <w:pPr>
        <w:sectPr>
          <w:pgSz w:w="11900" w:h="16838" w:orient="portrait"/>
          <w:cols w:equalWidth="0" w:num="1">
            <w:col w:w="9832"/>
          </w:cols>
          <w:pgMar w:left="1028" w:top="1022" w:right="1039" w:bottom="1440" w:gutter="0" w:footer="0" w:header="0"/>
          <w:type w:val="continuous"/>
        </w:sectPr>
      </w:pPr>
    </w:p>
    <w:bookmarkStart w:id="46" w:name="page47"/>
    <w:bookmarkEnd w:id="46"/>
    <w:p>
      <w:pPr>
        <w:ind w:left="652"/>
        <w:spacing w:after="0" w:line="230"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523240</wp:posOffset>
            </wp:positionH>
            <wp:positionV relativeFrom="page">
              <wp:posOffset>395605</wp:posOffset>
            </wp:positionV>
            <wp:extent cx="6501765" cy="3690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6501765" cy="3690620"/>
                    </a:xfrm>
                    <a:prstGeom prst="rect">
                      <a:avLst/>
                    </a:prstGeom>
                    <a:noFill/>
                  </pic:spPr>
                </pic:pic>
              </a:graphicData>
            </a:graphic>
          </wp:anchor>
        </w:drawing>
        <w:t>Dates, will be due and payable within 74 days following such original Vesting Dates, unless the successor entity assumes all RSU Awards granted under the Plan and converts the awards to equivalent grants in the successor effective as of the Corporate Change. If the successor entity so assumes and converts all RSU Awards granted under the Plan, upon Employee’s involuntary Termination of Employment without Cause during the Window Period or upon Employee’s Retirement, death or Disability, then all outstanding but unvested RSUs (or the equivalent grant in the successor entity) and the associated Dividend Equivalents through such date will become immediately vested in full as of such event and paid (i) in the case of death or Disability, within 74 days of such time or (ii) in the case of Retirement or involuntary Termination of Employment without Cause, within 74 days following the original Vesting Dates.</w:t>
      </w:r>
    </w:p>
    <w:p>
      <w:pPr>
        <w:spacing w:after="0" w:line="172" w:lineRule="exact"/>
        <w:rPr>
          <w:sz w:val="20"/>
          <w:szCs w:val="20"/>
          <w:color w:val="auto"/>
        </w:rPr>
      </w:pPr>
    </w:p>
    <w:p>
      <w:pPr>
        <w:ind w:left="652" w:right="80" w:hanging="328"/>
        <w:spacing w:after="0" w:line="241" w:lineRule="auto"/>
        <w:tabs>
          <w:tab w:leader="none" w:pos="652" w:val="left"/>
        </w:tabs>
        <w:numPr>
          <w:ilvl w:val="1"/>
          <w:numId w:val="32"/>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Window Period </w:t>
      </w:r>
      <w:r>
        <w:rPr>
          <w:rFonts w:ascii="Arial" w:cs="Arial" w:eastAsia="Arial" w:hAnsi="Arial"/>
          <w:sz w:val="20"/>
          <w:szCs w:val="20"/>
          <w:color w:val="auto"/>
        </w:rPr>
        <w:t>means the period beginning on the date occurring six (6) months immediately prior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date on which a Corporate Change first occurs and ending on the second anniversary of the date on which a Corporate Change occurs.</w:t>
      </w:r>
    </w:p>
    <w:p>
      <w:pPr>
        <w:spacing w:after="0" w:line="171" w:lineRule="exact"/>
        <w:rPr>
          <w:rFonts w:ascii="Arial" w:cs="Arial" w:eastAsia="Arial" w:hAnsi="Arial"/>
          <w:sz w:val="20"/>
          <w:szCs w:val="20"/>
          <w:color w:val="auto"/>
        </w:rPr>
      </w:pPr>
    </w:p>
    <w:p>
      <w:pPr>
        <w:ind w:left="332" w:right="40" w:hanging="332"/>
        <w:spacing w:after="0" w:line="232" w:lineRule="auto"/>
        <w:tabs>
          <w:tab w:leader="none" w:pos="332"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Dividend Equivalents</w:t>
      </w:r>
      <w:r>
        <w:rPr>
          <w:rFonts w:ascii="Arial" w:cs="Arial" w:eastAsia="Arial" w:hAnsi="Arial"/>
          <w:sz w:val="20"/>
          <w:szCs w:val="20"/>
          <w:color w:val="auto"/>
        </w:rPr>
        <w:t>. The Company will pay Dividend Equivalents with respect to RSUs as soon as administratively feasible (and no later than 74 days) following the original Vesting Dates. The Company will make such payment in a lump sum cash amount for RSU Award Dividend Equivalents based on the number of RSUs vested multiplied by the per share quarterly dividend payments made to stockholders of the Company’s Common Stock during the Restriction Period (without any interest or compounding). Any accumulated and unpaid Dividend Equivalents attributable to RSUs that do not vest or that are cancelled or forfeited will not be paid and are immediately forfeited upon cancellation or forfeiture of the RSUs.</w:t>
      </w:r>
    </w:p>
    <w:p>
      <w:pPr>
        <w:spacing w:after="0" w:line="172" w:lineRule="exact"/>
        <w:rPr>
          <w:sz w:val="20"/>
          <w:szCs w:val="20"/>
          <w:color w:val="auto"/>
        </w:rPr>
      </w:pPr>
    </w:p>
    <w:p>
      <w:pPr>
        <w:jc w:val="center"/>
        <w:ind w:right="-31"/>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485140</wp:posOffset>
            </wp:positionV>
            <wp:extent cx="656653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6566535" cy="25400"/>
                    </a:xfrm>
                    <a:prstGeom prst="rect">
                      <a:avLst/>
                    </a:prstGeom>
                    <a:noFill/>
                  </pic:spPr>
                </pic:pic>
              </a:graphicData>
            </a:graphic>
          </wp:anchor>
        </w:drawing>
      </w:r>
    </w:p>
    <w:p>
      <w:pPr>
        <w:sectPr>
          <w:pgSz w:w="11900" w:h="16838" w:orient="portrait"/>
          <w:cols w:equalWidth="0" w:num="1">
            <w:col w:w="9812"/>
          </w:cols>
          <w:pgMar w:left="1028" w:top="1022" w:right="1059" w:bottom="1440" w:gutter="0" w:footer="0" w:header="0"/>
        </w:sectPr>
      </w:pPr>
    </w:p>
    <w:bookmarkStart w:id="47" w:name="page48"/>
    <w:bookmarkEnd w:id="47"/>
    <w:p>
      <w:pPr>
        <w:spacing w:after="0" w:line="2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523240</wp:posOffset>
            </wp:positionH>
            <wp:positionV relativeFrom="page">
              <wp:posOffset>395605</wp:posOffset>
            </wp:positionV>
            <wp:extent cx="6501765" cy="77450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6501765" cy="7745095"/>
                    </a:xfrm>
                    <a:prstGeom prst="rect">
                      <a:avLst/>
                    </a:prstGeom>
                    <a:noFill/>
                  </pic:spPr>
                </pic:pic>
              </a:graphicData>
            </a:graphic>
          </wp:anchor>
        </w:drawing>
      </w:r>
    </w:p>
    <w:p>
      <w:pPr>
        <w:jc w:val="center"/>
        <w:ind w:right="-331"/>
        <w:spacing w:after="0"/>
        <w:rPr>
          <w:sz w:val="20"/>
          <w:szCs w:val="20"/>
          <w:color w:val="auto"/>
        </w:rPr>
      </w:pPr>
      <w:r>
        <w:rPr>
          <w:rFonts w:ascii="Arial" w:cs="Arial" w:eastAsia="Arial" w:hAnsi="Arial"/>
          <w:sz w:val="29"/>
          <w:szCs w:val="29"/>
          <w:b w:val="1"/>
          <w:bCs w:val="1"/>
          <w:color w:val="00693C"/>
        </w:rPr>
        <w:t>General Terms</w:t>
      </w:r>
    </w:p>
    <w:p>
      <w:pPr>
        <w:spacing w:after="0" w:line="233" w:lineRule="exact"/>
        <w:rPr>
          <w:sz w:val="20"/>
          <w:szCs w:val="20"/>
          <w:color w:val="auto"/>
        </w:rPr>
      </w:pPr>
    </w:p>
    <w:p>
      <w:pPr>
        <w:ind w:left="332" w:hanging="332"/>
        <w:spacing w:after="0"/>
        <w:tabs>
          <w:tab w:leader="none" w:pos="332"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Restrictions on Transfer</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652" w:right="100" w:hanging="328"/>
        <w:spacing w:after="0" w:line="234" w:lineRule="auto"/>
        <w:tabs>
          <w:tab w:leader="none" w:pos="652" w:val="left"/>
        </w:tabs>
        <w:numPr>
          <w:ilvl w:val="1"/>
          <w:numId w:val="34"/>
        </w:numPr>
        <w:rPr>
          <w:rFonts w:ascii="Arial" w:cs="Arial" w:eastAsia="Arial" w:hAnsi="Arial"/>
          <w:sz w:val="20"/>
          <w:szCs w:val="20"/>
          <w:color w:val="auto"/>
        </w:rPr>
      </w:pPr>
      <w:r>
        <w:rPr>
          <w:rFonts w:ascii="Arial" w:cs="Arial" w:eastAsia="Arial" w:hAnsi="Arial"/>
          <w:sz w:val="20"/>
          <w:szCs w:val="20"/>
          <w:color w:val="auto"/>
        </w:rPr>
        <w:t>Absent prior written consent of the Committee, RSU Awards may not be sold, assigned, transferred, pledged, or otherwise encumbered, whether voluntarily or involuntarily, by operation of law or otherwise, other than pursuant to a domestic relations order; provided, however, that the transfer of any shares of Common Stock issued under the RSU Awards shall not be restricted by virtue of this Agreement once such shares have been paid out.</w:t>
      </w:r>
    </w:p>
    <w:p>
      <w:pPr>
        <w:spacing w:after="0" w:line="174" w:lineRule="exact"/>
        <w:rPr>
          <w:rFonts w:ascii="Arial" w:cs="Arial" w:eastAsia="Arial" w:hAnsi="Arial"/>
          <w:sz w:val="20"/>
          <w:szCs w:val="20"/>
          <w:color w:val="auto"/>
        </w:rPr>
      </w:pPr>
    </w:p>
    <w:p>
      <w:pPr>
        <w:ind w:left="652" w:right="80" w:hanging="328"/>
        <w:spacing w:after="0" w:line="230" w:lineRule="auto"/>
        <w:tabs>
          <w:tab w:leader="none" w:pos="652" w:val="left"/>
        </w:tabs>
        <w:numPr>
          <w:ilvl w:val="1"/>
          <w:numId w:val="34"/>
        </w:numPr>
        <w:rPr>
          <w:rFonts w:ascii="Arial" w:cs="Arial" w:eastAsia="Arial" w:hAnsi="Arial"/>
          <w:sz w:val="20"/>
          <w:szCs w:val="20"/>
          <w:color w:val="auto"/>
        </w:rPr>
      </w:pPr>
      <w:r>
        <w:rPr>
          <w:rFonts w:ascii="Arial" w:cs="Arial" w:eastAsia="Arial" w:hAnsi="Arial"/>
          <w:sz w:val="20"/>
          <w:szCs w:val="20"/>
          <w:color w:val="auto"/>
        </w:rPr>
        <w:t>Consistent with paragraph 1.a. above and except as provided in paragraph 3. below, no right or benefit under this Agreement shall be subject to transfer, anticipation, alienation, sale, assignment, pledge, encumbrance, or charge, whether voluntary, involuntary, by operation of law or otherwise, and any attempt to transfer, anticipate, alienate, sell, assign, pledge, encumber or charge the same shall be void. No right or benefit hereunder shall in any manner be liable for or subject to any debts, contracts, liabilities, or torts of the person entitled to such benefits. If Employee or his Beneficiary shall attempt to transfer, anticipate, alienate, assign, sell, pledge, encumber or charge any right or benefit hereunder (other than pursuant to a domestic relations order), or if any creditor shall attempt to subject the same to a writ of garnishment, attachment, execution sequestration, or any other form of process or involuntary lien or seizure, then such attempt shall have no effect and shall be void.</w:t>
      </w:r>
    </w:p>
    <w:p>
      <w:pPr>
        <w:spacing w:after="0" w:line="172" w:lineRule="exact"/>
        <w:rPr>
          <w:rFonts w:ascii="Arial" w:cs="Arial" w:eastAsia="Arial" w:hAnsi="Arial"/>
          <w:sz w:val="20"/>
          <w:szCs w:val="20"/>
          <w:color w:val="auto"/>
        </w:rPr>
      </w:pPr>
    </w:p>
    <w:p>
      <w:pPr>
        <w:ind w:left="332" w:hanging="332"/>
        <w:spacing w:after="0"/>
        <w:tabs>
          <w:tab w:leader="none" w:pos="332"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Fractional Shares</w:t>
      </w:r>
      <w:r>
        <w:rPr>
          <w:rFonts w:ascii="Arial" w:cs="Arial" w:eastAsia="Arial" w:hAnsi="Arial"/>
          <w:sz w:val="20"/>
          <w:szCs w:val="20"/>
          <w:color w:val="auto"/>
        </w:rPr>
        <w:t>. No fractional shares of Common Stock will be issued under the Plan or this Agreement.</w:t>
      </w:r>
    </w:p>
    <w:p>
      <w:pPr>
        <w:spacing w:after="0" w:line="202" w:lineRule="exact"/>
        <w:rPr>
          <w:rFonts w:ascii="Arial" w:cs="Arial" w:eastAsia="Arial" w:hAnsi="Arial"/>
          <w:sz w:val="20"/>
          <w:szCs w:val="20"/>
          <w:color w:val="auto"/>
        </w:rPr>
      </w:pPr>
    </w:p>
    <w:p>
      <w:pPr>
        <w:ind w:left="332" w:hanging="332"/>
        <w:spacing w:after="0" w:line="230" w:lineRule="auto"/>
        <w:tabs>
          <w:tab w:leader="none" w:pos="332"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Withholding Tax</w:t>
      </w:r>
      <w:r>
        <w:rPr>
          <w:rFonts w:ascii="Arial" w:cs="Arial" w:eastAsia="Arial" w:hAnsi="Arial"/>
          <w:sz w:val="20"/>
          <w:szCs w:val="20"/>
          <w:color w:val="auto"/>
        </w:rPr>
        <w:t>. Employee agrees that Employee is responsible for federal, state, and local tax consequences associated with the Awards (and any associated Dividend Equivalents) under this Agreement. Upon the occurrence of a taxable event with respect to any Award under this Agreement, Employee shall deliver to WM at such time, (i) such amount of money or shares of Common Stock earned or owned by Employee or (ii) if employee is an executive officer at the time of such tax event and so elects (or, otherwise, with WM’s approval), shares deliverable to Employee at such time pursuant to the applicable Award, in each case, as WM may require to meet its obligation under applicable tax laws or regulations, and, if Employee fails to do so, WM is authorized to withhold from any shares of Common Stock deliverable to Employee, cash, or other form of remuneration then or thereafter payable to Employee, any tax required to be withheld.</w:t>
      </w:r>
    </w:p>
    <w:p>
      <w:pPr>
        <w:spacing w:after="0" w:line="172" w:lineRule="exact"/>
        <w:rPr>
          <w:rFonts w:ascii="Arial" w:cs="Arial" w:eastAsia="Arial" w:hAnsi="Arial"/>
          <w:sz w:val="20"/>
          <w:szCs w:val="20"/>
          <w:color w:val="auto"/>
        </w:rPr>
      </w:pPr>
    </w:p>
    <w:p>
      <w:pPr>
        <w:ind w:left="332" w:right="40" w:hanging="332"/>
        <w:spacing w:after="0" w:line="230" w:lineRule="auto"/>
        <w:tabs>
          <w:tab w:leader="none" w:pos="332"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Compliance with Securities Laws.</w:t>
      </w:r>
      <w:r>
        <w:rPr>
          <w:rFonts w:ascii="Arial" w:cs="Arial" w:eastAsia="Arial" w:hAnsi="Arial"/>
          <w:sz w:val="20"/>
          <w:szCs w:val="20"/>
          <w:color w:val="auto"/>
        </w:rPr>
        <w:t xml:space="preserve"> WM is not required to deliver any shares of Common Stock under this Agreement, if, in the opinion of counsel for the Company, such issuance would violate the Securities Act of 1933, any other applicable federal or state securities laws or regulations, or the requirements of any stock exchange or market system upon which the Common Stock may then be listed. Prior to the issuance of any shares, WM may require Employee (or Employee’s legal representative upon Employee’s death or disability) to enter into such written representations, warranties and agreements as WM may reasonably request in order to comply with applicable laws, including an agreement (in such form as the Committee may specify) under which Employee represents that the shares of Common Stock acquired under an Award are being acquired for investment and not with a view to sale or distribution.</w:t>
      </w:r>
    </w:p>
    <w:p>
      <w:pPr>
        <w:spacing w:after="0" w:line="176" w:lineRule="exact"/>
        <w:rPr>
          <w:sz w:val="20"/>
          <w:szCs w:val="20"/>
          <w:color w:val="auto"/>
        </w:rPr>
      </w:pPr>
    </w:p>
    <w:p>
      <w:pPr>
        <w:ind w:left="332"/>
        <w:spacing w:after="0" w:line="229" w:lineRule="auto"/>
        <w:rPr>
          <w:sz w:val="20"/>
          <w:szCs w:val="20"/>
          <w:color w:val="auto"/>
        </w:rPr>
      </w:pPr>
      <w:r>
        <w:rPr>
          <w:rFonts w:ascii="Arial" w:cs="Arial" w:eastAsia="Arial" w:hAnsi="Arial"/>
          <w:sz w:val="20"/>
          <w:szCs w:val="20"/>
          <w:color w:val="auto"/>
        </w:rPr>
        <w:t>Further, WM may postpone issuing and/or delivering any Common Stock for so long as WM, in its complete and sole discretion, reasonably determines is necessary to satisfy any of the following conditions: (a) the Company completing or amending any securities registration or qualification of the Common Stock, (b) receipt of proof satisfactory to WM that a person seeking to exercise the Award after the Employee’s death is entitled to do so; (c)</w:t>
      </w:r>
    </w:p>
    <w:p>
      <w:pPr>
        <w:spacing w:after="0" w:line="1"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473710</wp:posOffset>
            </wp:positionV>
            <wp:extent cx="656653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6566535" cy="25400"/>
                    </a:xfrm>
                    <a:prstGeom prst="rect">
                      <a:avLst/>
                    </a:prstGeom>
                    <a:noFill/>
                  </pic:spPr>
                </pic:pic>
              </a:graphicData>
            </a:graphic>
          </wp:anchor>
        </w:drawing>
      </w:r>
    </w:p>
    <w:p>
      <w:pPr>
        <w:sectPr>
          <w:pgSz w:w="11900" w:h="16838" w:orient="portrait"/>
          <w:cols w:equalWidth="0" w:num="1">
            <w:col w:w="9832"/>
          </w:cols>
          <w:pgMar w:left="1028" w:top="1440" w:right="1039" w:bottom="1440" w:gutter="0" w:footer="0" w:header="0"/>
        </w:sectPr>
      </w:pPr>
    </w:p>
    <w:bookmarkStart w:id="48" w:name="page49"/>
    <w:bookmarkEnd w:id="48"/>
    <w:p>
      <w:pPr>
        <w:ind w:left="332" w:right="120"/>
        <w:spacing w:after="0" w:line="25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523240</wp:posOffset>
            </wp:positionH>
            <wp:positionV relativeFrom="page">
              <wp:posOffset>395605</wp:posOffset>
            </wp:positionV>
            <wp:extent cx="6501765" cy="76676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6501765" cy="7667625"/>
                    </a:xfrm>
                    <a:prstGeom prst="rect">
                      <a:avLst/>
                    </a:prstGeom>
                    <a:noFill/>
                  </pic:spPr>
                </pic:pic>
              </a:graphicData>
            </a:graphic>
          </wp:anchor>
        </w:drawing>
        <w:t>establishment of Employee’s compliance with any necessary representations or terms and conditions of the Plan or this Agreement, or (d) compliance with any federal, state, or local tax withholding obligations.</w:t>
      </w:r>
    </w:p>
    <w:p>
      <w:pPr>
        <w:spacing w:after="0" w:line="155" w:lineRule="exact"/>
        <w:rPr>
          <w:sz w:val="20"/>
          <w:szCs w:val="20"/>
          <w:color w:val="auto"/>
        </w:rPr>
      </w:pPr>
    </w:p>
    <w:p>
      <w:pPr>
        <w:ind w:left="332" w:right="80" w:hanging="332"/>
        <w:spacing w:after="0" w:line="234" w:lineRule="auto"/>
        <w:tabs>
          <w:tab w:leader="none" w:pos="332"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Employee to Have no Rights as a Stockholder.</w:t>
      </w:r>
      <w:r>
        <w:rPr>
          <w:rFonts w:ascii="Arial" w:cs="Arial" w:eastAsia="Arial" w:hAnsi="Arial"/>
          <w:sz w:val="20"/>
          <w:szCs w:val="20"/>
          <w:color w:val="auto"/>
        </w:rPr>
        <w:t xml:space="preserve"> Employee shall have no rights as a stockholder with respect to any shares of Common Stock subject to this Award prior to the date on which Employee is recorded as the holder of such shares of Common Stock on the records of the Company, including no right to dividends declared on the Common Stock underlying the Award. Notwithstanding the foregoing, Dividend Equivalents shall be paid to Employee in accordance with and subject to the terms of paragraph 7 under “</w:t>
      </w:r>
      <w:r>
        <w:rPr>
          <w:rFonts w:ascii="Arial" w:cs="Arial" w:eastAsia="Arial" w:hAnsi="Arial"/>
          <w:sz w:val="20"/>
          <w:szCs w:val="20"/>
          <w:b w:val="1"/>
          <w:bCs w:val="1"/>
          <w:color w:val="auto"/>
        </w:rPr>
        <w:t>Important</w:t>
      </w:r>
      <w:r>
        <w:rPr>
          <w:rFonts w:ascii="Arial" w:cs="Arial" w:eastAsia="Arial" w:hAnsi="Arial"/>
          <w:sz w:val="20"/>
          <w:szCs w:val="20"/>
          <w:color w:val="auto"/>
        </w:rPr>
        <w:t xml:space="preserve"> </w:t>
      </w:r>
      <w:r>
        <w:rPr>
          <w:rFonts w:ascii="Arial" w:cs="Arial" w:eastAsia="Arial" w:hAnsi="Arial"/>
          <w:sz w:val="20"/>
          <w:szCs w:val="20"/>
          <w:b w:val="1"/>
          <w:bCs w:val="1"/>
          <w:color w:val="auto"/>
        </w:rPr>
        <w:t>Award Details</w:t>
      </w:r>
      <w:r>
        <w:rPr>
          <w:rFonts w:ascii="Arial" w:cs="Arial" w:eastAsia="Arial" w:hAnsi="Arial"/>
          <w:sz w:val="20"/>
          <w:szCs w:val="20"/>
          <w:color w:val="auto"/>
        </w:rPr>
        <w:t>.”</w:t>
      </w:r>
    </w:p>
    <w:p>
      <w:pPr>
        <w:spacing w:after="0" w:line="166" w:lineRule="exact"/>
        <w:rPr>
          <w:rFonts w:ascii="Arial" w:cs="Arial" w:eastAsia="Arial" w:hAnsi="Arial"/>
          <w:sz w:val="20"/>
          <w:szCs w:val="20"/>
          <w:color w:val="auto"/>
        </w:rPr>
      </w:pPr>
    </w:p>
    <w:p>
      <w:pPr>
        <w:jc w:val="both"/>
        <w:ind w:left="332" w:hanging="332"/>
        <w:spacing w:after="0" w:line="231" w:lineRule="auto"/>
        <w:tabs>
          <w:tab w:leader="none" w:pos="332"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This Agreement shall bind and inure to the benefit of and be enforceable by Employee, WM and their respective permitted successors or assigns (including personal representatives, heirs, and legatees), except that Employee may not assign any rights or obligations under this Agreement except to the extent, and in the manner, expressly permitted herein. The Company shall require any successor (whether direct or indirect, by purchase, merger, consolidation or otherwise) to all or substantially all of the business and/or assets of the Company to assume expressly and agree to perform this Agreement in the same manner and to the same extent that WM would be required to perform it if no such succession had taken place, except as otherwise expressly provided in paragraph 6.b. under “</w:t>
      </w:r>
      <w:r>
        <w:rPr>
          <w:rFonts w:ascii="Arial" w:cs="Arial" w:eastAsia="Arial" w:hAnsi="Arial"/>
          <w:sz w:val="20"/>
          <w:szCs w:val="20"/>
          <w:b w:val="1"/>
          <w:bCs w:val="1"/>
          <w:color w:val="auto"/>
        </w:rPr>
        <w:t>Important Award</w:t>
      </w:r>
      <w:r>
        <w:rPr>
          <w:rFonts w:ascii="Arial" w:cs="Arial" w:eastAsia="Arial" w:hAnsi="Arial"/>
          <w:sz w:val="20"/>
          <w:szCs w:val="20"/>
          <w:color w:val="auto"/>
        </w:rPr>
        <w:t xml:space="preserve"> </w:t>
      </w:r>
      <w:r>
        <w:rPr>
          <w:rFonts w:ascii="Arial" w:cs="Arial" w:eastAsia="Arial" w:hAnsi="Arial"/>
          <w:sz w:val="20"/>
          <w:szCs w:val="20"/>
          <w:b w:val="1"/>
          <w:bCs w:val="1"/>
          <w:color w:val="auto"/>
        </w:rPr>
        <w:t>Details</w:t>
      </w:r>
      <w:r>
        <w:rPr>
          <w:rFonts w:ascii="Arial" w:cs="Arial" w:eastAsia="Arial" w:hAnsi="Arial"/>
          <w:sz w:val="20"/>
          <w:szCs w:val="20"/>
          <w:color w:val="auto"/>
        </w:rPr>
        <w:t>.”</w:t>
      </w:r>
    </w:p>
    <w:p>
      <w:pPr>
        <w:spacing w:after="0" w:line="167" w:lineRule="exact"/>
        <w:rPr>
          <w:rFonts w:ascii="Arial" w:cs="Arial" w:eastAsia="Arial" w:hAnsi="Arial"/>
          <w:sz w:val="20"/>
          <w:szCs w:val="20"/>
          <w:color w:val="auto"/>
        </w:rPr>
      </w:pPr>
    </w:p>
    <w:p>
      <w:pPr>
        <w:ind w:left="332" w:hanging="332"/>
        <w:spacing w:after="0"/>
        <w:tabs>
          <w:tab w:leader="none" w:pos="332"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Limitation of Rights</w:t>
      </w:r>
      <w:r>
        <w:rPr>
          <w:rFonts w:ascii="Arial" w:cs="Arial" w:eastAsia="Arial" w:hAnsi="Arial"/>
          <w:sz w:val="20"/>
          <w:szCs w:val="20"/>
          <w:color w:val="auto"/>
        </w:rPr>
        <w:t>. Nothing in this Agreement or the Plan may be construed to:</w:t>
      </w:r>
    </w:p>
    <w:p>
      <w:pPr>
        <w:spacing w:after="0" w:line="202" w:lineRule="exact"/>
        <w:rPr>
          <w:rFonts w:ascii="Arial" w:cs="Arial" w:eastAsia="Arial" w:hAnsi="Arial"/>
          <w:sz w:val="20"/>
          <w:szCs w:val="20"/>
          <w:color w:val="auto"/>
        </w:rPr>
      </w:pPr>
    </w:p>
    <w:p>
      <w:pPr>
        <w:ind w:left="652" w:hanging="328"/>
        <w:spacing w:after="0" w:line="257" w:lineRule="auto"/>
        <w:tabs>
          <w:tab w:leader="none" w:pos="652" w:val="left"/>
        </w:tabs>
        <w:numPr>
          <w:ilvl w:val="1"/>
          <w:numId w:val="35"/>
        </w:numPr>
        <w:rPr>
          <w:rFonts w:ascii="Arial" w:cs="Arial" w:eastAsia="Arial" w:hAnsi="Arial"/>
          <w:sz w:val="20"/>
          <w:szCs w:val="20"/>
          <w:color w:val="auto"/>
        </w:rPr>
      </w:pPr>
      <w:r>
        <w:rPr>
          <w:rFonts w:ascii="Arial" w:cs="Arial" w:eastAsia="Arial" w:hAnsi="Arial"/>
          <w:sz w:val="20"/>
          <w:szCs w:val="20"/>
          <w:color w:val="auto"/>
        </w:rPr>
        <w:t>give Employee any right to be awarded any further Awards other than in the sole discretion of the Committee;</w:t>
      </w:r>
    </w:p>
    <w:p>
      <w:pPr>
        <w:spacing w:after="0" w:line="155" w:lineRule="exact"/>
        <w:rPr>
          <w:rFonts w:ascii="Arial" w:cs="Arial" w:eastAsia="Arial" w:hAnsi="Arial"/>
          <w:sz w:val="20"/>
          <w:szCs w:val="20"/>
          <w:color w:val="auto"/>
        </w:rPr>
      </w:pPr>
    </w:p>
    <w:p>
      <w:pPr>
        <w:jc w:val="both"/>
        <w:ind w:left="652" w:hanging="328"/>
        <w:spacing w:after="0" w:line="241" w:lineRule="auto"/>
        <w:tabs>
          <w:tab w:leader="none" w:pos="652" w:val="left"/>
        </w:tabs>
        <w:numPr>
          <w:ilvl w:val="1"/>
          <w:numId w:val="35"/>
        </w:numPr>
        <w:rPr>
          <w:rFonts w:ascii="Arial" w:cs="Arial" w:eastAsia="Arial" w:hAnsi="Arial"/>
          <w:sz w:val="20"/>
          <w:szCs w:val="20"/>
          <w:color w:val="auto"/>
        </w:rPr>
      </w:pPr>
      <w:r>
        <w:rPr>
          <w:rFonts w:ascii="Arial" w:cs="Arial" w:eastAsia="Arial" w:hAnsi="Arial"/>
          <w:sz w:val="20"/>
          <w:szCs w:val="20"/>
          <w:color w:val="auto"/>
        </w:rPr>
        <w:t>give Employee or any other person any interest in any fund or in any specified asset or assets of WM (other than the Awards made by this Agreement, the related Dividend Equivalents awarded under this Agreement, and any Common Stock issuable under the terms and conditions of such Awards); or</w:t>
      </w:r>
    </w:p>
    <w:p>
      <w:pPr>
        <w:spacing w:after="0" w:line="63" w:lineRule="exact"/>
        <w:rPr>
          <w:rFonts w:ascii="Arial" w:cs="Arial" w:eastAsia="Arial" w:hAnsi="Arial"/>
          <w:sz w:val="20"/>
          <w:szCs w:val="20"/>
          <w:color w:val="auto"/>
        </w:rPr>
      </w:pPr>
    </w:p>
    <w:p>
      <w:pPr>
        <w:ind w:left="652" w:hanging="328"/>
        <w:spacing w:after="0"/>
        <w:tabs>
          <w:tab w:leader="none" w:pos="652" w:val="left"/>
        </w:tabs>
        <w:numPr>
          <w:ilvl w:val="1"/>
          <w:numId w:val="35"/>
        </w:numPr>
        <w:rPr>
          <w:rFonts w:ascii="Arial" w:cs="Arial" w:eastAsia="Arial" w:hAnsi="Arial"/>
          <w:sz w:val="20"/>
          <w:szCs w:val="20"/>
          <w:color w:val="auto"/>
        </w:rPr>
      </w:pPr>
      <w:r>
        <w:rPr>
          <w:rFonts w:ascii="Arial" w:cs="Arial" w:eastAsia="Arial" w:hAnsi="Arial"/>
          <w:sz w:val="20"/>
          <w:szCs w:val="20"/>
          <w:color w:val="auto"/>
        </w:rPr>
        <w:t>confer upon Employee the right to continue in the employment or service of WM.</w:t>
      </w:r>
    </w:p>
    <w:p>
      <w:pPr>
        <w:spacing w:after="0" w:line="94" w:lineRule="exact"/>
        <w:rPr>
          <w:rFonts w:ascii="Arial" w:cs="Arial" w:eastAsia="Arial" w:hAnsi="Arial"/>
          <w:sz w:val="20"/>
          <w:szCs w:val="20"/>
          <w:color w:val="auto"/>
        </w:rPr>
      </w:pPr>
    </w:p>
    <w:p>
      <w:pPr>
        <w:ind w:left="332" w:right="20" w:hanging="332"/>
        <w:spacing w:after="0" w:line="257" w:lineRule="auto"/>
        <w:tabs>
          <w:tab w:leader="none" w:pos="332"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by and construed in accordance with the internal laws of the State of Texas, without reference to principles of conflict of laws.</w:t>
      </w:r>
    </w:p>
    <w:p>
      <w:pPr>
        <w:spacing w:after="0" w:line="155" w:lineRule="exact"/>
        <w:rPr>
          <w:rFonts w:ascii="Arial" w:cs="Arial" w:eastAsia="Arial" w:hAnsi="Arial"/>
          <w:sz w:val="20"/>
          <w:szCs w:val="20"/>
          <w:color w:val="auto"/>
        </w:rPr>
      </w:pPr>
    </w:p>
    <w:p>
      <w:pPr>
        <w:ind w:left="332" w:right="60" w:hanging="332"/>
        <w:spacing w:after="0" w:line="257" w:lineRule="auto"/>
        <w:tabs>
          <w:tab w:leader="none" w:pos="332"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Severability/Entire Agreement</w:t>
      </w:r>
      <w:r>
        <w:rPr>
          <w:rFonts w:ascii="Arial" w:cs="Arial" w:eastAsia="Arial" w:hAnsi="Arial"/>
          <w:sz w:val="20"/>
          <w:szCs w:val="20"/>
          <w:color w:val="auto"/>
        </w:rPr>
        <w:t>. The invalidity or unenforceability of any provision of this Agreement shall not affect the validity or enforceability of any other provision of this Agreement.</w:t>
      </w:r>
    </w:p>
    <w:p>
      <w:pPr>
        <w:spacing w:after="0" w:line="155" w:lineRule="exact"/>
        <w:rPr>
          <w:rFonts w:ascii="Arial" w:cs="Arial" w:eastAsia="Arial" w:hAnsi="Arial"/>
          <w:sz w:val="20"/>
          <w:szCs w:val="20"/>
          <w:color w:val="auto"/>
        </w:rPr>
      </w:pPr>
    </w:p>
    <w:p>
      <w:pPr>
        <w:ind w:left="652" w:right="60" w:hanging="328"/>
        <w:spacing w:after="0" w:line="229" w:lineRule="auto"/>
        <w:tabs>
          <w:tab w:leader="none" w:pos="652" w:val="left"/>
        </w:tabs>
        <w:numPr>
          <w:ilvl w:val="1"/>
          <w:numId w:val="35"/>
        </w:numPr>
        <w:rPr>
          <w:rFonts w:ascii="Arial" w:cs="Arial" w:eastAsia="Arial" w:hAnsi="Arial"/>
          <w:sz w:val="20"/>
          <w:szCs w:val="20"/>
          <w:color w:val="auto"/>
        </w:rPr>
      </w:pPr>
      <w:r>
        <w:rPr>
          <w:rFonts w:ascii="Arial" w:cs="Arial" w:eastAsia="Arial" w:hAnsi="Arial"/>
          <w:sz w:val="20"/>
          <w:szCs w:val="20"/>
          <w:color w:val="auto"/>
        </w:rPr>
        <w:t>Employee understands and agrees that the Awards granted under this Agreement are granted under the authority of the Plan and these Awards and this Agreement are in all ways governed by the terms and conditions of the Plan and its administrative practices and interpretations, which also includes the Clawback Policy to the extent applicable. Any inconsistency between the Agreement and the Plan shall be resolved in favor of the Plan. Employee also agrees the terms and conditions of the Plan, this Agreement and related administrative practices and interpretations control, even if there is a conflict with any other terms and conditions in any employment agreement or in any prior awards. Without limiting the generality of the foregoing, as a condition to receipt of this Award, Employee agrees that the provisions relating to vesting and/or forfeiture of this Award upon a Termination of Employment set forth in this Agreement supersede and replace any provisions relating to vesting of the Award upon termination or other event set forth in any employment agreement, offer letter or similar document.</w:t>
      </w:r>
    </w:p>
    <w:p>
      <w:pPr>
        <w:spacing w:after="0" w:line="178" w:lineRule="exact"/>
        <w:rPr>
          <w:rFonts w:ascii="Arial" w:cs="Arial" w:eastAsia="Arial" w:hAnsi="Arial"/>
          <w:sz w:val="20"/>
          <w:szCs w:val="20"/>
          <w:color w:val="auto"/>
        </w:rPr>
      </w:pPr>
    </w:p>
    <w:p>
      <w:pPr>
        <w:jc w:val="both"/>
        <w:ind w:left="652" w:hanging="328"/>
        <w:spacing w:after="0" w:line="241" w:lineRule="auto"/>
        <w:tabs>
          <w:tab w:leader="none" w:pos="652" w:val="left"/>
        </w:tabs>
        <w:numPr>
          <w:ilvl w:val="1"/>
          <w:numId w:val="35"/>
        </w:numPr>
        <w:rPr>
          <w:rFonts w:ascii="Arial" w:cs="Arial" w:eastAsia="Arial" w:hAnsi="Arial"/>
          <w:sz w:val="20"/>
          <w:szCs w:val="20"/>
          <w:color w:val="auto"/>
        </w:rPr>
      </w:pPr>
      <w:r>
        <w:rPr>
          <w:rFonts w:ascii="Arial" w:cs="Arial" w:eastAsia="Arial" w:hAnsi="Arial"/>
          <w:sz w:val="20"/>
          <w:szCs w:val="20"/>
          <w:color w:val="auto"/>
        </w:rPr>
        <w:t>Employee understands and agrees that he or she is to consult with and rely upon only Employee’s own tax, legal, and financial advisors regarding the consequences and risks of this Agreement and the awards made under this Agreement.</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485140</wp:posOffset>
            </wp:positionV>
            <wp:extent cx="656653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6566535" cy="25400"/>
                    </a:xfrm>
                    <a:prstGeom prst="rect">
                      <a:avLst/>
                    </a:prstGeom>
                    <a:noFill/>
                  </pic:spPr>
                </pic:pic>
              </a:graphicData>
            </a:graphic>
          </wp:anchor>
        </w:drawing>
      </w:r>
    </w:p>
    <w:p>
      <w:pPr>
        <w:sectPr>
          <w:pgSz w:w="11900" w:h="16838" w:orient="portrait"/>
          <w:cols w:equalWidth="0" w:num="1">
            <w:col w:w="9832"/>
          </w:cols>
          <w:pgMar w:left="1028" w:top="1022" w:right="1039" w:bottom="1440" w:gutter="0" w:footer="0" w:header="0"/>
        </w:sectPr>
      </w:pPr>
    </w:p>
    <w:bookmarkStart w:id="49" w:name="page50"/>
    <w:bookmarkEnd w:id="49"/>
    <w:p>
      <w:pPr>
        <w:jc w:val="both"/>
        <w:ind w:left="652" w:hanging="328"/>
        <w:spacing w:after="0" w:line="237" w:lineRule="auto"/>
        <w:tabs>
          <w:tab w:leader="none" w:pos="652" w:val="left"/>
        </w:tabs>
        <w:numPr>
          <w:ilvl w:val="1"/>
          <w:numId w:val="36"/>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523240</wp:posOffset>
            </wp:positionH>
            <wp:positionV relativeFrom="page">
              <wp:posOffset>395605</wp:posOffset>
            </wp:positionV>
            <wp:extent cx="6501765" cy="79419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6501765" cy="7941945"/>
                    </a:xfrm>
                    <a:prstGeom prst="rect">
                      <a:avLst/>
                    </a:prstGeom>
                    <a:noFill/>
                  </pic:spPr>
                </pic:pic>
              </a:graphicData>
            </a:graphic>
          </wp:anchor>
        </w:drawing>
        <w:t>Except as provided in paragraph 13 below, this Agreement may not be amended except in writing (including by electronic writing) signed by all the parties to this Agreement (or their respective successors and legal representatives). The captions are not a part of the Agreement and for that reason shall have no force or effect.</w:t>
      </w:r>
    </w:p>
    <w:p>
      <w:pPr>
        <w:spacing w:after="0" w:line="171" w:lineRule="exact"/>
        <w:rPr>
          <w:rFonts w:ascii="Arial" w:cs="Arial" w:eastAsia="Arial" w:hAnsi="Arial"/>
          <w:sz w:val="20"/>
          <w:szCs w:val="20"/>
          <w:color w:val="auto"/>
        </w:rPr>
      </w:pPr>
    </w:p>
    <w:p>
      <w:pPr>
        <w:ind w:left="332" w:right="20" w:hanging="332"/>
        <w:spacing w:after="0" w:line="241" w:lineRule="auto"/>
        <w:tabs>
          <w:tab w:leader="none" w:pos="332"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No Waiver</w:t>
      </w:r>
      <w:r>
        <w:rPr>
          <w:rFonts w:ascii="Arial" w:cs="Arial" w:eastAsia="Arial" w:hAnsi="Arial"/>
          <w:sz w:val="20"/>
          <w:szCs w:val="20"/>
          <w:color w:val="auto"/>
        </w:rPr>
        <w:t>. In the event the Employee or WM fails to insist on strict compliance with any term or condition of this Agreement or fails to assert any right under this Agreement, such failure is not a waiver of that term, condition or right.</w:t>
      </w:r>
    </w:p>
    <w:p>
      <w:pPr>
        <w:spacing w:after="0" w:line="171" w:lineRule="exact"/>
        <w:rPr>
          <w:rFonts w:ascii="Arial" w:cs="Arial" w:eastAsia="Arial" w:hAnsi="Arial"/>
          <w:sz w:val="20"/>
          <w:szCs w:val="20"/>
          <w:color w:val="auto"/>
        </w:rPr>
      </w:pPr>
    </w:p>
    <w:p>
      <w:pPr>
        <w:ind w:left="332" w:right="140" w:hanging="332"/>
        <w:spacing w:after="0" w:line="234" w:lineRule="auto"/>
        <w:tabs>
          <w:tab w:leader="none" w:pos="332"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Covenant Requirement Essential Part of Award</w:t>
      </w:r>
      <w:r>
        <w:rPr>
          <w:rFonts w:ascii="Arial" w:cs="Arial" w:eastAsia="Arial" w:hAnsi="Arial"/>
          <w:sz w:val="20"/>
          <w:szCs w:val="20"/>
          <w:color w:val="auto"/>
        </w:rPr>
        <w:t>. An overriding condition (even if any other provision of the Plan and this Agreement are conflicting) for Employee to receive any benefit from or payment of any Award under this Agreement, is that Employee must also have entered, and abided by the terms of, an agreement containing restrictive covenants concerning limitations on Employee’s behavior following termination of employment that is satisfactory to WM.</w:t>
      </w:r>
    </w:p>
    <w:p>
      <w:pPr>
        <w:spacing w:after="0" w:line="174" w:lineRule="exact"/>
        <w:rPr>
          <w:rFonts w:ascii="Arial" w:cs="Arial" w:eastAsia="Arial" w:hAnsi="Arial"/>
          <w:sz w:val="20"/>
          <w:szCs w:val="20"/>
          <w:color w:val="auto"/>
        </w:rPr>
      </w:pPr>
    </w:p>
    <w:p>
      <w:pPr>
        <w:ind w:left="332" w:hanging="332"/>
        <w:spacing w:after="0"/>
        <w:tabs>
          <w:tab w:leader="none" w:pos="332"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If not defined in this Agreement, capitalized terms have the meanings set forth in the Plan.</w:t>
      </w:r>
    </w:p>
    <w:p>
      <w:pPr>
        <w:spacing w:after="0" w:line="202" w:lineRule="exact"/>
        <w:rPr>
          <w:rFonts w:ascii="Arial" w:cs="Arial" w:eastAsia="Arial" w:hAnsi="Arial"/>
          <w:sz w:val="20"/>
          <w:szCs w:val="20"/>
          <w:color w:val="auto"/>
        </w:rPr>
      </w:pPr>
    </w:p>
    <w:p>
      <w:pPr>
        <w:ind w:left="332" w:right="60" w:hanging="332"/>
        <w:spacing w:after="0" w:line="239" w:lineRule="auto"/>
        <w:tabs>
          <w:tab w:leader="none" w:pos="332"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Compliance with Section 409A</w:t>
      </w:r>
      <w:r>
        <w:rPr>
          <w:rFonts w:ascii="Arial" w:cs="Arial" w:eastAsia="Arial" w:hAnsi="Arial"/>
          <w:sz w:val="19"/>
          <w:szCs w:val="19"/>
          <w:color w:val="auto"/>
        </w:rPr>
        <w:t>. Both WM and Employee intend that this Agreement does not result in unfavorable tax consequences to Employee under Section 409A. Accordingly, Employee consents to any amendment of this Agreement WM may reasonably make consistent to achieve that intention and WM may, disregarding any other provision in this Agreement to the contrary, unilaterally execute such amendment to this Agreement. WM shall promptly provide, or make available to, Employee a copy of any such amendment. WM agrees to make any such amendments to preserve the intended benefits to the Employee to the maximum extent possible. This paragraph does not create an obligation on the part of WM to modify this Agreement and does not guarantee that the amounts or benefits owed under the Agreement will not be subject to interest and penalties under Section 409A. Each cash and/or stock payment and/or benefit provided under the Plan and this Agreement and/or pursuant to the terms of WM’s benefit plans, programs and policies shall be considered a separate payment for purposes of Section 409A. Notwithstanding the foregoing, it is intended that Stock Option Awards are not subject to Section 409A. For purposes of Section 409A, to the extent that Employee is a “specified employee” within the meaning of the Treasury Regulations issued pursuant to Section 409A as of Employee’s separation from service and to the limited extent necessary to avoid the imputation of any tax, penalty or interest pursuant to Section 409A, notwithstanding anything to the contrary in this Agreement, no amount which is subject to Section 409A of the Code and is payable on account of Employee’s separation from service shall be paid to Employee before the date (the “Delayed Payment Date”) which is the first day of the seventh month after the Employee’s separation from service or, if earlier, the date of the Employee’s death following such separation from service. All such amounts that would, but for the immediately preceding sentence, become payable prior to the Delayed Payment Date will be accumulated and paid without interest on the Delayed Payment Date.</w:t>
      </w:r>
    </w:p>
    <w:p>
      <w:pPr>
        <w:spacing w:after="0" w:line="182" w:lineRule="exact"/>
        <w:rPr>
          <w:rFonts w:ascii="Arial" w:cs="Arial" w:eastAsia="Arial" w:hAnsi="Arial"/>
          <w:sz w:val="19"/>
          <w:szCs w:val="19"/>
          <w:color w:val="auto"/>
        </w:rPr>
      </w:pPr>
    </w:p>
    <w:p>
      <w:pPr>
        <w:ind w:left="332" w:right="60" w:hanging="332"/>
        <w:spacing w:after="0" w:line="228" w:lineRule="auto"/>
        <w:tabs>
          <w:tab w:leader="none" w:pos="332"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Use of Personal Data</w:t>
      </w:r>
      <w:r>
        <w:rPr>
          <w:rFonts w:ascii="Arial" w:cs="Arial" w:eastAsia="Arial" w:hAnsi="Arial"/>
          <w:sz w:val="20"/>
          <w:szCs w:val="20"/>
          <w:color w:val="auto"/>
        </w:rPr>
        <w:t>. Employee agrees to the collection, use, processing, and transfer of certain personal data, including name, salary, nationality, job title, position, social security number (or other tax identification number) and details of all past Awards and current Awards outstanding under the Plan (“</w:t>
      </w:r>
      <w:r>
        <w:rPr>
          <w:rFonts w:ascii="Arial" w:cs="Arial" w:eastAsia="Arial" w:hAnsi="Arial"/>
          <w:sz w:val="20"/>
          <w:szCs w:val="20"/>
          <w:b w:val="1"/>
          <w:bCs w:val="1"/>
          <w:i w:val="1"/>
          <w:iCs w:val="1"/>
          <w:color w:val="auto"/>
        </w:rPr>
        <w:t>Data</w:t>
      </w:r>
      <w:r>
        <w:rPr>
          <w:rFonts w:ascii="Arial" w:cs="Arial" w:eastAsia="Arial" w:hAnsi="Arial"/>
          <w:sz w:val="20"/>
          <w:szCs w:val="20"/>
          <w:color w:val="auto"/>
        </w:rPr>
        <w:t>”), for the purpose of managing and administering the Plan. Employee is not obliged to consent to such collection, use, processing, and transfer of personal data, but a refusal to provide such consent may affect the ability to participate in the Plan. WM may transfer Data among themselves or to third parties as necessary for the purpose of implementation, administration, and management of the Plan. These various recipients of Data may be located throughout the world. Employee authorizes these various recipients of Data to receive, possess, use, retain and transfer the Data, in electronic or other form, for the purposes of implementing, administering, and managing the Plan. Employee may, at any time, review Data with respect to Employee and require any necessary amendments to such Data. Employee may withdraw his or her consent to use Data herein by notifying WM in writing (according to the provisions of paragraph 15 below); however, Employee understands that by withdrawing his or her consent to use Data, Employee may affect his or her ability to participate in the Plan.</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485140</wp:posOffset>
            </wp:positionV>
            <wp:extent cx="656653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6566535" cy="26035"/>
                    </a:xfrm>
                    <a:prstGeom prst="rect">
                      <a:avLst/>
                    </a:prstGeom>
                    <a:noFill/>
                  </pic:spPr>
                </pic:pic>
              </a:graphicData>
            </a:graphic>
          </wp:anchor>
        </w:drawing>
      </w:r>
    </w:p>
    <w:p>
      <w:pPr>
        <w:sectPr>
          <w:pgSz w:w="11900" w:h="16838" w:orient="portrait"/>
          <w:cols w:equalWidth="0" w:num="1">
            <w:col w:w="9832"/>
          </w:cols>
          <w:pgMar w:left="1028" w:top="1022" w:right="1039" w:bottom="1440" w:gutter="0" w:footer="0" w:header="0"/>
        </w:sectPr>
      </w:pPr>
    </w:p>
    <w:bookmarkStart w:id="50" w:name="page51"/>
    <w:bookmarkEnd w:id="50"/>
    <w:p>
      <w:pPr>
        <w:ind w:left="332" w:right="100" w:hanging="332"/>
        <w:spacing w:after="0" w:line="237" w:lineRule="auto"/>
        <w:tabs>
          <w:tab w:leader="none" w:pos="332"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523240</wp:posOffset>
            </wp:positionH>
            <wp:positionV relativeFrom="page">
              <wp:posOffset>395605</wp:posOffset>
            </wp:positionV>
            <wp:extent cx="6501765" cy="42386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6501765" cy="4238625"/>
                    </a:xfrm>
                    <a:prstGeom prst="rect">
                      <a:avLst/>
                    </a:prstGeom>
                    <a:noFill/>
                  </pic:spPr>
                </pic:pic>
              </a:graphicData>
            </a:graphic>
          </wp:anchor>
        </w:drawing>
        <w:t>Notices</w:t>
      </w:r>
      <w:r>
        <w:rPr>
          <w:rFonts w:ascii="Arial" w:cs="Arial" w:eastAsia="Arial" w:hAnsi="Arial"/>
          <w:sz w:val="20"/>
          <w:szCs w:val="20"/>
          <w:color w:val="auto"/>
        </w:rPr>
        <w:t>. Any notice given by one party under this Agreement to the other shall be in writing and may be delivered personally or by mail, postage prepaid, addressed to the Secretary of the Company, at its then corporate headquarters, and Employee at Employee’s address as shown on WM’s records, or to such other address as Employee, by notice to the Company, may designate in writing from time to time.</w:t>
      </w:r>
    </w:p>
    <w:p>
      <w:pPr>
        <w:spacing w:after="0" w:line="171" w:lineRule="exact"/>
        <w:rPr>
          <w:rFonts w:ascii="Arial" w:cs="Arial" w:eastAsia="Arial" w:hAnsi="Arial"/>
          <w:sz w:val="20"/>
          <w:szCs w:val="20"/>
          <w:color w:val="auto"/>
        </w:rPr>
      </w:pPr>
    </w:p>
    <w:p>
      <w:pPr>
        <w:ind w:left="332" w:right="20" w:hanging="332"/>
        <w:spacing w:after="0" w:line="233" w:lineRule="auto"/>
        <w:tabs>
          <w:tab w:leader="none" w:pos="332"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Electronic Delivery</w:t>
      </w:r>
      <w:r>
        <w:rPr>
          <w:rFonts w:ascii="Arial" w:cs="Arial" w:eastAsia="Arial" w:hAnsi="Arial"/>
          <w:sz w:val="20"/>
          <w:szCs w:val="20"/>
          <w:color w:val="auto"/>
        </w:rPr>
        <w:t>. WM may, in its sole discretion, deliver any documents related to the Awards under this Agreement, the Plan, and/or the WM 409A Plan, by electronic means or request Employee’s consent to participate in the administration of this Agreement, the Plan, and/or the WM 409A Plan by electronic means. Employee hereby consents to receive such documents by electronic delivery and agrees to participate in the Plan through an on-line or electronic system established and maintained by WM or another third party designated by WM.</w:t>
      </w:r>
    </w:p>
    <w:p>
      <w:pPr>
        <w:spacing w:after="0" w:line="172" w:lineRule="exact"/>
        <w:rPr>
          <w:rFonts w:ascii="Arial" w:cs="Arial" w:eastAsia="Arial" w:hAnsi="Arial"/>
          <w:sz w:val="20"/>
          <w:szCs w:val="20"/>
          <w:color w:val="auto"/>
        </w:rPr>
      </w:pPr>
    </w:p>
    <w:p>
      <w:pPr>
        <w:ind w:left="332" w:right="80" w:hanging="332"/>
        <w:spacing w:after="0" w:line="241" w:lineRule="auto"/>
        <w:tabs>
          <w:tab w:leader="none" w:pos="332"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Binding Arbitration</w:t>
      </w:r>
      <w:r>
        <w:rPr>
          <w:rFonts w:ascii="Arial" w:cs="Arial" w:eastAsia="Arial" w:hAnsi="Arial"/>
          <w:sz w:val="19"/>
          <w:szCs w:val="19"/>
          <w:color w:val="auto"/>
        </w:rPr>
        <w:t xml:space="preserve">. Except as otherwise specifically provided herein, the Committee’s findings, calculations and determinations under this Agreement are made in the sole discretion of the Committee, and Employee expressly agrees that such determinations shall be final and not subject to dispute. In the event, however, that Employee has a right to dispute a matter hereunder (including, but not limited to, the right to dispute set forth in paragraph 5 under “Important Award Details”), the Company and Employee agree that such dispute shall be settled exclusively by final and binding arbitration, as governed by the Federal Arbitration Act (9 U.S.C. 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arbitration proceeding, including the rendering of an award, if any, shall be administered by JAMS pursuant to its Employment Arbitration Rules and Procedures, which may be found on the JAMS Website </w:t>
      </w:r>
      <w:r>
        <w:rPr>
          <w:rFonts w:ascii="Arial" w:cs="Arial" w:eastAsia="Arial" w:hAnsi="Arial"/>
          <w:sz w:val="19"/>
          <w:szCs w:val="19"/>
          <w:b w:val="1"/>
          <w:bCs w:val="1"/>
          <w:color w:val="auto"/>
        </w:rPr>
        <w:t>www.jamsadr.com</w:t>
      </w:r>
      <w:r>
        <w:rPr>
          <w:rFonts w:ascii="Arial" w:cs="Arial" w:eastAsia="Arial" w:hAnsi="Arial"/>
          <w:sz w:val="19"/>
          <w:szCs w:val="19"/>
          <w:color w:val="auto"/>
        </w:rPr>
        <w:t>. All expenses associated with the arbitration shall be borne by WM; provided however, that such arbitration expenses will not include attorney fees incurred by the respective parties. Judgment on any arbitration award may be entered in any court having jurisdiction.</w:t>
      </w:r>
    </w:p>
    <w:p>
      <w:pPr>
        <w:spacing w:after="0" w:line="178" w:lineRule="exact"/>
        <w:rPr>
          <w:rFonts w:ascii="Arial" w:cs="Arial" w:eastAsia="Arial" w:hAnsi="Arial"/>
          <w:sz w:val="19"/>
          <w:szCs w:val="19"/>
          <w:color w:val="auto"/>
        </w:rPr>
      </w:pPr>
    </w:p>
    <w:p>
      <w:pPr>
        <w:ind w:left="332" w:hanging="332"/>
        <w:spacing w:after="0" w:line="257" w:lineRule="auto"/>
        <w:tabs>
          <w:tab w:leader="none" w:pos="332"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counterparts, which together shall constitute one and the same original.</w:t>
      </w:r>
    </w:p>
    <w:p>
      <w:pPr>
        <w:spacing w:after="0" w:line="155"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485140</wp:posOffset>
            </wp:positionV>
            <wp:extent cx="656653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6566535" cy="25400"/>
                    </a:xfrm>
                    <a:prstGeom prst="rect">
                      <a:avLst/>
                    </a:prstGeom>
                    <a:noFill/>
                  </pic:spPr>
                </pic:pic>
              </a:graphicData>
            </a:graphic>
          </wp:anchor>
        </w:drawing>
      </w:r>
    </w:p>
    <w:p>
      <w:pPr>
        <w:sectPr>
          <w:pgSz w:w="11900" w:h="16838" w:orient="portrait"/>
          <w:cols w:equalWidth="0" w:num="1">
            <w:col w:w="9812"/>
          </w:cols>
          <w:pgMar w:left="1028" w:top="1022" w:right="1059" w:bottom="1440" w:gutter="0" w:footer="0" w:header="0"/>
        </w:sectPr>
      </w:pPr>
    </w:p>
    <w:bookmarkStart w:id="51" w:name="page52"/>
    <w:bookmarkEnd w:id="51"/>
    <w:p>
      <w:pPr>
        <w:spacing w:after="0" w:line="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523240</wp:posOffset>
            </wp:positionH>
            <wp:positionV relativeFrom="page">
              <wp:posOffset>395605</wp:posOffset>
            </wp:positionV>
            <wp:extent cx="6501765" cy="26276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6501765" cy="262763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9"/>
          <w:szCs w:val="29"/>
          <w:b w:val="1"/>
          <w:bCs w:val="1"/>
          <w:color w:val="00693C"/>
        </w:rPr>
        <w:t>Execution</w:t>
      </w:r>
    </w:p>
    <w:p>
      <w:pPr>
        <w:spacing w:after="0" w:line="231" w:lineRule="exact"/>
        <w:rPr>
          <w:sz w:val="20"/>
          <w:szCs w:val="20"/>
          <w:color w:val="auto"/>
        </w:rPr>
      </w:pPr>
    </w:p>
    <w:p>
      <w:pPr>
        <w:spacing w:after="0" w:line="270"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Company has caused this Agreement to be duly executed by one of its officers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thereunto duly authorized and Employee has executed this Agreement, effective as of </w:t>
      </w:r>
      <w:r>
        <w:rPr>
          <w:rFonts w:ascii="Arial" w:cs="Arial" w:eastAsia="Arial" w:hAnsi="Arial"/>
          <w:sz w:val="20"/>
          <w:szCs w:val="20"/>
          <w:b w:val="1"/>
          <w:bCs w:val="1"/>
          <w:color w:val="auto"/>
        </w:rPr>
        <w:t>[●]</w:t>
      </w:r>
      <w:r>
        <w:rPr>
          <w:rFonts w:ascii="Arial" w:cs="Arial" w:eastAsia="Arial" w:hAnsi="Arial"/>
          <w:sz w:val="20"/>
          <w:szCs w:val="20"/>
          <w:color w:val="auto"/>
        </w:rPr>
        <w:t>.</w:t>
      </w:r>
    </w:p>
    <w:p>
      <w:pPr>
        <w:spacing w:after="0" w:line="347" w:lineRule="exact"/>
        <w:rPr>
          <w:sz w:val="20"/>
          <w:szCs w:val="20"/>
          <w:color w:val="auto"/>
        </w:rPr>
      </w:pPr>
    </w:p>
    <w:p>
      <w:pPr>
        <w:spacing w:after="0"/>
        <w:tabs>
          <w:tab w:leader="none" w:pos="4900" w:val="left"/>
        </w:tabs>
        <w:rPr>
          <w:sz w:val="20"/>
          <w:szCs w:val="20"/>
          <w:color w:val="auto"/>
        </w:rPr>
      </w:pPr>
      <w:r>
        <w:rPr>
          <w:rFonts w:ascii="Arial" w:cs="Arial" w:eastAsia="Arial" w:hAnsi="Arial"/>
          <w:sz w:val="20"/>
          <w:szCs w:val="20"/>
          <w:b w:val="1"/>
          <w:bCs w:val="1"/>
          <w:color w:val="auto"/>
        </w:rPr>
        <w:t>WASTE MANAGEMENT, INC.</w:t>
      </w:r>
      <w:r>
        <w:rPr>
          <w:sz w:val="20"/>
          <w:szCs w:val="20"/>
          <w:color w:val="auto"/>
        </w:rPr>
        <w:tab/>
      </w:r>
      <w:r>
        <w:rPr>
          <w:rFonts w:ascii="Arial" w:cs="Arial" w:eastAsia="Arial" w:hAnsi="Arial"/>
          <w:sz w:val="19"/>
          <w:szCs w:val="19"/>
          <w:b w:val="1"/>
          <w:bCs w:val="1"/>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485140</wp:posOffset>
            </wp:positionV>
            <wp:extent cx="656653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6566535" cy="25400"/>
                    </a:xfrm>
                    <a:prstGeom prst="rect">
                      <a:avLst/>
                    </a:prstGeom>
                    <a:noFill/>
                  </pic:spPr>
                </pic:pic>
              </a:graphicData>
            </a:graphic>
          </wp:anchor>
        </w:drawing>
      </w:r>
    </w:p>
    <w:p>
      <w:pPr>
        <w:sectPr>
          <w:pgSz w:w="11900" w:h="16838" w:orient="portrait"/>
          <w:cols w:equalWidth="0" w:num="1">
            <w:col w:w="9840"/>
          </w:cols>
          <w:pgMar w:left="1020" w:top="1440" w:right="10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GUARANTOR SUBSIDIARY</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2025, Waste Management Holdings, Inc. (“WM Holdings”), a Delaware corporation and a direct wholly-owned subsidiary of Waste Management, Inc. (“WMI”), has fully and unconditionally guaranteed all registered Senior Notes issued by WMI, as listed below. Additionally, WMI has fully and unconditionally guaranteed the 7.10% Senior Notes due 2026 issued by WM Holdings.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2380" w:type="dxa"/>
            <w:vAlign w:val="bottom"/>
            <w:gridSpan w:val="3"/>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6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380" w:type="dxa"/>
            <w:vAlign w:val="bottom"/>
            <w:gridSpan w:val="3"/>
          </w:tcPr>
          <w:p>
            <w:pPr>
              <w:jc w:val="center"/>
              <w:ind w:right="124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80" w:type="dxa"/>
            <w:vAlign w:val="bottom"/>
            <w:gridSpan w:val="2"/>
            <w:vMerge w:val="continue"/>
          </w:tcPr>
          <w:p>
            <w:pPr>
              <w:spacing w:after="0"/>
              <w:rPr>
                <w:sz w:val="12"/>
                <w:szCs w:val="12"/>
                <w:color w:val="auto"/>
              </w:rPr>
            </w:pPr>
          </w:p>
        </w:tc>
        <w:tc>
          <w:tcPr>
            <w:tcW w:w="180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860" w:type="dxa"/>
            <w:vAlign w:val="bottom"/>
            <w:vMerge w:val="restart"/>
          </w:tcPr>
          <w:p>
            <w:pPr>
              <w:spacing w:after="0"/>
              <w:rPr>
                <w:sz w:val="12"/>
                <w:szCs w:val="12"/>
                <w:color w:val="auto"/>
              </w:rPr>
            </w:pPr>
          </w:p>
        </w:tc>
        <w:tc>
          <w:tcPr>
            <w:tcW w:w="182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0" w:type="dxa"/>
            <w:vAlign w:val="bottom"/>
          </w:tcPr>
          <w:p>
            <w:pPr>
              <w:spacing w:after="0"/>
              <w:rPr>
                <w:sz w:val="1"/>
                <w:szCs w:val="1"/>
                <w:color w:val="auto"/>
              </w:rPr>
            </w:pPr>
          </w:p>
        </w:tc>
      </w:tr>
      <w:tr>
        <w:trPr>
          <w:trHeight w:val="173"/>
        </w:trPr>
        <w:tc>
          <w:tcPr>
            <w:tcW w:w="3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272"/>
              <w:spacing w:after="0"/>
              <w:rPr>
                <w:sz w:val="20"/>
                <w:szCs w:val="20"/>
                <w:color w:val="auto"/>
              </w:rPr>
            </w:pPr>
            <w:r>
              <w:rPr>
                <w:rFonts w:ascii="Times New Roman" w:cs="Times New Roman" w:eastAsia="Times New Roman" w:hAnsi="Times New Roman"/>
                <w:sz w:val="14"/>
                <w:szCs w:val="14"/>
                <w:b w:val="1"/>
                <w:bCs w:val="1"/>
                <w:color w:val="auto"/>
                <w:w w:val="99"/>
              </w:rPr>
              <w:t>Issued</w:t>
            </w:r>
          </w:p>
        </w:tc>
        <w:tc>
          <w:tcPr>
            <w:tcW w:w="880" w:type="dxa"/>
            <w:vAlign w:val="bottom"/>
            <w:tcBorders>
              <w:bottom w:val="single" w:sz="8" w:color="CCEEFF"/>
            </w:tcBorders>
            <w:gridSpan w:val="2"/>
          </w:tcPr>
          <w:p>
            <w:pPr>
              <w:spacing w:after="0"/>
              <w:rPr>
                <w:sz w:val="15"/>
                <w:szCs w:val="15"/>
                <w:color w:val="auto"/>
              </w:rPr>
            </w:pPr>
          </w:p>
        </w:tc>
        <w:tc>
          <w:tcPr>
            <w:tcW w:w="18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(per annum)</w:t>
            </w:r>
          </w:p>
        </w:tc>
        <w:tc>
          <w:tcPr>
            <w:tcW w:w="88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CCEEFF"/>
            </w:tcBorders>
            <w:vMerge w:val="continue"/>
          </w:tcPr>
          <w:p>
            <w:pPr>
              <w:spacing w:after="0"/>
              <w:rPr>
                <w:sz w:val="15"/>
                <w:szCs w:val="15"/>
                <w:color w:val="auto"/>
              </w:rPr>
            </w:pPr>
          </w:p>
        </w:tc>
        <w:tc>
          <w:tcPr>
            <w:tcW w:w="1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million</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7.00%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7/17/1998</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7/15/2028</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250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7.375%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1/21/2000</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5/15/2029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7.75%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1/3/2003</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5/15/2032</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600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6.125%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11/17/2009</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11/30/2039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450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3.90%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2/26/2015</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3/1/2035</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4.10%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2/26/2015</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3/1/2045</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3.15%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11/8/2017</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11/15/2027</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1 billion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4.15%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5/22/2019</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7/15/2049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0.75%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11/17/2020</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11/15/2025</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500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1.15%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11/17/2020</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3/15/2028</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 billion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1.50%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11/17/2020</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3/15/2031</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500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2.50%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11/17/2020</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11/15/2050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475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2.00%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5/12/2021</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6/1/2029</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475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2.95%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5/12/2021</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6/1/2041</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 billion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4.15%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5/12/2022</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4/15/2032</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4.625%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2/15/2023</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2/15/2030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4.625%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2/15/2023</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2/15/2033</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4.875%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8/3/2023</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2/15/2029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1.250 billion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4.875%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8/3/2023</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2/15/2034</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4.950%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7/3/2024</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7/3/2027</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4.950%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7/3/2024</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7/3/2031</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1 billion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4.500%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11/4/2024</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3/15/2028</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700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4.650%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11/4/2024</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3/15/2030</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4.800%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11/4/2024</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3/15/2032</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1.5 billion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4.950%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11/4/2024</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3/15/2035</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1.25 billion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5.350%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11/4/2024</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10/15/2054</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485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3.875%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11/8/2024</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1/15/2029</w:t>
            </w:r>
          </w:p>
        </w:tc>
        <w:tc>
          <w:tcPr>
            <w:tcW w:w="0" w:type="dxa"/>
            <w:vAlign w:val="bottom"/>
          </w:tcPr>
          <w:p>
            <w:pPr>
              <w:spacing w:after="0"/>
              <w:rPr>
                <w:sz w:val="1"/>
                <w:szCs w:val="1"/>
                <w:color w:val="auto"/>
              </w:rPr>
            </w:pPr>
          </w:p>
        </w:tc>
      </w:tr>
      <w:tr>
        <w:trPr>
          <w:trHeight w:val="108"/>
        </w:trPr>
        <w:tc>
          <w:tcPr>
            <w:tcW w:w="38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200" w:right="20" w:hanging="142"/>
        <w:spacing w:after="0" w:line="282" w:lineRule="auto"/>
        <w:tabs>
          <w:tab w:leader="none" w:pos="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Senior Notes were issued in connection with a private exchange offer but are subject to the Registration Rights Agreement filed as Exhibit 4.18 to WMI’s Annual Report on Form 10-K for the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3" w:name="page54"/>
    <w:bookmarkEnd w:id="5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James C. Fish, Jr., certify that:</w:t>
      </w:r>
    </w:p>
    <w:p>
      <w:pPr>
        <w:spacing w:after="0" w:line="185" w:lineRule="exact"/>
        <w:rPr>
          <w:sz w:val="20"/>
          <w:szCs w:val="20"/>
          <w:color w:val="auto"/>
        </w:rPr>
      </w:pPr>
    </w:p>
    <w:p>
      <w:pPr>
        <w:ind w:left="760" w:hanging="269"/>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Waste Management, Inc.;</w:t>
      </w:r>
    </w:p>
    <w:p>
      <w:pPr>
        <w:spacing w:after="0" w:line="184" w:lineRule="exact"/>
        <w:rPr>
          <w:rFonts w:ascii="Times New Roman" w:cs="Times New Roman" w:eastAsia="Times New Roman" w:hAnsi="Times New Roman"/>
          <w:sz w:val="18"/>
          <w:szCs w:val="18"/>
          <w:color w:val="auto"/>
        </w:rPr>
      </w:pPr>
    </w:p>
    <w:p>
      <w:pPr>
        <w:jc w:val="both"/>
        <w:ind w:left="60" w:right="59" w:firstLine="431"/>
        <w:spacing w:after="0" w:line="266" w:lineRule="auto"/>
        <w:tabs>
          <w:tab w:leader="none" w:pos="75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jc w:val="both"/>
        <w:ind w:left="60" w:right="59" w:firstLine="431"/>
        <w:spacing w:after="0" w:line="266" w:lineRule="auto"/>
        <w:tabs>
          <w:tab w:leader="none" w:pos="69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jc w:val="both"/>
        <w:ind w:left="60" w:right="59" w:firstLine="431"/>
        <w:spacing w:after="0" w:line="266" w:lineRule="auto"/>
        <w:tabs>
          <w:tab w:leader="none" w:pos="72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35" w:lineRule="exact"/>
        <w:rPr>
          <w:rFonts w:ascii="Times New Roman" w:cs="Times New Roman" w:eastAsia="Times New Roman" w:hAnsi="Times New Roman"/>
          <w:sz w:val="18"/>
          <w:szCs w:val="18"/>
          <w:color w:val="auto"/>
        </w:rPr>
      </w:pPr>
    </w:p>
    <w:p>
      <w:pPr>
        <w:jc w:val="both"/>
        <w:ind w:left="500" w:right="59" w:firstLine="431"/>
        <w:spacing w:after="0" w:line="261" w:lineRule="auto"/>
        <w:tabs>
          <w:tab w:leader="none" w:pos="123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jc w:val="both"/>
        <w:ind w:left="500" w:right="59" w:firstLine="431"/>
        <w:spacing w:after="0" w:line="261" w:lineRule="auto"/>
        <w:tabs>
          <w:tab w:leader="none" w:pos="129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jc w:val="both"/>
        <w:ind w:left="500" w:right="79" w:firstLine="431"/>
        <w:spacing w:after="0" w:line="266" w:lineRule="auto"/>
        <w:tabs>
          <w:tab w:leader="none" w:pos="128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left="500" w:right="59" w:firstLine="431"/>
        <w:spacing w:after="0" w:line="261" w:lineRule="auto"/>
        <w:tabs>
          <w:tab w:leader="none" w:pos="124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8"/>
          <w:szCs w:val="18"/>
          <w:color w:val="auto"/>
        </w:rPr>
      </w:pPr>
    </w:p>
    <w:p>
      <w:pPr>
        <w:jc w:val="both"/>
        <w:ind w:left="60" w:right="79" w:firstLine="431"/>
        <w:spacing w:after="0" w:line="266" w:lineRule="auto"/>
        <w:tabs>
          <w:tab w:leader="none" w:pos="75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jc w:val="both"/>
        <w:ind w:left="500" w:right="59" w:firstLine="431"/>
        <w:spacing w:after="0" w:line="266" w:lineRule="auto"/>
        <w:tabs>
          <w:tab w:leader="none" w:pos="125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500" w:right="79" w:firstLine="431"/>
        <w:spacing w:after="0" w:line="282" w:lineRule="auto"/>
        <w:tabs>
          <w:tab w:leader="none" w:pos="124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C. FISH, JR.</w:t>
            </w:r>
          </w:p>
        </w:tc>
      </w:tr>
      <w:tr>
        <w:trPr>
          <w:trHeight w:val="189"/>
        </w:trPr>
        <w:tc>
          <w:tcPr>
            <w:tcW w:w="360" w:type="dxa"/>
            <w:vAlign w:val="bottom"/>
          </w:tcPr>
          <w:p>
            <w:pPr>
              <w:spacing w:after="0"/>
              <w:rPr>
                <w:sz w:val="16"/>
                <w:szCs w:val="16"/>
                <w:color w:val="auto"/>
              </w:rPr>
            </w:pPr>
          </w:p>
        </w:tc>
        <w:tc>
          <w:tcPr>
            <w:tcW w:w="40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James C. Fish, Jr.</w:t>
            </w:r>
          </w:p>
        </w:tc>
      </w:tr>
      <w:tr>
        <w:trPr>
          <w:trHeight w:val="236"/>
        </w:trPr>
        <w:tc>
          <w:tcPr>
            <w:tcW w:w="360" w:type="dxa"/>
            <w:vAlign w:val="bottom"/>
          </w:tcPr>
          <w:p>
            <w:pPr>
              <w:spacing w:after="0"/>
              <w:rPr>
                <w:sz w:val="20"/>
                <w:szCs w:val="20"/>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w:t>
            </w:r>
          </w:p>
        </w:tc>
      </w:tr>
    </w:tbl>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April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514350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54" w:name="page55"/>
    <w:bookmarkEnd w:id="5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Devina A. Rankin, certify that:</w:t>
      </w:r>
    </w:p>
    <w:p>
      <w:pPr>
        <w:spacing w:after="0" w:line="185" w:lineRule="exact"/>
        <w:rPr>
          <w:sz w:val="20"/>
          <w:szCs w:val="20"/>
          <w:color w:val="auto"/>
        </w:rPr>
      </w:pPr>
    </w:p>
    <w:p>
      <w:pPr>
        <w:ind w:left="760" w:hanging="269"/>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Waste Management, Inc.;</w:t>
      </w:r>
    </w:p>
    <w:p>
      <w:pPr>
        <w:spacing w:after="0" w:line="184" w:lineRule="exact"/>
        <w:rPr>
          <w:rFonts w:ascii="Times New Roman" w:cs="Times New Roman" w:eastAsia="Times New Roman" w:hAnsi="Times New Roman"/>
          <w:sz w:val="18"/>
          <w:szCs w:val="18"/>
          <w:color w:val="auto"/>
        </w:rPr>
      </w:pPr>
    </w:p>
    <w:p>
      <w:pPr>
        <w:jc w:val="both"/>
        <w:ind w:left="60" w:right="59" w:firstLine="431"/>
        <w:spacing w:after="0" w:line="266" w:lineRule="auto"/>
        <w:tabs>
          <w:tab w:leader="none" w:pos="75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jc w:val="both"/>
        <w:ind w:left="60" w:right="59" w:firstLine="431"/>
        <w:spacing w:after="0" w:line="266" w:lineRule="auto"/>
        <w:tabs>
          <w:tab w:leader="none" w:pos="69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jc w:val="both"/>
        <w:ind w:left="60" w:right="59" w:firstLine="431"/>
        <w:spacing w:after="0" w:line="266" w:lineRule="auto"/>
        <w:tabs>
          <w:tab w:leader="none" w:pos="72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35" w:lineRule="exact"/>
        <w:rPr>
          <w:rFonts w:ascii="Times New Roman" w:cs="Times New Roman" w:eastAsia="Times New Roman" w:hAnsi="Times New Roman"/>
          <w:sz w:val="18"/>
          <w:szCs w:val="18"/>
          <w:color w:val="auto"/>
        </w:rPr>
      </w:pPr>
    </w:p>
    <w:p>
      <w:pPr>
        <w:jc w:val="both"/>
        <w:ind w:left="500" w:right="59" w:firstLine="431"/>
        <w:spacing w:after="0" w:line="261" w:lineRule="auto"/>
        <w:tabs>
          <w:tab w:leader="none" w:pos="123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jc w:val="both"/>
        <w:ind w:left="500" w:right="59" w:firstLine="431"/>
        <w:spacing w:after="0" w:line="261" w:lineRule="auto"/>
        <w:tabs>
          <w:tab w:leader="none" w:pos="129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jc w:val="both"/>
        <w:ind w:left="500" w:right="79" w:firstLine="431"/>
        <w:spacing w:after="0" w:line="266" w:lineRule="auto"/>
        <w:tabs>
          <w:tab w:leader="none" w:pos="1283"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jc w:val="both"/>
        <w:ind w:left="500" w:right="59" w:firstLine="431"/>
        <w:spacing w:after="0" w:line="261" w:lineRule="auto"/>
        <w:tabs>
          <w:tab w:leader="none" w:pos="124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8"/>
          <w:szCs w:val="18"/>
          <w:color w:val="auto"/>
        </w:rPr>
      </w:pPr>
    </w:p>
    <w:p>
      <w:pPr>
        <w:jc w:val="both"/>
        <w:ind w:left="60" w:right="79" w:firstLine="431"/>
        <w:spacing w:after="0" w:line="266" w:lineRule="auto"/>
        <w:tabs>
          <w:tab w:leader="none" w:pos="75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jc w:val="both"/>
        <w:ind w:left="500" w:right="59" w:firstLine="431"/>
        <w:spacing w:after="0" w:line="266" w:lineRule="auto"/>
        <w:tabs>
          <w:tab w:leader="none" w:pos="125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500" w:right="79" w:firstLine="431"/>
        <w:spacing w:after="0" w:line="282" w:lineRule="auto"/>
        <w:tabs>
          <w:tab w:leader="none" w:pos="124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450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DEVINA A. RANKIN</w:t>
            </w:r>
          </w:p>
        </w:tc>
      </w:tr>
      <w:tr>
        <w:trPr>
          <w:trHeight w:val="189"/>
        </w:trPr>
        <w:tc>
          <w:tcPr>
            <w:tcW w:w="380" w:type="dxa"/>
            <w:vAlign w:val="bottom"/>
          </w:tcPr>
          <w:p>
            <w:pPr>
              <w:spacing w:after="0"/>
              <w:rPr>
                <w:sz w:val="16"/>
                <w:szCs w:val="16"/>
                <w:color w:val="auto"/>
              </w:rPr>
            </w:pPr>
          </w:p>
        </w:tc>
        <w:tc>
          <w:tcPr>
            <w:tcW w:w="40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Devina A. Rankin</w:t>
            </w:r>
          </w:p>
        </w:tc>
      </w:tr>
      <w:tr>
        <w:trPr>
          <w:trHeight w:val="216"/>
        </w:trPr>
        <w:tc>
          <w:tcPr>
            <w:tcW w:w="380" w:type="dxa"/>
            <w:vAlign w:val="bottom"/>
          </w:tcPr>
          <w:p>
            <w:pPr>
              <w:spacing w:after="0"/>
              <w:rPr>
                <w:sz w:val="18"/>
                <w:szCs w:val="18"/>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w:t>
            </w:r>
          </w:p>
        </w:tc>
      </w:tr>
      <w:tr>
        <w:trPr>
          <w:trHeight w:val="236"/>
        </w:trPr>
        <w:tc>
          <w:tcPr>
            <w:tcW w:w="380" w:type="dxa"/>
            <w:vAlign w:val="bottom"/>
          </w:tcPr>
          <w:p>
            <w:pPr>
              <w:spacing w:after="0"/>
              <w:rPr>
                <w:sz w:val="20"/>
                <w:szCs w:val="20"/>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Financial Officer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April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514350</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5" w:name="page56"/>
    <w:bookmarkEnd w:id="5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Waste Management, Inc. (the “Company”) on Form 10-Q for the period ended March 31, 2025 as filed with the Securities and Exchange Commission on the date hereof (the “Report”), I, James C. Fish, Jr., Chief Executive Officer of the Company, certify, pursuant to 18 U.S.C. § 1350, as adopted pursuant to § 906 of the Sarbanes-Oxley Act of 2002, that:</w:t>
      </w:r>
    </w:p>
    <w:p>
      <w:pPr>
        <w:spacing w:after="0" w:line="180" w:lineRule="exact"/>
        <w:rPr>
          <w:sz w:val="20"/>
          <w:szCs w:val="20"/>
          <w:color w:val="auto"/>
        </w:rPr>
      </w:pPr>
    </w:p>
    <w:p>
      <w:pPr>
        <w:ind w:left="500" w:right="59" w:firstLine="431"/>
        <w:spacing w:after="0" w:line="282" w:lineRule="auto"/>
        <w:tabs>
          <w:tab w:leader="none" w:pos="120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500" w:right="79" w:firstLine="431"/>
        <w:spacing w:after="0" w:line="282" w:lineRule="auto"/>
        <w:tabs>
          <w:tab w:leader="none" w:pos="119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50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C. FISH, JR.</w:t>
            </w:r>
          </w:p>
        </w:tc>
      </w:tr>
      <w:tr>
        <w:trPr>
          <w:trHeight w:val="189"/>
        </w:trPr>
        <w:tc>
          <w:tcPr>
            <w:tcW w:w="340" w:type="dxa"/>
            <w:vAlign w:val="bottom"/>
          </w:tcPr>
          <w:p>
            <w:pPr>
              <w:spacing w:after="0"/>
              <w:rPr>
                <w:sz w:val="16"/>
                <w:szCs w:val="16"/>
                <w:color w:val="auto"/>
              </w:rPr>
            </w:pPr>
          </w:p>
        </w:tc>
        <w:tc>
          <w:tcPr>
            <w:tcW w:w="41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James C. Fish, Jr.</w:t>
            </w:r>
          </w:p>
        </w:tc>
      </w:tr>
      <w:tr>
        <w:trPr>
          <w:trHeight w:val="236"/>
        </w:trPr>
        <w:tc>
          <w:tcPr>
            <w:tcW w:w="34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April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514350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56" w:name="page57"/>
    <w:bookmarkEnd w:id="5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Waste Management, Inc. (the “Company”) on Form 10-Q for the period ended March 31, 2025 as filed with the Securities and Exchange Commission on the date hereof (the “Report”), I, Devina A. Rankin, Chief Financial Officer of the Company, certify, pursuant to 18 U.S.C. § 1350, as adopted pursuant to § 906 of the Sarbanes-Oxley Act of 2002, that:</w:t>
      </w:r>
    </w:p>
    <w:p>
      <w:pPr>
        <w:spacing w:after="0" w:line="180" w:lineRule="exact"/>
        <w:rPr>
          <w:sz w:val="20"/>
          <w:szCs w:val="20"/>
          <w:color w:val="auto"/>
        </w:rPr>
      </w:pPr>
    </w:p>
    <w:p>
      <w:pPr>
        <w:ind w:left="500" w:right="59" w:firstLine="431"/>
        <w:spacing w:after="0" w:line="282" w:lineRule="auto"/>
        <w:tabs>
          <w:tab w:leader="none" w:pos="120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500" w:right="79" w:firstLine="431"/>
        <w:spacing w:after="0" w:line="282" w:lineRule="auto"/>
        <w:tabs>
          <w:tab w:leader="none" w:pos="119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DEVINA A. RANKIN</w:t>
            </w:r>
          </w:p>
        </w:tc>
      </w:tr>
      <w:tr>
        <w:trPr>
          <w:trHeight w:val="189"/>
        </w:trPr>
        <w:tc>
          <w:tcPr>
            <w:tcW w:w="300" w:type="dxa"/>
            <w:vAlign w:val="bottom"/>
          </w:tcPr>
          <w:p>
            <w:pPr>
              <w:spacing w:after="0"/>
              <w:rPr>
                <w:sz w:val="16"/>
                <w:szCs w:val="16"/>
                <w:color w:val="auto"/>
              </w:rPr>
            </w:pPr>
          </w:p>
        </w:tc>
        <w:tc>
          <w:tcPr>
            <w:tcW w:w="4140" w:type="dxa"/>
            <w:vAlign w:val="bottom"/>
          </w:tcPr>
          <w:p>
            <w:pPr>
              <w:ind w:left="1480"/>
              <w:spacing w:after="0" w:line="189" w:lineRule="exact"/>
              <w:rPr>
                <w:sz w:val="20"/>
                <w:szCs w:val="20"/>
                <w:color w:val="auto"/>
              </w:rPr>
            </w:pPr>
            <w:r>
              <w:rPr>
                <w:rFonts w:ascii="Times New Roman" w:cs="Times New Roman" w:eastAsia="Times New Roman" w:hAnsi="Times New Roman"/>
                <w:sz w:val="18"/>
                <w:szCs w:val="18"/>
                <w:color w:val="auto"/>
              </w:rPr>
              <w:t>Devina A. Rankin</w:t>
            </w:r>
          </w:p>
        </w:tc>
      </w:tr>
      <w:tr>
        <w:trPr>
          <w:trHeight w:val="216"/>
        </w:trPr>
        <w:tc>
          <w:tcPr>
            <w:tcW w:w="30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w:t>
            </w:r>
          </w:p>
        </w:tc>
      </w:tr>
      <w:tr>
        <w:trPr>
          <w:trHeight w:val="236"/>
        </w:trPr>
        <w:tc>
          <w:tcPr>
            <w:tcW w:w="30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April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514350</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7" w:name="page58"/>
    <w:bookmarkEnd w:id="5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95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Disclosures</w:t>
      </w:r>
    </w:p>
    <w:p>
      <w:pPr>
        <w:spacing w:after="0" w:line="22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76" w:lineRule="exact"/>
        <w:rPr>
          <w:sz w:val="20"/>
          <w:szCs w:val="20"/>
          <w:color w:val="auto"/>
        </w:rPr>
      </w:pPr>
    </w:p>
    <w:p>
      <w:pPr>
        <w:jc w:val="both"/>
        <w:ind w:left="60" w:right="59" w:firstLine="259"/>
        <w:spacing w:after="0" w:line="254" w:lineRule="auto"/>
        <w:rPr>
          <w:sz w:val="20"/>
          <w:szCs w:val="20"/>
          <w:color w:val="auto"/>
        </w:rPr>
      </w:pPr>
      <w:r>
        <w:rPr>
          <w:rFonts w:ascii="Times New Roman" w:cs="Times New Roman" w:eastAsia="Times New Roman" w:hAnsi="Times New Roman"/>
          <w:sz w:val="18"/>
          <w:szCs w:val="18"/>
          <w:color w:val="auto"/>
        </w:rPr>
        <w:t>During the quarter ended March 31, 2025,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or (e) an imminent danger order under section 107(a) of the Mine Safety Act or (f) a proposed assessment from the MSHA.</w:t>
      </w:r>
    </w:p>
    <w:p>
      <w:pPr>
        <w:spacing w:after="0" w:line="19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addition, during the quarter ended March 31, 2025,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334010</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1."/>
      <w:numFmt w:val="decimal"/>
      <w:start w:val="2"/>
    </w:lvl>
  </w:abstractNum>
  <w:abstractNum w:abstractNumId="4">
    <w:nsid w:val="75A2A8D4"/>
    <w:multiLevelType w:val="hybridMultilevel"/>
    <w:lvl w:ilvl="0">
      <w:lvlJc w:val="left"/>
      <w:lvlText w:val="%1."/>
      <w:numFmt w:val="decimal"/>
      <w:start w:val="3"/>
    </w:lvl>
  </w:abstractNum>
  <w:abstractNum w:abstractNumId="5">
    <w:nsid w:val="8EDBDAB"/>
    <w:multiLevelType w:val="hybridMultilevel"/>
    <w:lvl w:ilvl="0">
      <w:lvlJc w:val="left"/>
      <w:lvlText w:val="(%1)"/>
      <w:numFmt w:val="lowerLetter"/>
      <w:start w:val="1"/>
    </w:lvl>
  </w:abstractNum>
  <w:abstractNum w:abstractNumId="6">
    <w:nsid w:val="79838CB2"/>
    <w:multiLevelType w:val="hybridMultilevel"/>
    <w:lvl w:ilvl="0">
      <w:lvlJc w:val="left"/>
      <w:lvlText w:val="(%1)"/>
      <w:numFmt w:val="lowerRoman"/>
      <w:start w:val="1"/>
    </w:lvl>
  </w:abstractNum>
  <w:abstractNum w:abstractNumId="7">
    <w:nsid w:val="4353D0CD"/>
    <w:multiLevelType w:val="hybridMultilevel"/>
    <w:lvl w:ilvl="0">
      <w:lvlJc w:val="left"/>
      <w:lvlText w:val="%1."/>
      <w:numFmt w:val="decimal"/>
      <w:start w:val="4"/>
    </w:lvl>
  </w:abstractNum>
  <w:abstractNum w:abstractNumId="8">
    <w:nsid w:val="B03E0C6"/>
    <w:multiLevelType w:val="hybridMultilevel"/>
    <w:lvl w:ilvl="0">
      <w:lvlJc w:val="left"/>
      <w:lvlText w:val="%1."/>
      <w:numFmt w:val="decimal"/>
      <w:start w:val="5"/>
    </w:lvl>
  </w:abstractNum>
  <w:abstractNum w:abstractNumId="9">
    <w:nsid w:val="189A769B"/>
    <w:multiLevelType w:val="hybridMultilevel"/>
    <w:lvl w:ilvl="0">
      <w:lvlJc w:val="left"/>
      <w:lvlText w:val="%1."/>
      <w:numFmt w:val="decimal"/>
      <w:start w:val="6"/>
    </w:lvl>
  </w:abstractNum>
  <w:abstractNum w:abstractNumId="10">
    <w:nsid w:val="54E49EB4"/>
    <w:multiLevelType w:val="hybridMultilevel"/>
    <w:lvl w:ilvl="0">
      <w:lvlJc w:val="left"/>
      <w:lvlText w:val="%1."/>
      <w:numFmt w:val="decimal"/>
      <w:start w:val="7"/>
    </w:lvl>
  </w:abstractNum>
  <w:abstractNum w:abstractNumId="11">
    <w:nsid w:val="71F32454"/>
    <w:multiLevelType w:val="hybridMultilevel"/>
    <w:lvl w:ilvl="0">
      <w:lvlJc w:val="left"/>
      <w:lvlText w:val="(%1)"/>
      <w:numFmt w:val="lowerLetter"/>
      <w:start w:val="1"/>
    </w:lvl>
  </w:abstractNum>
  <w:abstractNum w:abstractNumId="12">
    <w:nsid w:val="2CA88611"/>
    <w:multiLevelType w:val="hybridMultilevel"/>
    <w:lvl w:ilvl="0">
      <w:lvlJc w:val="left"/>
      <w:lvlText w:val="(%1)"/>
      <w:numFmt w:val="lowerLetter"/>
      <w:start w:val="6"/>
    </w:lvl>
  </w:abstractNum>
  <w:abstractNum w:abstractNumId="13">
    <w:nsid w:val="836C40E"/>
    <w:multiLevelType w:val="hybridMultilevel"/>
    <w:lvl w:ilvl="0">
      <w:lvlJc w:val="left"/>
      <w:lvlText w:val="(%1)"/>
      <w:numFmt w:val="lowerLetter"/>
      <w:start w:val="1"/>
    </w:lvl>
  </w:abstractNum>
  <w:abstractNum w:abstractNumId="14">
    <w:nsid w:val="2901D82"/>
    <w:multiLevelType w:val="hybridMultilevel"/>
    <w:lvl w:ilvl="0">
      <w:lvlJc w:val="left"/>
      <w:lvlText w:val="●"/>
      <w:numFmt w:val="bullet"/>
      <w:start w:val="1"/>
    </w:lvl>
    <w:lvl w:ilvl="1">
      <w:lvlJc w:val="left"/>
      <w:lvlText w:val="(%2)"/>
      <w:numFmt w:val="lowerRoman"/>
      <w:start w:val="1"/>
    </w:lvl>
  </w:abstractNum>
  <w:abstractNum w:abstractNumId="15">
    <w:nsid w:val="3A95F874"/>
    <w:multiLevelType w:val="hybridMultilevel"/>
    <w:lvl w:ilvl="0">
      <w:lvlJc w:val="left"/>
      <w:lvlText w:val="(%1)"/>
      <w:numFmt w:val="lowerLetter"/>
      <w:start w:val="1"/>
    </w:lvl>
  </w:abstractNum>
  <w:abstractNum w:abstractNumId="16">
    <w:nsid w:val="8138641"/>
    <w:multiLevelType w:val="hybridMultilevel"/>
    <w:lvl w:ilvl="0">
      <w:lvlJc w:val="left"/>
      <w:lvlText w:val="(%1)"/>
      <w:numFmt w:val="lowerLetter"/>
      <w:start w:val="1"/>
    </w:lvl>
  </w:abstractNum>
  <w:abstractNum w:abstractNumId="17">
    <w:nsid w:val="1E7FF521"/>
    <w:multiLevelType w:val="hybridMultilevel"/>
    <w:lvl w:ilvl="0">
      <w:lvlJc w:val="left"/>
      <w:lvlText w:val="(%1)"/>
      <w:numFmt w:val="lowerLetter"/>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1)"/>
      <w:numFmt w:val="lowerLetter"/>
      <w:start w:val="1"/>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1."/>
      <w:numFmt w:val="decimal"/>
      <w:start w:val="3"/>
    </w:lvl>
  </w:abstractNum>
  <w:abstractNum w:abstractNumId="25">
    <w:nsid w:val="419AC24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6">
    <w:nsid w:val="5577F8E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7">
    <w:nsid w:val="440BADFC"/>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8">
    <w:nsid w:val="507236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9">
    <w:nsid w:val="3804823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30">
    <w:nsid w:val="77465F01"/>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31">
    <w:nsid w:val="7724C67E"/>
    <w:multiLevelType w:val="hybridMultilevel"/>
    <w:lvl w:ilvl="0">
      <w:lvlJc w:val="left"/>
      <w:lvlText w:val="%1"/>
      <w:numFmt w:val="decimal"/>
      <w:start w:val="1"/>
    </w:lvl>
    <w:lvl w:ilvl="1">
      <w:lvlJc w:val="left"/>
      <w:lvlText w:val="%2."/>
      <w:numFmt w:val="lowerLetter"/>
      <w:start w:val="2"/>
    </w:lvl>
  </w:abstractNum>
  <w:abstractNum w:abstractNumId="32">
    <w:nsid w:val="5C482A97"/>
    <w:multiLevelType w:val="hybridMultilevel"/>
    <w:lvl w:ilvl="0">
      <w:lvlJc w:val="left"/>
      <w:lvlText w:val="%1."/>
      <w:numFmt w:val="decimal"/>
      <w:start w:val="6"/>
    </w:lvl>
    <w:lvl w:ilvl="1">
      <w:lvlJc w:val="left"/>
      <w:lvlText w:val="%2"/>
      <w:numFmt w:val="lowerLetter"/>
      <w:start w:val="1"/>
    </w:lvl>
  </w:abstractNum>
  <w:abstractNum w:abstractNumId="33">
    <w:nsid w:val="2463B9EA"/>
    <w:multiLevelType w:val="hybridMultilevel"/>
    <w:lvl w:ilvl="0">
      <w:lvlJc w:val="left"/>
      <w:lvlText w:val="%1."/>
      <w:numFmt w:val="decimal"/>
      <w:start w:val="1"/>
    </w:lvl>
    <w:lvl w:ilvl="1">
      <w:lvlJc w:val="left"/>
      <w:lvlText w:val="%2."/>
      <w:numFmt w:val="lowerLetter"/>
      <w:start w:val="1"/>
    </w:lvl>
  </w:abstractNum>
  <w:abstractNum w:abstractNumId="34">
    <w:nsid w:val="5E884ADC"/>
    <w:multiLevelType w:val="hybridMultilevel"/>
    <w:lvl w:ilvl="0">
      <w:lvlJc w:val="left"/>
      <w:lvlText w:val="%1."/>
      <w:numFmt w:val="decimal"/>
      <w:start w:val="5"/>
    </w:lvl>
    <w:lvl w:ilvl="1">
      <w:lvlJc w:val="left"/>
      <w:lvlText w:val="%2."/>
      <w:numFmt w:val="lowerLetter"/>
      <w:start w:val="1"/>
    </w:lvl>
  </w:abstractNum>
  <w:abstractNum w:abstractNumId="35">
    <w:nsid w:val="51EAD36B"/>
    <w:multiLevelType w:val="hybridMultilevel"/>
    <w:lvl w:ilvl="0">
      <w:lvlJc w:val="left"/>
      <w:lvlText w:val="%1"/>
      <w:numFmt w:val="decimal"/>
      <w:start w:val="1"/>
    </w:lvl>
    <w:lvl w:ilvl="1">
      <w:lvlJc w:val="left"/>
      <w:lvlText w:val="%2."/>
      <w:numFmt w:val="lowerLetter"/>
      <w:start w:val="3"/>
    </w:lvl>
  </w:abstractNum>
  <w:abstractNum w:abstractNumId="36">
    <w:nsid w:val="2D517796"/>
    <w:multiLevelType w:val="hybridMultilevel"/>
    <w:lvl w:ilvl="0">
      <w:lvlJc w:val="left"/>
      <w:lvlText w:val="%1."/>
      <w:numFmt w:val="decimal"/>
      <w:start w:val="10"/>
    </w:lvl>
    <w:lvl w:ilvl="1">
      <w:lvlJc w:val="left"/>
      <w:lvlText w:val="%2"/>
      <w:numFmt w:val="lowerLetter"/>
      <w:start w:val="1"/>
    </w:lvl>
  </w:abstractNum>
  <w:abstractNum w:abstractNumId="37">
    <w:nsid w:val="580BD78F"/>
    <w:multiLevelType w:val="hybridMultilevel"/>
    <w:lvl w:ilvl="0">
      <w:lvlJc w:val="left"/>
      <w:lvlText w:val="%1."/>
      <w:numFmt w:val="decimal"/>
      <w:start w:val="15"/>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54" Type="http://schemas.openxmlformats.org/officeDocument/2006/relationships/hyperlink" Target="https://www.sec.gov/Archives/edgar/data/823768/000110465925019125/tm257911d1_ex10-1.htm" TargetMode="External"/><Relationship Id="rId55" Type="http://schemas.openxmlformats.org/officeDocument/2006/relationships/hyperlink" Target="https://www.sec.gov/Archives/edgar/data/823768/000110465925019125/tm257911d1_ex10-2.htm" TargetMode="External"/><Relationship Id="rId56" Type="http://schemas.openxmlformats.org/officeDocument/2006/relationships/hyperlink" Target="https://www.sec.gov/Archives/edgar/data/823768/000110465925019125/tm257911d1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2025-04-29T14:18:21Z</dcterms:created>
  <dcterms:modified xsi:type="dcterms:W3CDTF">2025-04-29T14:18:21Z</dcterms:modified>
</cp:coreProperties>
</file>