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29,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quarter ended June 30, 2010, a copy of which is attached hereto as Exhibit 99.1. The Company is holding a conference call to discuss these results beginning at 9:00 a.m. Central Time this morning. The call will be webcast live and may be heard by accessing the Company’s website at www.wm.com. The call may also be heard by dialing (877) 710-6139 and entering access code 81116607.</w:t>
      </w:r>
    </w:p>
    <w:p>
      <w:pPr>
        <w:spacing w:after="0" w:line="79"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the non-GAAP measures contained in its press release and reconciliations of such measures to their most comparable GAAP measures in the schedules thereto.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July 29, 2010</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29, 2010</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21"/>
        </w:trPr>
        <w:tc>
          <w:tcPr>
            <w:tcW w:w="3380" w:type="dxa"/>
            <w:vAlign w:val="bottom"/>
          </w:tcPr>
          <w:p>
            <w:pPr>
              <w:spacing w:after="0"/>
              <w:rPr>
                <w:sz w:val="24"/>
                <w:szCs w:val="24"/>
                <w:color w:val="auto"/>
              </w:rPr>
            </w:pPr>
          </w:p>
        </w:tc>
        <w:tc>
          <w:tcPr>
            <w:tcW w:w="636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38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29, 2010</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95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223520</wp:posOffset>
            </wp:positionV>
            <wp:extent cx="1629410"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941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Jim Alderson — 713.394.2281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 #10-11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Second Quarter 2010 Earnings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Quarter Revenue Increases Seven Percent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Yield and Volume Show Improving Trends</w:t>
      </w:r>
    </w:p>
    <w:p>
      <w:pPr>
        <w:spacing w:after="0" w:line="117"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 xml:space="preserve">HOUSTON — July 29, 2010 — </w:t>
      </w:r>
      <w:r>
        <w:rPr>
          <w:rFonts w:ascii="Arial" w:cs="Arial" w:eastAsia="Arial" w:hAnsi="Arial"/>
          <w:sz w:val="16"/>
          <w:szCs w:val="16"/>
          <w:color w:val="auto"/>
        </w:rPr>
        <w:t>Waste Management, Inc. (NYSE: WM) today announced financial results for its second quarter ended June 30, 2010.</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for the second quarter of 2010 was $3.16 billion compared with $2.95 billion for the same 2009 period, an increase of $206 million, or 7.0%. Net income</w:t>
      </w:r>
      <w:r>
        <w:rPr>
          <w:rFonts w:ascii="Arial" w:cs="Arial" w:eastAsia="Arial" w:hAnsi="Arial"/>
          <w:sz w:val="13"/>
          <w:szCs w:val="13"/>
          <w:color w:val="auto"/>
        </w:rPr>
        <w:t>(a)</w:t>
      </w:r>
      <w:r>
        <w:rPr>
          <w:rFonts w:ascii="Arial" w:cs="Arial" w:eastAsia="Arial" w:hAnsi="Arial"/>
          <w:sz w:val="16"/>
          <w:szCs w:val="16"/>
          <w:color w:val="auto"/>
        </w:rPr>
        <w:t xml:space="preserve"> for the quarter was $246 million, or $0.51 per diluted share, compared with $247 million, or $0.50 per diluted share, for the second quarter of 2009.</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Company noted certain items that impacted results in the 2010 and 2009 second quarters. Excluding these items, net income would have been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$261 million, or $0.54 per diluted share, in the second quarter of 2010 compared with $256 million, or $0.52 per diluted share, in the second quarter of 2009.</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(b)</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Results in the second quarter of 2010 included a net decrease of $0.03 per diluted share from:</w:t>
      </w:r>
    </w:p>
    <w:p>
      <w:pPr>
        <w:spacing w:after="0" w:line="117" w:lineRule="exact"/>
        <w:rPr>
          <w:sz w:val="20"/>
          <w:szCs w:val="20"/>
          <w:color w:val="auto"/>
        </w:rPr>
      </w:pPr>
    </w:p>
    <w:p>
      <w:pPr>
        <w:ind w:left="660" w:right="62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$47 million of after-tax net benefit from the previously disclosed settlement of a lawsuit and the resolution of a brief labor dispute in Seattle, Washington.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$37 million non-cash tax expense principally related to additional estimated deferred state taxes.</w:t>
      </w:r>
    </w:p>
    <w:p>
      <w:pPr>
        <w:spacing w:after="0" w:line="130"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 non-cash, after-tax charge of $25 million due to increases in environmental remediation reserves for two closed landfill sites. These reserves relate to operations of predecessor companies at landfills that were closed in the 1970s.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Results in the second quarter of 2009 included a net decrease of $0.02 per diluted share from the combined effects of charges related to the restructuring announced in February 2009 and to the withdrawal from a Teamsters’ under-funded multi-employer pension plan.</w:t>
      </w:r>
    </w:p>
    <w:p>
      <w:pPr>
        <w:spacing w:after="0" w:line="6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addition to the above, the Company had a non-cash charge of $10 million, or approximately $0.01 per diluted share, in the second quarter of 2010, arising from the accounting effect of lower ten-year Treasury rates, which are used to discount remediation reserves at the Company’s landfills.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David P. Steiner, Chief Executive Officer of Waste Management, commented, “Business conditions continued to improve during the second quarter of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 increased seven percent compared with the second quarter of 2009 and volume comparisons continued to show improving trends.</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internal revenue growth from yield for our collection and disposal business was 2.3%, an improvement compared with the first quarter of 2010. Through our disciplined focus on pricing we overcame much of the first half effect of low and even negative consumer price indices, which are used to adjust prices in our municipal and franchise contracts.”</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Steiner continued, “Internal revenue growth from volume declined by 2.9% in the second quarter of 2010, compared with the prior year period. This is the third consecutive quarter in which volume declines have moderated. As we look at volumes for the remainder of 2010, we expect the positive recent trends to continue and for year-over-year volume comparisons to be positive for the second half of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Second Quarter 2010</w:t>
      </w:r>
    </w:p>
    <w:p>
      <w:pPr>
        <w:spacing w:after="0" w:line="121"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increased by 7.0%, or $206 million.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for the Company’s collection and disposal operations was 2.3%.</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negative 2.9%.</w:t>
      </w:r>
    </w:p>
    <w:p>
      <w:pPr>
        <w:spacing w:after="0" w:line="130" w:lineRule="exact"/>
        <w:rPr>
          <w:rFonts w:ascii="Arial" w:cs="Arial" w:eastAsia="Arial" w:hAnsi="Arial"/>
          <w:sz w:val="18"/>
          <w:szCs w:val="18"/>
          <w:b w:val="1"/>
          <w:bCs w:val="1"/>
          <w:color w:val="auto"/>
        </w:rPr>
      </w:pPr>
    </w:p>
    <w:p>
      <w:pPr>
        <w:ind w:left="660" w:hanging="436"/>
        <w:spacing w:after="0" w:line="293"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Operating expenses increased $210 million in the second quarter. Adjusted for the operating items excluded in calculating the Company’s as-adjusted earnings, operating expenses increased by $178 million.</w:t>
      </w:r>
      <w:r>
        <w:rPr>
          <w:rFonts w:ascii="Arial" w:cs="Arial" w:eastAsia="Arial" w:hAnsi="Arial"/>
          <w:sz w:val="13"/>
          <w:szCs w:val="13"/>
          <w:color w:val="auto"/>
        </w:rPr>
        <w:t>(b)</w:t>
      </w:r>
      <w:r>
        <w:rPr>
          <w:rFonts w:ascii="Arial" w:cs="Arial" w:eastAsia="Arial" w:hAnsi="Arial"/>
          <w:sz w:val="16"/>
          <w:szCs w:val="16"/>
          <w:color w:val="auto"/>
        </w:rPr>
        <w:t xml:space="preserve"> This increase resulted primarily from $77 million of increased cost of goods sold related to recycling commodity rebates, $29 million for increased fuel costs primarily related to higher fuel prices, and $15 million related to foreign currency translation. In addition, adjustments to long-term remediation reserves resulting from changes in the ten-year Treasury rates, which are used to calculate the present value of the Company’s environmental remediation reserves, caused a $32 million cost increase between the two periods. This one item accounted for 110 basis points of the 120 basis point change in our adjusted income from operations margin.</w:t>
      </w:r>
      <w:r>
        <w:rPr>
          <w:rFonts w:ascii="Arial" w:cs="Arial" w:eastAsia="Arial" w:hAnsi="Arial"/>
          <w:sz w:val="13"/>
          <w:szCs w:val="13"/>
          <w:color w:val="auto"/>
        </w:rPr>
        <w:t>(b)</w:t>
      </w:r>
    </w:p>
    <w:p>
      <w:pPr>
        <w:spacing w:after="0" w:line="70" w:lineRule="exact"/>
        <w:rPr>
          <w:rFonts w:ascii="Arial" w:cs="Arial" w:eastAsia="Arial" w:hAnsi="Arial"/>
          <w:sz w:val="16"/>
          <w:szCs w:val="16"/>
          <w:b w:val="1"/>
          <w:bCs w:val="1"/>
          <w:color w:val="auto"/>
        </w:rPr>
      </w:pPr>
    </w:p>
    <w:p>
      <w:pPr>
        <w:ind w:left="660" w:right="22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remained unchanged as a percentage of revenue at 10.9%. In the quarter, these expenses increased by $22 million compared with the second quarter of 2009, due principally to advertising expenses for the national rollout of the Company’s new Bagster product and expenses for growth initiatives and information technology upgrades.</w:t>
      </w:r>
    </w:p>
    <w:p>
      <w:pPr>
        <w:spacing w:after="0" w:line="86" w:lineRule="exact"/>
        <w:rPr>
          <w:rFonts w:ascii="Arial" w:cs="Arial" w:eastAsia="Arial" w:hAnsi="Arial"/>
          <w:sz w:val="18"/>
          <w:szCs w:val="18"/>
          <w:b w:val="1"/>
          <w:bCs w:val="1"/>
          <w:color w:val="auto"/>
        </w:rPr>
      </w:pPr>
    </w:p>
    <w:p>
      <w:pPr>
        <w:ind w:left="660" w:right="40" w:hanging="436"/>
        <w:spacing w:after="0" w:line="279"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Average recycling commodity prices were approximately 78% higher for the second quarter of 2010 compared with the prior year period. This favorable year-over-year impact contributed approximately $0.05 to earnings per diluted share in the second quarter of 2010, compared with the prior year period. Lower electricity sales prices received by the Company’s waste-to-energy operations caused a decline in earnings per diluted share of less than $0.01 compared with the prior year period, consistent with the Company’s previously announced guidance.</w:t>
      </w:r>
    </w:p>
    <w:p>
      <w:pPr>
        <w:spacing w:after="0" w:line="76" w:lineRule="exact"/>
        <w:rPr>
          <w:rFonts w:ascii="Arial" w:cs="Arial" w:eastAsia="Arial" w:hAnsi="Arial"/>
          <w:sz w:val="17"/>
          <w:szCs w:val="17"/>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Free cash flow was $275 million.</w:t>
      </w:r>
      <w:r>
        <w:rPr>
          <w:rFonts w:ascii="Arial" w:cs="Arial" w:eastAsia="Arial" w:hAnsi="Arial"/>
          <w:sz w:val="15"/>
          <w:szCs w:val="15"/>
          <w:color w:val="auto"/>
        </w:rPr>
        <w:t>(b)</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Capital expenditures were $220 million.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The Company returned $318 million to shareholders, consisting of $152 million in dividends and $166 million in common stock repurchases.</w:t>
      </w:r>
    </w:p>
    <w:p>
      <w:pPr>
        <w:spacing w:after="0" w:line="142" w:lineRule="exact"/>
        <w:rPr>
          <w:rFonts w:ascii="Arial" w:cs="Arial" w:eastAsia="Arial" w:hAnsi="Arial"/>
          <w:sz w:val="17"/>
          <w:szCs w:val="17"/>
          <w:b w:val="1"/>
          <w:bCs w:val="1"/>
          <w:color w:val="auto"/>
        </w:rPr>
      </w:pPr>
    </w:p>
    <w:p>
      <w:pPr>
        <w:ind w:left="660" w:right="10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effective tax rate in the quarter was approximately 44.2%. Excluding the deferred state tax expense noted above, the Company’s tax rate for the second quarter was 36.2%.</w:t>
      </w:r>
      <w:r>
        <w:rPr>
          <w:rFonts w:ascii="Arial" w:cs="Arial" w:eastAsia="Arial" w:hAnsi="Arial"/>
          <w:sz w:val="15"/>
          <w:szCs w:val="15"/>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60"/>
        <w:spacing w:after="0" w:line="259" w:lineRule="auto"/>
        <w:rPr>
          <w:sz w:val="20"/>
          <w:szCs w:val="20"/>
          <w:color w:val="auto"/>
        </w:rPr>
      </w:pPr>
      <w:r>
        <w:rPr>
          <w:rFonts w:ascii="Arial" w:cs="Arial" w:eastAsia="Arial" w:hAnsi="Arial"/>
          <w:sz w:val="18"/>
          <w:szCs w:val="18"/>
          <w:color w:val="auto"/>
        </w:rPr>
        <w:t>Steiner added “We remain committed to returning cash to our shareholders while at the same time making investments that will increase future cash flows. In the second quarter, in addition to our common stock repurchases and dividends paid, we also completed about $43 million of tuck-in and other acquisitions, and we closed on our previously announced $150 million purchase from the Southeastern Public Service Authority of a waste-to-energy facility located in Portsmouth, Virginia.”</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Steiner concluded, “Volume and pricing trends point to continuing improvement during the second half of 2010. We expect average commodity prices during the second half of 2010 to be above second-half 2009 commodity prices. Given these positive trends, we are confident that we are on track to meet our previously announced full-year 2010 earnings guidance range of $2.09 to $2.13 per diluted share. We also continue to expect to generate free cash flow in the range of $1.2 billion to $1.3 billion for the year.”</w:t>
      </w:r>
      <w:r>
        <w:rPr>
          <w:rFonts w:ascii="Arial" w:cs="Arial" w:eastAsia="Arial" w:hAnsi="Arial"/>
          <w:sz w:val="15"/>
          <w:szCs w:val="15"/>
          <w:color w:val="auto"/>
        </w:rPr>
        <w:t>(b)</w:t>
      </w:r>
    </w:p>
    <w:p>
      <w:pPr>
        <w:spacing w:after="0" w:line="79" w:lineRule="exact"/>
        <w:rPr>
          <w:sz w:val="20"/>
          <w:szCs w:val="20"/>
          <w:color w:val="auto"/>
        </w:rPr>
      </w:pPr>
    </w:p>
    <w:p>
      <w:pPr>
        <w:ind w:left="460" w:right="78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refers to the financial statement line item “Net income attributable to Waste Management, Inc.”</w:t>
      </w:r>
    </w:p>
    <w:p>
      <w:pPr>
        <w:spacing w:after="0" w:line="75" w:lineRule="exact"/>
        <w:rPr>
          <w:rFonts w:ascii="Arial" w:cs="Arial" w:eastAsia="Arial" w:hAnsi="Arial"/>
          <w:sz w:val="18"/>
          <w:szCs w:val="18"/>
          <w:color w:val="auto"/>
        </w:rPr>
      </w:pPr>
    </w:p>
    <w:p>
      <w:pPr>
        <w:ind w:left="460" w:right="220" w:hanging="452"/>
        <w:spacing w:after="0" w:line="29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460" w:right="100"/>
        <w:spacing w:after="0" w:line="253" w:lineRule="auto"/>
        <w:rPr>
          <w:rFonts w:ascii="Arial" w:cs="Arial" w:eastAsia="Arial" w:hAnsi="Arial"/>
          <w:sz w:val="16"/>
          <w:szCs w:val="16"/>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are not representative or indicative of our results of operations and (ii) financial measures the Company uses in the management of its business. Accordingly, our net income, earnings per diluted share, projected earnings per diluted share, operating expenses, adjusted income from operations margin and effective tax rates have been presented in certain instances excluding special items noted in this press release.</w:t>
      </w:r>
    </w:p>
    <w:p>
      <w:pPr>
        <w:spacing w:after="0" w:line="97" w:lineRule="exact"/>
        <w:rPr>
          <w:sz w:val="20"/>
          <w:szCs w:val="20"/>
          <w:color w:val="auto"/>
        </w:rPr>
      </w:pPr>
    </w:p>
    <w:p>
      <w:pPr>
        <w:ind w:left="460" w:right="100"/>
        <w:spacing w:after="0" w:line="273" w:lineRule="auto"/>
        <w:rPr>
          <w:sz w:val="20"/>
          <w:szCs w:val="20"/>
          <w:color w:val="auto"/>
        </w:rPr>
      </w:pPr>
      <w:r>
        <w:rPr>
          <w:rFonts w:ascii="Arial" w:cs="Arial" w:eastAsia="Arial" w:hAnsi="Arial"/>
          <w:sz w:val="17"/>
          <w:szCs w:val="17"/>
          <w:color w:val="auto"/>
        </w:rPr>
        <w:t>The Company also discusses free cash flow and provides a projection of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defines free cash flow as:</w:t>
      </w:r>
    </w:p>
    <w:p>
      <w:pPr>
        <w:spacing w:after="0" w:line="11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w:t>
      </w:r>
    </w:p>
    <w:p>
      <w:pPr>
        <w:spacing w:after="0" w:line="76" w:lineRule="exact"/>
        <w:rPr>
          <w:sz w:val="20"/>
          <w:szCs w:val="20"/>
          <w:color w:val="auto"/>
        </w:rPr>
      </w:pPr>
    </w:p>
    <w:p>
      <w:pPr>
        <w:ind w:left="460" w:right="340"/>
        <w:spacing w:after="0" w:line="259" w:lineRule="auto"/>
        <w:rPr>
          <w:sz w:val="20"/>
          <w:szCs w:val="20"/>
          <w:color w:val="auto"/>
        </w:rPr>
      </w:pPr>
      <w:r>
        <w:rPr>
          <w:rFonts w:ascii="Arial" w:cs="Arial" w:eastAsia="Arial" w:hAnsi="Arial"/>
          <w:sz w:val="18"/>
          <w:szCs w:val="18"/>
          <w:color w:val="auto"/>
        </w:rPr>
        <w:t>The quantitative reconciliations of each of the non-GAAP measures presented herein, other than projected earnings per diluted share, to the most comparable GAAP measures are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pacing w:after="0" w:line="92"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The Company’s projected full year earnings of $2.09 to $2.13 per diluted share are not GAAP net earnings per diluted share and are adjusted to exclude the effects of events or circumstances in 2010 that management believes are not representative or indicative of our results of operations. The full-year 2010 adjusted projected earnings reiterated today exclude (i) the second quarter impact of an after-tax charge of $25 million due to increases in environmental remediation reserves for two closed landfill sites; (ii) a $48 million after-tax benefit from a litigation settlement that occurred in</w:t>
      </w:r>
    </w:p>
    <w:p>
      <w:pPr>
        <w:spacing w:after="0" w:line="2" w:lineRule="exact"/>
        <w:rPr>
          <w:sz w:val="20"/>
          <w:szCs w:val="20"/>
          <w:color w:val="auto"/>
        </w:rPr>
      </w:pPr>
    </w:p>
    <w:p>
      <w:pPr>
        <w:ind w:left="460" w:right="200"/>
        <w:spacing w:after="0" w:line="261" w:lineRule="auto"/>
        <w:rPr>
          <w:sz w:val="20"/>
          <w:szCs w:val="20"/>
          <w:color w:val="auto"/>
        </w:rPr>
      </w:pPr>
      <w:r>
        <w:rPr>
          <w:rFonts w:ascii="Arial" w:cs="Arial" w:eastAsia="Arial" w:hAnsi="Arial"/>
          <w:sz w:val="18"/>
          <w:szCs w:val="18"/>
          <w:color w:val="auto"/>
        </w:rPr>
        <w:t>April 2010 to settle all claims relating to a revenue management system; (iii) a $1 million after-tax expense from resolution of a brief labor dispute in Seattle, Washington; and (iv) a $37 million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7" w:name="page8"/>
    <w:bookmarkEnd w:id="7"/>
    <w:p>
      <w:pPr>
        <w:ind w:left="460" w:right="180"/>
        <w:spacing w:after="0" w:line="276" w:lineRule="auto"/>
        <w:rPr>
          <w:sz w:val="20"/>
          <w:szCs w:val="20"/>
          <w:color w:val="auto"/>
        </w:rPr>
      </w:pPr>
      <w:r>
        <w:rPr>
          <w:rFonts w:ascii="Arial" w:cs="Arial" w:eastAsia="Arial" w:hAnsi="Arial"/>
          <w:sz w:val="17"/>
          <w:szCs w:val="17"/>
          <w:color w:val="auto"/>
        </w:rPr>
        <w:t>principally related to additional estimated deferred state taxes. Additionally, projected GAAP net earnings per diluted share for the full year requires inclusion of the projected impact of future excluded items, including items that are not currently determinable, but may be significant, such as asset impairment and one-time items, charges, gains or losses from divestitures, resolution of income tax items or other items. Due to the uncertainty of the likelihood, amount and timing of any such items, we do not believe we have the information available to provide a quantitative reconciliation of adjusted projected full year earnings per diluted share to our current GAAP net earnings per diluted share.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scheduled an investor and analyst conference call for later this morning to discuss today’s earnings announcement. The information in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press release should be read in conjunction with the information on the conference call. A live audio webcast of the conference call can be accessed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a.m. Eastern Time, July 29, 2010 by logging onto www.wm.com and selecting “Events and Presentations” under the Investor Relations tab. You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listen to the analyst conference call by telephone by contacting the conference call operator 5 to 10 minutes prior to the scheduled start time and asking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“Waste Management Conference Call — Call ID 81116607.” US/Canada Dial-In Number: (877) 710-6139. Int’l/Local Dial-In Number: (706) 643-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7398. A replay will be available beginning at approximately 1:00 p.m. Eastern time on July 29th through 5:00 p.m. Eastern time on August 12th. To hear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replay of the call over the Internet, access the Waste Management Website at </w:t>
      </w:r>
      <w:r>
        <w:rPr>
          <w:rFonts w:ascii="Arial" w:cs="Arial" w:eastAsia="Arial" w:hAnsi="Arial"/>
          <w:sz w:val="16"/>
          <w:szCs w:val="16"/>
          <w:u w:val="single" w:color="auto"/>
          <w:color w:val="auto"/>
        </w:rPr>
        <w:t>http://www.wm.com</w:t>
      </w:r>
      <w:r>
        <w:rPr>
          <w:rFonts w:ascii="Arial" w:cs="Arial" w:eastAsia="Arial" w:hAnsi="Arial"/>
          <w:sz w:val="16"/>
          <w:szCs w:val="16"/>
          <w:color w:val="auto"/>
        </w:rPr>
        <w:t>. To hear a telephonic replay of the call, dial (800) 642-1687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(706) 645-9291 and enter conference code 81116607.</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subsidiaries, the Company provides collection, transfer, recycling and resource recovery, and disposal services. It is also a leading developer, operator and owner of waste-to-energy and landfill gas-to-energy facilities. The Company’s customers include residential, commercial, industrial, and municipal customers throughout North America.</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and include statements regarding financial results, capital allocation and investments, strategic plans, future volume and pricing comparisons and trends, future recycling commodity prices, 2010 earnings per diluted share, 2010 free cash flow and market and industry conditions. 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cause actual results to be materially different from those set forth in such forward-looking statement. We assume no obligation to update any forward-looking statement, including financial estimates, whether as a result of future events, circumstances or developments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are some of the risks that we face:</w:t>
      </w:r>
    </w:p>
    <w:p>
      <w:pPr>
        <w:spacing w:after="0" w:line="117" w:lineRule="exact"/>
        <w:rPr>
          <w:sz w:val="20"/>
          <w:szCs w:val="20"/>
          <w:color w:val="auto"/>
        </w:rPr>
      </w:pPr>
    </w:p>
    <w:p>
      <w:pPr>
        <w:ind w:left="660" w:right="34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volatility and deterioration in the credit markets, inflation and other general and local economic conditions may negatively affect the volumes of waste generated;</w:t>
      </w:r>
    </w:p>
    <w:p>
      <w:pPr>
        <w:spacing w:after="0" w:line="75" w:lineRule="exact"/>
        <w:rPr>
          <w:rFonts w:ascii="Arial" w:cs="Arial" w:eastAsia="Arial" w:hAnsi="Arial"/>
          <w:sz w:val="18"/>
          <w:szCs w:val="18"/>
          <w:b w:val="1"/>
          <w:bCs w:val="1"/>
          <w:color w:val="auto"/>
        </w:rPr>
      </w:pPr>
    </w:p>
    <w:p>
      <w:pPr>
        <w:ind w:left="660" w:right="20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86" w:lineRule="exact"/>
        <w:rPr>
          <w:rFonts w:ascii="Arial" w:cs="Arial" w:eastAsia="Arial" w:hAnsi="Arial"/>
          <w:sz w:val="18"/>
          <w:szCs w:val="18"/>
          <w:b w:val="1"/>
          <w:bCs w:val="1"/>
          <w:color w:val="auto"/>
        </w:rPr>
      </w:pPr>
    </w:p>
    <w:p>
      <w:pPr>
        <w:ind w:left="660" w:right="40" w:hanging="436"/>
        <w:spacing w:after="0" w:line="34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29" w:lineRule="exact"/>
        <w:rPr>
          <w:rFonts w:ascii="Arial" w:cs="Arial" w:eastAsia="Arial" w:hAnsi="Arial"/>
          <w:sz w:val="16"/>
          <w:szCs w:val="16"/>
          <w:b w:val="1"/>
          <w:bCs w:val="1"/>
          <w:color w:val="auto"/>
        </w:rPr>
      </w:pPr>
    </w:p>
    <w:p>
      <w:pPr>
        <w:ind w:left="660" w:right="10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 or raise prices;</w:t>
      </w:r>
    </w:p>
    <w:p>
      <w:pPr>
        <w:spacing w:after="0" w:line="130" w:lineRule="exact"/>
        <w:rPr>
          <w:rFonts w:ascii="Arial" w:cs="Arial" w:eastAsia="Arial" w:hAnsi="Arial"/>
          <w:sz w:val="18"/>
          <w:szCs w:val="18"/>
          <w:b w:val="1"/>
          <w:bCs w:val="1"/>
          <w:color w:val="auto"/>
        </w:rPr>
      </w:pPr>
    </w:p>
    <w:p>
      <w:pPr>
        <w:ind w:left="660" w:right="6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left="660" w:right="8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660" w:right="28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660" w:right="24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86"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coverages could negatively impact our liquidity and increase our liabilities;</w:t>
      </w:r>
    </w:p>
    <w:p>
      <w:pPr>
        <w:spacing w:after="0" w:line="75"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fluctuations in commodity prices may have negative effects on our operating results;</w:t>
      </w:r>
    </w:p>
    <w:p>
      <w:pPr>
        <w:spacing w:after="0" w:line="130"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trends requiring recycling, waste reduction at the source and prohibiting the disposal of certain types of waste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660" w:right="200" w:hanging="436"/>
        <w:spacing w:after="0" w:line="264"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w:t>
      </w:r>
    </w:p>
    <w:p>
      <w:pPr>
        <w:spacing w:after="0" w:line="75"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suspend capital expenditures, acquisition activity, dividend declarations or share repurchases if we suffer a significant reduction in cash flows; and</w:t>
      </w:r>
    </w:p>
    <w:p>
      <w:pPr>
        <w:spacing w:after="0" w:line="75" w:lineRule="exact"/>
        <w:rPr>
          <w:rFonts w:ascii="Arial" w:cs="Arial" w:eastAsia="Arial" w:hAnsi="Arial"/>
          <w:sz w:val="18"/>
          <w:szCs w:val="18"/>
          <w:b w:val="1"/>
          <w:bCs w:val="1"/>
          <w:color w:val="auto"/>
        </w:rPr>
      </w:pPr>
    </w:p>
    <w:p>
      <w:pPr>
        <w:ind w:left="660" w:right="2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incur future indebtedness on terms we deem acceptable or to refinance our debt obligations, including near-term maturities, on acceptable terms and higher interest rates and market conditions may increase our expenses.</w:t>
      </w:r>
    </w:p>
    <w:p>
      <w:pPr>
        <w:spacing w:after="0" w:line="6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2009.</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3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482.1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0.315</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vMerge w:val="restart"/>
          </w:tcPr>
          <w:p>
            <w:pPr>
              <w:jc w:val="right"/>
              <w:ind w:right="337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482.1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485.8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0.51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6,093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3,877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3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0.89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481.5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484.6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0.63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720" w:type="dxa"/>
            <w:vAlign w:val="bottom"/>
            <w:vMerge w:val="restart"/>
          </w:tcPr>
          <w:p>
            <w:pPr>
              <w:jc w:val="right"/>
              <w:ind w:right="337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428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478.9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484.6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0.89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color w:val="auto"/>
              </w:rPr>
              <w:t>(4)</w:t>
            </w: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8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1,641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11,575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5,667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08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21,759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21,154</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080" w:type="dxa"/>
            <w:vAlign w:val="bottom"/>
            <w:gridSpan w:val="2"/>
          </w:tcPr>
          <w:p>
            <w:pPr>
              <w:ind w:left="398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2,100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2,858</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8,827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15,351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14,563</w:t>
            </w:r>
          </w:p>
        </w:tc>
        <w:tc>
          <w:tcPr>
            <w:tcW w:w="0" w:type="dxa"/>
            <w:vAlign w:val="bottom"/>
          </w:tcPr>
          <w:p>
            <w:pPr>
              <w:spacing w:after="0"/>
              <w:rPr>
                <w:sz w:val="1"/>
                <w:szCs w:val="1"/>
                <w:color w:val="auto"/>
              </w:rPr>
            </w:pPr>
          </w:p>
        </w:tc>
      </w:tr>
      <w:tr>
        <w:trPr>
          <w:trHeight w:val="439"/>
        </w:trPr>
        <w:tc>
          <w:tcPr>
            <w:tcW w:w="50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9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6,099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6,408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3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21,759</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980" w:type="dxa"/>
            <w:vAlign w:val="bottom"/>
            <w:vMerge w:val="restart"/>
          </w:tcPr>
          <w:p>
            <w:pPr>
              <w:jc w:val="right"/>
              <w:ind w:right="3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Investments in unconsolidated entities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5600"/>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5"/>
              </w:rPr>
              <w:t>Quarters Ended</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5"/>
          </w:tcPr>
          <w:p>
            <w:pPr>
              <w:jc w:val="right"/>
              <w:ind w:right="360"/>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4"/>
          </w:tcPr>
          <w:p>
            <w:pPr>
              <w:jc w:val="center"/>
              <w:ind w:right="320"/>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Collection</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3"/>
          </w:tcPr>
          <w:p>
            <w:pPr>
              <w:ind w:left="160"/>
              <w:spacing w:after="0"/>
              <w:rPr>
                <w:sz w:val="20"/>
                <w:szCs w:val="20"/>
                <w:color w:val="auto"/>
              </w:rPr>
            </w:pPr>
            <w:r>
              <w:rPr>
                <w:rFonts w:ascii="Arial" w:cs="Arial" w:eastAsia="Arial" w:hAnsi="Arial"/>
                <w:sz w:val="18"/>
                <w:szCs w:val="18"/>
                <w:color w:val="auto"/>
                <w:w w:val="79"/>
              </w:rPr>
              <w:t>2,082</w:t>
            </w:r>
          </w:p>
        </w:tc>
        <w:tc>
          <w:tcPr>
            <w:tcW w:w="26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1,974</w:t>
            </w:r>
          </w:p>
        </w:tc>
        <w:tc>
          <w:tcPr>
            <w:tcW w:w="4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93"/>
              </w:rPr>
              <w:t>664</w:t>
            </w: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Transfer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center"/>
              <w:ind w:left="192"/>
              <w:spacing w:after="0"/>
              <w:rPr>
                <w:sz w:val="20"/>
                <w:szCs w:val="20"/>
                <w:color w:val="auto"/>
              </w:rPr>
            </w:pPr>
            <w:r>
              <w:rPr>
                <w:rFonts w:ascii="Arial" w:cs="Arial" w:eastAsia="Arial" w:hAnsi="Arial"/>
                <w:sz w:val="18"/>
                <w:szCs w:val="18"/>
                <w:color w:val="auto"/>
                <w:w w:val="93"/>
              </w:rPr>
              <w:t>351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Wheelabrator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93"/>
              </w:rPr>
              <w:t>217</w:t>
            </w: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center"/>
              <w:ind w:left="192"/>
              <w:spacing w:after="0"/>
              <w:rPr>
                <w:sz w:val="20"/>
                <w:szCs w:val="20"/>
                <w:color w:val="auto"/>
              </w:rPr>
            </w:pPr>
            <w:r>
              <w:rPr>
                <w:rFonts w:ascii="Arial" w:cs="Arial" w:eastAsia="Arial" w:hAnsi="Arial"/>
                <w:sz w:val="18"/>
                <w:szCs w:val="18"/>
                <w:color w:val="auto"/>
                <w:w w:val="93"/>
              </w:rPr>
              <w:t>281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w w:val="73"/>
              </w:rPr>
              <w:t>76</w:t>
            </w: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center"/>
              <w:spacing w:after="0"/>
              <w:rPr>
                <w:sz w:val="20"/>
                <w:szCs w:val="20"/>
                <w:color w:val="auto"/>
              </w:rPr>
            </w:pPr>
            <w:r>
              <w:rPr>
                <w:rFonts w:ascii="Arial" w:cs="Arial" w:eastAsia="Arial" w:hAnsi="Arial"/>
                <w:sz w:val="18"/>
                <w:szCs w:val="18"/>
                <w:color w:val="auto"/>
                <w:w w:val="95"/>
              </w:rPr>
              <w:t>(513)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3,158</w:t>
            </w:r>
          </w:p>
        </w:tc>
        <w:tc>
          <w:tcPr>
            <w:tcW w:w="26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2,935</w:t>
            </w: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8"/>
          </w:tcPr>
          <w:p>
            <w:pPr>
              <w:jc w:val="right"/>
              <w:ind w:right="131"/>
              <w:spacing w:after="0"/>
              <w:rPr>
                <w:sz w:val="20"/>
                <w:szCs w:val="20"/>
                <w:color w:val="auto"/>
              </w:rPr>
            </w:pPr>
            <w:r>
              <w:rPr>
                <w:rFonts w:ascii="Arial" w:cs="Arial" w:eastAsia="Arial" w:hAnsi="Arial"/>
                <w:sz w:val="14"/>
                <w:szCs w:val="14"/>
                <w:b w:val="1"/>
                <w:bCs w:val="1"/>
                <w:color w:val="auto"/>
              </w:rPr>
              <w:t>Quarters Ended</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6"/>
          </w:tcPr>
          <w:p>
            <w:pPr>
              <w:ind w:left="20"/>
              <w:spacing w:after="0" w:line="142" w:lineRule="exact"/>
              <w:rPr>
                <w:sz w:val="20"/>
                <w:szCs w:val="20"/>
                <w:color w:val="auto"/>
              </w:rPr>
            </w:pPr>
            <w:r>
              <w:rPr>
                <w:rFonts w:ascii="Arial" w:cs="Arial" w:eastAsia="Arial" w:hAnsi="Arial"/>
                <w:sz w:val="14"/>
                <w:szCs w:val="14"/>
                <w:b w:val="1"/>
                <w:bCs w:val="1"/>
                <w:color w:val="auto"/>
              </w:rPr>
              <w:t>June 30, 2010</w:t>
            </w: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rPr>
              <w:t>June 30, 2009</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4"/>
          </w:tcPr>
          <w:p>
            <w:pPr>
              <w:jc w:val="right"/>
              <w:ind w:right="72"/>
              <w:spacing w:after="0" w:line="123" w:lineRule="exact"/>
              <w:rPr>
                <w:sz w:val="20"/>
                <w:szCs w:val="20"/>
                <w:color w:val="auto"/>
              </w:rPr>
            </w:pPr>
            <w:r>
              <w:rPr>
                <w:rFonts w:ascii="Arial" w:cs="Arial" w:eastAsia="Arial" w:hAnsi="Arial"/>
                <w:sz w:val="14"/>
                <w:szCs w:val="14"/>
                <w:color w:val="auto"/>
              </w:rPr>
              <w:t>As a %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gridSpan w:val="4"/>
          </w:tcPr>
          <w:p>
            <w:pPr>
              <w:jc w:val="right"/>
              <w:ind w:right="71"/>
              <w:spacing w:after="0" w:line="123" w:lineRule="exact"/>
              <w:rPr>
                <w:sz w:val="20"/>
                <w:szCs w:val="20"/>
                <w:color w:val="auto"/>
              </w:rPr>
            </w:pPr>
            <w:r>
              <w:rPr>
                <w:rFonts w:ascii="Arial" w:cs="Arial" w:eastAsia="Arial" w:hAnsi="Arial"/>
                <w:sz w:val="14"/>
                <w:szCs w:val="14"/>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28"/>
              <w:spacing w:after="0"/>
              <w:rPr>
                <w:sz w:val="20"/>
                <w:szCs w:val="20"/>
                <w:color w:val="auto"/>
              </w:rPr>
            </w:pPr>
            <w:r>
              <w:rPr>
                <w:rFonts w:ascii="Arial" w:cs="Arial" w:eastAsia="Arial" w:hAnsi="Arial"/>
                <w:sz w:val="14"/>
                <w:szCs w:val="14"/>
                <w:color w:val="auto"/>
                <w:w w:val="95"/>
              </w:rPr>
              <w:t>Amount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7"/>
          </w:tcPr>
          <w:p>
            <w:pPr>
              <w:jc w:val="right"/>
              <w:ind w:right="520"/>
              <w:spacing w:after="0"/>
              <w:rPr>
                <w:sz w:val="20"/>
                <w:szCs w:val="20"/>
                <w:color w:val="auto"/>
              </w:rPr>
            </w:pPr>
            <w:r>
              <w:rPr>
                <w:rFonts w:ascii="Arial" w:cs="Arial" w:eastAsia="Arial" w:hAnsi="Arial"/>
                <w:sz w:val="14"/>
                <w:szCs w:val="14"/>
                <w:color w:val="auto"/>
                <w:w w:val="92"/>
              </w:rPr>
              <w:t>Total Company</w:t>
            </w:r>
          </w:p>
        </w:tc>
        <w:tc>
          <w:tcPr>
            <w:tcW w:w="180" w:type="dxa"/>
            <w:vAlign w:val="bottom"/>
          </w:tcPr>
          <w:p>
            <w:pPr>
              <w:spacing w:after="0"/>
              <w:rPr>
                <w:sz w:val="14"/>
                <w:szCs w:val="14"/>
                <w:color w:val="auto"/>
              </w:rPr>
            </w:pPr>
          </w:p>
        </w:tc>
        <w:tc>
          <w:tcPr>
            <w:tcW w:w="1320" w:type="dxa"/>
            <w:vAlign w:val="bottom"/>
            <w:gridSpan w:val="6"/>
          </w:tcPr>
          <w:p>
            <w:pPr>
              <w:jc w:val="right"/>
              <w:ind w:right="660"/>
              <w:spacing w:after="0"/>
              <w:rPr>
                <w:sz w:val="20"/>
                <w:szCs w:val="20"/>
                <w:color w:val="auto"/>
              </w:rPr>
            </w:pPr>
            <w:r>
              <w:rPr>
                <w:rFonts w:ascii="Arial" w:cs="Arial" w:eastAsia="Arial" w:hAnsi="Arial"/>
                <w:sz w:val="14"/>
                <w:szCs w:val="14"/>
                <w:color w:val="auto"/>
              </w:rPr>
              <w:t>Amount</w:t>
            </w:r>
          </w:p>
        </w:tc>
        <w:tc>
          <w:tcPr>
            <w:tcW w:w="1060" w:type="dxa"/>
            <w:vAlign w:val="bottom"/>
            <w:gridSpan w:val="5"/>
          </w:tcPr>
          <w:p>
            <w:pPr>
              <w:jc w:val="right"/>
              <w:ind w:right="160"/>
              <w:spacing w:after="0"/>
              <w:rPr>
                <w:sz w:val="20"/>
                <w:szCs w:val="20"/>
                <w:color w:val="auto"/>
              </w:rPr>
            </w:pPr>
            <w:r>
              <w:rPr>
                <w:rFonts w:ascii="Arial" w:cs="Arial" w:eastAsia="Arial" w:hAnsi="Arial"/>
                <w:sz w:val="14"/>
                <w:szCs w:val="14"/>
                <w:color w:val="auto"/>
                <w:w w:val="92"/>
              </w:rPr>
              <w:t>Total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Analysis of Change in Year Over Year Revenues</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209</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44"/>
              <w:spacing w:after="0"/>
              <w:rPr>
                <w:sz w:val="20"/>
                <w:szCs w:val="20"/>
                <w:color w:val="auto"/>
              </w:rPr>
            </w:pPr>
            <w:r>
              <w:rPr>
                <w:rFonts w:ascii="Arial" w:cs="Arial" w:eastAsia="Arial" w:hAnsi="Arial"/>
                <w:sz w:val="18"/>
                <w:szCs w:val="18"/>
                <w:color w:val="auto"/>
                <w:w w:val="90"/>
              </w:rPr>
              <w:t>(218)</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Volume</w:t>
            </w: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13"/>
              <w:spacing w:after="0"/>
              <w:rPr>
                <w:sz w:val="20"/>
                <w:szCs w:val="20"/>
                <w:color w:val="auto"/>
              </w:rPr>
            </w:pPr>
            <w:r>
              <w:rPr>
                <w:rFonts w:ascii="Arial" w:cs="Arial" w:eastAsia="Arial" w:hAnsi="Arial"/>
                <w:sz w:val="18"/>
                <w:szCs w:val="18"/>
                <w:color w:val="auto"/>
              </w:rPr>
              <w:t>(86)</w:t>
            </w: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-2.9%</w:t>
            </w:r>
          </w:p>
        </w:tc>
        <w:tc>
          <w:tcPr>
            <w:tcW w:w="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w w:val="90"/>
              </w:rPr>
              <w:t>(299)</w:t>
            </w: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200"/>
              <w:spacing w:after="0"/>
              <w:rPr>
                <w:sz w:val="20"/>
                <w:szCs w:val="20"/>
                <w:color w:val="auto"/>
              </w:rPr>
            </w:pPr>
            <w:r>
              <w:rPr>
                <w:rFonts w:ascii="Arial" w:cs="Arial" w:eastAsia="Arial" w:hAnsi="Arial"/>
                <w:sz w:val="18"/>
                <w:szCs w:val="18"/>
                <w:color w:val="auto"/>
              </w:rPr>
              <w:t>Internal revenue growth</w:t>
            </w: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(517)</w:t>
            </w:r>
          </w:p>
        </w:tc>
        <w:tc>
          <w:tcPr>
            <w:tcW w:w="1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21</w:t>
            </w: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Divestitures</w:t>
            </w:r>
          </w:p>
        </w:tc>
        <w:tc>
          <w:tcPr>
            <w:tcW w:w="100" w:type="dxa"/>
            <w:vAlign w:val="bottom"/>
          </w:tcPr>
          <w:p>
            <w:pPr>
              <w:spacing w:after="0"/>
              <w:rPr>
                <w:sz w:val="18"/>
                <w:szCs w:val="18"/>
                <w:color w:val="auto"/>
              </w:rPr>
            </w:pPr>
          </w:p>
        </w:tc>
        <w:tc>
          <w:tcPr>
            <w:tcW w:w="940" w:type="dxa"/>
            <w:vAlign w:val="bottom"/>
            <w:gridSpan w:val="4"/>
          </w:tcPr>
          <w:p>
            <w:pPr>
              <w:jc w:val="right"/>
              <w:ind w:right="213"/>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4"/>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(28)</w:t>
            </w: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4"/>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206</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8"/>
              </w:rPr>
              <w:t>(537</w:t>
            </w:r>
          </w:p>
        </w:tc>
        <w:tc>
          <w:tcPr>
            <w:tcW w:w="18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6"/>
          </w:tcPr>
          <w:p>
            <w:pPr>
              <w:ind w:left="60"/>
              <w:spacing w:after="0"/>
              <w:rPr>
                <w:sz w:val="20"/>
                <w:szCs w:val="20"/>
                <w:color w:val="auto"/>
              </w:rPr>
            </w:pPr>
            <w:r>
              <w:rPr>
                <w:rFonts w:ascii="Arial" w:cs="Arial" w:eastAsia="Arial" w:hAnsi="Arial"/>
                <w:sz w:val="14"/>
                <w:szCs w:val="14"/>
                <w:color w:val="auto"/>
              </w:rPr>
              <w:t>As a % of</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4"/>
          </w:tcPr>
          <w:p>
            <w:pPr>
              <w:ind w:left="60"/>
              <w:spacing w:after="0"/>
              <w:rPr>
                <w:sz w:val="20"/>
                <w:szCs w:val="20"/>
                <w:color w:val="auto"/>
              </w:rPr>
            </w:pPr>
            <w:r>
              <w:rPr>
                <w:rFonts w:ascii="Arial" w:cs="Arial" w:eastAsia="Arial" w:hAnsi="Arial"/>
                <w:sz w:val="14"/>
                <w:szCs w:val="14"/>
                <w:color w:val="auto"/>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5"/>
          </w:tcPr>
          <w:p>
            <w:pPr>
              <w:spacing w:after="0" w:line="149" w:lineRule="exact"/>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9"/>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4"/>
          </w:tcPr>
          <w:p>
            <w:pPr>
              <w:jc w:val="right"/>
              <w:ind w:right="380"/>
              <w:spacing w:after="0"/>
              <w:rPr>
                <w:sz w:val="20"/>
                <w:szCs w:val="20"/>
                <w:color w:val="auto"/>
              </w:rPr>
            </w:pPr>
            <w:r>
              <w:rPr>
                <w:rFonts w:ascii="Arial" w:cs="Arial" w:eastAsia="Arial" w:hAnsi="Arial"/>
                <w:sz w:val="14"/>
                <w:szCs w:val="14"/>
                <w:color w:val="auto"/>
              </w:rPr>
              <w:t>Amount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5"/>
          </w:tcPr>
          <w:p>
            <w:pPr>
              <w:jc w:val="right"/>
              <w:ind w:right="440"/>
              <w:spacing w:after="0"/>
              <w:rPr>
                <w:sz w:val="20"/>
                <w:szCs w:val="20"/>
                <w:color w:val="auto"/>
              </w:rPr>
            </w:pPr>
            <w:r>
              <w:rPr>
                <w:rFonts w:ascii="Arial" w:cs="Arial" w:eastAsia="Arial" w:hAnsi="Arial"/>
                <w:sz w:val="14"/>
                <w:szCs w:val="14"/>
                <w:color w:val="auto"/>
                <w:w w:val="80"/>
              </w:rPr>
              <w:t>Business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right"/>
              <w:ind w:right="48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w w:val="91"/>
              </w:rPr>
              <w:t>Business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Collection, landfill and transfer</w:t>
            </w:r>
          </w:p>
        </w:tc>
        <w:tc>
          <w:tcPr>
            <w:tcW w:w="100" w:type="dxa"/>
            <w:vAlign w:val="bottom"/>
          </w:tcPr>
          <w:p>
            <w:pPr>
              <w:spacing w:after="0"/>
              <w:rPr>
                <w:sz w:val="18"/>
                <w:szCs w:val="18"/>
                <w:color w:val="auto"/>
              </w:rPr>
            </w:pPr>
          </w:p>
        </w:tc>
        <w:tc>
          <w:tcPr>
            <w:tcW w:w="58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center"/>
              <w:spacing w:after="0"/>
              <w:rPr>
                <w:sz w:val="20"/>
                <w:szCs w:val="20"/>
                <w:color w:val="auto"/>
              </w:rPr>
            </w:pPr>
            <w:r>
              <w:rPr>
                <w:rFonts w:ascii="Arial" w:cs="Arial" w:eastAsia="Arial" w:hAnsi="Arial"/>
                <w:sz w:val="18"/>
                <w:szCs w:val="18"/>
                <w:color w:val="auto"/>
                <w:w w:val="92"/>
              </w:rPr>
              <w:t>2.2%</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Waste-to-energy disposal</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2"/>
              </w:rPr>
              <w:t>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Collection and disposal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Arial" w:cs="Arial" w:eastAsia="Arial" w:hAnsi="Arial"/>
                <w:sz w:val="18"/>
                <w:szCs w:val="18"/>
                <w:color w:val="auto"/>
                <w:w w:val="92"/>
              </w:rPr>
              <w:t>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Recycling commodities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Electricity</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Fuel surcharges and mandated fees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6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Arial" w:cs="Arial" w:eastAsia="Arial" w:hAnsi="Arial"/>
                <w:sz w:val="18"/>
                <w:szCs w:val="18"/>
                <w:color w:val="auto"/>
                <w:w w:val="92"/>
              </w:rPr>
              <w:t>7.1%</w:t>
            </w:r>
          </w:p>
        </w:tc>
        <w:tc>
          <w:tcPr>
            <w:tcW w:w="380" w:type="dxa"/>
            <w:vAlign w:val="bottom"/>
            <w:gridSpan w:val="2"/>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(218</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w w:val="92"/>
              </w:rPr>
              <w:t>Quarters Ended June 30,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(b)</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4"/>
                <w:szCs w:val="24"/>
                <w:color w:val="auto"/>
              </w:rPr>
            </w:pPr>
          </w:p>
        </w:tc>
        <w:tc>
          <w:tcPr>
            <w:tcW w:w="58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480</w:t>
            </w:r>
          </w:p>
        </w:tc>
        <w:tc>
          <w:tcPr>
            <w:tcW w:w="600" w:type="dxa"/>
            <w:vAlign w:val="bottom"/>
            <w:gridSpan w:val="3"/>
          </w:tcPr>
          <w:p>
            <w:pPr>
              <w:ind w:left="500"/>
              <w:spacing w:after="0"/>
              <w:rPr>
                <w:sz w:val="20"/>
                <w:szCs w:val="20"/>
                <w:color w:val="auto"/>
              </w:rPr>
            </w:pPr>
            <w:r>
              <w:rPr>
                <w:rFonts w:ascii="Arial" w:cs="Arial" w:eastAsia="Arial" w:hAnsi="Arial"/>
                <w:sz w:val="18"/>
                <w:szCs w:val="18"/>
                <w:color w:val="auto"/>
                <w:w w:val="79"/>
              </w:rPr>
              <w:t>$</w:t>
            </w:r>
          </w:p>
        </w:tc>
        <w:tc>
          <w:tcPr>
            <w:tcW w:w="820" w:type="dxa"/>
            <w:vAlign w:val="bottom"/>
            <w:gridSpan w:val="4"/>
          </w:tcPr>
          <w:p>
            <w:pPr>
              <w:jc w:val="right"/>
              <w:ind w:right="240"/>
              <w:spacing w:after="0"/>
              <w:rPr>
                <w:sz w:val="20"/>
                <w:szCs w:val="20"/>
                <w:color w:val="auto"/>
              </w:rPr>
            </w:pPr>
            <w:r>
              <w:rPr>
                <w:rFonts w:ascii="Arial" w:cs="Arial" w:eastAsia="Arial" w:hAnsi="Arial"/>
                <w:sz w:val="18"/>
                <w:szCs w:val="18"/>
                <w:color w:val="auto"/>
              </w:rPr>
              <w:t>548</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976</w:t>
            </w:r>
          </w:p>
        </w:tc>
        <w:tc>
          <w:tcPr>
            <w:tcW w:w="4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3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spacing w:after="0" w:line="201" w:lineRule="exact"/>
              <w:rPr>
                <w:sz w:val="20"/>
                <w:szCs w:val="20"/>
                <w:color w:val="auto"/>
              </w:rPr>
            </w:pPr>
            <w:r>
              <w:rPr>
                <w:rFonts w:ascii="Arial" w:cs="Arial" w:eastAsia="Arial" w:hAnsi="Arial"/>
                <w:sz w:val="18"/>
                <w:szCs w:val="18"/>
                <w:color w:val="auto"/>
                <w:w w:val="93"/>
              </w:rPr>
              <w:t>Proceeds from divestitures of businesses (net of cash divested) and other sales of</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8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297</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528</w:t>
            </w:r>
          </w:p>
        </w:tc>
        <w:tc>
          <w:tcPr>
            <w:tcW w:w="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1020" w:type="dxa"/>
            <w:vAlign w:val="bottom"/>
            <w:gridSpan w:val="4"/>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0"/>
                <w:szCs w:val="10"/>
                <w:color w:val="auto"/>
              </w:rPr>
            </w:pPr>
          </w:p>
        </w:tc>
        <w:tc>
          <w:tcPr>
            <w:tcW w:w="112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2010</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871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9,585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8,823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6,541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15,993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15,364</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14,610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120" w:type="dxa"/>
            <w:vAlign w:val="bottom"/>
          </w:tcPr>
          <w:p>
            <w:pPr>
              <w:spacing w:after="0"/>
              <w:rPr>
                <w:sz w:val="24"/>
                <w:szCs w:val="2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68.4%</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67.9%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1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 Groups: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Cost basis of landfill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88.5</w:t>
            </w:r>
          </w:p>
        </w:tc>
        <w:tc>
          <w:tcPr>
            <w:tcW w:w="3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72.6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retirement costs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Total landfill amortization expense (b)</w:t>
            </w: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 ended June 30, 2010 as compared with the quarter ended March 31, 2010 reflects an increase in amortization expense of $18.9 million, which was primarily due to the seasonal increase in landfill volumes.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5"/>
          </w:tcPr>
          <w:p>
            <w:pPr>
              <w:jc w:val="center"/>
              <w:ind w:left="274"/>
              <w:spacing w:after="0"/>
              <w:rPr>
                <w:sz w:val="20"/>
                <w:szCs w:val="20"/>
                <w:color w:val="auto"/>
              </w:rPr>
            </w:pPr>
            <w:r>
              <w:rPr>
                <w:rFonts w:ascii="Arial" w:cs="Arial" w:eastAsia="Arial" w:hAnsi="Arial"/>
                <w:sz w:val="14"/>
                <w:szCs w:val="14"/>
                <w:b w:val="1"/>
                <w:bCs w:val="1"/>
                <w:color w:val="auto"/>
                <w:w w:val="96"/>
              </w:rPr>
              <w:t>Quarter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 2010</w:t>
            </w:r>
          </w:p>
        </w:tc>
        <w:tc>
          <w:tcPr>
            <w:tcW w:w="4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center"/>
              <w:ind w:left="254"/>
              <w:spacing w:after="0"/>
              <w:rPr>
                <w:sz w:val="20"/>
                <w:szCs w:val="20"/>
                <w:color w:val="auto"/>
              </w:rPr>
            </w:pPr>
            <w:r>
              <w:rPr>
                <w:rFonts w:ascii="Arial" w:cs="Arial" w:eastAsia="Arial" w:hAnsi="Arial"/>
                <w:sz w:val="14"/>
                <w:szCs w:val="14"/>
                <w:b w:val="1"/>
                <w:bCs w:val="1"/>
                <w:color w:val="auto"/>
                <w:w w:val="92"/>
              </w:rPr>
              <w:t>June 30, 2009</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360" w:type="dxa"/>
            <w:vAlign w:val="bottom"/>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After-tax</w:t>
            </w: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700" w:type="dxa"/>
            <w:vAlign w:val="bottom"/>
          </w:tcPr>
          <w:p>
            <w:pPr>
              <w:spacing w:after="0"/>
              <w:rPr>
                <w:sz w:val="10"/>
                <w:szCs w:val="10"/>
                <w:color w:val="auto"/>
              </w:rPr>
            </w:pPr>
          </w:p>
        </w:tc>
        <w:tc>
          <w:tcPr>
            <w:tcW w:w="1040" w:type="dxa"/>
            <w:vAlign w:val="bottom"/>
            <w:gridSpan w:val="4"/>
          </w:tcPr>
          <w:p>
            <w:pPr>
              <w:jc w:val="right"/>
              <w:ind w:right="42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and Earnings Per Diluted Share</w:t>
            </w:r>
          </w:p>
        </w:tc>
        <w:tc>
          <w:tcPr>
            <w:tcW w:w="2880" w:type="dxa"/>
            <w:vAlign w:val="bottom"/>
            <w:gridSpan w:val="4"/>
          </w:tcPr>
          <w:p>
            <w:pPr>
              <w:ind w:left="1520"/>
              <w:spacing w:after="0"/>
              <w:rPr>
                <w:sz w:val="20"/>
                <w:szCs w:val="20"/>
                <w:color w:val="auto"/>
              </w:rPr>
            </w:pPr>
            <w:r>
              <w:rPr>
                <w:rFonts w:ascii="Arial" w:cs="Arial" w:eastAsia="Arial" w:hAnsi="Arial"/>
                <w:sz w:val="14"/>
                <w:szCs w:val="14"/>
                <w:b w:val="1"/>
                <w:bCs w:val="1"/>
                <w:color w:val="auto"/>
              </w:rPr>
              <w:t>Amount (a)</w:t>
            </w:r>
          </w:p>
        </w:tc>
        <w:tc>
          <w:tcPr>
            <w:tcW w:w="13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Amount (b)</w:t>
            </w: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1780" w:type="dxa"/>
            <w:vAlign w:val="bottom"/>
            <w:gridSpan w:val="2"/>
            <w:shd w:val="clear" w:color="auto" w:fill="CCEEFF"/>
          </w:tcPr>
          <w:p>
            <w:pPr>
              <w:ind w:left="15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246</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0.51</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247</w:t>
            </w:r>
          </w:p>
        </w:tc>
        <w:tc>
          <w:tcPr>
            <w:tcW w:w="4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0.50</w:t>
            </w:r>
          </w:p>
        </w:tc>
        <w:tc>
          <w:tcPr>
            <w:tcW w:w="0" w:type="dxa"/>
            <w:vAlign w:val="bottom"/>
          </w:tcPr>
          <w:p>
            <w:pPr>
              <w:spacing w:after="0"/>
              <w:rPr>
                <w:sz w:val="1"/>
                <w:szCs w:val="1"/>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Litigation settlement</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Expense from tax related items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Increased environmental remediation reserves</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Labor disruption costs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Multi-employer pension withdrawal costs</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Restructuring charges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1780" w:type="dxa"/>
            <w:vAlign w:val="bottom"/>
            <w:gridSpan w:val="2"/>
            <w:shd w:val="clear" w:color="auto" w:fill="CCEEFF"/>
          </w:tcPr>
          <w:p>
            <w:pPr>
              <w:ind w:left="15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261</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0.54</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256</w:t>
            </w:r>
          </w:p>
        </w:tc>
        <w:tc>
          <w:tcPr>
            <w:tcW w:w="4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Operating Expenses</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3"/>
              </w:rPr>
              <w:t>Quarters Ended June 30,</w:t>
            </w:r>
          </w:p>
        </w:tc>
        <w:tc>
          <w:tcPr>
            <w:tcW w:w="0" w:type="dxa"/>
            <w:vAlign w:val="bottom"/>
          </w:tcPr>
          <w:p>
            <w:pPr>
              <w:spacing w:after="0"/>
              <w:rPr>
                <w:sz w:val="1"/>
                <w:szCs w:val="1"/>
                <w:color w:val="auto"/>
              </w:rPr>
            </w:pPr>
          </w:p>
        </w:tc>
      </w:tr>
      <w:tr>
        <w:trPr>
          <w:trHeight w:val="142"/>
        </w:trPr>
        <w:tc>
          <w:tcPr>
            <w:tcW w:w="502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center"/>
              <w:ind w:right="71"/>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as reported</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1,996</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1,786</w:t>
            </w:r>
          </w:p>
        </w:tc>
        <w:tc>
          <w:tcPr>
            <w:tcW w:w="0" w:type="dxa"/>
            <w:vAlign w:val="bottom"/>
          </w:tcPr>
          <w:p>
            <w:pPr>
              <w:spacing w:after="0"/>
              <w:rPr>
                <w:sz w:val="1"/>
                <w:szCs w:val="1"/>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Adjustments to Operating Expense</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Increased environmental remediation reserves</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Labor disruption costs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Multi-employer pension withdrawal costs</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Expenses (c)</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5"/>
              </w:rPr>
              <w:t>Quarter Ended June 30, 2010</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9"/>
              </w:rPr>
              <w:t>Pre-tax</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jc w:val="right"/>
              <w:ind w:right="40"/>
              <w:spacing w:after="0" w:line="119" w:lineRule="exact"/>
              <w:rPr>
                <w:sz w:val="20"/>
                <w:szCs w:val="20"/>
                <w:color w:val="auto"/>
              </w:rPr>
            </w:pPr>
            <w:r>
              <w:rPr>
                <w:rFonts w:ascii="Arial" w:cs="Arial" w:eastAsia="Arial" w:hAnsi="Arial"/>
                <w:sz w:val="13"/>
                <w:szCs w:val="13"/>
                <w:b w:val="1"/>
                <w:bCs w:val="1"/>
                <w:color w:val="auto"/>
              </w:rPr>
              <w:t>Effective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effective tax rate</w:t>
            </w:r>
          </w:p>
        </w:tc>
        <w:tc>
          <w:tcPr>
            <w:tcW w:w="100" w:type="dxa"/>
            <w:vAlign w:val="bottom"/>
          </w:tcPr>
          <w:p>
            <w:pPr>
              <w:spacing w:after="0"/>
              <w:rPr>
                <w:sz w:val="14"/>
                <w:szCs w:val="14"/>
                <w:color w:val="auto"/>
              </w:rPr>
            </w:pPr>
          </w:p>
        </w:tc>
        <w:tc>
          <w:tcPr>
            <w:tcW w:w="56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Tax Expense</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Tax Rate (d)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464</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Adjustments to Tax Expense: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Litigation settlement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Expense from tax related items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(37)</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Increased environmental remediation reserves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Labor disruption costs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adjusted amounts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428</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60" w:hanging="452"/>
        <w:spacing w:after="0" w:line="277"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Please see the reconciliation of “Adjusted effective tax rate” for the tax expense associated with each of the after-tax adjustments to net income and diluted EPS in the second quarter of 2010.</w:t>
      </w:r>
    </w:p>
    <w:p>
      <w:pPr>
        <w:spacing w:after="0" w:line="21" w:lineRule="exact"/>
        <w:rPr>
          <w:rFonts w:ascii="Arial" w:cs="Arial" w:eastAsia="Arial" w:hAnsi="Arial"/>
          <w:sz w:val="18"/>
          <w:szCs w:val="18"/>
          <w:b w:val="1"/>
          <w:bCs w:val="1"/>
          <w:color w:val="auto"/>
        </w:rPr>
      </w:pPr>
    </w:p>
    <w:p>
      <w:pPr>
        <w:ind w:left="460" w:right="420" w:hanging="452"/>
        <w:spacing w:after="0" w:line="277"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tax expense associated with the after-tax adjustments to net income and diluted EPS in the second quarter of 2009 for multi-employer pension withdrawal costs and restructuring charges were $3 million and $2 million, respectively.</w:t>
      </w:r>
    </w:p>
    <w:p>
      <w:pPr>
        <w:spacing w:after="0" w:line="21"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Increase of $178 million in operating expense, as adjusted.</w:t>
      </w:r>
    </w:p>
    <w:p>
      <w:pPr>
        <w:spacing w:after="0" w:line="76" w:lineRule="exact"/>
        <w:rPr>
          <w:rFonts w:ascii="Arial" w:cs="Arial" w:eastAsia="Arial" w:hAnsi="Arial"/>
          <w:sz w:val="18"/>
          <w:szCs w:val="18"/>
          <w:b w:val="1"/>
          <w:bCs w:val="1"/>
          <w:color w:val="auto"/>
        </w:rPr>
      </w:pPr>
    </w:p>
    <w:p>
      <w:pPr>
        <w:ind w:left="460" w:right="240" w:hanging="452"/>
        <w:spacing w:after="0" w:line="308" w:lineRule="auto"/>
        <w:tabs>
          <w:tab w:leader="none" w:pos="4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 Company calculates its effective tax rate based on actual dollars. Rounding differences occurred when the effective tax rate was calculated using the Pre-tax Income and Tax Expense amounts included in the table above, as these line items have been rounded in millions.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2"/>
          </w:tcPr>
          <w:p>
            <w:pPr>
              <w:jc w:val="right"/>
              <w:ind w:right="675"/>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5"/>
          </w:tcPr>
          <w:p>
            <w:pPr>
              <w:ind w:left="340"/>
              <w:spacing w:after="0"/>
              <w:rPr>
                <w:sz w:val="20"/>
                <w:szCs w:val="20"/>
                <w:color w:val="auto"/>
              </w:rPr>
            </w:pPr>
            <w:r>
              <w:rPr>
                <w:rFonts w:ascii="Arial" w:cs="Arial" w:eastAsia="Arial" w:hAnsi="Arial"/>
                <w:sz w:val="14"/>
                <w:szCs w:val="14"/>
                <w:b w:val="1"/>
                <w:bCs w:val="1"/>
                <w:color w:val="auto"/>
              </w:rPr>
              <w:t>Quarter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w w:val="92"/>
              </w:rPr>
              <w:t>June 30, 2010</w:t>
            </w: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 2009</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66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As a % of</w:t>
            </w:r>
          </w:p>
        </w:tc>
        <w:tc>
          <w:tcPr>
            <w:tcW w:w="480" w:type="dxa"/>
            <w:vAlign w:val="bottom"/>
          </w:tcPr>
          <w:p>
            <w:pPr>
              <w:spacing w:after="0"/>
              <w:rPr>
                <w:sz w:val="10"/>
                <w:szCs w:val="10"/>
                <w:color w:val="auto"/>
              </w:rPr>
            </w:pPr>
          </w:p>
        </w:tc>
        <w:tc>
          <w:tcPr>
            <w:tcW w:w="1680" w:type="dxa"/>
            <w:vAlign w:val="bottom"/>
            <w:gridSpan w:val="6"/>
            <w:vMerge w:val="restart"/>
          </w:tcPr>
          <w:p>
            <w:pPr>
              <w:jc w:val="right"/>
              <w:ind w:right="92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As a % of</w:t>
            </w:r>
          </w:p>
        </w:tc>
        <w:tc>
          <w:tcPr>
            <w:tcW w:w="0" w:type="dxa"/>
            <w:vAlign w:val="bottom"/>
          </w:tcPr>
          <w:p>
            <w:pPr>
              <w:spacing w:after="0"/>
              <w:rPr>
                <w:sz w:val="1"/>
                <w:szCs w:val="1"/>
                <w:color w:val="auto"/>
              </w:rPr>
            </w:pPr>
          </w:p>
        </w:tc>
      </w:tr>
      <w:tr>
        <w:trPr>
          <w:trHeight w:val="178"/>
        </w:trPr>
        <w:tc>
          <w:tcPr>
            <w:tcW w:w="6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Income from Operations as a percent of Revenues</w:t>
            </w:r>
          </w:p>
        </w:tc>
        <w:tc>
          <w:tcPr>
            <w:tcW w:w="800" w:type="dxa"/>
            <w:vAlign w:val="bottom"/>
            <w:tcBorders>
              <w:bottom w:val="single" w:sz="8" w:color="auto"/>
            </w:tcBorders>
            <w:gridSpan w:val="2"/>
            <w:vMerge w:val="continue"/>
          </w:tcPr>
          <w:p>
            <w:pPr>
              <w:spacing w:after="0"/>
              <w:rPr>
                <w:sz w:val="15"/>
                <w:szCs w:val="15"/>
                <w:color w:val="auto"/>
              </w:rPr>
            </w:pPr>
          </w:p>
        </w:tc>
        <w:tc>
          <w:tcPr>
            <w:tcW w:w="1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15"/>
                <w:szCs w:val="15"/>
                <w:color w:val="auto"/>
              </w:rPr>
            </w:pPr>
          </w:p>
        </w:tc>
        <w:tc>
          <w:tcPr>
            <w:tcW w:w="1680" w:type="dxa"/>
            <w:vAlign w:val="bottom"/>
            <w:tcBorders>
              <w:bottom w:val="single" w:sz="8" w:color="auto"/>
            </w:tcBorders>
            <w:gridSpan w:val="6"/>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as reported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84"/>
              </w:rPr>
              <w:t>3,158</w:t>
            </w:r>
          </w:p>
        </w:tc>
        <w:tc>
          <w:tcPr>
            <w:tcW w:w="166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$2,952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12"/>
              <w:spacing w:after="0"/>
              <w:rPr>
                <w:sz w:val="20"/>
                <w:szCs w:val="20"/>
                <w:color w:val="auto"/>
              </w:rPr>
            </w:pPr>
            <w:r>
              <w:rPr>
                <w:rFonts w:ascii="Arial" w:cs="Arial" w:eastAsia="Arial" w:hAnsi="Arial"/>
                <w:sz w:val="18"/>
                <w:szCs w:val="18"/>
                <w:b w:val="1"/>
                <w:bCs w:val="1"/>
                <w:color w:val="auto"/>
              </w:rPr>
              <w:t>586</w:t>
            </w:r>
          </w:p>
        </w:tc>
        <w:tc>
          <w:tcPr>
            <w:tcW w:w="1660" w:type="dxa"/>
            <w:vAlign w:val="bottom"/>
          </w:tcPr>
          <w:p>
            <w:pPr>
              <w:jc w:val="right"/>
              <w:ind w:right="55"/>
              <w:spacing w:after="0"/>
              <w:rPr>
                <w:sz w:val="20"/>
                <w:szCs w:val="20"/>
                <w:color w:val="auto"/>
              </w:rPr>
            </w:pPr>
            <w:r>
              <w:rPr>
                <w:rFonts w:ascii="Arial" w:cs="Arial" w:eastAsia="Arial" w:hAnsi="Arial"/>
                <w:sz w:val="18"/>
                <w:szCs w:val="18"/>
                <w:b w:val="1"/>
                <w:bCs w:val="1"/>
                <w:color w:val="auto"/>
              </w:rPr>
              <w:t>18.6%</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212"/>
              <w:spacing w:after="0"/>
              <w:rPr>
                <w:sz w:val="20"/>
                <w:szCs w:val="20"/>
                <w:color w:val="auto"/>
              </w:rPr>
            </w:pPr>
            <w:r>
              <w:rPr>
                <w:rFonts w:ascii="Arial" w:cs="Arial" w:eastAsia="Arial" w:hAnsi="Arial"/>
                <w:sz w:val="18"/>
                <w:szCs w:val="18"/>
                <w:b w:val="1"/>
                <w:bCs w:val="1"/>
                <w:color w:val="auto"/>
                <w:w w:val="86"/>
              </w:rPr>
              <w:t>534</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7"/>
              </w:rPr>
              <w:t>18.1%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Income from Operations: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Litigation settlement</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660" w:type="dxa"/>
            <w:vAlign w:val="bottom"/>
          </w:tcPr>
          <w:p>
            <w:pPr>
              <w:jc w:val="right"/>
              <w:ind w:right="95"/>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Increased environmental remediation reserves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6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Labor disruption costs</w:t>
            </w:r>
          </w:p>
        </w:tc>
        <w:tc>
          <w:tcPr>
            <w:tcW w:w="3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660" w:type="dxa"/>
            <w:vAlign w:val="bottom"/>
          </w:tcPr>
          <w:p>
            <w:pPr>
              <w:jc w:val="right"/>
              <w:ind w:right="95"/>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Multi-employer pension withdrawal costs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Income from operations, as adjusted </w:t>
            </w:r>
            <w:r>
              <w:rPr>
                <w:rFonts w:ascii="Arial" w:cs="Arial" w:eastAsia="Arial" w:hAnsi="Arial"/>
                <w:sz w:val="18"/>
                <w:szCs w:val="18"/>
                <w:b w:val="1"/>
                <w:bCs w:val="1"/>
                <w:color w:val="auto"/>
              </w:rPr>
              <w:t>(e)</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c>
          <w:tcPr>
            <w:tcW w:w="16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17.4%</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6"/>
              </w:rPr>
              <w:t>548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000" w:type="dxa"/>
            <w:vAlign w:val="bottom"/>
            <w:gridSpan w:val="2"/>
          </w:tcPr>
          <w:p>
            <w:pPr>
              <w:spacing w:after="0"/>
              <w:rPr>
                <w:sz w:val="20"/>
                <w:szCs w:val="20"/>
                <w:color w:val="auto"/>
              </w:rPr>
            </w:pPr>
            <w:r>
              <w:rPr>
                <w:rFonts w:ascii="Arial" w:cs="Arial" w:eastAsia="Arial" w:hAnsi="Arial"/>
                <w:sz w:val="18"/>
                <w:szCs w:val="18"/>
                <w:color w:val="auto"/>
              </w:rPr>
              <w:t xml:space="preserve">Further adjusted for change in ten-year Treasury rates </w:t>
            </w:r>
            <w:r>
              <w:rPr>
                <w:rFonts w:ascii="Arial" w:cs="Arial" w:eastAsia="Arial" w:hAnsi="Arial"/>
                <w:sz w:val="18"/>
                <w:szCs w:val="18"/>
                <w:b w:val="1"/>
                <w:bCs w:val="1"/>
                <w:color w:val="auto"/>
              </w:rPr>
              <w:t>(f)</w:t>
            </w: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6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(22)</w:t>
            </w: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-0.8%</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as further adjusted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560</w:t>
            </w:r>
          </w:p>
        </w:tc>
        <w:tc>
          <w:tcPr>
            <w:tcW w:w="16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17.7%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86"/>
              </w:rPr>
              <w:t>526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Full Year 2010 Free Cash Flow Reconciliation</w:t>
            </w:r>
            <w:r>
              <w:rPr>
                <w:rFonts w:ascii="Arial" w:cs="Arial" w:eastAsia="Arial" w:hAnsi="Arial"/>
                <w:sz w:val="14"/>
                <w:szCs w:val="14"/>
                <w:b w:val="1"/>
                <w:bCs w:val="1"/>
                <w:color w:val="auto"/>
              </w:rPr>
              <w:t>(g)</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Scenario 1</w:t>
            </w:r>
          </w:p>
        </w:tc>
        <w:tc>
          <w:tcPr>
            <w:tcW w:w="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Scenario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2,350</w:t>
            </w:r>
          </w:p>
        </w:tc>
        <w:tc>
          <w:tcPr>
            <w:tcW w:w="6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600"/>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Proceeds from divestitures of businesses (net of cash divested) and other sales of assets</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Year-over-year change in income from operations, as a percent of revenues, of 120 basis points, as adjusted.</w:t>
      </w:r>
    </w:p>
    <w:p>
      <w:pPr>
        <w:spacing w:after="0" w:line="76" w:lineRule="exact"/>
        <w:rPr>
          <w:rFonts w:ascii="Arial" w:cs="Arial" w:eastAsia="Arial" w:hAnsi="Arial"/>
          <w:sz w:val="18"/>
          <w:szCs w:val="18"/>
          <w:b w:val="1"/>
          <w:bCs w:val="1"/>
          <w:color w:val="auto"/>
        </w:rPr>
      </w:pPr>
    </w:p>
    <w:p>
      <w:pPr>
        <w:jc w:val="both"/>
        <w:ind w:left="460" w:right="340" w:hanging="452"/>
        <w:spacing w:after="0" w:line="264"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Adjustments to our calculation of the present value of our environmental remediation reserves resulting from changes in the ten-year Treasury rates caused a $32 million year-over-year cost increase, or a year-over-year change in the income from operations, as a percent of revenues, of 110 basis points.</w:t>
      </w:r>
    </w:p>
    <w:p>
      <w:pPr>
        <w:spacing w:after="0" w:line="32" w:lineRule="exact"/>
        <w:rPr>
          <w:rFonts w:ascii="Arial" w:cs="Arial" w:eastAsia="Arial" w:hAnsi="Arial"/>
          <w:sz w:val="18"/>
          <w:szCs w:val="18"/>
          <w:b w:val="1"/>
          <w:bCs w:val="1"/>
          <w:color w:val="auto"/>
        </w:rPr>
      </w:pPr>
    </w:p>
    <w:p>
      <w:pPr>
        <w:ind w:left="460" w:right="180" w:hanging="452"/>
        <w:spacing w:after="0" w:line="277"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reconciliation illustrates two scenarios that show our projected Free Cash Flow range. The amounts used in the reconciliation are subject to many variables, some of which are not in our control and therefore are not necessarily indicative of actual results.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2019-12-10T07:15:50Z</dcterms:created>
  <dcterms:modified xsi:type="dcterms:W3CDTF">2019-12-10T07:15:50Z</dcterms:modified>
</cp:coreProperties>
</file>